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8"/>
          <w:szCs w:val="38"/>
          <w:rFonts w:ascii="Calibri" w:cs="Calibri" w:eastAsia="Calibri" w:hAnsi="Calibri"/>
        </w:rPr>
        <w:t xml:space="preserve">Keshav Karn</w:t>
      </w:r>
    </w:p>
    <w:p>
      <w:r>
        <w:rPr>
          <w:sz w:val="22"/>
          <w:szCs w:val="22"/>
          <w:rFonts w:ascii="Calibri" w:cs="Calibri" w:eastAsia="Calibri" w:hAnsi="Calibri"/>
        </w:rPr>
        <w:t xml:space="preserve">Hyderabad, India | 8520977573 | keshav.karn@gmail.com</w:t>
      </w:r>
    </w:p>
    <w:p>
      <w:pPr>
        <w:spacing w:after="40"/>
      </w:pPr>
      <w:r>
        <w:rPr>
          <w:sz w:val="22"/>
          <w:szCs w:val="22"/>
          <w:rFonts w:ascii="Calibri" w:cs="Calibri" w:eastAsia="Calibri" w:hAnsi="Calibri"/>
        </w:rPr>
        <w:t xml:space="preserve">LinkedIn: https://www.linkedin.com/in/keshavkarn/ | Credly: https://www.credly.com/users/keshav-karn</w:t>
      </w:r>
    </w:p>
    <w:p>
      <w:pPr>
        <w:spacing w:before="200" w:after="100"/>
      </w:pPr>
      <w:r>
        <w:rPr>
          <w:b/>
          <w:bCs/>
          <w:sz w:val="26"/>
          <w:szCs w:val="26"/>
          <w:caps/>
          <w:rFonts w:ascii="Calibri" w:cs="Calibri" w:eastAsia="Calibri" w:hAnsi="Calibri"/>
        </w:rPr>
        <w:t xml:space="preserve">EXECUTIVE SUMMARY</w:t>
      </w:r>
    </w:p>
    <w:p>
      <w:pPr>
        <w:spacing w:after="80"/>
      </w:pPr>
      <w:r>
        <w:rPr>
          <w:sz w:val="22"/>
          <w:szCs w:val="22"/>
          <w:rFonts w:ascii="Calibri" w:cs="Calibri" w:eastAsia="Calibri" w:hAnsi="Calibri"/>
        </w:rPr>
        <w:t xml:space="preserve">Accomplished technology executive with 21 years of experience in service delivery management, operational transformation, and infrastructure leadership. Expert in orchestrating complex IT service lifecycles across highly regulated healthcare and BFSI sectors through rigorous ITSM governance. Proven ability to translate strategic business objectives into high-performing service delivery operations while managing global, cross-functional teams. Adept at navigating high-stakes stakeholder relationships to ensure consistent SLA attainment and continuous process improvement. Positioned to drive operational excellence and strategic service growth as the Director, Service Delivery at NTT DATA, Inc.</w:t>
      </w:r>
    </w:p>
    <w:p>
      <w:pPr>
        <w:spacing w:before="200" w:after="100"/>
      </w:pPr>
      <w:r>
        <w:rPr>
          <w:b/>
          <w:bCs/>
          <w:sz w:val="26"/>
          <w:szCs w:val="26"/>
          <w:caps/>
          <w:rFonts w:ascii="Calibri" w:cs="Calibri" w:eastAsia="Calibri" w:hAnsi="Calibri"/>
        </w:rPr>
        <w:t xml:space="preserve">CORE STRENGTHS</w:t>
      </w:r>
    </w:p>
    <w:p>
      <w:r>
        <w:rPr>
          <w:sz w:val="22"/>
          <w:szCs w:val="22"/>
          <w:rFonts w:ascii="Calibri" w:cs="Calibri" w:eastAsia="Calibri" w:hAnsi="Calibri"/>
        </w:rPr>
        <w:t xml:space="preserve">IT Service Management | Operational Strategy | Executive Stakeholder Management | Global Team Leadership | SLA Governance | Risk &amp; Compliance Oversight | Financial Planning &amp; P&amp;L Management</w:t>
      </w:r>
    </w:p>
    <w:p>
      <w:pPr>
        <w:spacing w:before="200" w:after="100"/>
      </w:pPr>
      <w:r>
        <w:rPr>
          <w:b/>
          <w:bCs/>
          <w:sz w:val="26"/>
          <w:szCs w:val="26"/>
          <w:caps/>
          <w:rFonts w:ascii="Calibri" w:cs="Calibri" w:eastAsia="Calibri" w:hAnsi="Calibri"/>
        </w:rPr>
        <w:t xml:space="preserve">EXPERIENCE</w:t>
      </w:r>
    </w:p>
    <w:p>
      <w:pPr>
        <w:spacing w:before="120"/>
      </w:pPr>
      <w:r>
        <w:rPr>
          <w:b/>
          <w:bCs/>
          <w:sz w:val="22"/>
          <w:szCs w:val="22"/>
          <w:rFonts w:ascii="Calibri" w:cs="Calibri" w:eastAsia="Calibri" w:hAnsi="Calibri"/>
        </w:rPr>
        <w:t xml:space="preserve">Company: PwC — Senior Manager (Sep 2024 – Present)</w:t>
      </w:r>
    </w:p>
    <w:p>
      <w:pPr>
        <w:pStyle w:val="ListParagraph"/>
        <w:numPr>
          <w:ilvl w:val="0"/>
          <w:numId w:val="1"/>
        </w:numPr>
        <w:spacing w:after="60"/>
      </w:pPr>
      <w:r>
        <w:t xml:space="preserve">Advise enterprise clients on NIST and ITIL-aligned frameworks to modernize service delivery and infrastructure.</w:t>
      </w:r>
    </w:p>
    <w:p>
      <w:pPr>
        <w:pStyle w:val="ListParagraph"/>
        <w:numPr>
          <w:ilvl w:val="0"/>
          <w:numId w:val="1"/>
        </w:numPr>
        <w:spacing w:after="60"/>
      </w:pPr>
      <w:r>
        <w:t xml:space="preserve">Lead hybrid-cloud cost optimization initiatives to drive financial transparency and resource efficiency.</w:t>
      </w:r>
    </w:p>
    <w:p>
      <w:pPr>
        <w:pStyle w:val="ListParagraph"/>
        <w:numPr>
          <w:ilvl w:val="0"/>
          <w:numId w:val="1"/>
        </w:numPr>
        <w:spacing w:after="60"/>
      </w:pPr>
      <w:r>
        <w:t xml:space="preserve">Orchestrate platform modernization roadmaps in collaboration with global leadership across US, LatAm, Europe, and APAC.</w:t>
      </w:r>
    </w:p>
    <w:p>
      <w:pPr>
        <w:spacing w:before="120"/>
      </w:pPr>
      <w:r>
        <w:rPr>
          <w:b/>
          <w:bCs/>
          <w:sz w:val="22"/>
          <w:szCs w:val="22"/>
          <w:rFonts w:ascii="Calibri" w:cs="Calibri" w:eastAsia="Calibri" w:hAnsi="Calibri"/>
        </w:rPr>
        <w:t xml:space="preserve">Company: Kyndryl Solutions Pvt. Ltd. — Associate Director (Sep 2021 – Aug 2024)</w:t>
      </w:r>
    </w:p>
    <w:p>
      <w:pPr>
        <w:pStyle w:val="ListParagraph"/>
        <w:numPr>
          <w:ilvl w:val="0"/>
          <w:numId w:val="1"/>
        </w:numPr>
        <w:spacing w:after="60"/>
      </w:pPr>
      <w:r>
        <w:t xml:space="preserve">Direct global technology service delivery for mission-critical data center portfolios.</w:t>
      </w:r>
    </w:p>
    <w:p>
      <w:pPr>
        <w:pStyle w:val="ListParagraph"/>
        <w:numPr>
          <w:ilvl w:val="0"/>
          <w:numId w:val="1"/>
        </w:numPr>
        <w:spacing w:after="60"/>
      </w:pPr>
      <w:r>
        <w:t xml:space="preserve">Spearheaded a $30M+ vendor displacement program to insource infrastructure, enhancing operational agility.</w:t>
      </w:r>
    </w:p>
    <w:p>
      <w:pPr>
        <w:pStyle w:val="ListParagraph"/>
        <w:numPr>
          <w:ilvl w:val="0"/>
          <w:numId w:val="1"/>
        </w:numPr>
        <w:spacing w:after="60"/>
      </w:pPr>
      <w:r>
        <w:t xml:space="preserve">Administer lifecycle operations for 100,000+ IT assets to ensure high availability and performance.</w:t>
      </w:r>
    </w:p>
    <w:p>
      <w:pPr>
        <w:spacing w:before="120"/>
      </w:pPr>
      <w:r>
        <w:rPr>
          <w:b/>
          <w:bCs/>
          <w:sz w:val="22"/>
          <w:szCs w:val="22"/>
          <w:rFonts w:ascii="Calibri" w:cs="Calibri" w:eastAsia="Calibri" w:hAnsi="Calibri"/>
        </w:rPr>
        <w:t xml:space="preserve">Company: IBM India Pvt. Ltd. — Global Process Owner (Jan 2014 – Aug 2021)</w:t>
      </w:r>
    </w:p>
    <w:p>
      <w:pPr>
        <w:pStyle w:val="ListParagraph"/>
        <w:numPr>
          <w:ilvl w:val="0"/>
          <w:numId w:val="1"/>
        </w:numPr>
        <w:spacing w:after="60"/>
      </w:pPr>
      <w:r>
        <w:t xml:space="preserve">Managed $25M annual OPEX, realizing $8M in savings through strategic vendor renegotiation and license optimization.</w:t>
      </w:r>
    </w:p>
    <w:p>
      <w:pPr>
        <w:pStyle w:val="ListParagraph"/>
        <w:numPr>
          <w:ilvl w:val="0"/>
          <w:numId w:val="1"/>
        </w:numPr>
        <w:spacing w:after="60"/>
      </w:pPr>
      <w:r>
        <w:t xml:space="preserve">Provided leadership for global delivery engagements, ensuring standardized service quality across regional hubs.</w:t>
      </w:r>
    </w:p>
    <w:p>
      <w:pPr>
        <w:pStyle w:val="ListParagraph"/>
        <w:numPr>
          <w:ilvl w:val="0"/>
          <w:numId w:val="1"/>
        </w:numPr>
        <w:spacing w:after="60"/>
      </w:pPr>
      <w:r>
        <w:t xml:space="preserve">Scaled the Capacity Management Center of Excellence from 10 to 250 personnel across five countries.</w:t>
      </w:r>
    </w:p>
    <w:p>
      <w:pPr>
        <w:spacing w:before="120"/>
      </w:pPr>
      <w:r>
        <w:rPr>
          <w:b/>
          <w:bCs/>
          <w:sz w:val="22"/>
          <w:szCs w:val="22"/>
          <w:rFonts w:ascii="Calibri" w:cs="Calibri" w:eastAsia="Calibri" w:hAnsi="Calibri"/>
        </w:rPr>
        <w:t xml:space="preserve">Company: Wipro Technologies — Senior Consultant (Jun 2010 – Nov 2013)</w:t>
      </w:r>
    </w:p>
    <w:p>
      <w:pPr>
        <w:pStyle w:val="ListParagraph"/>
        <w:numPr>
          <w:ilvl w:val="0"/>
          <w:numId w:val="1"/>
        </w:numPr>
        <w:spacing w:after="60"/>
      </w:pPr>
      <w:r>
        <w:t xml:space="preserve">Consulted on automation strategies for major telecom and BFSI accounts.</w:t>
      </w:r>
    </w:p>
    <w:p>
      <w:pPr>
        <w:pStyle w:val="ListParagraph"/>
        <w:numPr>
          <w:ilvl w:val="0"/>
          <w:numId w:val="1"/>
        </w:numPr>
        <w:spacing w:after="60"/>
      </w:pPr>
      <w:r>
        <w:t xml:space="preserve">Chaired Change Advisory Boards and drove high-impact Root Cause Analysis to maintain service stability.</w:t>
      </w:r>
    </w:p>
    <w:p>
      <w:pPr>
        <w:pStyle w:val="ListParagraph"/>
        <w:numPr>
          <w:ilvl w:val="0"/>
          <w:numId w:val="1"/>
        </w:numPr>
        <w:spacing w:after="60"/>
      </w:pPr>
      <w:r>
        <w:t xml:space="preserve">Executed internal ITIL assessments to optimize compliance and operational efficiency.</w:t>
      </w:r>
    </w:p>
    <w:p>
      <w:pPr>
        <w:spacing w:before="120"/>
      </w:pPr>
      <w:r>
        <w:rPr>
          <w:b/>
          <w:bCs/>
          <w:sz w:val="22"/>
          <w:szCs w:val="22"/>
          <w:rFonts w:ascii="Calibri" w:cs="Calibri" w:eastAsia="Calibri" w:hAnsi="Calibri"/>
        </w:rPr>
        <w:t xml:space="preserve">Company: Tech Mahindra Ltd. — Senior Technical Associate (Oct 2006 – May 2010)</w:t>
      </w:r>
    </w:p>
    <w:p>
      <w:pPr>
        <w:pStyle w:val="ListParagraph"/>
        <w:numPr>
          <w:ilvl w:val="0"/>
          <w:numId w:val="1"/>
        </w:numPr>
        <w:spacing w:after="60"/>
      </w:pPr>
      <w:r>
        <w:t xml:space="preserve">Architected enterprise-grade monitoring deployments and managed critical application support for healthcare clients.</w:t>
      </w:r>
    </w:p>
    <w:p>
      <w:pPr>
        <w:pStyle w:val="ListParagraph"/>
        <w:numPr>
          <w:ilvl w:val="0"/>
          <w:numId w:val="1"/>
        </w:numPr>
        <w:spacing w:after="60"/>
      </w:pPr>
      <w:r>
        <w:t xml:space="preserve">Facilitated release deployments for international telecom stakeholders with zero business disruption.</w:t>
      </w:r>
    </w:p>
    <w:p>
      <w:pPr>
        <w:spacing w:before="120"/>
      </w:pPr>
      <w:r>
        <w:rPr>
          <w:b/>
          <w:bCs/>
          <w:sz w:val="22"/>
          <w:szCs w:val="22"/>
          <w:rFonts w:ascii="Calibri" w:cs="Calibri" w:eastAsia="Calibri" w:hAnsi="Calibri"/>
        </w:rPr>
        <w:t xml:space="preserve">Company: Mainstay Teleservices — Sr. 2nd Line Specialist (Mar 2003 – Oct 2006)</w:t>
      </w:r>
    </w:p>
    <w:p>
      <w:pPr>
        <w:pStyle w:val="ListParagraph"/>
        <w:numPr>
          <w:ilvl w:val="0"/>
          <w:numId w:val="1"/>
        </w:numPr>
        <w:spacing w:after="60"/>
      </w:pPr>
      <w:r>
        <w:t xml:space="preserve">Resolved high-impact escalations for mission-critical telecom systems.</w:t>
      </w:r>
    </w:p>
    <w:p>
      <w:pPr>
        <w:pStyle w:val="ListParagraph"/>
        <w:numPr>
          <w:ilvl w:val="0"/>
          <w:numId w:val="1"/>
        </w:numPr>
        <w:spacing w:after="60"/>
      </w:pPr>
      <w:r>
        <w:t xml:space="preserve">Mentored engineering teams and formalized standard operating procedures for incident management.</w:t>
      </w:r>
    </w:p>
    <w:p>
      <w:pPr>
        <w:spacing w:before="200" w:after="100"/>
      </w:pPr>
      <w:r>
        <w:rPr>
          <w:b/>
          <w:bCs/>
          <w:sz w:val="26"/>
          <w:szCs w:val="26"/>
          <w:caps/>
          <w:rFonts w:ascii="Calibri" w:cs="Calibri" w:eastAsia="Calibri" w:hAnsi="Calibri"/>
        </w:rPr>
        <w:t xml:space="preserve">TECHNICAL LEADERSHIP SKILLS</w:t>
      </w:r>
    </w:p>
    <w:p>
      <w:r>
        <w:rPr>
          <w:sz w:val="22"/>
          <w:szCs w:val="22"/>
          <w:rFonts w:ascii="Calibri" w:cs="Calibri" w:eastAsia="Calibri" w:hAnsi="Calibri"/>
        </w:rPr>
        <w:t xml:space="preserve">Service Management: ServiceNow, Remedy, Jira Service Management</w:t>
      </w:r>
    </w:p>
    <w:p>
      <w:r>
        <w:rPr>
          <w:sz w:val="22"/>
          <w:szCs w:val="22"/>
          <w:rFonts w:ascii="Calibri" w:cs="Calibri" w:eastAsia="Calibri" w:hAnsi="Calibri"/>
        </w:rPr>
        <w:t xml:space="preserve">Monitoring &amp; Observability: ScienceLogic, Datadog, New Relic, Prometheus, Tanzu, HP OpenView</w:t>
      </w:r>
    </w:p>
    <w:p>
      <w:r>
        <w:rPr>
          <w:sz w:val="22"/>
          <w:szCs w:val="22"/>
          <w:rFonts w:ascii="Calibri" w:cs="Calibri" w:eastAsia="Calibri" w:hAnsi="Calibri"/>
        </w:rPr>
        <w:t xml:space="preserve">Cloud &amp; Infrastructure: Azure Monitor, CloudWatch, Ansible, SolarWinds</w:t>
      </w:r>
    </w:p>
    <w:p>
      <w:r>
        <w:rPr>
          <w:sz w:val="22"/>
          <w:szCs w:val="22"/>
          <w:rFonts w:ascii="Calibri" w:cs="Calibri" w:eastAsia="Calibri" w:hAnsi="Calibri"/>
        </w:rPr>
        <w:t xml:space="preserve">Financial &amp; Business Intelligence: CoreStack, Flexera, Power BI, MS Visio</w:t>
      </w:r>
    </w:p>
    <w:p>
      <w:pPr>
        <w:spacing w:before="200" w:after="100"/>
      </w:pPr>
      <w:r>
        <w:rPr>
          <w:b/>
          <w:bCs/>
          <w:sz w:val="26"/>
          <w:szCs w:val="26"/>
          <w:caps/>
          <w:rFonts w:ascii="Calibri" w:cs="Calibri" w:eastAsia="Calibri" w:hAnsi="Calibri"/>
        </w:rPr>
        <w:t xml:space="preserve">CERTIFICATIONS</w:t>
      </w:r>
    </w:p>
    <w:p>
      <w:pPr>
        <w:pStyle w:val="ListParagraph"/>
        <w:numPr>
          <w:ilvl w:val="0"/>
          <w:numId w:val="1"/>
        </w:numPr>
        <w:spacing w:after="60"/>
      </w:pPr>
      <w:r>
        <w:t xml:space="preserve">Microsoft Azure Solutions Architect Expert | AWS Certified Cloud Practitioner | FinOps Certified Practitioner | Google Digital Leader | IBM Architect &amp; Consulting Badges | ITIL v3 | COBIT 4.1</w:t>
      </w:r>
    </w:p>
    <w:p>
      <w:pPr>
        <w:spacing w:before="200" w:after="100"/>
      </w:pPr>
      <w:r>
        <w:rPr>
          <w:b/>
          <w:bCs/>
          <w:sz w:val="26"/>
          <w:szCs w:val="26"/>
          <w:caps/>
          <w:rFonts w:ascii="Calibri" w:cs="Calibri" w:eastAsia="Calibri" w:hAnsi="Calibri"/>
        </w:rPr>
        <w:t xml:space="preserve">EDUCATION</w:t>
      </w:r>
    </w:p>
    <w:p>
      <w:pPr>
        <w:pStyle w:val="ListParagraph"/>
        <w:numPr>
          <w:ilvl w:val="0"/>
          <w:numId w:val="1"/>
        </w:numPr>
        <w:spacing w:after="60"/>
      </w:pPr>
      <w:r>
        <w:t xml:space="preserve">Post Graduate Programme in Project Management – IIT Roorkee, 2025</w:t>
      </w:r>
    </w:p>
    <w:p>
      <w:pPr>
        <w:pStyle w:val="ListParagraph"/>
        <w:numPr>
          <w:ilvl w:val="0"/>
          <w:numId w:val="1"/>
        </w:numPr>
        <w:spacing w:after="60"/>
      </w:pPr>
      <w:r>
        <w:t xml:space="preserve">Master’s in Information Technology – Manipal Academy of Higher Education, 2002</w:t>
      </w:r>
    </w:p>
    <w:p>
      <w:pPr>
        <w:pStyle w:val="ListParagraph"/>
        <w:numPr>
          <w:ilvl w:val="0"/>
          <w:numId w:val="1"/>
        </w:numPr>
        <w:spacing w:after="60"/>
      </w:pPr>
      <w:r>
        <w:t xml:space="preserve">Bachelor of Science – Anugrah Narayan College, Patna University, 1999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2026-05-24T09:39:57.943Z</dcterms:created>
  <dcterms:modified xsi:type="dcterms:W3CDTF">2026-05-24T09:39:57.943Z</dcterms:modified>
</cp:coreProperties>
</file>

<file path=docProps/custom.xml><?xml version="1.0" encoding="utf-8"?>
<Properties xmlns="http://schemas.openxmlformats.org/officeDocument/2006/custom-properties" xmlns:vt="http://schemas.openxmlformats.org/officeDocument/2006/docPropsVTypes"/>
</file>