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Accomplished technology executive with over 20 years of experience orchestrating large-scale platform modernization, AI integration, and mission-critical engineering initiatives. Proven track record in steering complex, matrixed technical environments across highly regulated sectors, including global BFSI and healthcare. Expert in managing the full lifecycle of intelligent systems, from architectural strategy to high-availability production deployment. Adept at building and leading high-performing cross-functional teams to deliver scalable AI/ML solutions and operational excellence. Prepared to advance machine learning, LLM, and agentic system capabilities as a Senior Director of Software Engineering at JPMorgan Chase.</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Enterprise AI Strategy | Intelligent Operations | LLM &amp; Agentic System Architecture | RAG &amp; Model Governance | Cross-Functional Leadership | Cloud-Native Engineering | Operational Scalability | Technical Transformation</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IT Strategy &amp; FinOps Advisor (Sep 2024 – Present)</w:t>
      </w:r>
    </w:p>
    <w:p>
      <w:pPr>
        <w:pStyle w:val="ListParagraph"/>
        <w:numPr>
          <w:ilvl w:val="0"/>
          <w:numId w:val="1"/>
        </w:numPr>
        <w:spacing w:after="60"/>
      </w:pPr>
      <w:r>
        <w:t xml:space="preserve">Architected enterprise AI automation frameworks to enhance service reliability and mitigate technical risks.</w:t>
      </w:r>
    </w:p>
    <w:p>
      <w:pPr>
        <w:pStyle w:val="ListParagraph"/>
        <w:numPr>
          <w:ilvl w:val="0"/>
          <w:numId w:val="1"/>
        </w:numPr>
        <w:spacing w:after="60"/>
      </w:pPr>
      <w:r>
        <w:t xml:space="preserve">Direct modernization roadmaps and advanced technology adoption strategies for tier-one BFSI clients.</w:t>
      </w:r>
    </w:p>
    <w:p>
      <w:pPr>
        <w:pStyle w:val="ListParagraph"/>
        <w:numPr>
          <w:ilvl w:val="0"/>
          <w:numId w:val="1"/>
        </w:numPr>
        <w:spacing w:after="60"/>
      </w:pPr>
      <w:r>
        <w:t xml:space="preserve">Lead multi-departmental alignment to implement industry-standard frameworks for intelligent operations.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Directed global service reliability and platform operations for mission-critical infrastructure portfolios.</w:t>
      </w:r>
    </w:p>
    <w:p>
      <w:pPr>
        <w:pStyle w:val="ListParagraph"/>
        <w:numPr>
          <w:ilvl w:val="0"/>
          <w:numId w:val="1"/>
        </w:numPr>
        <w:spacing w:after="60"/>
      </w:pPr>
      <w:r>
        <w:t xml:space="preserve">Spearheaded the integration of Agentic AI systems to automate AIOps insights and accelerate incident remediation.</w:t>
      </w:r>
    </w:p>
    <w:p>
      <w:pPr>
        <w:pStyle w:val="ListParagraph"/>
        <w:numPr>
          <w:ilvl w:val="0"/>
          <w:numId w:val="1"/>
        </w:numPr>
        <w:spacing w:after="60"/>
      </w:pPr>
      <w:r>
        <w:t xml:space="preserve">Executed large-scale technology vendor displacement programs to improve enterprise agility and internal platform capabilities.</w:t>
      </w:r>
    </w:p>
    <w:p>
      <w:pPr>
        <w:pStyle w:val="ListParagraph"/>
        <w:numPr>
          <w:ilvl w:val="0"/>
          <w:numId w:val="1"/>
        </w:numPr>
        <w:spacing w:after="60"/>
      </w:pPr>
      <w:r>
        <w:t xml:space="preserve">Governed end-to-end cloud and DevOps enablement for global asset footprints.</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Provided global delivery leadership for complex financial sector engagements, ensuring platform performance and stability.</w:t>
      </w:r>
    </w:p>
    <w:p>
      <w:pPr>
        <w:pStyle w:val="ListParagraph"/>
        <w:numPr>
          <w:ilvl w:val="0"/>
          <w:numId w:val="1"/>
        </w:numPr>
        <w:spacing w:after="60"/>
      </w:pPr>
      <w:r>
        <w:t xml:space="preserve">Scaled the Capacity Management Center of Excellence from 10 to 250 members across five international regions.</w:t>
      </w:r>
    </w:p>
    <w:p>
      <w:pPr>
        <w:pStyle w:val="ListParagraph"/>
        <w:numPr>
          <w:ilvl w:val="0"/>
          <w:numId w:val="1"/>
        </w:numPr>
        <w:spacing w:after="60"/>
      </w:pPr>
      <w:r>
        <w:t xml:space="preserve">Modernized contact center operations by embedding AI-driven analytics to optimize response architecture.</w:t>
      </w:r>
    </w:p>
    <w:p>
      <w:pPr>
        <w:pStyle w:val="ListParagraph"/>
        <w:numPr>
          <w:ilvl w:val="0"/>
          <w:numId w:val="1"/>
        </w:numPr>
        <w:spacing w:after="60"/>
      </w:pPr>
      <w:r>
        <w:t xml:space="preserve">Managed $25M in annual OPEX through automation, resource optimization, and architectural efficiency.</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automation strategies and platform consulting for major telecom and BFSI enterprises.</w:t>
      </w:r>
    </w:p>
    <w:p>
      <w:pPr>
        <w:pStyle w:val="ListParagraph"/>
        <w:numPr>
          <w:ilvl w:val="0"/>
          <w:numId w:val="1"/>
        </w:numPr>
        <w:spacing w:after="60"/>
      </w:pPr>
      <w:r>
        <w:t xml:space="preserve">Implemented robust governance frameworks for problem and change management to ensure system resilience.</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Deployed enterprise-wide monitoring solutions for global healthcare and telecommunications networks.</w:t>
      </w:r>
    </w:p>
    <w:p>
      <w:pPr>
        <w:pStyle w:val="ListParagraph"/>
        <w:numPr>
          <w:ilvl w:val="0"/>
          <w:numId w:val="1"/>
        </w:numPr>
        <w:spacing w:after="60"/>
      </w:pPr>
      <w:r>
        <w:t xml:space="preserve">Managed high-stakes release deployments, ensuring zero-disruption transitions for production environments.</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Resolved high-impact technical escalations for mission-critical telecom systems.</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AI-Enabled Academic Strategy &amp; Institutional Intelligence Leadership</w:t>
      </w:r>
    </w:p>
    <w:p>
      <w:pPr>
        <w:pStyle w:val="ListParagraph"/>
        <w:numPr>
          <w:ilvl w:val="0"/>
          <w:numId w:val="1"/>
        </w:numPr>
        <w:spacing w:after="60"/>
      </w:pPr>
      <w:r>
        <w:t xml:space="preserve">Founder &amp; Executive Architect — AI-Driven Education Platforms</w:t>
      </w:r>
    </w:p>
    <w:p>
      <w:pPr>
        <w:pStyle w:val="ListParagraph"/>
        <w:numPr>
          <w:ilvl w:val="0"/>
          <w:numId w:val="1"/>
        </w:numPr>
        <w:spacing w:after="60"/>
      </w:pPr>
      <w:r>
        <w:t xml:space="preserve">Platform vision, scalability, monetization</w:t>
      </w:r>
    </w:p>
    <w:p>
      <w:pPr>
        <w:pStyle w:val="ListParagraph"/>
        <w:numPr>
          <w:ilvl w:val="0"/>
          <w:numId w:val="1"/>
        </w:numPr>
        <w:spacing w:after="60"/>
      </w:pPr>
      <w:r>
        <w:t xml:space="preserve">AI-powered dashboards and decision intelligence</w:t>
      </w:r>
    </w:p>
    <w:p>
      <w:pPr>
        <w:pStyle w:val="ListParagraph"/>
        <w:numPr>
          <w:ilvl w:val="0"/>
          <w:numId w:val="1"/>
        </w:numPr>
        <w:spacing w:after="60"/>
      </w:pPr>
      <w:r>
        <w:t xml:space="preserve">End-to-end leadership and measurable ROI</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AI &amp; Machine Learning: LLM Architectures, Retrieval-Augmented Generation (RAG), Fine-tuning, Agentic Systems, MLOps</w:t>
      </w:r>
    </w:p>
    <w:p>
      <w:r>
        <w:rPr>
          <w:sz w:val="22"/>
          <w:szCs w:val="22"/>
          <w:rFonts w:ascii="Calibri" w:cs="Calibri" w:eastAsia="Calibri" w:hAnsi="Calibri"/>
        </w:rPr>
        <w:t xml:space="preserve">Cloud &amp; Infrastructure: Azure, AWS, Hybrid-Cloud, VMware Tanzu, Data Center Operations, Infrastructure-as-Code</w:t>
      </w:r>
    </w:p>
    <w:p>
      <w:r>
        <w:rPr>
          <w:sz w:val="22"/>
          <w:szCs w:val="22"/>
          <w:rFonts w:ascii="Calibri" w:cs="Calibri" w:eastAsia="Calibri" w:hAnsi="Calibri"/>
        </w:rPr>
        <w:t xml:space="preserve">Engineering: API-driven Orchestration, Backend Logic, CI/CD, Python, JavaScript</w:t>
      </w:r>
    </w:p>
    <w:p>
      <w:r>
        <w:rPr>
          <w:sz w:val="22"/>
          <w:szCs w:val="22"/>
          <w:rFonts w:ascii="Calibri" w:cs="Calibri" w:eastAsia="Calibri" w:hAnsi="Calibri"/>
        </w:rPr>
        <w:t xml:space="preserve">Observability: Datadog, New Relic, Prometheus, Grafana, Distributed Tracing</w:t>
      </w:r>
    </w:p>
    <w:p>
      <w:r>
        <w:rPr>
          <w:sz w:val="22"/>
          <w:szCs w:val="22"/>
          <w:rFonts w:ascii="Calibri" w:cs="Calibri" w:eastAsia="Calibri" w:hAnsi="Calibri"/>
        </w:rPr>
        <w:t xml:space="preserve">ITSM &amp; Governance: ServiceNow, ITIL, COBIT, Data Privacy, FinOps</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 | AWS Certified Cloud Practitioner | FinOps Certified Practitioner | Google Digital Leader | ITIL v3 | 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2026-05-30T13:06:30.234Z</dcterms:created>
  <dcterms:modified xsi:type="dcterms:W3CDTF">2026-05-30T13:06:30.234Z</dcterms:modified>
</cp:coreProperties>
</file>

<file path=docProps/custom.xml><?xml version="1.0" encoding="utf-8"?>
<Properties xmlns="http://schemas.openxmlformats.org/officeDocument/2006/custom-properties" xmlns:vt="http://schemas.openxmlformats.org/officeDocument/2006/docPropsVTypes"/>
</file>