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38"/>
          <w:szCs w:val="38"/>
          <w:rFonts w:ascii="Calibri" w:cs="Calibri" w:eastAsia="Calibri" w:hAnsi="Calibri"/>
        </w:rPr>
        <w:t xml:space="preserve">Keshav Karn</w:t>
      </w:r>
    </w:p>
    <w:p>
      <w:r>
        <w:rPr>
          <w:sz w:val="22"/>
          <w:szCs w:val="22"/>
          <w:rFonts w:ascii="Calibri" w:cs="Calibri" w:eastAsia="Calibri" w:hAnsi="Calibri"/>
        </w:rPr>
        <w:t xml:space="preserve">Hyderabad, India | 8520977573 | keshav.karn@gmail.com</w:t>
      </w:r>
    </w:p>
    <w:p>
      <w:pPr>
        <w:spacing w:after="40"/>
      </w:pPr>
      <w:r>
        <w:rPr>
          <w:sz w:val="22"/>
          <w:szCs w:val="22"/>
          <w:rFonts w:ascii="Calibri" w:cs="Calibri" w:eastAsia="Calibri" w:hAnsi="Calibri"/>
        </w:rPr>
        <w:t xml:space="preserve">LinkedIn: https://www.linkedin.com/in/keshavkarn/ | Credly: https://www.credly.com/users/keshav-karn</w:t>
      </w:r>
    </w:p>
    <w:p>
      <w:pPr>
        <w:spacing w:before="200" w:after="100"/>
      </w:pPr>
      <w:r>
        <w:rPr>
          <w:b/>
          <w:bCs/>
          <w:sz w:val="26"/>
          <w:szCs w:val="26"/>
          <w:caps/>
          <w:rFonts w:ascii="Calibri" w:cs="Calibri" w:eastAsia="Calibri" w:hAnsi="Calibri"/>
        </w:rPr>
        <w:t xml:space="preserve">EXECUTIVE SUMMARY</w:t>
      </w:r>
    </w:p>
    <w:p>
      <w:pPr>
        <w:spacing w:after="80"/>
      </w:pPr>
      <w:r>
        <w:rPr>
          <w:sz w:val="22"/>
          <w:szCs w:val="22"/>
          <w:rFonts w:ascii="Calibri" w:cs="Calibri" w:eastAsia="Calibri" w:hAnsi="Calibri"/>
        </w:rPr>
        <w:t xml:space="preserve">Accomplished IT executive with two decades of global leadership in enterprise architecture, cloud-native transformation, and high-stakes service delivery within regulated BFSI and Insurance sectors. Proven track record in orchestrating multi-million dollar GTM strategies, driving pre-sales excellence, and translating complex business requirements into secure, scalable data-centric frameworks. Expert in managing massive distributed systems, implementing AIOps for operational intelligence, and navigating sophisticated stakeholder landscapes. Highly adept at optimizing enterprise cloud spend and delivering measurable technical ROI through cross-regional delivery governance. Strategically positioned to accelerate innovation as a Senior Manager for Data and Analytics at EY GDS.</w:t>
      </w:r>
    </w:p>
    <w:p>
      <w:pPr>
        <w:spacing w:before="200" w:after="100"/>
      </w:pPr>
      <w:r>
        <w:rPr>
          <w:b/>
          <w:bCs/>
          <w:sz w:val="26"/>
          <w:szCs w:val="26"/>
          <w:caps/>
          <w:rFonts w:ascii="Calibri" w:cs="Calibri" w:eastAsia="Calibri" w:hAnsi="Calibri"/>
        </w:rPr>
        <w:t xml:space="preserve">CORE STRENGTHS</w:t>
      </w:r>
    </w:p>
    <w:p>
      <w:r>
        <w:rPr>
          <w:sz w:val="22"/>
          <w:szCs w:val="22"/>
          <w:rFonts w:ascii="Calibri" w:cs="Calibri" w:eastAsia="Calibri" w:hAnsi="Calibri"/>
        </w:rPr>
        <w:t xml:space="preserve">Enterprise Cloud Architecture, GTM Strategy &amp; Pre-Sales, Global Delivery Leadership, Data Strategy &amp; Modernization, FinOps Governance, Stakeholder Engagement.</w:t>
      </w:r>
    </w:p>
    <w:p>
      <w:pPr>
        <w:spacing w:before="200" w:after="100"/>
      </w:pPr>
      <w:r>
        <w:rPr>
          <w:b/>
          <w:bCs/>
          <w:sz w:val="26"/>
          <w:szCs w:val="26"/>
          <w:caps/>
          <w:rFonts w:ascii="Calibri" w:cs="Calibri" w:eastAsia="Calibri" w:hAnsi="Calibri"/>
        </w:rPr>
        <w:t xml:space="preserve">EXPERIENCE</w:t>
      </w:r>
    </w:p>
    <w:p>
      <w:pPr>
        <w:spacing w:before="120"/>
      </w:pPr>
      <w:r>
        <w:rPr>
          <w:b/>
          <w:bCs/>
          <w:sz w:val="22"/>
          <w:szCs w:val="22"/>
          <w:rFonts w:ascii="Calibri" w:cs="Calibri" w:eastAsia="Calibri" w:hAnsi="Calibri"/>
        </w:rPr>
        <w:t xml:space="preserve">Company: PwC — Senior Manager (Sep 2024 – Present)</w:t>
      </w:r>
    </w:p>
    <w:p>
      <w:pPr>
        <w:pStyle w:val="ListParagraph"/>
        <w:numPr>
          <w:ilvl w:val="0"/>
          <w:numId w:val="1"/>
        </w:numPr>
        <w:spacing w:after="60"/>
      </w:pPr>
      <w:r>
        <w:t xml:space="preserve">Architected enterprise cloud transition roadmaps and strategic advisory frameworks for BFSI and healthcare clients, ensuring alignment with global NIST standards.</w:t>
      </w:r>
    </w:p>
    <w:p>
      <w:pPr>
        <w:pStyle w:val="ListParagraph"/>
        <w:numPr>
          <w:ilvl w:val="0"/>
          <w:numId w:val="1"/>
        </w:numPr>
        <w:spacing w:after="60"/>
      </w:pPr>
      <w:r>
        <w:t xml:space="preserve">Engineered AI-integrated automation workflows to elevate operational resilience and systemic reliability.</w:t>
      </w:r>
    </w:p>
    <w:p>
      <w:pPr>
        <w:pStyle w:val="ListParagraph"/>
        <w:numPr>
          <w:ilvl w:val="0"/>
          <w:numId w:val="1"/>
        </w:numPr>
        <w:spacing w:after="60"/>
      </w:pPr>
      <w:r>
        <w:t xml:space="preserve">Directed hybrid-cloud cost optimization, establishing transparent financial governance through bespoke dashboarding accelerators.</w:t>
      </w:r>
    </w:p>
    <w:p>
      <w:pPr>
        <w:pStyle w:val="ListParagraph"/>
        <w:numPr>
          <w:ilvl w:val="0"/>
          <w:numId w:val="1"/>
        </w:numPr>
        <w:spacing w:after="60"/>
      </w:pPr>
      <w:r>
        <w:t xml:space="preserve">Orchestrated cross-regional collaboration across US, Europe, and APAC to ensure delivery excellence in modernization engagements.</w:t>
      </w:r>
    </w:p>
    <w:p>
      <w:pPr>
        <w:spacing w:before="120"/>
      </w:pPr>
      <w:r>
        <w:rPr>
          <w:b/>
          <w:bCs/>
          <w:sz w:val="22"/>
          <w:szCs w:val="22"/>
          <w:rFonts w:ascii="Calibri" w:cs="Calibri" w:eastAsia="Calibri" w:hAnsi="Calibri"/>
        </w:rPr>
        <w:t xml:space="preserve">Company: Kyndryl Solutions Pvt. Ltd. — Associate Director (Sep 2021 – Aug 2024)</w:t>
      </w:r>
    </w:p>
    <w:p>
      <w:pPr>
        <w:pStyle w:val="ListParagraph"/>
        <w:numPr>
          <w:ilvl w:val="0"/>
          <w:numId w:val="1"/>
        </w:numPr>
        <w:spacing w:after="60"/>
      </w:pPr>
      <w:r>
        <w:t xml:space="preserve">Spearheaded global mission-critical infrastructure delivery, focusing on high-availability data center operations and capacity management for complex portfolios.</w:t>
      </w:r>
    </w:p>
    <w:p>
      <w:pPr>
        <w:pStyle w:val="ListParagraph"/>
        <w:numPr>
          <w:ilvl w:val="0"/>
          <w:numId w:val="1"/>
        </w:numPr>
        <w:spacing w:after="60"/>
      </w:pPr>
      <w:r>
        <w:t xml:space="preserve">Led a multi-million dollar vendor displacement program, successfully insourcing core infrastructure services to increase agility.</w:t>
      </w:r>
    </w:p>
    <w:p>
      <w:pPr>
        <w:pStyle w:val="ListParagraph"/>
        <w:numPr>
          <w:ilvl w:val="0"/>
          <w:numId w:val="1"/>
        </w:numPr>
        <w:spacing w:after="60"/>
      </w:pPr>
      <w:r>
        <w:t xml:space="preserve">Championed AWS migration strategies and integrated agentic AI systems to facilitate autonomous AIOps responses.</w:t>
      </w:r>
    </w:p>
    <w:p>
      <w:pPr>
        <w:pStyle w:val="ListParagraph"/>
        <w:numPr>
          <w:ilvl w:val="0"/>
          <w:numId w:val="1"/>
        </w:numPr>
        <w:spacing w:after="60"/>
      </w:pPr>
      <w:r>
        <w:t xml:space="preserve">Exercised full accountability for the performance and availability of 100,000+ physical IT assets.</w:t>
      </w:r>
    </w:p>
    <w:p>
      <w:pPr>
        <w:spacing w:before="120"/>
      </w:pPr>
      <w:r>
        <w:rPr>
          <w:b/>
          <w:bCs/>
          <w:sz w:val="22"/>
          <w:szCs w:val="22"/>
          <w:rFonts w:ascii="Calibri" w:cs="Calibri" w:eastAsia="Calibri" w:hAnsi="Calibri"/>
        </w:rPr>
        <w:t xml:space="preserve">Company: IBM India Pvt. Ltd. — Global Process Owner (Jan 2014 – Aug 2021)</w:t>
      </w:r>
    </w:p>
    <w:p>
      <w:pPr>
        <w:pStyle w:val="ListParagraph"/>
        <w:numPr>
          <w:ilvl w:val="0"/>
          <w:numId w:val="1"/>
        </w:numPr>
        <w:spacing w:after="60"/>
      </w:pPr>
      <w:r>
        <w:t xml:space="preserve">Managed complex OPEX budgets, securing annual savings through rigorous process re-engineering and license optimization.</w:t>
      </w:r>
    </w:p>
    <w:p>
      <w:pPr>
        <w:pStyle w:val="ListParagraph"/>
        <w:numPr>
          <w:ilvl w:val="0"/>
          <w:numId w:val="1"/>
        </w:numPr>
        <w:spacing w:after="60"/>
      </w:pPr>
      <w:r>
        <w:t xml:space="preserve">Provided executive delivery leadership for global service engagements, ensuring operational consistency for major banking clients.</w:t>
      </w:r>
    </w:p>
    <w:p>
      <w:pPr>
        <w:pStyle w:val="ListParagraph"/>
        <w:numPr>
          <w:ilvl w:val="0"/>
          <w:numId w:val="1"/>
        </w:numPr>
        <w:spacing w:after="60"/>
      </w:pPr>
      <w:r>
        <w:t xml:space="preserve">Scaled a global Capacity Management Center of Excellence from 10 to 250 personnel across five countries.</w:t>
      </w:r>
    </w:p>
    <w:p>
      <w:pPr>
        <w:pStyle w:val="ListParagraph"/>
        <w:numPr>
          <w:ilvl w:val="0"/>
          <w:numId w:val="1"/>
        </w:numPr>
        <w:spacing w:after="60"/>
      </w:pPr>
      <w:r>
        <w:t xml:space="preserve">Modernized legacy contact center ecosystems by embedding data-driven insights to minimize response latency.</w:t>
      </w:r>
    </w:p>
    <w:p>
      <w:pPr>
        <w:spacing w:before="120"/>
      </w:pPr>
      <w:r>
        <w:rPr>
          <w:b/>
          <w:bCs/>
          <w:sz w:val="22"/>
          <w:szCs w:val="22"/>
          <w:rFonts w:ascii="Calibri" w:cs="Calibri" w:eastAsia="Calibri" w:hAnsi="Calibri"/>
        </w:rPr>
        <w:t xml:space="preserve">Company: Wipro Technologies — Senior Consultant (Jun 2010 – Nov 2013)</w:t>
      </w:r>
    </w:p>
    <w:p>
      <w:pPr>
        <w:pStyle w:val="ListParagraph"/>
        <w:numPr>
          <w:ilvl w:val="0"/>
          <w:numId w:val="1"/>
        </w:numPr>
        <w:spacing w:after="60"/>
      </w:pPr>
      <w:r>
        <w:t xml:space="preserve">Delivered consulting engagements focused on automation and service governance for global financial services and telecom institutions.</w:t>
      </w:r>
    </w:p>
    <w:p>
      <w:pPr>
        <w:pStyle w:val="ListParagraph"/>
        <w:numPr>
          <w:ilvl w:val="0"/>
          <w:numId w:val="1"/>
        </w:numPr>
        <w:spacing w:after="60"/>
      </w:pPr>
      <w:r>
        <w:t xml:space="preserve">Standardized end-to-end Change Management processes, chairing CAB and driving robust risk-mitigation protocols.</w:t>
      </w:r>
    </w:p>
    <w:p>
      <w:pPr>
        <w:pStyle w:val="ListParagraph"/>
        <w:numPr>
          <w:ilvl w:val="0"/>
          <w:numId w:val="1"/>
        </w:numPr>
        <w:spacing w:after="60"/>
      </w:pPr>
      <w:r>
        <w:t xml:space="preserve">Conducted comprehensive ITIL maturity assessments to enhance organizational compliance and process efficiency.</w:t>
      </w:r>
    </w:p>
    <w:p>
      <w:pPr>
        <w:spacing w:before="120"/>
      </w:pPr>
      <w:r>
        <w:rPr>
          <w:b/>
          <w:bCs/>
          <w:sz w:val="22"/>
          <w:szCs w:val="22"/>
          <w:rFonts w:ascii="Calibri" w:cs="Calibri" w:eastAsia="Calibri" w:hAnsi="Calibri"/>
        </w:rPr>
        <w:t xml:space="preserve">Company: Tech Mahindra Ltd. — Senior Technical Associate (Oct 2006 – May 2010)</w:t>
      </w:r>
    </w:p>
    <w:p>
      <w:pPr>
        <w:pStyle w:val="ListParagraph"/>
        <w:numPr>
          <w:ilvl w:val="0"/>
          <w:numId w:val="1"/>
        </w:numPr>
        <w:spacing w:after="60"/>
      </w:pPr>
      <w:r>
        <w:t xml:space="preserve">Deployed enterprise-grade monitoring and infrastructure management toolsets for international clients.</w:t>
      </w:r>
    </w:p>
    <w:p>
      <w:pPr>
        <w:pStyle w:val="ListParagraph"/>
        <w:numPr>
          <w:ilvl w:val="0"/>
          <w:numId w:val="1"/>
        </w:numPr>
        <w:spacing w:after="60"/>
      </w:pPr>
      <w:r>
        <w:t xml:space="preserve">Directed release management cycles for high-traffic telecom platforms, ensuring zero-disruption deployments.</w:t>
      </w:r>
    </w:p>
    <w:p>
      <w:pPr>
        <w:pStyle w:val="ListParagraph"/>
        <w:numPr>
          <w:ilvl w:val="0"/>
          <w:numId w:val="1"/>
        </w:numPr>
        <w:spacing w:after="60"/>
      </w:pPr>
      <w:r>
        <w:t xml:space="preserve">Oversaw infrastructure support for mission-critical healthcare systems, prioritizing stability and rapid incident resolution.</w:t>
      </w:r>
    </w:p>
    <w:p>
      <w:pPr>
        <w:spacing w:before="120"/>
      </w:pPr>
      <w:r>
        <w:rPr>
          <w:b/>
          <w:bCs/>
          <w:sz w:val="22"/>
          <w:szCs w:val="22"/>
          <w:rFonts w:ascii="Calibri" w:cs="Calibri" w:eastAsia="Calibri" w:hAnsi="Calibri"/>
        </w:rPr>
        <w:t xml:space="preserve">Company: Mainstay Teleservices — Sr. 2nd Line Specialist (Mar 2003 – Oct 2006)</w:t>
      </w:r>
    </w:p>
    <w:p>
      <w:pPr>
        <w:pStyle w:val="ListParagraph"/>
        <w:numPr>
          <w:ilvl w:val="0"/>
          <w:numId w:val="1"/>
        </w:numPr>
        <w:spacing w:after="60"/>
      </w:pPr>
      <w:r>
        <w:t xml:space="preserve">Managed high-priority escalations and technical troubleshooting for distributed telecom infrastructure.</w:t>
      </w:r>
    </w:p>
    <w:p>
      <w:pPr>
        <w:pStyle w:val="ListParagraph"/>
        <w:numPr>
          <w:ilvl w:val="0"/>
          <w:numId w:val="1"/>
        </w:numPr>
        <w:spacing w:after="60"/>
      </w:pPr>
      <w:r>
        <w:t xml:space="preserve">Formalized organizational knowledge through development of Standard Operating Procedures (SOPs) for tiered engineering teams.</w:t>
      </w:r>
    </w:p>
    <w:p>
      <w:pPr>
        <w:spacing w:before="200" w:after="100"/>
      </w:pPr>
      <w:r>
        <w:rPr>
          <w:b/>
          <w:bCs/>
          <w:sz w:val="26"/>
          <w:szCs w:val="26"/>
          <w:caps/>
          <w:rFonts w:ascii="Calibri" w:cs="Calibri" w:eastAsia="Calibri" w:hAnsi="Calibri"/>
        </w:rPr>
        <w:t xml:space="preserve">TECHNICAL LEADERSHIP SKILLS</w:t>
      </w:r>
    </w:p>
    <w:p>
      <w:r>
        <w:rPr>
          <w:sz w:val="22"/>
          <w:szCs w:val="22"/>
          <w:rFonts w:ascii="Calibri" w:cs="Calibri" w:eastAsia="Calibri" w:hAnsi="Calibri"/>
        </w:rPr>
        <w:t xml:space="preserve">Cloud &amp; Data Architecture: Azure, AWS, GCP, Distributed Systems, Spark, Kafka, NoSQL (HBase, MongoDB)</w:t>
      </w:r>
    </w:p>
    <w:p>
      <w:r>
        <w:rPr>
          <w:sz w:val="22"/>
          <w:szCs w:val="22"/>
          <w:rFonts w:ascii="Calibri" w:cs="Calibri" w:eastAsia="Calibri" w:hAnsi="Calibri"/>
        </w:rPr>
        <w:t xml:space="preserve">Cloud FinOps: CoreStack, Flexera, Hybrid-Cloud Budget Optimization</w:t>
      </w:r>
    </w:p>
    <w:p>
      <w:r>
        <w:rPr>
          <w:sz w:val="22"/>
          <w:szCs w:val="22"/>
          <w:rFonts w:ascii="Calibri" w:cs="Calibri" w:eastAsia="Calibri" w:hAnsi="Calibri"/>
        </w:rPr>
        <w:t xml:space="preserve">Enterprise Monitoring: Datadog, New Relic, Prometheus, ScienceLogic</w:t>
      </w:r>
    </w:p>
    <w:p>
      <w:r>
        <w:rPr>
          <w:sz w:val="22"/>
          <w:szCs w:val="22"/>
          <w:rFonts w:ascii="Calibri" w:cs="Calibri" w:eastAsia="Calibri" w:hAnsi="Calibri"/>
        </w:rPr>
        <w:t xml:space="preserve">ITSM &amp; Governance: ServiceNow, Jira, ITIL, COBIT</w:t>
      </w:r>
    </w:p>
    <w:p>
      <w:r>
        <w:rPr>
          <w:sz w:val="22"/>
          <w:szCs w:val="22"/>
          <w:rFonts w:ascii="Calibri" w:cs="Calibri" w:eastAsia="Calibri" w:hAnsi="Calibri"/>
        </w:rPr>
        <w:t xml:space="preserve">AI &amp; Automation: AIOps, GenAI Integration, Python/Scala</w:t>
      </w:r>
    </w:p>
    <w:p>
      <w:pPr>
        <w:spacing w:before="200" w:after="100"/>
      </w:pPr>
      <w:r>
        <w:rPr>
          <w:b/>
          <w:bCs/>
          <w:sz w:val="26"/>
          <w:szCs w:val="26"/>
          <w:caps/>
          <w:rFonts w:ascii="Calibri" w:cs="Calibri" w:eastAsia="Calibri" w:hAnsi="Calibri"/>
        </w:rPr>
        <w:t xml:space="preserve">CERTIFICATIONS</w:t>
      </w:r>
    </w:p>
    <w:p>
      <w:pPr>
        <w:pStyle w:val="ListParagraph"/>
        <w:numPr>
          <w:ilvl w:val="0"/>
          <w:numId w:val="1"/>
        </w:numPr>
        <w:spacing w:after="60"/>
      </w:pPr>
      <w:r>
        <w:t xml:space="preserve">Microsoft Azure Solutions Architect Expert, AWS Certified Cloud Practitioner, FinOps Certified Practitioner, Google Digital Leader, ITIL v3, COBIT 4.1</w:t>
      </w:r>
    </w:p>
    <w:p>
      <w:pPr>
        <w:spacing w:before="200" w:after="100"/>
      </w:pPr>
      <w:r>
        <w:rPr>
          <w:b/>
          <w:bCs/>
          <w:sz w:val="26"/>
          <w:szCs w:val="26"/>
          <w:caps/>
          <w:rFonts w:ascii="Calibri" w:cs="Calibri" w:eastAsia="Calibri" w:hAnsi="Calibri"/>
        </w:rPr>
        <w:t xml:space="preserve">EDUCATION</w:t>
      </w:r>
    </w:p>
    <w:p>
      <w:pPr>
        <w:pStyle w:val="ListParagraph"/>
        <w:numPr>
          <w:ilvl w:val="0"/>
          <w:numId w:val="1"/>
        </w:numPr>
        <w:spacing w:after="60"/>
      </w:pPr>
      <w:r>
        <w:t xml:space="preserve">Post Graduate Programme in Project Management – IIT Roorkee, 2025</w:t>
      </w:r>
    </w:p>
    <w:p>
      <w:pPr>
        <w:pStyle w:val="ListParagraph"/>
        <w:numPr>
          <w:ilvl w:val="0"/>
          <w:numId w:val="1"/>
        </w:numPr>
        <w:spacing w:after="60"/>
      </w:pPr>
      <w:r>
        <w:t xml:space="preserve">Master’s in Information Technology – Manipal Academy of Higher Education, 2002</w:t>
      </w:r>
    </w:p>
    <w:p>
      <w:pPr>
        <w:pStyle w:val="ListParagraph"/>
        <w:numPr>
          <w:ilvl w:val="0"/>
          <w:numId w:val="1"/>
        </w:numPr>
        <w:spacing w:after="60"/>
      </w:pPr>
      <w:r>
        <w:t xml:space="preserve">Bachelor of Science – Anugrah Narayan College, Patna University, 1999</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2026-05-29T11:31:54.462Z</dcterms:created>
  <dcterms:modified xsi:type="dcterms:W3CDTF">2026-05-29T11:31:54.463Z</dcterms:modified>
</cp:coreProperties>
</file>

<file path=docProps/custom.xml><?xml version="1.0" encoding="utf-8"?>
<Properties xmlns="http://schemas.openxmlformats.org/officeDocument/2006/custom-properties" xmlns:vt="http://schemas.openxmlformats.org/officeDocument/2006/docPropsVTypes"/>
</file>