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Accomplished technology executive with extensive experience driving enterprise data strategy, platform modernization, and operational excellence within highly regulated financial environments. Expert in orchestrating end-to-end data governance, metadata management, and quality frameworks that bridge technical architecture with strategic business outcomes. Proven track record of navigating complex cross-functional ecosystems to deliver reliable, AI-ready data products. Adept at managing risk, compliance, and lifecycle requirements at scale to power advanced analytics and decisioning. I am prepared to drive data excellence and strategic innovation as a Data Owner Lead at JPMorgan Chase.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Enterprise Data Strategy, Data Governance &amp; Regulatory Compliance, Product Lifecycle Management, Large-Scale Program Delivery, Stakeholder Influence, Risk Mitigation, Operational Excellence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enterprise-grade data governance frameworks for BFSI clients to ensure regulatory compliance and operational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systemic quality controls to mitigate data risks and drive consistency across complex, fragmented enterprise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FinOps initiatives to optimize multi-million dollar cloud expenditures through predictive cost modeling and resource utilization dashboards.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global technology service delivery for mission-critical infrastructure, aligning platform capacity with enterprise business objectives.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Executed a large-scale vendor displacement and insourcing program, enhancing operational control and organizational agility.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Orchestrated Cloud and AIOps enablement, automating incident responses and improving platform reliability for 100,000+ infrastructure assets.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multi-million dollar global OPEX budgets, achieving financial targets through automation and software license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leadership for global financial service engagements, ensuring strict adherence to evolving data and regulatory requirements.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Capacity Management Center of Excellence from 10 to 250 members, standardizing global frameworks for end-to-end planning.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automation strategies for telecommunications and BFSI sector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Problem and Change Management governance, chaired the CAB, and enforced risk-controlled release cycles.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diagnostic assessments to implement optimized governance frameworks, enhancing operational compliance.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enterprise monitoring toolsets, establishing visibility and performance benchmarks across healthcare and telecommunication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release deployments, mitigating service disruptions for critical stakeholder environments.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high-impact escalations for mission-critical systems, executing root cause analysis to reduce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Mentored technical teams and formalized standard operating procedures to ensure consistent, high-availability service delivery.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Data Governance: Metadata Management, Data Lifecycle Governance, Compliance Frameworks, Quality Validation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FinOps: Hybrid-Cloud Optimization, Cost Dashboarding, Capacity Modeling</w:t>
      </w:r>
    </w:p>
    <w:p>
      <w:r>
        <w:rPr>
          <w:sz w:val="22"/>
          <w:szCs w:val="22"/>
          <w:rFonts w:ascii="Calibri" w:cs="Calibri" w:eastAsia="Calibri" w:hAnsi="Calibri"/>
        </w:rPr>
        <w:t xml:space="preserve">Monitoring &amp; ITSM: ServiceNow, AIOps, Enterprise Monitoring, ITIL Frameworks</w:t>
      </w:r>
    </w:p>
    <w:p>
      <w:r>
        <w:rPr>
          <w:sz w:val="22"/>
          <w:szCs w:val="22"/>
          <w:rFonts w:ascii="Calibri" w:cs="Calibri" w:eastAsia="Calibri" w:hAnsi="Calibri"/>
        </w:rPr>
        <w:t xml:space="preserve">BI &amp; Analysis: KPI Governance, Performance Metrics, Analytical Reporting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 / 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2026-05-22T02:46:37.298Z</dcterms:created>
  <dcterms:modified xsi:type="dcterms:W3CDTF">2026-05-22T02:46:37.298Z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