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leader with two decades of experience driving operational excellence and large-scale platform modernization within highly regulated BFSI and enterprise sectors. Expert in orchestrating the AI lifecycle, bridging complex engineering requirements with strategic business outcomes through rigorous governance and scalable architecture. Proven track record in managing global, cross-functional teams to deliver mission-critical systems while maintaining stringent risk management and regulatory compliance. Adept at transforming fragmented operational processes into AI-powered, high-availability environments. Ideally positioned to accelerate the Investor Operations AI agenda as a Central AI Operations Assistant Vice President at Citi.</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AI Operations (AIOps), Investor Operations, Model Risk Management (MRM), Enterprise Platform Strategy, Cross-Functional Technical Leadership, Regulatory Compliance, Operational Scaling.</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Architected enterprise automation frameworks using machine learning to drive a 60% reduction in service failure rates.</w:t>
      </w:r>
    </w:p>
    <w:p>
      <w:pPr>
        <w:pStyle w:val="ListParagraph"/>
        <w:numPr>
          <w:ilvl w:val="0"/>
          <w:numId w:val="1"/>
        </w:numPr>
        <w:spacing w:after="60"/>
      </w:pPr>
      <w:r>
        <w:t xml:space="preserve">Directed AI-driven dashboard integration and FinOps accelerators to optimize multi-cloud budgetary governance.</w:t>
      </w:r>
    </w:p>
    <w:p>
      <w:pPr>
        <w:pStyle w:val="ListParagraph"/>
        <w:numPr>
          <w:ilvl w:val="0"/>
          <w:numId w:val="1"/>
        </w:numPr>
        <w:spacing w:after="60"/>
      </w:pPr>
      <w:r>
        <w:t xml:space="preserve">Spearheaded strategic modernization roadmaps to align IT service management with NIST and ITIL security standards.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a $30M+ vendor displacement program, restructuring global infrastructure delivery through strategic insourcing.</w:t>
      </w:r>
    </w:p>
    <w:p>
      <w:pPr>
        <w:pStyle w:val="ListParagraph"/>
        <w:numPr>
          <w:ilvl w:val="0"/>
          <w:numId w:val="1"/>
        </w:numPr>
        <w:spacing w:after="60"/>
      </w:pPr>
      <w:r>
        <w:t xml:space="preserve">Deployed Agentic AI systems for automated incident response and proactive performance monitoring across data center portfolios.</w:t>
      </w:r>
    </w:p>
    <w:p>
      <w:pPr>
        <w:pStyle w:val="ListParagraph"/>
        <w:numPr>
          <w:ilvl w:val="0"/>
          <w:numId w:val="1"/>
        </w:numPr>
        <w:spacing w:after="60"/>
      </w:pPr>
      <w:r>
        <w:t xml:space="preserve">Oversaw operational integrity and capacity management for 100,000+ assets, standardizing DevOps-led reliability frameworks.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OPEX, realizing $8M in value through license optimization and end-to-end automation of service engagements.</w:t>
      </w:r>
    </w:p>
    <w:p>
      <w:pPr>
        <w:pStyle w:val="ListParagraph"/>
        <w:numPr>
          <w:ilvl w:val="0"/>
          <w:numId w:val="1"/>
        </w:numPr>
        <w:spacing w:after="60"/>
      </w:pPr>
      <w:r>
        <w:t xml:space="preserve">Scaled a global Capacity Management Center of Excellence from 10 to 250 personnel across five countries.</w:t>
      </w:r>
    </w:p>
    <w:p>
      <w:pPr>
        <w:pStyle w:val="ListParagraph"/>
        <w:numPr>
          <w:ilvl w:val="0"/>
          <w:numId w:val="1"/>
        </w:numPr>
        <w:spacing w:after="60"/>
      </w:pPr>
      <w:r>
        <w:t xml:space="preserve">Integrated predictive intelligence into contact center operations to optimize response cycles and operational efficiency.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automation strategies and ITIL-aligned governance frameworks for global BFSI clients.</w:t>
      </w:r>
    </w:p>
    <w:p>
      <w:pPr>
        <w:pStyle w:val="ListParagraph"/>
        <w:numPr>
          <w:ilvl w:val="0"/>
          <w:numId w:val="1"/>
        </w:numPr>
        <w:spacing w:after="60"/>
      </w:pPr>
      <w:r>
        <w:t xml:space="preserve">Chaired Change Advisory Boards to enforce risk-controlled deployment of infrastructure updates and software releases.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AI &amp; Data Science: LLM Architecture, NLP, Predictive Modeling, IDP, Data Pipelines, Feature Engineering.</w:t>
      </w:r>
    </w:p>
    <w:p>
      <w:r>
        <w:rPr>
          <w:sz w:val="22"/>
          <w:szCs w:val="22"/>
          <w:rFonts w:ascii="Calibri" w:cs="Calibri" w:eastAsia="Calibri" w:hAnsi="Calibri"/>
        </w:rPr>
        <w:t xml:space="preserve">Cloud &amp; Engineering: Azure, AWS, CI/CD, API Orchestration, Python, Distributed System Observability.</w:t>
      </w:r>
    </w:p>
    <w:p>
      <w:r>
        <w:rPr>
          <w:sz w:val="22"/>
          <w:szCs w:val="22"/>
          <w:rFonts w:ascii="Calibri" w:cs="Calibri" w:eastAsia="Calibri" w:hAnsi="Calibri"/>
        </w:rPr>
        <w:t xml:space="preserve">Monitoring &amp; Governance: ServiceNow, Datadog, Prometheus, ScienceLogic, MRM, Regulatory Risk Control.</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AWS Certified Cloud Practitioner, FinOps Certified Practitioner, Google Digital Leader, ITIL v3,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2026-07-07T06:55:32.570Z</dcterms:created>
  <dcterms:modified xsi:type="dcterms:W3CDTF">2026-07-07T06:55:32.570Z</dcterms:modified>
</cp:coreProperties>
</file>

<file path=docProps/custom.xml><?xml version="1.0" encoding="utf-8"?>
<Properties xmlns="http://schemas.openxmlformats.org/officeDocument/2006/custom-properties" xmlns:vt="http://schemas.openxmlformats.org/officeDocument/2006/docPropsVTypes"/>
</file>