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Seasoned technology executive with over 21 years of experience in enterprise architecture, global IT strategy, and large-scale digital modernization. Proven ability to bridge complex infrastructure requirements with business outcomes in highly regulated environments. Expert in establishing architectural governance, managing multi-million dollar portfolios, and scaling IT capabilities through AI-driven automation and robust cloud frameworks. Skilled at fostering cross-functional alignment across international hubs to ensure IT investments directly drive corporate growth and operational resilience. Positioned to leverage deep expertise in enterprise architecture and strategic leadership to drive innovation and technical excellence as the Director of Enterprise Architecture at Novartis.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Enterprise Architecture Strategy | Technology Governance | Stakeholder Management | Business Process Optimization | Program Leadership | Global Delivery Management | Capacity Planning | Digital Transformation | Compliance &amp; Regulatory Alignment | Service Reliability Engineering | FinOps Governance</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Architected enterprise-wide assessment frameworks for healthcare and financial sectors to ensure NIST and ITIL compliance.</w:t>
      </w:r>
    </w:p>
    <w:p>
      <w:pPr>
        <w:pStyle w:val="ListParagraph"/>
        <w:numPr>
          <w:ilvl w:val="0"/>
          <w:numId w:val="1"/>
        </w:numPr>
        <w:spacing w:after="60"/>
      </w:pPr>
      <w:r>
        <w:t xml:space="preserve">Designed AI-integrated automation workflows to drive system stability and reduce recurring technical debt.</w:t>
      </w:r>
    </w:p>
    <w:p>
      <w:pPr>
        <w:pStyle w:val="ListParagraph"/>
        <w:numPr>
          <w:ilvl w:val="0"/>
          <w:numId w:val="1"/>
        </w:numPr>
        <w:spacing w:after="60"/>
      </w:pPr>
      <w:r>
        <w:t xml:space="preserve">Established hybrid-cloud FinOps governance to optimize enterprise-wide technology spend and improve cost transparency.</w:t>
      </w:r>
    </w:p>
    <w:p>
      <w:pPr>
        <w:pStyle w:val="ListParagraph"/>
        <w:numPr>
          <w:ilvl w:val="0"/>
          <w:numId w:val="1"/>
        </w:numPr>
        <w:spacing w:after="60"/>
      </w:pPr>
      <w:r>
        <w:t xml:space="preserve">Orchestrated alignment between international business units and global engineering teams to execute scalable platform roadmaps.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Defined architectural standards for mission-critical global data center operations to ensure high availability.</w:t>
      </w:r>
    </w:p>
    <w:p>
      <w:pPr>
        <w:pStyle w:val="ListParagraph"/>
        <w:numPr>
          <w:ilvl w:val="0"/>
          <w:numId w:val="1"/>
        </w:numPr>
        <w:spacing w:after="60"/>
      </w:pPr>
      <w:r>
        <w:t xml:space="preserve">Executed large-scale vendor displacement initiatives, transitioning services to proprietary platforms to enhance agility.</w:t>
      </w:r>
    </w:p>
    <w:p>
      <w:pPr>
        <w:pStyle w:val="ListParagraph"/>
        <w:numPr>
          <w:ilvl w:val="0"/>
          <w:numId w:val="1"/>
        </w:numPr>
        <w:spacing w:after="60"/>
      </w:pPr>
      <w:r>
        <w:t xml:space="preserve">Spearheaded the integration of Agentic AI-driven AIOps and DevOps, enabling autonomous system self-healing and performance tuning.</w:t>
      </w:r>
    </w:p>
    <w:p>
      <w:pPr>
        <w:pStyle w:val="ListParagraph"/>
        <w:numPr>
          <w:ilvl w:val="0"/>
          <w:numId w:val="1"/>
        </w:numPr>
        <w:spacing w:after="60"/>
      </w:pPr>
      <w:r>
        <w:t xml:space="preserve">Directed oversight for over 100,000 IT assets, ensuring robust capacity planning and alignment with long-term infrastructure objectives.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Directed a $25M OPEX budget, achieving significant cost reductions through license optimization and vendor rationalization.</w:t>
      </w:r>
    </w:p>
    <w:p>
      <w:pPr>
        <w:pStyle w:val="ListParagraph"/>
        <w:numPr>
          <w:ilvl w:val="0"/>
          <w:numId w:val="1"/>
        </w:numPr>
        <w:spacing w:after="60"/>
      </w:pPr>
      <w:r>
        <w:t xml:space="preserve">Scaled a global Capacity Management Center of Excellence from 10 to 250 practitioners across five international hubs.</w:t>
      </w:r>
    </w:p>
    <w:p>
      <w:pPr>
        <w:pStyle w:val="ListParagraph"/>
        <w:numPr>
          <w:ilvl w:val="0"/>
          <w:numId w:val="1"/>
        </w:numPr>
        <w:spacing w:after="60"/>
      </w:pPr>
      <w:r>
        <w:t xml:space="preserve">Standardized ITIL-based governance frameworks to ensure consistent delivery excellence across complex global engagements.</w:t>
      </w:r>
    </w:p>
    <w:p>
      <w:pPr>
        <w:pStyle w:val="ListParagraph"/>
        <w:numPr>
          <w:ilvl w:val="0"/>
          <w:numId w:val="1"/>
        </w:numPr>
        <w:spacing w:after="60"/>
      </w:pPr>
      <w:r>
        <w:t xml:space="preserve">Modernized customer-facing operations by integrating predictive AI analytics into service response architectures.</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Optimized ITSM strategies for telecom and banking clients to improve delivery throughput and service reliability.</w:t>
      </w:r>
    </w:p>
    <w:p>
      <w:pPr>
        <w:pStyle w:val="ListParagraph"/>
        <w:numPr>
          <w:ilvl w:val="0"/>
          <w:numId w:val="1"/>
        </w:numPr>
        <w:spacing w:after="60"/>
      </w:pPr>
      <w:r>
        <w:t xml:space="preserve">Chaired Change Advisory Boards (CAB) and enforced rigorous, risk-controlled release protocols for global platforms.</w:t>
      </w:r>
    </w:p>
    <w:p>
      <w:pPr>
        <w:pStyle w:val="ListParagraph"/>
        <w:numPr>
          <w:ilvl w:val="0"/>
          <w:numId w:val="1"/>
        </w:numPr>
        <w:spacing w:after="60"/>
      </w:pPr>
      <w:r>
        <w:t xml:space="preserve">Conducted structural technology assessments, implementing custom frameworks to ensure regulatory and operational efficiency.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Architected enterprise monitoring solutions to maximize infrastructure visibility and real-time observability.</w:t>
      </w:r>
    </w:p>
    <w:p>
      <w:pPr>
        <w:pStyle w:val="ListParagraph"/>
        <w:numPr>
          <w:ilvl w:val="0"/>
          <w:numId w:val="1"/>
        </w:numPr>
        <w:spacing w:after="60"/>
      </w:pPr>
      <w:r>
        <w:t xml:space="preserve">Directed release management for mission-critical healthcare systems, maintaining uptime and operational integrity.</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Managed complex technical escalations and root-cause analysis for mission-critical infrastructure.</w:t>
      </w:r>
    </w:p>
    <w:p>
      <w:pPr>
        <w:pStyle w:val="ListParagraph"/>
        <w:numPr>
          <w:ilvl w:val="0"/>
          <w:numId w:val="1"/>
        </w:numPr>
        <w:spacing w:after="60"/>
      </w:pPr>
      <w:r>
        <w:t xml:space="preserve">Standardized SOP documentation and mentored engineering staff on technical best practices.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Architecture Frameworks: TOGAF, ArchiMate, ITIL, COBIT, NIST</w:t>
      </w:r>
    </w:p>
    <w:p>
      <w:r>
        <w:rPr>
          <w:sz w:val="22"/>
          <w:szCs w:val="22"/>
          <w:rFonts w:ascii="Calibri" w:cs="Calibri" w:eastAsia="Calibri" w:hAnsi="Calibri"/>
        </w:rPr>
        <w:t xml:space="preserve">Cloud &amp; FinOps: Azure, AWS, GCP, CoreStack, Flexera, Hybrid-Cloud Optimization</w:t>
      </w:r>
    </w:p>
    <w:p>
      <w:r>
        <w:rPr>
          <w:sz w:val="22"/>
          <w:szCs w:val="22"/>
          <w:rFonts w:ascii="Calibri" w:cs="Calibri" w:eastAsia="Calibri" w:hAnsi="Calibri"/>
        </w:rPr>
        <w:t xml:space="preserve">Automation &amp; Engineering: Python, Shell, API-driven workflows, CI/CD pipelines, GitHub Actions</w:t>
      </w:r>
    </w:p>
    <w:p>
      <w:r>
        <w:rPr>
          <w:sz w:val="22"/>
          <w:szCs w:val="22"/>
          <w:rFonts w:ascii="Calibri" w:cs="Calibri" w:eastAsia="Calibri" w:hAnsi="Calibri"/>
        </w:rPr>
        <w:t xml:space="preserve">Observability &amp; Monitoring: Datadog, New Relic, Prometheus, Tanzu, ScienceLogic</w:t>
      </w:r>
    </w:p>
    <w:p>
      <w:r>
        <w:rPr>
          <w:sz w:val="22"/>
          <w:szCs w:val="22"/>
          <w:rFonts w:ascii="Calibri" w:cs="Calibri" w:eastAsia="Calibri" w:hAnsi="Calibri"/>
        </w:rPr>
        <w:t xml:space="preserve">Enterprise Tooling: ServiceNow, Jira Service Management, Power BI, MS Visio, Ansible</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2026-07-06T18:15:27.109Z</dcterms:created>
  <dcterms:modified xsi:type="dcterms:W3CDTF">2026-07-06T18:15:27.109Z</dcterms:modified>
</cp:coreProperties>
</file>

<file path=docProps/custom.xml><?xml version="1.0" encoding="utf-8"?>
<Properties xmlns="http://schemas.openxmlformats.org/officeDocument/2006/custom-properties" xmlns:vt="http://schemas.openxmlformats.org/officeDocument/2006/docPropsVTypes"/>
</file>