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Visionary IT executive offering 21 years of global P&amp;L leadership, specializing in end-to-end enterprise delivery, strategic transformation, and operational optimization for multi-million-dollar client portfolios. Expertise in establishing rigorous program governance (SteerCo, WSR) and managing 150+ globally distributed, cross-functional teams across complex onshore-offshore models. Accountable for portfolio financial health, driving significant OPEX reduction, margin improvement, and proactive risk mitigation strategies using advanced technologies like Cloud, AI/ML, and FinOps. Deep experience serving as the senior client liaison (VP/CXO level) to translate complex business challenges into actionable, high-impact delivery strategies. Seeking to drive next-generation delivery excellence and client success as Director - Delivery Management at EPAM Systems.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Global Program Delivery Leadership | Client Portfolio Financial Health &amp; P&amp;L | Senior Stakeholder Engagement (CXO/VP) | Large-Scale Distributed Team Management | Enterprise Platform Transformation | AI Strategy &amp; Operational Automation | Program Governance &amp; Risk Mitigation | Delivery Model Optimization | Talent Development &amp; Mentorship | Service &amp; Operational Excellence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strategic advisory for enterprise BFSI clients, ensuring ITIL/ITSM framework alignment for end-to-end service delivery and operational maturity across large engagements.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 AI-driven automation framework that proactively reduced operational failures by 60%, significantly enhancing service reliability and continuity.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FinOps initiatives, developing hybrid-cloud cost dashboards and accelerators, achieving proactive budget optimization and substantial OPEX reduction.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Cultivated senior-level client relationships across global markets (US, LatAm, Europe, APAC), shaping platform modernization strategies and multi-year delivery roadmaps.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service delivery for critical data center and infrastructure portfolios, directly accountable for operational KPIs, capacity, and high availability targets.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successful $30M+ vendor displacement program, insourcing critical infrastructure services that resulted in enhanced agility and significant cost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enterprise Cloud &amp; DevOps enablement (AWS migrations) across the portfolio, integrating agentic AI solutions to drive platform intelligence and automation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operations and lifecycle for over 100,000 physical IT assets, ensuring strict adherence to enterprise SLAs and resilience targets in complex environments.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delivery leadership for complex multi-project engagements ($25M+ annual spend), ensuring consistent outcomes, quality control, and governance across five delivery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Achieved $8M in annual savings (32% OPEX reduction) by leading comprehensive automation, vendor renegotiation, and software license optimization initiatives.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Capacity Management Center of Excellence (CoE), growing the global organizational structure from 10 to 250 members across 5 countries.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ITIL-based capacity management frameworks and modernized contact center operations using AI-driven insights to significantly accelerate service response times.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high-value ITSM consulting and strategic automation roadmaps for major telecom and BFSI clients, improving process maturity across the service lifecycle.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robust Problem and Change Management governance, overseeing risk-controlled changes and critical Root Cause Analysis (RCA) to minimize production impact.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tailored ITIL frameworks, Standard Operating Procedures, and executive performance dashboards, leading to measurable improvements in delivery speed and KPI adherence.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major, high-volume release deployments (British Telecom) and application support (NHS UK), consistently maintaining high service continuity and achieving stringent enterprise SLAs.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 monitoring tools to enhance system observability, resulting in proactive issue identification and rapid resolution across critical platforms.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Handled critical, high-impact escalations for mission-critical telecom systems, significantly reducing system downtime through expert troubleshooting and rapid incident resolution.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Authored Standard Operating Procedure (SOP) documentation and mentored support engineers, building foundational team capabilities for complex issue management.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Enterprise Cloud &amp; Architecture: AWS, Azure, GCP, Microservices, Serverless, Data Modeling</w:t>
      </w:r>
    </w:p>
    <w:p>
      <w:r>
        <w:rPr>
          <w:sz w:val="22"/>
          <w:szCs w:val="22"/>
          <w:rFonts w:ascii="Calibri" w:cs="Calibri" w:eastAsia="Calibri" w:hAnsi="Calibri"/>
        </w:rPr>
        <w:t xml:space="preserve">DevOps &amp; SRE: CI/CD Pipelines, IaC, Ansible, Python, GitHub Actions, Distributed Tracing, Observability (Datadog, ScienceLogic, Grafana)</w:t>
      </w:r>
    </w:p>
    <w:p>
      <w:r>
        <w:rPr>
          <w:sz w:val="22"/>
          <w:szCs w:val="22"/>
          <w:rFonts w:ascii="Calibri" w:cs="Calibri" w:eastAsia="Calibri" w:hAnsi="Calibri"/>
        </w:rPr>
        <w:t xml:space="preserve">Program Governance &amp; ITSM: ITIL/ITSM Frameworks, ServiceNow, Jira, Capacity Management, COBIT</w:t>
      </w:r>
    </w:p>
    <w:p>
      <w:r>
        <w:rPr>
          <w:sz w:val="22"/>
          <w:szCs w:val="22"/>
          <w:rFonts w:ascii="Calibri" w:cs="Calibri" w:eastAsia="Calibri" w:hAnsi="Calibri"/>
        </w:rPr>
        <w:t xml:space="preserve">Financial Management: FinOps, Budget Forecasting, Cost Optimization (CoreStack, ECAM, Flexera)</w:t>
      </w:r>
    </w:p>
    <w:p>
      <w:r>
        <w:rPr>
          <w:sz w:val="22"/>
          <w:szCs w:val="22"/>
          <w:rFonts w:ascii="Calibri" w:cs="Calibri" w:eastAsia="Calibri" w:hAnsi="Calibri"/>
        </w:rPr>
        <w:t xml:space="preserve">Data &amp; Decision Support: Power BI, Tableau, Data Pipeline Automation, Decision Intelligence Metrics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2026-01-19T14:25:46.475Z</dcterms:created>
  <dcterms:modified xsi:type="dcterms:W3CDTF">2026-01-19T14:25:46.476Z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