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ED05" w14:textId="046AC5E0" w:rsidR="007E1952" w:rsidRDefault="007E1952">
      <w:r>
        <w:br w:type="page"/>
      </w:r>
    </w:p>
    <w:p w14:paraId="20D54CCC" w14:textId="77777777" w:rsidR="007E1952" w:rsidRDefault="007E1952" w:rsidP="007E1952">
      <w:pPr>
        <w:pStyle w:val="Heading1"/>
        <w:bidi w:val="0"/>
      </w:pPr>
      <w:bookmarkStart w:id="0" w:name="_Toc6721737"/>
      <w:r>
        <w:lastRenderedPageBreak/>
        <w:t>6. Platform as GUI Client</w:t>
      </w:r>
      <w:bookmarkEnd w:id="0"/>
    </w:p>
    <w:p w14:paraId="31F0009B" w14:textId="77777777" w:rsidR="007E1952" w:rsidRDefault="007E1952" w:rsidP="007E1952">
      <w:r>
        <w:t>In this chapter we will present the usage of the platform from the user perspective. We will explain how to install, run and use the GUI client. As well, we will explain how to prepare input data for processing.</w:t>
      </w:r>
    </w:p>
    <w:p w14:paraId="5F54139F" w14:textId="77777777" w:rsidR="007E1952" w:rsidRDefault="007E1952" w:rsidP="007E1952">
      <w:pPr>
        <w:pStyle w:val="Heading2"/>
        <w:bidi w:val="0"/>
      </w:pPr>
      <w:bookmarkStart w:id="1" w:name="_Toc6721738"/>
      <w:r>
        <w:t>6.1. Prerequisites</w:t>
      </w:r>
      <w:bookmarkEnd w:id="1"/>
    </w:p>
    <w:p w14:paraId="3781A862" w14:textId="77777777" w:rsidR="007E1952" w:rsidRPr="00303869" w:rsidRDefault="007E1952" w:rsidP="007E1952">
      <w:r>
        <w:t>These are the basic requirements for running the software.</w:t>
      </w:r>
    </w:p>
    <w:p w14:paraId="0425877B" w14:textId="77777777" w:rsidR="007E1952" w:rsidRDefault="007E1952" w:rsidP="007E1952">
      <w:pPr>
        <w:pStyle w:val="ListParagraph"/>
        <w:numPr>
          <w:ilvl w:val="0"/>
          <w:numId w:val="2"/>
        </w:numPr>
        <w:bidi w:val="0"/>
      </w:pPr>
      <w:r>
        <w:t>The software requires JRE 1.8 installed on the system.</w:t>
      </w:r>
    </w:p>
    <w:p w14:paraId="2ECB1EED" w14:textId="77777777" w:rsidR="007E1952" w:rsidRDefault="007E1952" w:rsidP="007E1952">
      <w:pPr>
        <w:pStyle w:val="ListParagraph"/>
        <w:numPr>
          <w:ilvl w:val="0"/>
          <w:numId w:val="2"/>
        </w:numPr>
        <w:bidi w:val="0"/>
      </w:pPr>
      <w:r>
        <w:t>Some features are only available with R language installed (tested with version 3.5.2).</w:t>
      </w:r>
    </w:p>
    <w:p w14:paraId="416E2823" w14:textId="77777777" w:rsidR="007E1952" w:rsidRDefault="007E1952" w:rsidP="007E1952">
      <w:pPr>
        <w:pStyle w:val="ListParagraph"/>
        <w:numPr>
          <w:ilvl w:val="0"/>
          <w:numId w:val="2"/>
        </w:numPr>
        <w:bidi w:val="0"/>
      </w:pPr>
      <w:r>
        <w:t>Both Java and R binaries should be set into system Path environment variable.</w:t>
      </w:r>
    </w:p>
    <w:p w14:paraId="3A06AFD7" w14:textId="77777777" w:rsidR="007E1952" w:rsidRDefault="007E1952" w:rsidP="007E1952">
      <w:pPr>
        <w:pStyle w:val="ListParagraph"/>
        <w:numPr>
          <w:ilvl w:val="0"/>
          <w:numId w:val="2"/>
        </w:numPr>
        <w:bidi w:val="0"/>
      </w:pPr>
      <w:r>
        <w:t>The system tested on a machine with 8GB RAM. There should be available free disk space (~2GB).</w:t>
      </w:r>
    </w:p>
    <w:p w14:paraId="2D949EE0" w14:textId="77777777" w:rsidR="007E1952" w:rsidRDefault="007E1952" w:rsidP="007E1952">
      <w:pPr>
        <w:pStyle w:val="ListParagraph"/>
        <w:numPr>
          <w:ilvl w:val="0"/>
          <w:numId w:val="2"/>
        </w:numPr>
        <w:bidi w:val="0"/>
      </w:pPr>
      <w:r w:rsidRPr="00B90652">
        <w:rPr>
          <w:i/>
          <w:iCs/>
        </w:rPr>
        <w:t xml:space="preserve">It is assumed that </w:t>
      </w:r>
      <w:r>
        <w:rPr>
          <w:i/>
          <w:iCs/>
        </w:rPr>
        <w:t>the software runs</w:t>
      </w:r>
      <w:r w:rsidRPr="00B90652">
        <w:rPr>
          <w:i/>
          <w:iCs/>
        </w:rPr>
        <w:t xml:space="preserve"> on Windows OS</w:t>
      </w:r>
      <w:r>
        <w:t>. Some features (R language integration) assume Windows OS and will not work on other operating systems.</w:t>
      </w:r>
    </w:p>
    <w:p w14:paraId="399FD410" w14:textId="77777777" w:rsidR="007E1952" w:rsidRDefault="007E1952" w:rsidP="007E1952">
      <w:r>
        <w:t xml:space="preserve">Both Java and R language could be freely downloaded and installed. The Java language downloads are available on </w:t>
      </w:r>
      <w:hyperlink r:id="rId5" w:history="1">
        <w:r>
          <w:rPr>
            <w:rStyle w:val="Hyperlink"/>
          </w:rPr>
          <w:t>https://www.oracle.com/technetwork/java/javase/downloads/index.html</w:t>
        </w:r>
      </w:hyperlink>
      <w:r>
        <w:t xml:space="preserve"> [accessed at April 2019]. The R language is available here: </w:t>
      </w:r>
      <w:hyperlink r:id="rId6" w:history="1">
        <w:r>
          <w:rPr>
            <w:rStyle w:val="Hyperlink"/>
          </w:rPr>
          <w:t>https://www.r-project.org/</w:t>
        </w:r>
      </w:hyperlink>
      <w:r>
        <w:t xml:space="preserve"> [accessed at April 2019].</w:t>
      </w:r>
    </w:p>
    <w:p w14:paraId="439737BD" w14:textId="77777777" w:rsidR="007E1952" w:rsidRDefault="007E1952" w:rsidP="007E1952">
      <w:r>
        <w:t xml:space="preserve">After installation, directories with binaries of Java and R language should be available on Path environment variable. This page </w:t>
      </w:r>
      <w:hyperlink r:id="rId7" w:history="1">
        <w:r>
          <w:rPr>
            <w:rStyle w:val="Hyperlink"/>
          </w:rPr>
          <w:t>https://www.java.com/en/download/help/path.xml</w:t>
        </w:r>
      </w:hyperlink>
      <w:r>
        <w:t xml:space="preserve"> [accessed at April 2019] explains how to set Path variable on system level.</w:t>
      </w:r>
    </w:p>
    <w:p w14:paraId="1B4223E8" w14:textId="77777777" w:rsidR="007E1952" w:rsidRDefault="007E1952" w:rsidP="007E1952">
      <w:r>
        <w:t>After the Path variable is updated a small check could be performed to ensure their availability.</w:t>
      </w:r>
    </w:p>
    <w:p w14:paraId="53683161" w14:textId="77777777" w:rsidR="007E1952" w:rsidRDefault="007E1952" w:rsidP="007E1952">
      <w:pPr>
        <w:pStyle w:val="ListParagraph"/>
        <w:numPr>
          <w:ilvl w:val="0"/>
          <w:numId w:val="3"/>
        </w:numPr>
        <w:bidi w:val="0"/>
        <w:spacing w:after="160" w:line="259" w:lineRule="auto"/>
      </w:pPr>
      <w:r>
        <w:t xml:space="preserve">Press </w:t>
      </w:r>
      <w:proofErr w:type="spellStart"/>
      <w:r>
        <w:t>WinKey</w:t>
      </w:r>
      <w:proofErr w:type="spellEnd"/>
      <w:r>
        <w:t xml:space="preserve"> + R on keyboard. Run dialog window should appear (Figure 8.). </w:t>
      </w:r>
    </w:p>
    <w:p w14:paraId="5F3B359F" w14:textId="77777777" w:rsidR="007E1952" w:rsidRDefault="007E1952" w:rsidP="007E1952">
      <w:pPr>
        <w:pStyle w:val="ListParagraph"/>
        <w:numPr>
          <w:ilvl w:val="0"/>
          <w:numId w:val="3"/>
        </w:numPr>
        <w:bidi w:val="0"/>
        <w:spacing w:after="160" w:line="259" w:lineRule="auto"/>
      </w:pPr>
      <w:r>
        <w:t>Type “</w:t>
      </w:r>
      <w:proofErr w:type="spellStart"/>
      <w:r>
        <w:t>cmd</w:t>
      </w:r>
      <w:proofErr w:type="spellEnd"/>
      <w:r>
        <w:t>” and press Enter. System command line should appear (Figure 9.).</w:t>
      </w:r>
    </w:p>
    <w:p w14:paraId="7D84F75D" w14:textId="77777777" w:rsidR="007E1952" w:rsidRDefault="007E1952" w:rsidP="007E1952">
      <w:pPr>
        <w:pStyle w:val="ListParagraph"/>
        <w:numPr>
          <w:ilvl w:val="0"/>
          <w:numId w:val="3"/>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7112AC7C" w14:textId="77777777" w:rsidR="007E1952" w:rsidRDefault="007E1952" w:rsidP="007E1952">
      <w:pPr>
        <w:jc w:val="center"/>
      </w:pPr>
      <w:r>
        <w:rPr>
          <w:noProof/>
        </w:rPr>
        <w:drawing>
          <wp:inline distT="0" distB="0" distL="0" distR="0" wp14:anchorId="6AF54CF7" wp14:editId="5F968F39">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475" cy="1962150"/>
                    </a:xfrm>
                    <a:prstGeom prst="rect">
                      <a:avLst/>
                    </a:prstGeom>
                  </pic:spPr>
                </pic:pic>
              </a:graphicData>
            </a:graphic>
          </wp:inline>
        </w:drawing>
      </w:r>
    </w:p>
    <w:p w14:paraId="746FFB11" w14:textId="77777777" w:rsidR="007E1952" w:rsidRDefault="007E1952" w:rsidP="007E1952">
      <w:pPr>
        <w:jc w:val="center"/>
      </w:pPr>
      <w:r>
        <w:t>Figure 8.</w:t>
      </w:r>
    </w:p>
    <w:p w14:paraId="06FFBC48" w14:textId="77777777" w:rsidR="007E1952" w:rsidRDefault="007E1952" w:rsidP="007E1952">
      <w:pPr>
        <w:jc w:val="center"/>
        <w:rPr>
          <w:noProof/>
        </w:rPr>
      </w:pPr>
      <w:r>
        <w:rPr>
          <w:noProof/>
        </w:rPr>
        <w:t>exit</w:t>
      </w:r>
    </w:p>
    <w:p w14:paraId="1BE6C870" w14:textId="77777777" w:rsidR="007E1952" w:rsidRDefault="007E1952" w:rsidP="007E1952">
      <w:pPr>
        <w:jc w:val="center"/>
      </w:pPr>
      <w:r>
        <w:rPr>
          <w:noProof/>
        </w:rPr>
        <w:lastRenderedPageBreak/>
        <w:drawing>
          <wp:inline distT="0" distB="0" distL="0" distR="0" wp14:anchorId="2E016256" wp14:editId="062654EA">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6095"/>
                    </a:xfrm>
                    <a:prstGeom prst="rect">
                      <a:avLst/>
                    </a:prstGeom>
                  </pic:spPr>
                </pic:pic>
              </a:graphicData>
            </a:graphic>
          </wp:inline>
        </w:drawing>
      </w:r>
    </w:p>
    <w:p w14:paraId="7FA41F97" w14:textId="77777777" w:rsidR="007E1952" w:rsidRDefault="007E1952" w:rsidP="007E1952">
      <w:pPr>
        <w:jc w:val="center"/>
      </w:pPr>
      <w:r>
        <w:t>Figure 9.</w:t>
      </w:r>
    </w:p>
    <w:p w14:paraId="565CD8D1" w14:textId="77777777" w:rsidR="007E1952" w:rsidRDefault="007E1952" w:rsidP="007E1952">
      <w:pPr>
        <w:pStyle w:val="Heading3"/>
        <w:bidi w:val="0"/>
      </w:pPr>
      <w:bookmarkStart w:id="2" w:name="_Toc6721739"/>
      <w:r>
        <w:t>6.1.1. R Language Libraries</w:t>
      </w:r>
      <w:bookmarkEnd w:id="2"/>
    </w:p>
    <w:p w14:paraId="42F6B898" w14:textId="77777777" w:rsidR="007E1952" w:rsidRDefault="007E1952" w:rsidP="007E1952">
      <w:r>
        <w:t>R language distribution should include additional libraries for all features of the GUI client functioning properly. Two additional libraries should be included:</w:t>
      </w:r>
    </w:p>
    <w:p w14:paraId="0E1483ED" w14:textId="77777777" w:rsidR="007E1952" w:rsidRDefault="007E1952" w:rsidP="007E1952">
      <w:pPr>
        <w:pStyle w:val="ListParagraph"/>
        <w:numPr>
          <w:ilvl w:val="0"/>
          <w:numId w:val="1"/>
        </w:numPr>
        <w:bidi w:val="0"/>
      </w:pPr>
      <w:proofErr w:type="spellStart"/>
      <w:r w:rsidRPr="00A33119">
        <w:t>agricolae</w:t>
      </w:r>
      <w:proofErr w:type="spellEnd"/>
    </w:p>
    <w:p w14:paraId="4415D35E" w14:textId="77777777" w:rsidR="007E1952" w:rsidRDefault="007E1952" w:rsidP="007E1952">
      <w:pPr>
        <w:pStyle w:val="ListParagraph"/>
        <w:numPr>
          <w:ilvl w:val="0"/>
          <w:numId w:val="1"/>
        </w:numPr>
        <w:bidi w:val="0"/>
      </w:pPr>
      <w:proofErr w:type="spellStart"/>
      <w:r w:rsidRPr="00A33119">
        <w:t>jsonlite</w:t>
      </w:r>
      <w:proofErr w:type="spellEnd"/>
    </w:p>
    <w:p w14:paraId="145AA6CD" w14:textId="77777777" w:rsidR="007E1952" w:rsidRDefault="007E1952" w:rsidP="007E1952">
      <w:r>
        <w:t>The simplest way installing them is through the R GUI client:</w:t>
      </w:r>
    </w:p>
    <w:p w14:paraId="74BDBE4B" w14:textId="77777777" w:rsidR="007E1952" w:rsidRDefault="007E1952" w:rsidP="007E1952"/>
    <w:p w14:paraId="2E3A2973" w14:textId="77777777" w:rsidR="007E1952" w:rsidRDefault="007E1952" w:rsidP="007E1952">
      <w:pPr>
        <w:pStyle w:val="ListParagraph"/>
        <w:numPr>
          <w:ilvl w:val="0"/>
          <w:numId w:val="9"/>
        </w:numPr>
        <w:bidi w:val="0"/>
      </w:pPr>
      <w:r>
        <w:t xml:space="preserve">Press </w:t>
      </w:r>
      <w:proofErr w:type="spellStart"/>
      <w:r>
        <w:t>WinKey</w:t>
      </w:r>
      <w:proofErr w:type="spellEnd"/>
      <w:r>
        <w:t xml:space="preserve"> + R on keyboard. </w:t>
      </w:r>
    </w:p>
    <w:p w14:paraId="0854F154" w14:textId="77777777" w:rsidR="007E1952" w:rsidRDefault="007E1952" w:rsidP="007E1952">
      <w:pPr>
        <w:pStyle w:val="ListParagraph"/>
        <w:numPr>
          <w:ilvl w:val="0"/>
          <w:numId w:val="9"/>
        </w:numPr>
        <w:bidi w:val="0"/>
      </w:pPr>
      <w:r>
        <w:t>On the run dialog window type “</w:t>
      </w:r>
      <w:proofErr w:type="spellStart"/>
      <w:r>
        <w:t>rgui</w:t>
      </w:r>
      <w:proofErr w:type="spellEnd"/>
      <w:r>
        <w:t>” and press enter. R GUI client should appear (Figure 10).</w:t>
      </w:r>
    </w:p>
    <w:p w14:paraId="3DBAE11B" w14:textId="77777777" w:rsidR="007E1952" w:rsidRDefault="007E1952" w:rsidP="007E1952">
      <w:pPr>
        <w:pStyle w:val="ListParagraph"/>
        <w:numPr>
          <w:ilvl w:val="0"/>
          <w:numId w:val="9"/>
        </w:numPr>
        <w:bidi w:val="0"/>
      </w:pPr>
      <w:r>
        <w:t>Choose in menu “Packages” -&gt; “Install package(s)”. The list with available packages should appear. Find and install the needed packages. (You may be required to set up the repository. Under “Packages” -&gt; “Select repositories” choose CRAN. Under “Package” -&gt; “Set CRAN Mirror” choose an appropriate mirror if default does not work)</w:t>
      </w:r>
    </w:p>
    <w:p w14:paraId="455AAE7C" w14:textId="77777777" w:rsidR="007E1952" w:rsidRDefault="007E1952" w:rsidP="007E1952">
      <w:pPr>
        <w:jc w:val="center"/>
      </w:pPr>
      <w:r>
        <w:rPr>
          <w:noProof/>
        </w:rPr>
        <w:lastRenderedPageBreak/>
        <w:drawing>
          <wp:inline distT="0" distB="0" distL="0" distR="0" wp14:anchorId="0794360E" wp14:editId="5BEA6E8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0565"/>
                    </a:xfrm>
                    <a:prstGeom prst="rect">
                      <a:avLst/>
                    </a:prstGeom>
                  </pic:spPr>
                </pic:pic>
              </a:graphicData>
            </a:graphic>
          </wp:inline>
        </w:drawing>
      </w:r>
    </w:p>
    <w:p w14:paraId="42E4B78B" w14:textId="77777777" w:rsidR="007E1952" w:rsidRDefault="007E1952" w:rsidP="007E1952">
      <w:pPr>
        <w:jc w:val="center"/>
      </w:pPr>
      <w:r>
        <w:t>Figure 10.</w:t>
      </w:r>
    </w:p>
    <w:p w14:paraId="5B6229EF" w14:textId="77777777" w:rsidR="007E1952" w:rsidRPr="00321304" w:rsidRDefault="007E1952" w:rsidP="007E1952"/>
    <w:p w14:paraId="5FEF98E1" w14:textId="77777777" w:rsidR="007E1952" w:rsidRDefault="007E1952" w:rsidP="007E1952">
      <w:pPr>
        <w:pStyle w:val="Heading2"/>
        <w:bidi w:val="0"/>
      </w:pPr>
      <w:bookmarkStart w:id="3" w:name="_Toc6721740"/>
      <w:r>
        <w:t>6.2. Installation &amp; Execution</w:t>
      </w:r>
      <w:bookmarkEnd w:id="3"/>
    </w:p>
    <w:p w14:paraId="05C8CE87" w14:textId="77777777" w:rsidR="007E1952" w:rsidRDefault="007E1952" w:rsidP="007E1952">
      <w:r>
        <w:t>The executable artifact of the platform is so called ‘uber jar’. Uber jar contains all libraries a software is required for. From the one hand, it significantly increases the size of artifact. From the other hand, it simplifies to a total minimum deployment/installation procedure. It does not require installation wrappers. We have been trying to follow the deploy everywhere and zero configuration approaches. However, we suppose that one willing to run the platform has the artifact. Thus, the procedure looks like:</w:t>
      </w:r>
    </w:p>
    <w:p w14:paraId="03A7BBE8" w14:textId="77777777" w:rsidR="007E1952" w:rsidRDefault="007E1952" w:rsidP="007E1952">
      <w:pPr>
        <w:pStyle w:val="ListParagraph"/>
        <w:numPr>
          <w:ilvl w:val="0"/>
          <w:numId w:val="4"/>
        </w:numPr>
        <w:bidi w:val="0"/>
      </w:pPr>
      <w:r>
        <w:t>Copy the artifact into the desirable directory (to not mix things together we assume that the directory is initially empty – Figure 11.)</w:t>
      </w:r>
    </w:p>
    <w:p w14:paraId="54E062DC" w14:textId="77777777" w:rsidR="007E1952" w:rsidRDefault="007E1952" w:rsidP="007E1952">
      <w:pPr>
        <w:pStyle w:val="ListParagraph"/>
        <w:numPr>
          <w:ilvl w:val="0"/>
          <w:numId w:val="4"/>
        </w:numPr>
        <w:bidi w:val="0"/>
      </w:pPr>
      <w:r>
        <w:t>Double-click on the artifact (correct Java installation should register handler for running jar files in Windows OS Explorer). The main platform window should open (Figure 12).</w:t>
      </w:r>
    </w:p>
    <w:p w14:paraId="3F3D78E0" w14:textId="77777777" w:rsidR="007E1952" w:rsidRDefault="007E1952" w:rsidP="007E1952">
      <w:pPr>
        <w:jc w:val="center"/>
      </w:pPr>
      <w:r>
        <w:rPr>
          <w:noProof/>
        </w:rPr>
        <w:lastRenderedPageBreak/>
        <w:drawing>
          <wp:inline distT="0" distB="0" distL="0" distR="0" wp14:anchorId="4B9F4121" wp14:editId="37927424">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3452F2E1" w14:textId="77777777" w:rsidR="007E1952" w:rsidRDefault="007E1952" w:rsidP="007E1952">
      <w:pPr>
        <w:jc w:val="center"/>
      </w:pPr>
      <w:r>
        <w:t>Figure 11.</w:t>
      </w:r>
    </w:p>
    <w:p w14:paraId="6D3C82D8" w14:textId="77777777" w:rsidR="007E1952" w:rsidRDefault="007E1952" w:rsidP="007E1952">
      <w:pPr>
        <w:jc w:val="center"/>
      </w:pPr>
      <w:r>
        <w:rPr>
          <w:noProof/>
        </w:rPr>
        <w:drawing>
          <wp:inline distT="0" distB="0" distL="0" distR="0" wp14:anchorId="087E6B2A" wp14:editId="74E1D4D0">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0565"/>
                    </a:xfrm>
                    <a:prstGeom prst="rect">
                      <a:avLst/>
                    </a:prstGeom>
                  </pic:spPr>
                </pic:pic>
              </a:graphicData>
            </a:graphic>
          </wp:inline>
        </w:drawing>
      </w:r>
    </w:p>
    <w:p w14:paraId="457481E5" w14:textId="77777777" w:rsidR="007E1952" w:rsidRDefault="007E1952" w:rsidP="007E1952">
      <w:pPr>
        <w:jc w:val="center"/>
      </w:pPr>
      <w:r>
        <w:t>Figure 12.</w:t>
      </w:r>
    </w:p>
    <w:p w14:paraId="21A7F78C" w14:textId="77777777" w:rsidR="007E1952" w:rsidRDefault="007E1952" w:rsidP="007E1952">
      <w:pPr>
        <w:pStyle w:val="Heading3"/>
        <w:bidi w:val="0"/>
      </w:pPr>
      <w:bookmarkStart w:id="4" w:name="_Toc6721741"/>
      <w:r>
        <w:t>6.2.1. Error Analyzing – Technical Notes</w:t>
      </w:r>
      <w:bookmarkEnd w:id="4"/>
    </w:p>
    <w:p w14:paraId="43D08908" w14:textId="77777777" w:rsidR="007E1952" w:rsidRDefault="007E1952" w:rsidP="007E1952">
      <w:r>
        <w:t xml:space="preserve">Error logging and analyzing is one of the cornerstones of application development. A ‘silent’ application would be hard both for understanding and tracking underlying processes. We would not allow to </w:t>
      </w:r>
      <w:r>
        <w:lastRenderedPageBreak/>
        <w:t>ourselves to create such an application. Therefore, we tried to follow a correct error handling within the code itself:</w:t>
      </w:r>
    </w:p>
    <w:p w14:paraId="3225C336" w14:textId="77777777" w:rsidR="007E1952" w:rsidRDefault="007E1952" w:rsidP="007E1952">
      <w:pPr>
        <w:pStyle w:val="ListParagraph"/>
        <w:numPr>
          <w:ilvl w:val="0"/>
          <w:numId w:val="5"/>
        </w:numPr>
        <w:bidi w:val="0"/>
      </w:pPr>
      <w:r>
        <w:t xml:space="preserve">Use logger mechanics (technically, the bundle of SLF4J + Java </w:t>
      </w:r>
      <w:proofErr w:type="spellStart"/>
      <w:r>
        <w:t>Util</w:t>
      </w:r>
      <w:proofErr w:type="spellEnd"/>
      <w:r>
        <w:t xml:space="preserve"> Logger is used)</w:t>
      </w:r>
    </w:p>
    <w:p w14:paraId="6DBEB725" w14:textId="77777777" w:rsidR="007E1952" w:rsidRDefault="007E1952" w:rsidP="007E1952">
      <w:pPr>
        <w:pStyle w:val="ListParagraph"/>
        <w:numPr>
          <w:ilvl w:val="0"/>
          <w:numId w:val="5"/>
        </w:numPr>
        <w:bidi w:val="0"/>
      </w:pPr>
      <w:r>
        <w:t>Log the exception on upper levels only (some programs suffer from too expensive logging by printing one exception almost on every method which makes very hard to understand what original exception is)</w:t>
      </w:r>
    </w:p>
    <w:p w14:paraId="4885000D" w14:textId="77777777" w:rsidR="007E1952" w:rsidRDefault="007E1952" w:rsidP="007E1952">
      <w:pPr>
        <w:pStyle w:val="ListParagraph"/>
        <w:numPr>
          <w:ilvl w:val="0"/>
          <w:numId w:val="5"/>
        </w:numPr>
        <w:bidi w:val="0"/>
      </w:pPr>
      <w:r>
        <w:t>Use ‘one source of truth’ logger output (log messages printed out to one dedicated place)</w:t>
      </w:r>
    </w:p>
    <w:p w14:paraId="315FC512" w14:textId="77777777" w:rsidR="007E1952" w:rsidRDefault="007E1952" w:rsidP="007E1952">
      <w:r>
        <w:t>The SLF4J within current configuration prints into the standard output only (output error stream of process).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13 shows how to run the command line with Windows explorer, Figure 14 depicts how the command to run from console (“java -jar”). Figure 15 shows the state of console after running.)</w:t>
      </w:r>
    </w:p>
    <w:p w14:paraId="42180EEB" w14:textId="77777777" w:rsidR="007E1952" w:rsidRDefault="007E1952" w:rsidP="007E1952">
      <w:pPr>
        <w:jc w:val="center"/>
      </w:pPr>
      <w:r>
        <w:rPr>
          <w:noProof/>
        </w:rPr>
        <w:drawing>
          <wp:inline distT="0" distB="0" distL="0" distR="0" wp14:anchorId="16AE365D" wp14:editId="34683892">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8830"/>
                    </a:xfrm>
                    <a:prstGeom prst="rect">
                      <a:avLst/>
                    </a:prstGeom>
                  </pic:spPr>
                </pic:pic>
              </a:graphicData>
            </a:graphic>
          </wp:inline>
        </w:drawing>
      </w:r>
    </w:p>
    <w:p w14:paraId="30011CDF" w14:textId="77777777" w:rsidR="007E1952" w:rsidRDefault="007E1952" w:rsidP="007E1952">
      <w:pPr>
        <w:jc w:val="center"/>
      </w:pPr>
      <w:r>
        <w:t>Figure 13.</w:t>
      </w:r>
    </w:p>
    <w:p w14:paraId="35BD6623" w14:textId="77777777" w:rsidR="007E1952" w:rsidRDefault="007E1952" w:rsidP="007E1952">
      <w:pPr>
        <w:jc w:val="center"/>
      </w:pPr>
      <w:r>
        <w:rPr>
          <w:noProof/>
        </w:rPr>
        <w:lastRenderedPageBreak/>
        <w:drawing>
          <wp:inline distT="0" distB="0" distL="0" distR="0" wp14:anchorId="1D4F0804" wp14:editId="7BF34629">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4485"/>
                    </a:xfrm>
                    <a:prstGeom prst="rect">
                      <a:avLst/>
                    </a:prstGeom>
                  </pic:spPr>
                </pic:pic>
              </a:graphicData>
            </a:graphic>
          </wp:inline>
        </w:drawing>
      </w:r>
    </w:p>
    <w:p w14:paraId="3E041F5C" w14:textId="77777777" w:rsidR="007E1952" w:rsidRDefault="007E1952" w:rsidP="007E1952">
      <w:pPr>
        <w:jc w:val="center"/>
      </w:pPr>
      <w:r>
        <w:t>Figure 14.</w:t>
      </w:r>
    </w:p>
    <w:p w14:paraId="3F33F3AC" w14:textId="77777777" w:rsidR="007E1952" w:rsidRDefault="007E1952" w:rsidP="007E1952">
      <w:pPr>
        <w:jc w:val="center"/>
      </w:pPr>
      <w:r>
        <w:rPr>
          <w:noProof/>
        </w:rPr>
        <w:drawing>
          <wp:inline distT="0" distB="0" distL="0" distR="0" wp14:anchorId="3ED78263" wp14:editId="6CB1F497">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4485"/>
                    </a:xfrm>
                    <a:prstGeom prst="rect">
                      <a:avLst/>
                    </a:prstGeom>
                  </pic:spPr>
                </pic:pic>
              </a:graphicData>
            </a:graphic>
          </wp:inline>
        </w:drawing>
      </w:r>
    </w:p>
    <w:p w14:paraId="4717F2DD" w14:textId="77777777" w:rsidR="007E1952" w:rsidRDefault="007E1952" w:rsidP="007E1952">
      <w:pPr>
        <w:jc w:val="center"/>
      </w:pPr>
      <w:r>
        <w:t>Figure 15.</w:t>
      </w:r>
    </w:p>
    <w:p w14:paraId="7CCCD8E8" w14:textId="77777777" w:rsidR="007E1952" w:rsidRDefault="007E1952" w:rsidP="007E1952">
      <w:pPr>
        <w:pStyle w:val="Heading3"/>
        <w:bidi w:val="0"/>
      </w:pPr>
      <w:bookmarkStart w:id="5" w:name="_Toc6721742"/>
      <w:r>
        <w:t>6.2.2. Source Code Compilation – Advanced</w:t>
      </w:r>
      <w:bookmarkEnd w:id="5"/>
    </w:p>
    <w:p w14:paraId="59AA2734" w14:textId="77777777" w:rsidR="007E1952" w:rsidRDefault="007E1952" w:rsidP="007E1952">
      <w:r>
        <w:t>In the upper section of installation, we omitted and assumed that user has the final artifact somehow available for him. However, honestly speaking, we do not have such distribution mechanism. This is only possible if user will copy from somewhere the artifact. From the other hand compiling of source code should not be hard too.</w:t>
      </w:r>
    </w:p>
    <w:p w14:paraId="6FAED785" w14:textId="77777777" w:rsidR="007E1952" w:rsidRDefault="007E1952" w:rsidP="007E1952">
      <w:r>
        <w:t>These are prerequisites for compiling:</w:t>
      </w:r>
    </w:p>
    <w:p w14:paraId="218EFD28" w14:textId="77777777" w:rsidR="007E1952" w:rsidRDefault="007E1952" w:rsidP="007E1952">
      <w:pPr>
        <w:pStyle w:val="ListParagraph"/>
        <w:numPr>
          <w:ilvl w:val="0"/>
          <w:numId w:val="6"/>
        </w:numPr>
        <w:bidi w:val="0"/>
      </w:pPr>
      <w:r>
        <w:lastRenderedPageBreak/>
        <w:t xml:space="preserve">JDK of version 8 is installed. If not, it may be downloaded from </w:t>
      </w:r>
      <w:hyperlink r:id="rId16" w:history="1">
        <w:r>
          <w:rPr>
            <w:rStyle w:val="Hyperlink"/>
          </w:rPr>
          <w:t>https://www.oracle.com/technetwork/java/javase/downloads/jdk8-downloads-2133151.html</w:t>
        </w:r>
      </w:hyperlink>
    </w:p>
    <w:p w14:paraId="0592BA7B" w14:textId="77777777" w:rsidR="007E1952" w:rsidRDefault="007E1952" w:rsidP="007E1952">
      <w:pPr>
        <w:pStyle w:val="ListParagraph"/>
        <w:numPr>
          <w:ilvl w:val="0"/>
          <w:numId w:val="6"/>
        </w:numPr>
        <w:bidi w:val="0"/>
      </w:pPr>
      <w:r>
        <w:t xml:space="preserve">Maven build system is installed. If not, it may be downloaded from </w:t>
      </w:r>
      <w:hyperlink r:id="rId17" w:history="1">
        <w:r>
          <w:rPr>
            <w:rStyle w:val="Hyperlink"/>
          </w:rPr>
          <w:t>https://maven.apache.org/download.cgi</w:t>
        </w:r>
      </w:hyperlink>
      <w:r>
        <w:t xml:space="preserve"> (version 3.2.5 is used for development)</w:t>
      </w:r>
    </w:p>
    <w:p w14:paraId="6908B714" w14:textId="77777777" w:rsidR="007E1952" w:rsidRDefault="007E1952" w:rsidP="007E1952">
      <w:pPr>
        <w:pStyle w:val="ListParagraph"/>
        <w:numPr>
          <w:ilvl w:val="0"/>
          <w:numId w:val="6"/>
        </w:numPr>
        <w:bidi w:val="0"/>
      </w:pPr>
      <w:r>
        <w:t xml:space="preserve">Git SCM is installed. If not, it may be downloaded from </w:t>
      </w:r>
      <w:hyperlink r:id="rId18" w:history="1">
        <w:r>
          <w:rPr>
            <w:rStyle w:val="Hyperlink"/>
          </w:rPr>
          <w:t>https://git-scm.com/downloads</w:t>
        </w:r>
      </w:hyperlink>
    </w:p>
    <w:p w14:paraId="0E647587" w14:textId="77777777" w:rsidR="007E1952" w:rsidRDefault="007E1952" w:rsidP="007E1952">
      <w:pPr>
        <w:pStyle w:val="ListParagraph"/>
        <w:numPr>
          <w:ilvl w:val="0"/>
          <w:numId w:val="6"/>
        </w:numPr>
        <w:bidi w:val="0"/>
      </w:pPr>
      <w:r>
        <w:t xml:space="preserve">The source code is located at </w:t>
      </w:r>
      <w:hyperlink r:id="rId19" w:history="1">
        <w:r>
          <w:rPr>
            <w:rStyle w:val="Hyperlink"/>
          </w:rPr>
          <w:t>https://github.com/karno-bh/rouge-reimpl</w:t>
        </w:r>
      </w:hyperlink>
    </w:p>
    <w:p w14:paraId="3EFD67CD" w14:textId="77777777" w:rsidR="007E1952" w:rsidRDefault="007E1952" w:rsidP="007E1952">
      <w:r>
        <w:t>Execute the list of following commands from the command line:</w:t>
      </w:r>
    </w:p>
    <w:p w14:paraId="1A840050" w14:textId="77777777" w:rsidR="007E1952" w:rsidRDefault="007E1952" w:rsidP="007E1952">
      <w:pPr>
        <w:pStyle w:val="ListParagraph"/>
        <w:numPr>
          <w:ilvl w:val="0"/>
          <w:numId w:val="7"/>
        </w:numPr>
        <w:bidi w:val="0"/>
      </w:pPr>
      <w:r>
        <w:t xml:space="preserve">git clone </w:t>
      </w:r>
      <w:r w:rsidRPr="00525D41">
        <w:t>https://github.com/karno-bh/rouge-reimpl.git</w:t>
      </w:r>
    </w:p>
    <w:p w14:paraId="550CB28F" w14:textId="77777777" w:rsidR="007E1952" w:rsidRDefault="007E1952" w:rsidP="007E1952">
      <w:pPr>
        <w:pStyle w:val="ListParagraph"/>
        <w:numPr>
          <w:ilvl w:val="0"/>
          <w:numId w:val="7"/>
        </w:numPr>
        <w:bidi w:val="0"/>
      </w:pPr>
      <w:r>
        <w:t>cd rouge-</w:t>
      </w:r>
      <w:proofErr w:type="spellStart"/>
      <w:r>
        <w:t>reimpl</w:t>
      </w:r>
      <w:proofErr w:type="spellEnd"/>
    </w:p>
    <w:p w14:paraId="632B0C50" w14:textId="77777777" w:rsidR="007E1952" w:rsidRDefault="007E1952" w:rsidP="007E1952">
      <w:pPr>
        <w:pStyle w:val="ListParagraph"/>
        <w:numPr>
          <w:ilvl w:val="0"/>
          <w:numId w:val="7"/>
        </w:numPr>
        <w:bidi w:val="0"/>
      </w:pPr>
      <w:proofErr w:type="spellStart"/>
      <w:r>
        <w:t>cd</w:t>
      </w:r>
      <w:proofErr w:type="spellEnd"/>
      <w:r>
        <w:t xml:space="preserve"> lib-deploy</w:t>
      </w:r>
    </w:p>
    <w:p w14:paraId="05843647" w14:textId="77777777" w:rsidR="007E1952" w:rsidRDefault="007E1952" w:rsidP="007E1952">
      <w:pPr>
        <w:pStyle w:val="ListParagraph"/>
        <w:numPr>
          <w:ilvl w:val="0"/>
          <w:numId w:val="7"/>
        </w:numPr>
        <w:bidi w:val="0"/>
      </w:pPr>
      <w:r>
        <w:t>&lt;run all .bat files in directory&gt;</w:t>
      </w:r>
    </w:p>
    <w:p w14:paraId="3C22F3C5" w14:textId="77777777" w:rsidR="007E1952" w:rsidRDefault="007E1952" w:rsidP="007E1952">
      <w:pPr>
        <w:pStyle w:val="ListParagraph"/>
        <w:numPr>
          <w:ilvl w:val="0"/>
          <w:numId w:val="7"/>
        </w:numPr>
        <w:bidi w:val="0"/>
      </w:pPr>
      <w:r>
        <w:t>cd</w:t>
      </w:r>
      <w:proofErr w:type="gramStart"/>
      <w:r>
        <w:t xml:space="preserve"> ..</w:t>
      </w:r>
      <w:proofErr w:type="gramEnd"/>
    </w:p>
    <w:p w14:paraId="23EEAC54" w14:textId="77777777" w:rsidR="007E1952" w:rsidRDefault="007E1952" w:rsidP="007E1952">
      <w:pPr>
        <w:pStyle w:val="ListParagraph"/>
        <w:numPr>
          <w:ilvl w:val="0"/>
          <w:numId w:val="7"/>
        </w:numPr>
        <w:bidi w:val="0"/>
      </w:pPr>
      <w:proofErr w:type="spellStart"/>
      <w:r>
        <w:t>mvn</w:t>
      </w:r>
      <w:proofErr w:type="spellEnd"/>
      <w:r>
        <w:t xml:space="preserve"> clean install -</w:t>
      </w:r>
      <w:proofErr w:type="spellStart"/>
      <w:r>
        <w:t>DskipTests</w:t>
      </w:r>
      <w:proofErr w:type="spellEnd"/>
      <w:r>
        <w:t>=true</w:t>
      </w:r>
    </w:p>
    <w:p w14:paraId="1655CB3D" w14:textId="77777777" w:rsidR="007E1952" w:rsidRDefault="007E1952" w:rsidP="007E1952">
      <w:pPr>
        <w:pStyle w:val="ListParagraph"/>
        <w:numPr>
          <w:ilvl w:val="0"/>
          <w:numId w:val="7"/>
        </w:numPr>
        <w:bidi w:val="0"/>
      </w:pPr>
      <w:r>
        <w:t>cd target</w:t>
      </w:r>
    </w:p>
    <w:p w14:paraId="7462A9E4" w14:textId="77777777" w:rsidR="007E1952" w:rsidRDefault="007E1952" w:rsidP="007E1952">
      <w:r>
        <w:t>In ‘target’ directory there should be ‘rouge-reimpl.jar’ which is the executable artifact.</w:t>
      </w:r>
    </w:p>
    <w:p w14:paraId="081C7BA7" w14:textId="77777777" w:rsidR="007E1952" w:rsidRDefault="007E1952" w:rsidP="007E1952">
      <w:pPr>
        <w:pStyle w:val="Heading2"/>
        <w:bidi w:val="0"/>
      </w:pPr>
      <w:bookmarkStart w:id="6" w:name="_Toc6721743"/>
      <w:r>
        <w:t>6.3. Input Preparation</w:t>
      </w:r>
      <w:bookmarkEnd w:id="6"/>
    </w:p>
    <w:p w14:paraId="47C077D4" w14:textId="77777777" w:rsidR="007E1952" w:rsidRDefault="007E1952" w:rsidP="007E1952">
      <w:r>
        <w:t>Once the executable artifact is available and has been successfully executed, the input should be prepared to run within in the client. The input is a directory that should have the following structure:</w:t>
      </w:r>
    </w:p>
    <w:p w14:paraId="3DC1E8C4" w14:textId="77777777" w:rsidR="007E1952" w:rsidRDefault="007E1952" w:rsidP="007E1952">
      <w:pPr>
        <w:pStyle w:val="ListParagraph"/>
        <w:numPr>
          <w:ilvl w:val="0"/>
          <w:numId w:val="8"/>
        </w:numPr>
        <w:bidi w:val="0"/>
      </w:pPr>
      <w:r>
        <w:t>category01</w:t>
      </w:r>
    </w:p>
    <w:p w14:paraId="530B7E7E" w14:textId="77777777" w:rsidR="007E1952" w:rsidRDefault="007E1952" w:rsidP="007E1952">
      <w:pPr>
        <w:pStyle w:val="ListParagraph"/>
        <w:numPr>
          <w:ilvl w:val="1"/>
          <w:numId w:val="8"/>
        </w:numPr>
        <w:bidi w:val="0"/>
      </w:pPr>
      <w:r>
        <w:t>models</w:t>
      </w:r>
    </w:p>
    <w:p w14:paraId="7B009910" w14:textId="77777777" w:rsidR="007E1952" w:rsidRDefault="007E1952" w:rsidP="007E1952">
      <w:pPr>
        <w:pStyle w:val="ListParagraph"/>
        <w:numPr>
          <w:ilvl w:val="1"/>
          <w:numId w:val="8"/>
        </w:numPr>
        <w:bidi w:val="0"/>
      </w:pPr>
      <w:r>
        <w:t>peers</w:t>
      </w:r>
    </w:p>
    <w:p w14:paraId="60FCED3A" w14:textId="77777777" w:rsidR="007E1952" w:rsidRDefault="007E1952" w:rsidP="007E1952">
      <w:pPr>
        <w:pStyle w:val="ListParagraph"/>
        <w:numPr>
          <w:ilvl w:val="2"/>
          <w:numId w:val="8"/>
        </w:numPr>
        <w:bidi w:val="0"/>
      </w:pPr>
      <w:r>
        <w:t>system01</w:t>
      </w:r>
    </w:p>
    <w:p w14:paraId="6225B1FE" w14:textId="77777777" w:rsidR="007E1952" w:rsidRDefault="007E1952" w:rsidP="007E1952">
      <w:pPr>
        <w:pStyle w:val="ListParagraph"/>
        <w:numPr>
          <w:ilvl w:val="2"/>
          <w:numId w:val="8"/>
        </w:numPr>
        <w:bidi w:val="0"/>
      </w:pPr>
      <w:r>
        <w:t>system02</w:t>
      </w:r>
    </w:p>
    <w:p w14:paraId="5B2A5B00" w14:textId="77777777" w:rsidR="007E1952" w:rsidRDefault="007E1952" w:rsidP="007E1952">
      <w:pPr>
        <w:pStyle w:val="ListParagraph"/>
        <w:numPr>
          <w:ilvl w:val="1"/>
          <w:numId w:val="8"/>
        </w:numPr>
        <w:bidi w:val="0"/>
      </w:pPr>
      <w:r>
        <w:t>topics</w:t>
      </w:r>
    </w:p>
    <w:p w14:paraId="02F20744" w14:textId="77777777" w:rsidR="007E1952" w:rsidRDefault="007E1952" w:rsidP="007E1952">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Pr>
          <w:b/>
          <w:bCs/>
          <w:i/>
          <w:iCs/>
        </w:rPr>
        <w:t>,</w:t>
      </w:r>
      <w:r w:rsidRPr="001163DE">
        <w:rPr>
          <w:b/>
          <w:bCs/>
          <w:i/>
          <w:iCs/>
        </w:rPr>
        <w:t xml:space="preserve"> dashes or camel-case names should be used</w:t>
      </w:r>
      <w:r>
        <w:t>. ‘models’, ‘peers’ and ‘topics’ are hard-coded expected names of the input structure. ‘peers’ directory should include the set of summarizing system summaries. ‘models’ directory is the place for the human (or golden) summaries. ‘topics’ directory should have original documents.</w:t>
      </w:r>
    </w:p>
    <w:p w14:paraId="1A0D5D46" w14:textId="77777777" w:rsidR="007E1952" w:rsidRDefault="007E1952" w:rsidP="007E1952">
      <w:r>
        <w:t xml:space="preserve">The system is designed so that it works with multi models and multi topics. The starting point for comparison is always a machine summary of the system. That is, suppose ‘system01’ has a file named ‘M000’. For metrics expecting a golden summary to be used it will try to find files that start with ‘M000’ </w:t>
      </w:r>
      <w:r w:rsidRPr="006360AB">
        <w:rPr>
          <w:b/>
          <w:bCs/>
          <w:i/>
          <w:iCs/>
        </w:rPr>
        <w:t>prefix with a dot after prefix</w:t>
      </w:r>
      <w:r>
        <w:t xml:space="preserve"> (for example, “</w:t>
      </w:r>
      <w:r w:rsidRPr="006360AB">
        <w:t>M000.A.250</w:t>
      </w:r>
      <w:r>
        <w:t xml:space="preserve">”). The same for metrics that expect to have </w:t>
      </w:r>
      <w:r>
        <w:lastRenderedPageBreak/>
        <w:t>original documents as a reference (currently, these are readability metrics. For example, “</w:t>
      </w:r>
      <w:r w:rsidRPr="006360AB">
        <w:t>M000.</w:t>
      </w:r>
      <w:proofErr w:type="gramStart"/>
      <w:r w:rsidRPr="006360AB">
        <w:t>0.english</w:t>
      </w:r>
      <w:proofErr w:type="gramEnd"/>
      <w:r>
        <w:t>”). It is possible to run and have results only for topics, but further, the name plays a key role with matching results of summarizing system to original document. The bottom line, all original documents and golden summaries are correlated by the name of automatic summary which is found in concrete system.</w:t>
      </w:r>
    </w:p>
    <w:p w14:paraId="0DC0084C" w14:textId="77777777" w:rsidR="007E1952" w:rsidRDefault="007E1952" w:rsidP="007E1952">
      <w:pPr>
        <w:pStyle w:val="Heading2"/>
        <w:bidi w:val="0"/>
      </w:pPr>
      <w:bookmarkStart w:id="7" w:name="_Toc6721744"/>
      <w:r>
        <w:t>6.4. Running Metrics Evaluation</w:t>
      </w:r>
      <w:bookmarkEnd w:id="7"/>
    </w:p>
    <w:p w14:paraId="1B0B0921" w14:textId="77777777" w:rsidR="007E1952" w:rsidRDefault="007E1952" w:rsidP="007E1952">
      <w:r>
        <w:t>Once the GUI client of the platform is running (Figure 12) and input is prepared the platform is ready to run metrics. The screen is divided into two main functionalities (which is represented by list on the left side):</w:t>
      </w:r>
    </w:p>
    <w:p w14:paraId="1169EF56" w14:textId="77777777" w:rsidR="007E1952" w:rsidRDefault="007E1952" w:rsidP="007E1952">
      <w:pPr>
        <w:pStyle w:val="ListParagraph"/>
        <w:numPr>
          <w:ilvl w:val="0"/>
          <w:numId w:val="8"/>
        </w:numPr>
        <w:bidi w:val="0"/>
        <w:spacing w:after="160" w:line="259" w:lineRule="auto"/>
      </w:pPr>
      <w:r>
        <w:t>Run Metrics</w:t>
      </w:r>
    </w:p>
    <w:p w14:paraId="280F807F" w14:textId="77777777" w:rsidR="007E1952" w:rsidRDefault="007E1952" w:rsidP="007E1952">
      <w:pPr>
        <w:pStyle w:val="ListParagraph"/>
        <w:numPr>
          <w:ilvl w:val="0"/>
          <w:numId w:val="8"/>
        </w:numPr>
        <w:bidi w:val="0"/>
        <w:spacing w:after="160" w:line="259" w:lineRule="auto"/>
      </w:pPr>
      <w:r>
        <w:t>Analyze Results</w:t>
      </w:r>
    </w:p>
    <w:p w14:paraId="75C16233" w14:textId="77777777" w:rsidR="007E1952" w:rsidRDefault="007E1952" w:rsidP="007E1952">
      <w:r>
        <w:t xml:space="preserve"> The “Run Metrics” screen is divided horizontally into 5 sections and “Start” button. These 5 sections are:</w:t>
      </w:r>
    </w:p>
    <w:p w14:paraId="16E1251B" w14:textId="77777777" w:rsidR="007E1952" w:rsidRDefault="007E1952" w:rsidP="007E1952">
      <w:pPr>
        <w:pStyle w:val="ListParagraph"/>
        <w:numPr>
          <w:ilvl w:val="0"/>
          <w:numId w:val="8"/>
        </w:numPr>
        <w:bidi w:val="0"/>
        <w:spacing w:after="160" w:line="259" w:lineRule="auto"/>
      </w:pPr>
      <w:r>
        <w:t>Working Set Directory</w:t>
      </w:r>
    </w:p>
    <w:p w14:paraId="565949E9" w14:textId="77777777" w:rsidR="007E1952" w:rsidRDefault="007E1952" w:rsidP="007E1952">
      <w:pPr>
        <w:pStyle w:val="ListParagraph"/>
        <w:numPr>
          <w:ilvl w:val="0"/>
          <w:numId w:val="8"/>
        </w:numPr>
        <w:bidi w:val="0"/>
        <w:spacing w:after="160" w:line="259" w:lineRule="auto"/>
      </w:pPr>
      <w:r>
        <w:t>Text Preprocessing</w:t>
      </w:r>
    </w:p>
    <w:p w14:paraId="3A7545F6" w14:textId="77777777" w:rsidR="007E1952" w:rsidRDefault="007E1952" w:rsidP="007E1952">
      <w:pPr>
        <w:pStyle w:val="ListParagraph"/>
        <w:numPr>
          <w:ilvl w:val="0"/>
          <w:numId w:val="8"/>
        </w:numPr>
        <w:bidi w:val="0"/>
        <w:spacing w:after="160" w:line="259" w:lineRule="auto"/>
      </w:pPr>
      <w:r>
        <w:t>Rouge</w:t>
      </w:r>
    </w:p>
    <w:p w14:paraId="4009D1CC" w14:textId="77777777" w:rsidR="007E1952" w:rsidRDefault="007E1952" w:rsidP="007E1952">
      <w:pPr>
        <w:pStyle w:val="ListParagraph"/>
        <w:numPr>
          <w:ilvl w:val="0"/>
          <w:numId w:val="8"/>
        </w:numPr>
        <w:bidi w:val="0"/>
        <w:spacing w:after="160" w:line="259" w:lineRule="auto"/>
      </w:pPr>
      <w:r>
        <w:t>Readability</w:t>
      </w:r>
    </w:p>
    <w:p w14:paraId="53C25A5F" w14:textId="77777777" w:rsidR="007E1952" w:rsidRDefault="007E1952" w:rsidP="007E1952">
      <w:pPr>
        <w:pStyle w:val="ListParagraph"/>
        <w:numPr>
          <w:ilvl w:val="0"/>
          <w:numId w:val="8"/>
        </w:numPr>
        <w:bidi w:val="0"/>
        <w:spacing w:after="160" w:line="259" w:lineRule="auto"/>
      </w:pPr>
      <w:r>
        <w:t xml:space="preserve">Auto </w:t>
      </w:r>
      <w:proofErr w:type="spellStart"/>
      <w:r>
        <w:t>Summ</w:t>
      </w:r>
      <w:proofErr w:type="spellEnd"/>
      <w:r>
        <w:t xml:space="preserve"> ENG</w:t>
      </w:r>
    </w:p>
    <w:p w14:paraId="6211D17E" w14:textId="77777777" w:rsidR="007E1952" w:rsidRDefault="007E1952" w:rsidP="007E1952">
      <w:r>
        <w:t>The enablement of “Start” button is dependent on:</w:t>
      </w:r>
    </w:p>
    <w:p w14:paraId="609EA696" w14:textId="77777777" w:rsidR="007E1952" w:rsidRDefault="007E1952" w:rsidP="007E1952">
      <w:pPr>
        <w:pStyle w:val="ListParagraph"/>
        <w:numPr>
          <w:ilvl w:val="0"/>
          <w:numId w:val="10"/>
        </w:numPr>
        <w:bidi w:val="0"/>
        <w:spacing w:after="160" w:line="259" w:lineRule="auto"/>
      </w:pPr>
      <w:r>
        <w:t>Selecting a working set directory (i.e. the directory where the prepared input is located)</w:t>
      </w:r>
    </w:p>
    <w:p w14:paraId="4169C433" w14:textId="77777777" w:rsidR="007E1952" w:rsidRDefault="007E1952" w:rsidP="007E1952">
      <w:pPr>
        <w:pStyle w:val="ListParagraph"/>
        <w:numPr>
          <w:ilvl w:val="0"/>
          <w:numId w:val="10"/>
        </w:numPr>
        <w:bidi w:val="0"/>
        <w:spacing w:after="160" w:line="259" w:lineRule="auto"/>
      </w:pPr>
      <w:r>
        <w:t>Selecting at least one metric. (There is a checkbox “Enabled” on the right side of the metric section. A metric processing should be enabled. The concrete metric should be enabled too. For example, if Rouge is selected then at least one of Rouge-N, Rouge-S, Rouge-L or Rouge-W need to be enabled.)</w:t>
      </w:r>
    </w:p>
    <w:p w14:paraId="1198AE19" w14:textId="77777777" w:rsidR="007E1952" w:rsidRDefault="007E1952" w:rsidP="007E1952">
      <w:r>
        <w:t>In addition, the text preprocessing could be controlled from the “Text Preprocessing” section. Possible configuration of all available metrics is depicted in Figure 16.</w:t>
      </w:r>
    </w:p>
    <w:p w14:paraId="295BB932" w14:textId="77777777" w:rsidR="007E1952" w:rsidRDefault="007E1952" w:rsidP="007E1952">
      <w:pPr>
        <w:jc w:val="center"/>
      </w:pPr>
      <w:r>
        <w:rPr>
          <w:noProof/>
        </w:rPr>
        <w:lastRenderedPageBreak/>
        <w:drawing>
          <wp:inline distT="0" distB="0" distL="0" distR="0" wp14:anchorId="020142E4" wp14:editId="056FC606">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0565"/>
                    </a:xfrm>
                    <a:prstGeom prst="rect">
                      <a:avLst/>
                    </a:prstGeom>
                  </pic:spPr>
                </pic:pic>
              </a:graphicData>
            </a:graphic>
          </wp:inline>
        </w:drawing>
      </w:r>
    </w:p>
    <w:p w14:paraId="3EDC6AE9" w14:textId="77777777" w:rsidR="007E1952" w:rsidRDefault="007E1952" w:rsidP="007E1952">
      <w:pPr>
        <w:jc w:val="center"/>
      </w:pPr>
      <w:r>
        <w:t>Figure 16.</w:t>
      </w:r>
    </w:p>
    <w:p w14:paraId="28FE4BE1" w14:textId="77777777" w:rsidR="007E1952" w:rsidRDefault="007E1952" w:rsidP="007E1952">
      <w:r>
        <w:t>Once the directory is set and “Start” button pressed, the actual processing starts. Until the processing is not done, “Start” button will be disabled. The progress of the metric calculations could be observed in logs.</w:t>
      </w:r>
    </w:p>
    <w:p w14:paraId="3EB1CB68" w14:textId="77777777" w:rsidR="007E1952" w:rsidRDefault="007E1952" w:rsidP="007E1952">
      <w:r>
        <w:t>The platform within a run will create following directories:</w:t>
      </w:r>
    </w:p>
    <w:p w14:paraId="45D5385C" w14:textId="77777777" w:rsidR="007E1952" w:rsidRDefault="007E1952" w:rsidP="007E1952">
      <w:pPr>
        <w:pStyle w:val="ListParagraph"/>
        <w:numPr>
          <w:ilvl w:val="0"/>
          <w:numId w:val="8"/>
        </w:numPr>
        <w:bidi w:val="0"/>
        <w:spacing w:after="160" w:line="259" w:lineRule="auto"/>
      </w:pPr>
      <w:r>
        <w:t>cache (Inner purpose directory for caching heavy calculations based on text identifier. Technically, cache text processor described in Domain-Specific Language section)</w:t>
      </w:r>
    </w:p>
    <w:p w14:paraId="1FE00AA0" w14:textId="77777777" w:rsidR="007E1952" w:rsidRDefault="007E1952" w:rsidP="007E1952">
      <w:pPr>
        <w:pStyle w:val="ListParagraph"/>
        <w:numPr>
          <w:ilvl w:val="0"/>
          <w:numId w:val="8"/>
        </w:numPr>
        <w:bidi w:val="0"/>
        <w:spacing w:after="160" w:line="259" w:lineRule="auto"/>
      </w:pPr>
      <w:r>
        <w:t>result</w:t>
      </w:r>
    </w:p>
    <w:p w14:paraId="7104507F" w14:textId="77777777" w:rsidR="007E1952" w:rsidRDefault="007E1952" w:rsidP="007E1952">
      <w:r>
        <w:t>Result directory is an actual output of metrics’ execution. The output of metrics’ execution is a Microsoft Excel CSV friendly file (comma separated values). The CSV format chosen by design to allow smooth integration with Excel.</w:t>
      </w:r>
    </w:p>
    <w:p w14:paraId="4D911711" w14:textId="77777777" w:rsidR="007E1952" w:rsidRDefault="007E1952" w:rsidP="007E1952">
      <w:r>
        <w:t xml:space="preserve">All metrics except </w:t>
      </w:r>
      <w:proofErr w:type="spellStart"/>
      <w:r>
        <w:t>AutoSummENG</w:t>
      </w:r>
      <w:proofErr w:type="spellEnd"/>
      <w:r>
        <w:t xml:space="preserve"> are split by files for automatic system summary. File name convention for such metrics is “&lt;category&gt;_&lt;system&gt;_&lt;metric&gt;.csv”, for example, “</w:t>
      </w:r>
      <w:r w:rsidRPr="00EB5432">
        <w:t>category01_sysid01_rougesu3</w:t>
      </w:r>
      <w:r>
        <w:t>.csv”. For the topics’ readability metrics (original documents) the pattern is “&lt;category&gt;_&lt;topic&gt;_&lt;metric&gt;.csv”, for example, “</w:t>
      </w:r>
      <w:r w:rsidRPr="0053795B">
        <w:t>category01_M000_elena_topics_readability</w:t>
      </w:r>
      <w:r>
        <w:t>.csv”. In addition, there will be “reduced” directory under results. The purpose of this directory is to include for some metrics “reduced” values (i.e. calculated from the whole or part of metrics’ set results – explained in ‘Concurrency’ section). Figure 17 and 18 show the “result” and “reduced” directories accordingly.</w:t>
      </w:r>
    </w:p>
    <w:p w14:paraId="522EB5A0" w14:textId="77777777" w:rsidR="007E1952" w:rsidRDefault="007E1952" w:rsidP="007E1952">
      <w:pPr>
        <w:jc w:val="center"/>
      </w:pPr>
      <w:r>
        <w:rPr>
          <w:noProof/>
        </w:rPr>
        <w:lastRenderedPageBreak/>
        <w:drawing>
          <wp:inline distT="0" distB="0" distL="0" distR="0" wp14:anchorId="2C0C9991" wp14:editId="7A6C21C9">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8830"/>
                    </a:xfrm>
                    <a:prstGeom prst="rect">
                      <a:avLst/>
                    </a:prstGeom>
                  </pic:spPr>
                </pic:pic>
              </a:graphicData>
            </a:graphic>
          </wp:inline>
        </w:drawing>
      </w:r>
    </w:p>
    <w:p w14:paraId="64FA9BC8" w14:textId="77777777" w:rsidR="007E1952" w:rsidRDefault="007E1952" w:rsidP="007E1952">
      <w:pPr>
        <w:jc w:val="center"/>
      </w:pPr>
      <w:r>
        <w:t>Figure 17.</w:t>
      </w:r>
    </w:p>
    <w:p w14:paraId="7D372DA1" w14:textId="77777777" w:rsidR="007E1952" w:rsidRDefault="007E1952" w:rsidP="007E1952">
      <w:pPr>
        <w:jc w:val="center"/>
      </w:pPr>
      <w:r>
        <w:rPr>
          <w:noProof/>
        </w:rPr>
        <w:drawing>
          <wp:inline distT="0" distB="0" distL="0" distR="0" wp14:anchorId="21590FF9" wp14:editId="70C68D8F">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8830"/>
                    </a:xfrm>
                    <a:prstGeom prst="rect">
                      <a:avLst/>
                    </a:prstGeom>
                  </pic:spPr>
                </pic:pic>
              </a:graphicData>
            </a:graphic>
          </wp:inline>
        </w:drawing>
      </w:r>
    </w:p>
    <w:p w14:paraId="48DE81DC" w14:textId="77777777" w:rsidR="007E1952" w:rsidRDefault="007E1952" w:rsidP="007E1952">
      <w:pPr>
        <w:jc w:val="center"/>
      </w:pPr>
      <w:r>
        <w:t>Figure 18.</w:t>
      </w:r>
    </w:p>
    <w:p w14:paraId="1B289EE1" w14:textId="77777777" w:rsidR="007E1952" w:rsidRDefault="007E1952" w:rsidP="007E1952">
      <w:pPr>
        <w:pStyle w:val="Heading2"/>
        <w:bidi w:val="0"/>
      </w:pPr>
      <w:bookmarkStart w:id="8" w:name="_Toc6721745"/>
      <w:r>
        <w:t>6.5. Analyzing Metric Results</w:t>
      </w:r>
      <w:bookmarkEnd w:id="8"/>
    </w:p>
    <w:p w14:paraId="0063DBEF" w14:textId="77777777" w:rsidR="007E1952" w:rsidRDefault="007E1952" w:rsidP="007E1952">
      <w:r>
        <w:t xml:space="preserve">Other big feature of the software besides the metric evaluation is results analyzing. This feature is vital in the platform and allows graphics visualizations and table representation for further data </w:t>
      </w:r>
      <w:r>
        <w:lastRenderedPageBreak/>
        <w:t>understanding and analysis. The switch to result analyzing is available through the left list of main features. Once the user switched there the screen looks as on Figure 19.</w:t>
      </w:r>
    </w:p>
    <w:p w14:paraId="11F90A29" w14:textId="77777777" w:rsidR="007E1952" w:rsidRDefault="007E1952" w:rsidP="007E1952">
      <w:pPr>
        <w:jc w:val="center"/>
      </w:pPr>
      <w:r>
        <w:rPr>
          <w:noProof/>
        </w:rPr>
        <w:drawing>
          <wp:inline distT="0" distB="0" distL="0" distR="0" wp14:anchorId="0C319971" wp14:editId="65D84C81">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7665"/>
                    </a:xfrm>
                    <a:prstGeom prst="rect">
                      <a:avLst/>
                    </a:prstGeom>
                  </pic:spPr>
                </pic:pic>
              </a:graphicData>
            </a:graphic>
          </wp:inline>
        </w:drawing>
      </w:r>
    </w:p>
    <w:p w14:paraId="1A07926D" w14:textId="77777777" w:rsidR="007E1952" w:rsidRDefault="007E1952" w:rsidP="007E1952">
      <w:pPr>
        <w:jc w:val="center"/>
      </w:pPr>
      <w:r>
        <w:t>Figure 19.</w:t>
      </w:r>
    </w:p>
    <w:p w14:paraId="2F89250A" w14:textId="77777777" w:rsidR="007E1952" w:rsidRDefault="007E1952" w:rsidP="007E1952">
      <w:r>
        <w:t>Sure, to analyze results the platform, first, should be pointed to the results and expects some format of them. The pointing to results is done by specifying the “result” directory. The format is the set of CSV files mentioned in “result” directory. If there are results in “reduced” directory with the same file names those results overrides the results of “result” directory. Pointing to result directory and not directly passing the results from evaluation stage allows persistency of the results and decoupling from analysis.</w:t>
      </w:r>
    </w:p>
    <w:p w14:paraId="3B5EBA92" w14:textId="77777777" w:rsidR="007E1952" w:rsidRDefault="007E1952" w:rsidP="007E1952">
      <w:r>
        <w:t>Once the “result” directory is chosen the system load and parses the available metrics. The system builds dynamically the screen according to available metrics. For example, if all metrics are chosen (Figure 16) the result will be as on Figures 20 and 21 (it is the same screen in two different scrollbar positions).</w:t>
      </w:r>
    </w:p>
    <w:p w14:paraId="3C283919" w14:textId="77777777" w:rsidR="007E1952" w:rsidRDefault="007E1952" w:rsidP="007E1952">
      <w:pPr>
        <w:jc w:val="center"/>
      </w:pPr>
      <w:r>
        <w:rPr>
          <w:noProof/>
        </w:rPr>
        <w:lastRenderedPageBreak/>
        <w:drawing>
          <wp:inline distT="0" distB="0" distL="0" distR="0" wp14:anchorId="35FBE381" wp14:editId="1B53A242">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4085"/>
                    </a:xfrm>
                    <a:prstGeom prst="rect">
                      <a:avLst/>
                    </a:prstGeom>
                  </pic:spPr>
                </pic:pic>
              </a:graphicData>
            </a:graphic>
          </wp:inline>
        </w:drawing>
      </w:r>
    </w:p>
    <w:p w14:paraId="6E23478D" w14:textId="77777777" w:rsidR="007E1952" w:rsidRDefault="007E1952" w:rsidP="007E1952">
      <w:pPr>
        <w:jc w:val="center"/>
      </w:pPr>
      <w:r>
        <w:t>Figure 20.</w:t>
      </w:r>
    </w:p>
    <w:p w14:paraId="5A7CD366" w14:textId="77777777" w:rsidR="007E1952" w:rsidRDefault="007E1952" w:rsidP="007E1952">
      <w:pPr>
        <w:jc w:val="center"/>
      </w:pPr>
      <w:r>
        <w:rPr>
          <w:noProof/>
        </w:rPr>
        <w:drawing>
          <wp:inline distT="0" distB="0" distL="0" distR="0" wp14:anchorId="72848202" wp14:editId="607C843B">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4085"/>
                    </a:xfrm>
                    <a:prstGeom prst="rect">
                      <a:avLst/>
                    </a:prstGeom>
                  </pic:spPr>
                </pic:pic>
              </a:graphicData>
            </a:graphic>
          </wp:inline>
        </w:drawing>
      </w:r>
    </w:p>
    <w:p w14:paraId="01C6CE8B" w14:textId="77777777" w:rsidR="007E1952" w:rsidRDefault="007E1952" w:rsidP="007E1952">
      <w:pPr>
        <w:jc w:val="center"/>
      </w:pPr>
      <w:r>
        <w:t>Figure 21.</w:t>
      </w:r>
    </w:p>
    <w:p w14:paraId="42EE5FD8" w14:textId="77777777" w:rsidR="007E1952" w:rsidRDefault="007E1952" w:rsidP="007E1952">
      <w:r>
        <w:t>As one can see the main screen is tabbed by category and the internal area is divided into three categories.</w:t>
      </w:r>
    </w:p>
    <w:p w14:paraId="4DDFC7E6" w14:textId="77777777" w:rsidR="007E1952" w:rsidRDefault="007E1952" w:rsidP="007E1952">
      <w:pPr>
        <w:pStyle w:val="Heading3"/>
        <w:bidi w:val="0"/>
      </w:pPr>
      <w:bookmarkStart w:id="9" w:name="_Toc6721746"/>
      <w:r>
        <w:lastRenderedPageBreak/>
        <w:t>6.5.1. Analyzing Screen Sections – Overview</w:t>
      </w:r>
      <w:bookmarkEnd w:id="9"/>
    </w:p>
    <w:p w14:paraId="1D0498A6" w14:textId="77777777" w:rsidR="007E1952" w:rsidRDefault="007E1952" w:rsidP="007E1952">
      <w:r>
        <w:t>There are three sections as it was mentioned:</w:t>
      </w:r>
    </w:p>
    <w:p w14:paraId="5460E6D4" w14:textId="77777777" w:rsidR="007E1952" w:rsidRDefault="007E1952" w:rsidP="007E1952">
      <w:pPr>
        <w:pStyle w:val="ListParagraph"/>
        <w:numPr>
          <w:ilvl w:val="0"/>
          <w:numId w:val="8"/>
        </w:numPr>
        <w:bidi w:val="0"/>
        <w:spacing w:after="160" w:line="259" w:lineRule="auto"/>
      </w:pPr>
      <w:r>
        <w:t>System</w:t>
      </w:r>
    </w:p>
    <w:p w14:paraId="24843AA5" w14:textId="77777777" w:rsidR="007E1952" w:rsidRDefault="007E1952" w:rsidP="007E1952">
      <w:pPr>
        <w:pStyle w:val="ListParagraph"/>
        <w:numPr>
          <w:ilvl w:val="0"/>
          <w:numId w:val="8"/>
        </w:numPr>
        <w:bidi w:val="0"/>
        <w:spacing w:after="160" w:line="259" w:lineRule="auto"/>
      </w:pPr>
      <w:r>
        <w:t>Topics</w:t>
      </w:r>
    </w:p>
    <w:p w14:paraId="7FCA876E" w14:textId="77777777" w:rsidR="007E1952" w:rsidRDefault="007E1952" w:rsidP="007E1952">
      <w:pPr>
        <w:pStyle w:val="ListParagraph"/>
        <w:numPr>
          <w:ilvl w:val="0"/>
          <w:numId w:val="8"/>
        </w:numPr>
        <w:bidi w:val="0"/>
        <w:spacing w:after="160" w:line="259" w:lineRule="auto"/>
      </w:pPr>
      <w:r>
        <w:t>Result Actions</w:t>
      </w:r>
    </w:p>
    <w:p w14:paraId="17BA8FB5" w14:textId="77777777" w:rsidR="007E1952" w:rsidRDefault="007E1952" w:rsidP="007E1952">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6B27D942" w14:textId="77777777" w:rsidR="007E1952" w:rsidRDefault="007E1952" w:rsidP="007E1952">
      <w:pPr>
        <w:pStyle w:val="Heading3"/>
        <w:bidi w:val="0"/>
      </w:pPr>
      <w:bookmarkStart w:id="10" w:name="_Toc6721747"/>
      <w:r>
        <w:t>6.5.2. System Section</w:t>
      </w:r>
      <w:bookmarkEnd w:id="10"/>
    </w:p>
    <w:p w14:paraId="72C6B641" w14:textId="77777777" w:rsidR="007E1952" w:rsidRDefault="007E1952" w:rsidP="007E1952">
      <w:r>
        <w:t>System section is divided into selection of concrete metric from a metric family, sections of output configurations and the desired output type selections.</w:t>
      </w:r>
    </w:p>
    <w:p w14:paraId="4C4AD06D" w14:textId="77777777" w:rsidR="007E1952" w:rsidRDefault="007E1952" w:rsidP="007E1952">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investigation.</w:t>
      </w:r>
    </w:p>
    <w:p w14:paraId="6D2AC654" w14:textId="77777777" w:rsidR="007E1952" w:rsidRDefault="007E1952" w:rsidP="007E1952">
      <w:r>
        <w:t>There are four available output types:</w:t>
      </w:r>
    </w:p>
    <w:p w14:paraId="1D077177" w14:textId="77777777" w:rsidR="007E1952" w:rsidRDefault="007E1952" w:rsidP="007E1952">
      <w:pPr>
        <w:pStyle w:val="ListParagraph"/>
        <w:numPr>
          <w:ilvl w:val="0"/>
          <w:numId w:val="11"/>
        </w:numPr>
        <w:bidi w:val="0"/>
        <w:spacing w:after="160" w:line="259" w:lineRule="auto"/>
      </w:pPr>
      <w:r>
        <w:t>Table</w:t>
      </w:r>
    </w:p>
    <w:p w14:paraId="419899E7" w14:textId="77777777" w:rsidR="007E1952" w:rsidRDefault="007E1952" w:rsidP="007E1952">
      <w:pPr>
        <w:pStyle w:val="ListParagraph"/>
        <w:numPr>
          <w:ilvl w:val="0"/>
          <w:numId w:val="11"/>
        </w:numPr>
        <w:bidi w:val="0"/>
        <w:spacing w:after="160" w:line="259" w:lineRule="auto"/>
      </w:pPr>
      <w:r>
        <w:t>Bar Chart</w:t>
      </w:r>
    </w:p>
    <w:p w14:paraId="16550B30" w14:textId="77777777" w:rsidR="007E1952" w:rsidRDefault="007E1952" w:rsidP="007E1952">
      <w:pPr>
        <w:pStyle w:val="ListParagraph"/>
        <w:numPr>
          <w:ilvl w:val="0"/>
          <w:numId w:val="11"/>
        </w:numPr>
        <w:bidi w:val="0"/>
        <w:spacing w:after="160" w:line="259" w:lineRule="auto"/>
      </w:pPr>
      <w:r>
        <w:t>Statistics</w:t>
      </w:r>
    </w:p>
    <w:p w14:paraId="579AE2DD" w14:textId="77777777" w:rsidR="007E1952" w:rsidRDefault="007E1952" w:rsidP="007E1952">
      <w:pPr>
        <w:pStyle w:val="ListParagraph"/>
        <w:numPr>
          <w:ilvl w:val="0"/>
          <w:numId w:val="11"/>
        </w:numPr>
        <w:bidi w:val="0"/>
        <w:spacing w:after="160" w:line="259" w:lineRule="auto"/>
      </w:pPr>
      <w:r>
        <w:t>Notched Box</w:t>
      </w:r>
    </w:p>
    <w:p w14:paraId="6BFE1B7D" w14:textId="77777777" w:rsidR="007E1952" w:rsidRDefault="007E1952" w:rsidP="007E1952">
      <w:r>
        <w:t>Each output button opens a non-modal dialogue window (non-modal means not blocking the main window – it is a design decision to allow multiple window with data being available on the screen).</w:t>
      </w:r>
    </w:p>
    <w:p w14:paraId="0E717722" w14:textId="77777777" w:rsidR="007E1952" w:rsidRDefault="007E1952" w:rsidP="007E1952">
      <w:r>
        <w:t xml:space="preserve">Suppose, we have selected metrics as it shown on Figure 22. The table output will be shown as a dialogue window as it appears on Figure 23. The bar chart for selection is presented on Figure 24.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1F41C68" w14:textId="77777777" w:rsidR="007E1952" w:rsidRDefault="007E1952" w:rsidP="007E1952">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format. Thus, one can save it via letting the mandatory fields for the file “Chart/Graph to File” subsection on the screen. </w:t>
      </w:r>
      <w:r w:rsidRPr="008D2BDB">
        <w:rPr>
          <w:i/>
          <w:iCs/>
        </w:rPr>
        <w:t xml:space="preserve">If the check button of saving section is specified and mandatory parameters are filled, on clicking a Chart/Graph </w:t>
      </w:r>
      <w:r>
        <w:rPr>
          <w:i/>
          <w:iCs/>
        </w:rPr>
        <w:t xml:space="preserve">button, </w:t>
      </w:r>
      <w:r w:rsidRPr="008D2BDB">
        <w:rPr>
          <w:i/>
          <w:iCs/>
        </w:rPr>
        <w:t>output file will be saved under the same ‘result’ directory which is specified in ‘Result Directory’ input section</w:t>
      </w:r>
      <w:r>
        <w:t xml:space="preserve">. Figure 25 shows the possible configuration when the Figure 26 shows the result in Chrome browser used as </w:t>
      </w:r>
      <w:proofErr w:type="gramStart"/>
      <w:r>
        <w:t>a</w:t>
      </w:r>
      <w:proofErr w:type="gramEnd"/>
      <w:r>
        <w:t xml:space="preserve"> SVG file viewer.</w:t>
      </w:r>
    </w:p>
    <w:p w14:paraId="7CF29F70" w14:textId="77777777" w:rsidR="007E1952" w:rsidRDefault="007E1952" w:rsidP="007E1952">
      <w:r>
        <w:t xml:space="preserve">‘Statistics’ and ‘Notched Box’ are primarily designed to allow a deeper statistical analysis of one concrete metric. However, it is possible to use select number of metrics. No validation on multiple </w:t>
      </w:r>
      <w:r>
        <w:lastRenderedPageBreak/>
        <w:t>metric selection exists. We think sometimes it is even useful to see comparison for the metrics in one place (especially within notched boxes, there will be an example further).</w:t>
      </w:r>
    </w:p>
    <w:p w14:paraId="02DB8DD8" w14:textId="77777777" w:rsidR="007E1952" w:rsidRDefault="007E1952" w:rsidP="007E1952">
      <w:r>
        <w:t>‘Statistics’ button performs:</w:t>
      </w:r>
    </w:p>
    <w:p w14:paraId="3BDD3837" w14:textId="77777777" w:rsidR="007E1952" w:rsidRDefault="007E1952" w:rsidP="007E1952">
      <w:pPr>
        <w:pStyle w:val="ListParagraph"/>
        <w:numPr>
          <w:ilvl w:val="0"/>
          <w:numId w:val="12"/>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30C257EC" w14:textId="77777777" w:rsidR="007E1952" w:rsidRDefault="007E1952" w:rsidP="007E1952">
      <w:pPr>
        <w:pStyle w:val="ListParagraph"/>
        <w:numPr>
          <w:ilvl w:val="0"/>
          <w:numId w:val="12"/>
        </w:numPr>
        <w:bidi w:val="0"/>
        <w:spacing w:after="160" w:line="259" w:lineRule="auto"/>
      </w:pPr>
      <w:r>
        <w:t>Further Tukey HSD test in order to find significantly different means and grouping them.</w:t>
      </w:r>
    </w:p>
    <w:p w14:paraId="2AB3BD38" w14:textId="77777777" w:rsidR="007E1952" w:rsidRDefault="007E1952" w:rsidP="007E1952">
      <w:pPr>
        <w:rPr>
          <w:rFonts w:eastAsiaTheme="minorEastAsia"/>
        </w:rPr>
      </w:pPr>
      <w:r>
        <w:t xml:space="preserve">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 straightforward and just works. Second, once there is an attempt to execute R language logic together with already discussed ‘cache’ and ‘result’ directories, ‘temp’ directory is created. This directory includes 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Pr>
          <w:rFonts w:eastAsiaTheme="minorEastAsia"/>
        </w:rPr>
        <w:t xml:space="preserve"> is not suitable and, for example, there should be </w:t>
      </w:r>
      <m:oMath>
        <m:r>
          <w:rPr>
            <w:rFonts w:ascii="Cambria Math" w:hAnsi="Cambria Math"/>
          </w:rPr>
          <m:t>α=0.01</m:t>
        </m:r>
      </m:oMath>
      <w:r>
        <w:rPr>
          <w:rFonts w:eastAsiaTheme="minorEastAsia"/>
        </w:rPr>
        <w:t xml:space="preserve"> used, 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4C6EE7EE" w14:textId="77777777" w:rsidR="007E1952" w:rsidRDefault="007E1952" w:rsidP="007E1952">
      <w:pPr>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a trivial task. There is a work that explains an algorithm how to transform the discussed matrix into letter representation </w:t>
      </w:r>
      <w:sdt>
        <w:sdtPr>
          <w:rPr>
            <w:rFonts w:eastAsiaTheme="minorEastAsia"/>
          </w:rPr>
          <w:id w:val="1826395708"/>
          <w:citation/>
        </w:sdtPr>
        <w:sdtContent>
          <w:r>
            <w:rPr>
              <w:rFonts w:eastAsiaTheme="minorEastAsia"/>
            </w:rPr>
            <w:fldChar w:fldCharType="begin"/>
          </w:r>
          <w:r>
            <w:rPr>
              <w:rFonts w:eastAsiaTheme="minorEastAsia"/>
            </w:rPr>
            <w:instrText xml:space="preserve"> CITATION Jen06 \l 1033 </w:instrText>
          </w:r>
          <w:r>
            <w:rPr>
              <w:rFonts w:eastAsiaTheme="minorEastAsia"/>
            </w:rPr>
            <w:fldChar w:fldCharType="separate"/>
          </w:r>
          <w:r w:rsidRPr="00D45564">
            <w:rPr>
              <w:rFonts w:eastAsiaTheme="minorEastAsia"/>
              <w:noProof/>
            </w:rPr>
            <w:t>(Jens Gramm, 2006)</w:t>
          </w:r>
          <w:r>
            <w:rPr>
              <w:rFonts w:eastAsiaTheme="minorEastAsia"/>
            </w:rPr>
            <w:fldChar w:fldCharType="end"/>
          </w:r>
        </w:sdtContent>
      </w:sdt>
      <w:r>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Pr>
          <w:rFonts w:eastAsiaTheme="minorEastAsia"/>
        </w:rPr>
        <w:t>agricolae</w:t>
      </w:r>
      <w:proofErr w:type="spellEnd"/>
      <w:r>
        <w:rPr>
          <w:rFonts w:eastAsiaTheme="minorEastAsia"/>
        </w:rPr>
        <w:t xml:space="preserve">’ which is available only in R language. Thus, because of our wishes to have such </w:t>
      </w:r>
      <w:proofErr w:type="gramStart"/>
      <w:r>
        <w:rPr>
          <w:rFonts w:eastAsiaTheme="minorEastAsia"/>
        </w:rPr>
        <w:t>pretty tabulated</w:t>
      </w:r>
      <w:proofErr w:type="gramEnd"/>
      <w:r>
        <w:rPr>
          <w:rFonts w:eastAsiaTheme="minorEastAsia"/>
        </w:rPr>
        <w:t xml:space="preserve"> groups we were obligated to create an interoperability with the R language. For one which is interested in how to transform the matrix to </w:t>
      </w:r>
      <w:proofErr w:type="gramStart"/>
      <w:r>
        <w:rPr>
          <w:rFonts w:eastAsiaTheme="minorEastAsia"/>
        </w:rPr>
        <w:t>pretty tabulated</w:t>
      </w:r>
      <w:proofErr w:type="gramEnd"/>
      <w:r>
        <w:rPr>
          <w:rFonts w:eastAsiaTheme="minorEastAsia"/>
        </w:rPr>
        <w:t xml:space="preserve"> groups it could be a useful task to understand and document this transformation. It was a real lack of information to understand the underlying mechanics.</w:t>
      </w:r>
    </w:p>
    <w:p w14:paraId="55C48674" w14:textId="77777777" w:rsidR="007E1952" w:rsidRDefault="007E1952" w:rsidP="007E1952">
      <w:pPr>
        <w:jc w:val="center"/>
      </w:pPr>
      <w:r>
        <w:rPr>
          <w:noProof/>
        </w:rPr>
        <w:lastRenderedPageBreak/>
        <w:drawing>
          <wp:inline distT="0" distB="0" distL="0" distR="0" wp14:anchorId="23E9AEDE" wp14:editId="56E62F8C">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28140"/>
                    </a:xfrm>
                    <a:prstGeom prst="rect">
                      <a:avLst/>
                    </a:prstGeom>
                  </pic:spPr>
                </pic:pic>
              </a:graphicData>
            </a:graphic>
          </wp:inline>
        </w:drawing>
      </w:r>
    </w:p>
    <w:p w14:paraId="6F66E6AE" w14:textId="77777777" w:rsidR="007E1952" w:rsidRDefault="007E1952" w:rsidP="007E1952">
      <w:pPr>
        <w:jc w:val="center"/>
      </w:pPr>
      <w:r>
        <w:t>Figure 22.</w:t>
      </w:r>
    </w:p>
    <w:p w14:paraId="59AC998B" w14:textId="77777777" w:rsidR="007E1952" w:rsidRDefault="007E1952" w:rsidP="007E1952">
      <w:pPr>
        <w:jc w:val="center"/>
      </w:pPr>
      <w:r>
        <w:rPr>
          <w:noProof/>
        </w:rPr>
        <w:drawing>
          <wp:inline distT="0" distB="0" distL="0" distR="0" wp14:anchorId="57BAF0D7" wp14:editId="39B63FEC">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03070"/>
                    </a:xfrm>
                    <a:prstGeom prst="rect">
                      <a:avLst/>
                    </a:prstGeom>
                  </pic:spPr>
                </pic:pic>
              </a:graphicData>
            </a:graphic>
          </wp:inline>
        </w:drawing>
      </w:r>
    </w:p>
    <w:p w14:paraId="4D8B5EE9" w14:textId="77777777" w:rsidR="007E1952" w:rsidRDefault="007E1952" w:rsidP="007E1952">
      <w:pPr>
        <w:jc w:val="center"/>
      </w:pPr>
      <w:r>
        <w:t>Figure 23.</w:t>
      </w:r>
    </w:p>
    <w:p w14:paraId="76C4DC52" w14:textId="77777777" w:rsidR="007E1952" w:rsidRDefault="007E1952" w:rsidP="007E1952">
      <w:pPr>
        <w:jc w:val="center"/>
      </w:pPr>
      <w:r>
        <w:rPr>
          <w:noProof/>
        </w:rPr>
        <w:drawing>
          <wp:inline distT="0" distB="0" distL="0" distR="0" wp14:anchorId="1FBF1614" wp14:editId="00BED2D7">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49675"/>
                    </a:xfrm>
                    <a:prstGeom prst="rect">
                      <a:avLst/>
                    </a:prstGeom>
                  </pic:spPr>
                </pic:pic>
              </a:graphicData>
            </a:graphic>
          </wp:inline>
        </w:drawing>
      </w:r>
    </w:p>
    <w:p w14:paraId="79452128" w14:textId="77777777" w:rsidR="007E1952" w:rsidRDefault="007E1952" w:rsidP="007E1952">
      <w:pPr>
        <w:jc w:val="center"/>
      </w:pPr>
      <w:r>
        <w:t>Figure 24.</w:t>
      </w:r>
    </w:p>
    <w:p w14:paraId="6C1606F8" w14:textId="77777777" w:rsidR="007E1952" w:rsidRDefault="007E1952" w:rsidP="007E1952">
      <w:pPr>
        <w:jc w:val="center"/>
      </w:pPr>
      <w:r>
        <w:rPr>
          <w:noProof/>
        </w:rPr>
        <w:lastRenderedPageBreak/>
        <w:drawing>
          <wp:inline distT="0" distB="0" distL="0" distR="0" wp14:anchorId="33AB1FDA" wp14:editId="46F1CC4E">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0975" cy="1485900"/>
                    </a:xfrm>
                    <a:prstGeom prst="rect">
                      <a:avLst/>
                    </a:prstGeom>
                  </pic:spPr>
                </pic:pic>
              </a:graphicData>
            </a:graphic>
          </wp:inline>
        </w:drawing>
      </w:r>
    </w:p>
    <w:p w14:paraId="241659A6" w14:textId="77777777" w:rsidR="007E1952" w:rsidRDefault="007E1952" w:rsidP="007E1952">
      <w:pPr>
        <w:jc w:val="center"/>
      </w:pPr>
      <w:r>
        <w:t>Figure 25.</w:t>
      </w:r>
    </w:p>
    <w:p w14:paraId="0879EB08" w14:textId="77777777" w:rsidR="007E1952" w:rsidRDefault="007E1952" w:rsidP="007E1952">
      <w:pPr>
        <w:jc w:val="center"/>
      </w:pPr>
      <w:r>
        <w:rPr>
          <w:noProof/>
        </w:rPr>
        <w:drawing>
          <wp:inline distT="0" distB="0" distL="0" distR="0" wp14:anchorId="4537B712" wp14:editId="057710E6">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92700"/>
                    </a:xfrm>
                    <a:prstGeom prst="rect">
                      <a:avLst/>
                    </a:prstGeom>
                  </pic:spPr>
                </pic:pic>
              </a:graphicData>
            </a:graphic>
          </wp:inline>
        </w:drawing>
      </w:r>
    </w:p>
    <w:p w14:paraId="483A4E73" w14:textId="77777777" w:rsidR="007E1952" w:rsidRDefault="007E1952" w:rsidP="007E1952">
      <w:pPr>
        <w:jc w:val="center"/>
      </w:pPr>
      <w:r>
        <w:t>Figure 26.</w:t>
      </w:r>
    </w:p>
    <w:p w14:paraId="7FE0629F" w14:textId="77777777" w:rsidR="007E1952" w:rsidRDefault="007E1952" w:rsidP="007E1952">
      <w:pPr>
        <w:jc w:val="center"/>
      </w:pPr>
      <w:r>
        <w:rPr>
          <w:noProof/>
        </w:rPr>
        <w:lastRenderedPageBreak/>
        <w:drawing>
          <wp:inline distT="0" distB="0" distL="0" distR="0" wp14:anchorId="43CFF57C" wp14:editId="1C097D27">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8990"/>
                    </a:xfrm>
                    <a:prstGeom prst="rect">
                      <a:avLst/>
                    </a:prstGeom>
                  </pic:spPr>
                </pic:pic>
              </a:graphicData>
            </a:graphic>
          </wp:inline>
        </w:drawing>
      </w:r>
    </w:p>
    <w:p w14:paraId="5E346D96" w14:textId="77777777" w:rsidR="007E1952" w:rsidRPr="005A0C6B" w:rsidRDefault="007E1952" w:rsidP="007E1952">
      <w:pPr>
        <w:jc w:val="center"/>
      </w:pPr>
      <w:r>
        <w:t>Figure 27.</w:t>
      </w:r>
    </w:p>
    <w:p w14:paraId="1C5D0F34" w14:textId="77777777" w:rsidR="007E1952" w:rsidRDefault="007E1952" w:rsidP="007E1952"/>
    <w:p w14:paraId="391CED19" w14:textId="77777777" w:rsidR="007E1952" w:rsidRDefault="007E1952" w:rsidP="007E1952">
      <w:pPr>
        <w:pStyle w:val="Heading3"/>
        <w:bidi w:val="0"/>
      </w:pPr>
      <w:bookmarkStart w:id="11" w:name="_Toc6721748"/>
      <w:r>
        <w:t>6.5.3. Notched Box Graph</w:t>
      </w:r>
      <w:bookmarkEnd w:id="11"/>
    </w:p>
    <w:p w14:paraId="25C09C32" w14:textId="77777777" w:rsidR="007E1952" w:rsidRDefault="007E1952" w:rsidP="007E1952">
      <w:r>
        <w:t>Notched box plots are widely used technique to display data sets. As one of our challenges to provide a useful tool for a researcher we would like to combine the pretty tabulated groups for Tukey HSD test. There is a library in R language called ‘</w:t>
      </w:r>
      <w:proofErr w:type="spellStart"/>
      <w:r w:rsidRPr="002A0EB9">
        <w:t>glht</w:t>
      </w:r>
      <w:proofErr w:type="spellEnd"/>
      <w:r>
        <w:t xml:space="preserve">’ which can render letter groups however those groups are not </w:t>
      </w:r>
      <w:proofErr w:type="gramStart"/>
      <w:r>
        <w:t>pretty tabulated</w:t>
      </w:r>
      <w:proofErr w:type="gramEnd"/>
      <w:r>
        <w:t>. We are not aware about existence of the tool that can render groups with the notched boxes. Thus, for us it was an opportunity for one step forward to allow such analysis. As well, researcher can use the graphical output to use it without duplication of notched boxes and table output. The resolution of the notched boxes is almost the same as tables – it has first quantile, median, second quantile and null hypothesis test with approximate 95% confidence.</w:t>
      </w:r>
    </w:p>
    <w:p w14:paraId="6934E1E9" w14:textId="77777777" w:rsidR="007E1952" w:rsidRDefault="007E1952" w:rsidP="007E1952">
      <w:r>
        <w:t>As well, we w</w:t>
      </w:r>
      <w:bookmarkStart w:id="12" w:name="_GoBack"/>
      <w:bookmarkEnd w:id="12"/>
      <w:r>
        <w:t>ould like to combine the notched box plots with one dimensional jittered scatter plot. One dimensional jittered scatter plot nicely shows the data distribution. Combination with notched box plots (and HSD Test letter groups) might give a good statistical tool.</w:t>
      </w:r>
    </w:p>
    <w:p w14:paraId="2CCB86E1" w14:textId="77777777" w:rsidR="007E1952" w:rsidRDefault="007E1952" w:rsidP="007E1952">
      <w:r>
        <w:t>The notched box plot is rendered by pressing ‘Notched Boxes’ button. Configuration of notched box output is available through the ‘Notched Box Configuration’ section. Figure 28 shows notched boxes without jittered scatter plot and letter groups (red big dots are notched box outliers). Figure 29 is the same metric drawing but with groups enabled. On Figure 30 jittered scatter plot is added. When more than one metric is added to notched boxes (to see overall metrics correlation) it is useful to distinct what metric are. This can be achieved by selecting ‘Full Metric Legend’. The example is shown on Figure 31.</w:t>
      </w:r>
    </w:p>
    <w:p w14:paraId="17023A69" w14:textId="77777777" w:rsidR="007E1952" w:rsidRDefault="007E1952" w:rsidP="007E1952">
      <w:pPr>
        <w:jc w:val="center"/>
      </w:pPr>
      <w:r>
        <w:rPr>
          <w:noProof/>
        </w:rPr>
        <w:lastRenderedPageBreak/>
        <w:drawing>
          <wp:inline distT="0" distB="0" distL="0" distR="0" wp14:anchorId="3312F23F" wp14:editId="78E433C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6914" cy="3287254"/>
                    </a:xfrm>
                    <a:prstGeom prst="rect">
                      <a:avLst/>
                    </a:prstGeom>
                  </pic:spPr>
                </pic:pic>
              </a:graphicData>
            </a:graphic>
          </wp:inline>
        </w:drawing>
      </w:r>
    </w:p>
    <w:p w14:paraId="4B878B5C" w14:textId="77777777" w:rsidR="007E1952" w:rsidRDefault="007E1952" w:rsidP="007E1952">
      <w:pPr>
        <w:jc w:val="center"/>
      </w:pPr>
      <w:r>
        <w:t>Figure 28.</w:t>
      </w:r>
    </w:p>
    <w:p w14:paraId="29FA319F" w14:textId="77777777" w:rsidR="007E1952" w:rsidRDefault="007E1952" w:rsidP="007E1952">
      <w:pPr>
        <w:jc w:val="center"/>
      </w:pPr>
      <w:r>
        <w:rPr>
          <w:noProof/>
        </w:rPr>
        <w:drawing>
          <wp:inline distT="0" distB="0" distL="0" distR="0" wp14:anchorId="65A236EC" wp14:editId="1B21E469">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779" cy="3572772"/>
                    </a:xfrm>
                    <a:prstGeom prst="rect">
                      <a:avLst/>
                    </a:prstGeom>
                  </pic:spPr>
                </pic:pic>
              </a:graphicData>
            </a:graphic>
          </wp:inline>
        </w:drawing>
      </w:r>
    </w:p>
    <w:p w14:paraId="7E4E7B7F" w14:textId="77777777" w:rsidR="007E1952" w:rsidRDefault="007E1952" w:rsidP="007E1952">
      <w:pPr>
        <w:jc w:val="center"/>
      </w:pPr>
      <w:r>
        <w:t>Figure 29.</w:t>
      </w:r>
    </w:p>
    <w:p w14:paraId="23E4B611" w14:textId="77777777" w:rsidR="007E1952" w:rsidRDefault="007E1952" w:rsidP="007E1952">
      <w:pPr>
        <w:jc w:val="center"/>
      </w:pPr>
      <w:r>
        <w:rPr>
          <w:noProof/>
        </w:rPr>
        <w:lastRenderedPageBreak/>
        <w:drawing>
          <wp:inline distT="0" distB="0" distL="0" distR="0" wp14:anchorId="7E446077" wp14:editId="2035AAA5">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4473" cy="3620602"/>
                    </a:xfrm>
                    <a:prstGeom prst="rect">
                      <a:avLst/>
                    </a:prstGeom>
                  </pic:spPr>
                </pic:pic>
              </a:graphicData>
            </a:graphic>
          </wp:inline>
        </w:drawing>
      </w:r>
    </w:p>
    <w:p w14:paraId="182978A1" w14:textId="77777777" w:rsidR="007E1952" w:rsidRDefault="007E1952" w:rsidP="007E1952">
      <w:pPr>
        <w:jc w:val="center"/>
      </w:pPr>
      <w:r>
        <w:t>Figure 30.</w:t>
      </w:r>
    </w:p>
    <w:p w14:paraId="0A0572C9" w14:textId="77777777" w:rsidR="007E1952" w:rsidRDefault="007E1952" w:rsidP="007E1952">
      <w:pPr>
        <w:jc w:val="center"/>
      </w:pPr>
      <w:r>
        <w:rPr>
          <w:noProof/>
        </w:rPr>
        <w:drawing>
          <wp:inline distT="0" distB="0" distL="0" distR="0" wp14:anchorId="45E047B2" wp14:editId="482B43A4">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9900" cy="3769859"/>
                    </a:xfrm>
                    <a:prstGeom prst="rect">
                      <a:avLst/>
                    </a:prstGeom>
                  </pic:spPr>
                </pic:pic>
              </a:graphicData>
            </a:graphic>
          </wp:inline>
        </w:drawing>
      </w:r>
    </w:p>
    <w:p w14:paraId="0E1148A3" w14:textId="77777777" w:rsidR="007E1952" w:rsidRDefault="007E1952" w:rsidP="007E1952">
      <w:pPr>
        <w:jc w:val="center"/>
      </w:pPr>
      <w:r>
        <w:t>Figure 31.</w:t>
      </w:r>
    </w:p>
    <w:p w14:paraId="481C50DC" w14:textId="77777777" w:rsidR="007E1952" w:rsidRDefault="007E1952" w:rsidP="007E1952">
      <w:r>
        <w:lastRenderedPageBreak/>
        <w:t xml:space="preserve">This section would not be existing without a very good book about data visualization techniques </w:t>
      </w:r>
      <w:sdt>
        <w:sdtPr>
          <w:id w:val="26225399"/>
          <w:citation/>
        </w:sdtPr>
        <w:sdtContent>
          <w:r>
            <w:fldChar w:fldCharType="begin"/>
          </w:r>
          <w:r>
            <w:instrText xml:space="preserve"> CITATION Joh83 \l 1033 </w:instrText>
          </w:r>
          <w:r>
            <w:fldChar w:fldCharType="separate"/>
          </w:r>
          <w:r>
            <w:rPr>
              <w:noProof/>
            </w:rPr>
            <w:t>(John M. Chambers, 1983)</w:t>
          </w:r>
          <w:r>
            <w:fldChar w:fldCharType="end"/>
          </w:r>
        </w:sdtContent>
      </w:sdt>
      <w:r>
        <w:t>. Although many books exist today but we have found this book especially useful. The book could be considered old, but relatively to others the book gives an excellent source for statistical data analysis. Newer books by our opinion suffer from the lack of information about statistical graphical tools being extensive in data visualization in general. For instance, finding information about how to draw a notched box was not trivial. The explanation of what a notched box means was even less successive. One who is interested understanding both aspects can refer to the relevant book sections that crystal clearly explain both. 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0156D1E1" w14:textId="77777777" w:rsidR="007E1952" w:rsidRDefault="007E1952" w:rsidP="007E1952">
      <w:pPr>
        <w:pStyle w:val="Heading3"/>
        <w:bidi w:val="0"/>
      </w:pPr>
      <w:bookmarkStart w:id="13" w:name="_Toc6721749"/>
      <w:r>
        <w:t>6.5.4. Topics Section</w:t>
      </w:r>
      <w:bookmarkEnd w:id="13"/>
    </w:p>
    <w:p w14:paraId="7ABE62ED" w14:textId="77777777" w:rsidR="007E1952" w:rsidRDefault="007E1952" w:rsidP="007E1952">
      <w:r>
        <w:t xml:space="preserve">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w:t>
      </w:r>
      <w:proofErr w:type="gramStart"/>
      <w:r>
        <w:t>definitely could</w:t>
      </w:r>
      <w:proofErr w:type="gramEnd"/>
      <w:r>
        <w:t xml:space="preserve"> be considered as a benefit. The section like the ‘System’ is split into three parts: metric selection, output configuration and output options (buttons) as on Figure 21.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4E61528" w14:textId="77777777" w:rsidR="007E1952" w:rsidRDefault="007E1952" w:rsidP="007E1952">
      <w:pPr>
        <w:pStyle w:val="Heading3"/>
        <w:bidi w:val="0"/>
      </w:pPr>
      <w:bookmarkStart w:id="14" w:name="_Toc6721750"/>
      <w:r>
        <w:t>6.5.5. Metric Heat</w:t>
      </w:r>
      <w:bookmarkEnd w:id="14"/>
    </w:p>
    <w:p w14:paraId="39C69D09" w14:textId="77777777" w:rsidR="007E1952" w:rsidRDefault="007E1952" w:rsidP="007E1952">
      <w:r>
        <w:t xml:space="preserve">To see the overall picture of how a summarizing system behaves a user can use the ‘All Metrics Avg Heat’ (user may select nothing, since it is an overall picture). As the result, the table with colored cells shown, Figure 32. Each cell is colored proportionally to difference 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138345B4" w14:textId="77777777" w:rsidR="007E1952" w:rsidRDefault="007E1952" w:rsidP="007E1952">
      <w:pPr>
        <w:pStyle w:val="ListParagraph"/>
        <w:numPr>
          <w:ilvl w:val="0"/>
          <w:numId w:val="13"/>
        </w:numPr>
        <w:bidi w:val="0"/>
      </w:pPr>
      <w:r>
        <w:t>According to Table 2 it is decided how to consider the concrete metric difference.</w:t>
      </w:r>
    </w:p>
    <w:p w14:paraId="2E15BF4B" w14:textId="77777777" w:rsidR="007E1952" w:rsidRDefault="007E1952" w:rsidP="007E1952">
      <w:pPr>
        <w:pStyle w:val="ListParagraph"/>
        <w:numPr>
          <w:ilvl w:val="0"/>
          <w:numId w:val="13"/>
        </w:numPr>
        <w:bidi w:val="0"/>
      </w:pPr>
      <w:r>
        <w:t>The green color is treated as improvement. The red color is treated as degradation. As much a color closer to white color as less difference it has from the topic (original document) value.</w:t>
      </w:r>
    </w:p>
    <w:p w14:paraId="13585CDE" w14:textId="77777777" w:rsidR="007E1952" w:rsidRDefault="007E1952" w:rsidP="007E1952">
      <w:pPr>
        <w:pStyle w:val="ListParagraph"/>
        <w:numPr>
          <w:ilvl w:val="0"/>
          <w:numId w:val="13"/>
        </w:numPr>
        <w:bidi w:val="0"/>
      </w:pPr>
      <w:r>
        <w:t>The ‘most’ green/red color is getting to most far (max/min) value for the concrete metric value (for example, noun ratio). That is, the color palette is calculated per each row in the table.</w:t>
      </w:r>
    </w:p>
    <w:p w14:paraId="3FEF621A" w14:textId="77777777" w:rsidR="007E1952" w:rsidRDefault="007E1952" w:rsidP="007E1952">
      <w:pPr>
        <w:ind w:left="360"/>
      </w:pPr>
      <w:r>
        <w:t>If it is desired to know the difference in deeper level – how a summarizing system behaves per concrete document, user can use the ‘Metric Heat’ output (but one concrete metric should be selected). Figure 32 shows the possible result (Normalized average sentence length is selected. Last Avg row is identical to row of all average results).</w:t>
      </w:r>
    </w:p>
    <w:p w14:paraId="5D9354CA" w14:textId="77777777" w:rsidR="007E1952" w:rsidRDefault="007E1952" w:rsidP="007E1952">
      <w:pPr>
        <w:ind w:left="360"/>
      </w:pPr>
      <w:r>
        <w:lastRenderedPageBreak/>
        <w:t>There is an option to save the table output as an HTML file. The only action required from user is to give a name in ‘Save Heat Map as HTML’ section. As with SVG files, the file will be saved under the same ‘result’ directory which ‘Analyze Results’ works on. Table 3 demonstrates an example of such embedding.</w:t>
      </w:r>
    </w:p>
    <w:p w14:paraId="78289EF3" w14:textId="77777777" w:rsidR="007E1952" w:rsidRDefault="007E1952" w:rsidP="007E1952">
      <w:pPr>
        <w:jc w:val="center"/>
      </w:pPr>
      <w:r>
        <w:rPr>
          <w:noProof/>
        </w:rPr>
        <w:drawing>
          <wp:inline distT="0" distB="0" distL="0" distR="0" wp14:anchorId="3ECECB76" wp14:editId="1E604264">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35680"/>
                    </a:xfrm>
                    <a:prstGeom prst="rect">
                      <a:avLst/>
                    </a:prstGeom>
                  </pic:spPr>
                </pic:pic>
              </a:graphicData>
            </a:graphic>
          </wp:inline>
        </w:drawing>
      </w:r>
    </w:p>
    <w:p w14:paraId="4966BAC0" w14:textId="77777777" w:rsidR="007E1952" w:rsidRDefault="007E1952" w:rsidP="007E1952">
      <w:pPr>
        <w:jc w:val="center"/>
      </w:pPr>
      <w:r>
        <w:t>Figure 32.</w:t>
      </w:r>
    </w:p>
    <w:p w14:paraId="051735F0" w14:textId="77777777" w:rsidR="007E1952" w:rsidRDefault="007E1952" w:rsidP="007E1952">
      <w:pPr>
        <w:jc w:val="center"/>
      </w:pPr>
      <w:r>
        <w:rPr>
          <w:noProof/>
        </w:rPr>
        <w:lastRenderedPageBreak/>
        <w:drawing>
          <wp:inline distT="0" distB="0" distL="0" distR="0" wp14:anchorId="6DDFA59B" wp14:editId="37E11CC0">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5375"/>
                    </a:xfrm>
                    <a:prstGeom prst="rect">
                      <a:avLst/>
                    </a:prstGeom>
                  </pic:spPr>
                </pic:pic>
              </a:graphicData>
            </a:graphic>
          </wp:inline>
        </w:drawing>
      </w:r>
    </w:p>
    <w:p w14:paraId="667CF806" w14:textId="77777777" w:rsidR="007E1952" w:rsidRDefault="007E1952" w:rsidP="007E1952">
      <w:pPr>
        <w:jc w:val="center"/>
      </w:pPr>
      <w:r>
        <w:t>Figure 32.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01"/>
        <w:gridCol w:w="739"/>
        <w:gridCol w:w="739"/>
        <w:gridCol w:w="739"/>
        <w:gridCol w:w="739"/>
        <w:gridCol w:w="739"/>
        <w:gridCol w:w="733"/>
        <w:gridCol w:w="739"/>
        <w:gridCol w:w="739"/>
        <w:gridCol w:w="739"/>
        <w:gridCol w:w="748"/>
      </w:tblGrid>
      <w:tr w:rsidR="007E1952" w:rsidRPr="00290402" w14:paraId="27A11C2D" w14:textId="77777777" w:rsidTr="0008293F">
        <w:trPr>
          <w:tblHeader/>
          <w:tblCellSpacing w:w="15" w:type="dxa"/>
          <w:jc w:val="center"/>
        </w:trPr>
        <w:tc>
          <w:tcPr>
            <w:tcW w:w="0" w:type="auto"/>
            <w:vAlign w:val="center"/>
            <w:hideMark/>
          </w:tcPr>
          <w:p w14:paraId="6343F51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topic</w:t>
            </w:r>
          </w:p>
        </w:tc>
        <w:tc>
          <w:tcPr>
            <w:tcW w:w="0" w:type="auto"/>
            <w:vAlign w:val="center"/>
            <w:hideMark/>
          </w:tcPr>
          <w:p w14:paraId="411E574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sysid01</w:t>
            </w:r>
          </w:p>
        </w:tc>
        <w:tc>
          <w:tcPr>
            <w:tcW w:w="0" w:type="auto"/>
            <w:vAlign w:val="center"/>
            <w:hideMark/>
          </w:tcPr>
          <w:p w14:paraId="4408576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sysid02</w:t>
            </w:r>
          </w:p>
        </w:tc>
        <w:tc>
          <w:tcPr>
            <w:tcW w:w="0" w:type="auto"/>
            <w:vAlign w:val="center"/>
            <w:hideMark/>
          </w:tcPr>
          <w:p w14:paraId="0F0CEA6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sysid03</w:t>
            </w:r>
          </w:p>
        </w:tc>
        <w:tc>
          <w:tcPr>
            <w:tcW w:w="0" w:type="auto"/>
            <w:vAlign w:val="center"/>
            <w:hideMark/>
          </w:tcPr>
          <w:p w14:paraId="7D8818F2"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sysid04</w:t>
            </w:r>
          </w:p>
        </w:tc>
        <w:tc>
          <w:tcPr>
            <w:tcW w:w="0" w:type="auto"/>
            <w:vAlign w:val="center"/>
            <w:hideMark/>
          </w:tcPr>
          <w:p w14:paraId="6932055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sysid05</w:t>
            </w:r>
          </w:p>
        </w:tc>
        <w:tc>
          <w:tcPr>
            <w:tcW w:w="0" w:type="auto"/>
            <w:vAlign w:val="center"/>
            <w:hideMark/>
          </w:tcPr>
          <w:p w14:paraId="3F036CD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sysid06</w:t>
            </w:r>
          </w:p>
        </w:tc>
        <w:tc>
          <w:tcPr>
            <w:tcW w:w="0" w:type="auto"/>
            <w:vAlign w:val="center"/>
            <w:hideMark/>
          </w:tcPr>
          <w:p w14:paraId="017246BA"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sysid07</w:t>
            </w:r>
          </w:p>
        </w:tc>
        <w:tc>
          <w:tcPr>
            <w:tcW w:w="0" w:type="auto"/>
            <w:vAlign w:val="center"/>
            <w:hideMark/>
          </w:tcPr>
          <w:p w14:paraId="180FF4E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sysid08</w:t>
            </w:r>
          </w:p>
        </w:tc>
        <w:tc>
          <w:tcPr>
            <w:tcW w:w="0" w:type="auto"/>
            <w:vAlign w:val="center"/>
            <w:hideMark/>
          </w:tcPr>
          <w:p w14:paraId="37334FF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sysid09</w:t>
            </w:r>
          </w:p>
        </w:tc>
        <w:tc>
          <w:tcPr>
            <w:tcW w:w="0" w:type="auto"/>
            <w:vAlign w:val="center"/>
            <w:hideMark/>
          </w:tcPr>
          <w:p w14:paraId="46904482"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sysid10</w:t>
            </w:r>
          </w:p>
        </w:tc>
      </w:tr>
      <w:tr w:rsidR="007E1952" w:rsidRPr="00290402" w14:paraId="31071CD4" w14:textId="77777777" w:rsidTr="0008293F">
        <w:trPr>
          <w:tblCellSpacing w:w="15" w:type="dxa"/>
          <w:jc w:val="center"/>
        </w:trPr>
        <w:tc>
          <w:tcPr>
            <w:tcW w:w="0" w:type="auto"/>
            <w:vAlign w:val="center"/>
            <w:hideMark/>
          </w:tcPr>
          <w:p w14:paraId="6AC2A1D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M000</w:t>
            </w:r>
          </w:p>
        </w:tc>
        <w:tc>
          <w:tcPr>
            <w:tcW w:w="0" w:type="auto"/>
            <w:shd w:val="clear" w:color="auto" w:fill="FDFFFD"/>
            <w:vAlign w:val="center"/>
            <w:hideMark/>
          </w:tcPr>
          <w:p w14:paraId="47C8B25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-0.0005</w:t>
            </w:r>
          </w:p>
        </w:tc>
        <w:tc>
          <w:tcPr>
            <w:tcW w:w="0" w:type="auto"/>
            <w:shd w:val="clear" w:color="auto" w:fill="A8FFA8"/>
            <w:vAlign w:val="center"/>
            <w:hideMark/>
          </w:tcPr>
          <w:p w14:paraId="796E94A2"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-0.0161</w:t>
            </w:r>
          </w:p>
        </w:tc>
        <w:tc>
          <w:tcPr>
            <w:tcW w:w="0" w:type="auto"/>
            <w:shd w:val="clear" w:color="auto" w:fill="FEFFFE"/>
            <w:vAlign w:val="center"/>
            <w:hideMark/>
          </w:tcPr>
          <w:p w14:paraId="224913A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-0.0004</w:t>
            </w:r>
          </w:p>
        </w:tc>
        <w:tc>
          <w:tcPr>
            <w:tcW w:w="0" w:type="auto"/>
            <w:shd w:val="clear" w:color="auto" w:fill="FFFAFA"/>
            <w:vAlign w:val="center"/>
            <w:hideMark/>
          </w:tcPr>
          <w:p w14:paraId="68847B0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0.0032</w:t>
            </w:r>
          </w:p>
        </w:tc>
        <w:tc>
          <w:tcPr>
            <w:tcW w:w="0" w:type="auto"/>
            <w:shd w:val="clear" w:color="auto" w:fill="00FF00"/>
            <w:vAlign w:val="center"/>
            <w:hideMark/>
          </w:tcPr>
          <w:p w14:paraId="3D70E20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-0.0471</w:t>
            </w:r>
          </w:p>
        </w:tc>
        <w:tc>
          <w:tcPr>
            <w:tcW w:w="0" w:type="auto"/>
            <w:shd w:val="clear" w:color="auto" w:fill="FF8585"/>
            <w:vAlign w:val="center"/>
            <w:hideMark/>
          </w:tcPr>
          <w:p w14:paraId="2E9C3DF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0.0733</w:t>
            </w:r>
          </w:p>
        </w:tc>
        <w:tc>
          <w:tcPr>
            <w:tcW w:w="0" w:type="auto"/>
            <w:shd w:val="clear" w:color="auto" w:fill="BBFFBB"/>
            <w:vAlign w:val="center"/>
            <w:hideMark/>
          </w:tcPr>
          <w:p w14:paraId="3B0256F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BFFFBF"/>
            <w:vAlign w:val="center"/>
            <w:hideMark/>
          </w:tcPr>
          <w:p w14:paraId="63CF35F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6EFF6E"/>
            <w:vAlign w:val="center"/>
            <w:hideMark/>
          </w:tcPr>
          <w:p w14:paraId="1F55543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F0000"/>
            <w:vAlign w:val="center"/>
            <w:hideMark/>
          </w:tcPr>
          <w:p w14:paraId="278B960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0.1528</w:t>
            </w:r>
          </w:p>
        </w:tc>
      </w:tr>
      <w:tr w:rsidR="007E1952" w:rsidRPr="00290402" w14:paraId="7DB82E6F" w14:textId="77777777" w:rsidTr="0008293F">
        <w:trPr>
          <w:tblCellSpacing w:w="15" w:type="dxa"/>
          <w:jc w:val="center"/>
        </w:trPr>
        <w:tc>
          <w:tcPr>
            <w:tcW w:w="0" w:type="auto"/>
            <w:vAlign w:val="center"/>
            <w:hideMark/>
          </w:tcPr>
          <w:p w14:paraId="78E9B0C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M001</w:t>
            </w:r>
          </w:p>
        </w:tc>
        <w:tc>
          <w:tcPr>
            <w:tcW w:w="0" w:type="auto"/>
            <w:shd w:val="clear" w:color="auto" w:fill="8FFF8F"/>
            <w:vAlign w:val="center"/>
            <w:hideMark/>
          </w:tcPr>
          <w:p w14:paraId="382FB23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-0.0174</w:t>
            </w:r>
          </w:p>
        </w:tc>
        <w:tc>
          <w:tcPr>
            <w:tcW w:w="0" w:type="auto"/>
            <w:shd w:val="clear" w:color="auto" w:fill="69FF69"/>
            <w:vAlign w:val="center"/>
            <w:hideMark/>
          </w:tcPr>
          <w:p w14:paraId="18D5900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-0.0232</w:t>
            </w:r>
          </w:p>
        </w:tc>
        <w:tc>
          <w:tcPr>
            <w:tcW w:w="0" w:type="auto"/>
            <w:shd w:val="clear" w:color="auto" w:fill="FFE9E9"/>
            <w:vAlign w:val="center"/>
            <w:hideMark/>
          </w:tcPr>
          <w:p w14:paraId="5403030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0.0188</w:t>
            </w:r>
          </w:p>
        </w:tc>
        <w:tc>
          <w:tcPr>
            <w:tcW w:w="0" w:type="auto"/>
            <w:shd w:val="clear" w:color="auto" w:fill="D9FFD9"/>
            <w:vAlign w:val="center"/>
            <w:hideMark/>
          </w:tcPr>
          <w:p w14:paraId="129917D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CAFFCA"/>
            <w:vAlign w:val="center"/>
            <w:hideMark/>
          </w:tcPr>
          <w:p w14:paraId="163542B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-0.0082</w:t>
            </w:r>
          </w:p>
        </w:tc>
        <w:tc>
          <w:tcPr>
            <w:tcW w:w="0" w:type="auto"/>
            <w:shd w:val="clear" w:color="auto" w:fill="FF0000"/>
            <w:vAlign w:val="center"/>
            <w:hideMark/>
          </w:tcPr>
          <w:p w14:paraId="144D409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0.2133</w:t>
            </w:r>
          </w:p>
        </w:tc>
        <w:tc>
          <w:tcPr>
            <w:tcW w:w="0" w:type="auto"/>
            <w:shd w:val="clear" w:color="auto" w:fill="FFF8F8"/>
            <w:vAlign w:val="center"/>
            <w:hideMark/>
          </w:tcPr>
          <w:p w14:paraId="72B4DAF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01FF01"/>
            <w:vAlign w:val="center"/>
            <w:hideMark/>
          </w:tcPr>
          <w:p w14:paraId="1F403ED2"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-0.0393</w:t>
            </w:r>
          </w:p>
        </w:tc>
        <w:tc>
          <w:tcPr>
            <w:tcW w:w="0" w:type="auto"/>
            <w:shd w:val="clear" w:color="auto" w:fill="FFAFAF"/>
            <w:vAlign w:val="center"/>
            <w:hideMark/>
          </w:tcPr>
          <w:p w14:paraId="7EB6CE1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0.0671</w:t>
            </w:r>
          </w:p>
        </w:tc>
        <w:tc>
          <w:tcPr>
            <w:tcW w:w="0" w:type="auto"/>
            <w:shd w:val="clear" w:color="auto" w:fill="FF9797"/>
            <w:vAlign w:val="center"/>
            <w:hideMark/>
          </w:tcPr>
          <w:p w14:paraId="460D0CF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0.0873</w:t>
            </w:r>
          </w:p>
        </w:tc>
      </w:tr>
      <w:tr w:rsidR="007E1952" w:rsidRPr="00290402" w14:paraId="7A713991" w14:textId="77777777" w:rsidTr="0008293F">
        <w:trPr>
          <w:tblCellSpacing w:w="15" w:type="dxa"/>
          <w:jc w:val="center"/>
        </w:trPr>
        <w:tc>
          <w:tcPr>
            <w:tcW w:w="0" w:type="auto"/>
            <w:vAlign w:val="center"/>
            <w:hideMark/>
          </w:tcPr>
          <w:p w14:paraId="1DDA4114"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M002</w:t>
            </w:r>
          </w:p>
        </w:tc>
        <w:tc>
          <w:tcPr>
            <w:tcW w:w="0" w:type="auto"/>
            <w:shd w:val="clear" w:color="auto" w:fill="C4FFC4"/>
            <w:vAlign w:val="center"/>
            <w:hideMark/>
          </w:tcPr>
          <w:p w14:paraId="58FF4D5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-0.0095</w:t>
            </w:r>
          </w:p>
        </w:tc>
        <w:tc>
          <w:tcPr>
            <w:tcW w:w="0" w:type="auto"/>
            <w:shd w:val="clear" w:color="auto" w:fill="57FF57"/>
            <w:vAlign w:val="center"/>
            <w:hideMark/>
          </w:tcPr>
          <w:p w14:paraId="554701D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4FFF4"/>
            <w:vAlign w:val="center"/>
            <w:hideMark/>
          </w:tcPr>
          <w:p w14:paraId="201E328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-0.0019</w:t>
            </w:r>
          </w:p>
        </w:tc>
        <w:tc>
          <w:tcPr>
            <w:tcW w:w="0" w:type="auto"/>
            <w:shd w:val="clear" w:color="auto" w:fill="FFEAEA"/>
            <w:vAlign w:val="center"/>
            <w:hideMark/>
          </w:tcPr>
          <w:p w14:paraId="418633D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01FF01"/>
            <w:vAlign w:val="center"/>
            <w:hideMark/>
          </w:tcPr>
          <w:p w14:paraId="547EEF02"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-0.0406</w:t>
            </w:r>
          </w:p>
        </w:tc>
        <w:tc>
          <w:tcPr>
            <w:tcW w:w="0" w:type="auto"/>
            <w:shd w:val="clear" w:color="auto" w:fill="FF5252"/>
            <w:vAlign w:val="center"/>
            <w:hideMark/>
          </w:tcPr>
          <w:p w14:paraId="24A3F2E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0.1003</w:t>
            </w:r>
          </w:p>
        </w:tc>
        <w:tc>
          <w:tcPr>
            <w:tcW w:w="0" w:type="auto"/>
            <w:shd w:val="clear" w:color="auto" w:fill="DFFFDF"/>
            <w:vAlign w:val="center"/>
            <w:hideMark/>
          </w:tcPr>
          <w:p w14:paraId="40AA2CD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8DFF8D"/>
            <w:vAlign w:val="center"/>
            <w:hideMark/>
          </w:tcPr>
          <w:p w14:paraId="5B87BC7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B0FFB0"/>
            <w:vAlign w:val="center"/>
            <w:hideMark/>
          </w:tcPr>
          <w:p w14:paraId="01558164"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FF0000"/>
            <w:vAlign w:val="center"/>
            <w:hideMark/>
          </w:tcPr>
          <w:p w14:paraId="4851853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0.1477</w:t>
            </w:r>
          </w:p>
        </w:tc>
      </w:tr>
      <w:tr w:rsidR="007E1952" w:rsidRPr="00290402" w14:paraId="39F7B716" w14:textId="77777777" w:rsidTr="0008293F">
        <w:trPr>
          <w:tblCellSpacing w:w="15" w:type="dxa"/>
          <w:jc w:val="center"/>
        </w:trPr>
        <w:tc>
          <w:tcPr>
            <w:tcW w:w="0" w:type="auto"/>
            <w:vAlign w:val="center"/>
            <w:hideMark/>
          </w:tcPr>
          <w:p w14:paraId="64BA751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M003</w:t>
            </w:r>
          </w:p>
        </w:tc>
        <w:tc>
          <w:tcPr>
            <w:tcW w:w="0" w:type="auto"/>
            <w:shd w:val="clear" w:color="auto" w:fill="32FF32"/>
            <w:vAlign w:val="center"/>
            <w:hideMark/>
          </w:tcPr>
          <w:p w14:paraId="602C136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-0.0248</w:t>
            </w:r>
          </w:p>
        </w:tc>
        <w:tc>
          <w:tcPr>
            <w:tcW w:w="0" w:type="auto"/>
            <w:shd w:val="clear" w:color="auto" w:fill="09FF09"/>
            <w:vAlign w:val="center"/>
            <w:hideMark/>
          </w:tcPr>
          <w:p w14:paraId="15F255C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-0.0297</w:t>
            </w:r>
          </w:p>
        </w:tc>
        <w:tc>
          <w:tcPr>
            <w:tcW w:w="0" w:type="auto"/>
            <w:shd w:val="clear" w:color="auto" w:fill="ECFFEC"/>
            <w:vAlign w:val="center"/>
            <w:hideMark/>
          </w:tcPr>
          <w:p w14:paraId="0CD08B1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-0.0024</w:t>
            </w:r>
          </w:p>
        </w:tc>
        <w:tc>
          <w:tcPr>
            <w:tcW w:w="0" w:type="auto"/>
            <w:shd w:val="clear" w:color="auto" w:fill="00FF00"/>
            <w:vAlign w:val="center"/>
            <w:hideMark/>
          </w:tcPr>
          <w:p w14:paraId="3774606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-0.0307</w:t>
            </w:r>
          </w:p>
        </w:tc>
        <w:tc>
          <w:tcPr>
            <w:tcW w:w="0" w:type="auto"/>
            <w:shd w:val="clear" w:color="auto" w:fill="FFE8E8"/>
            <w:vAlign w:val="center"/>
            <w:hideMark/>
          </w:tcPr>
          <w:p w14:paraId="06A3E72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D1D1"/>
            <w:vAlign w:val="center"/>
            <w:hideMark/>
          </w:tcPr>
          <w:p w14:paraId="58E692E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0.0305</w:t>
            </w:r>
          </w:p>
        </w:tc>
        <w:tc>
          <w:tcPr>
            <w:tcW w:w="0" w:type="auto"/>
            <w:shd w:val="clear" w:color="auto" w:fill="FFFBFB"/>
            <w:vAlign w:val="center"/>
            <w:hideMark/>
          </w:tcPr>
          <w:p w14:paraId="209FD2A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0.0031</w:t>
            </w:r>
          </w:p>
        </w:tc>
        <w:tc>
          <w:tcPr>
            <w:tcW w:w="0" w:type="auto"/>
            <w:shd w:val="clear" w:color="auto" w:fill="B7FFB7"/>
            <w:vAlign w:val="center"/>
            <w:hideMark/>
          </w:tcPr>
          <w:p w14:paraId="2E607BB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3EFF3E"/>
            <w:vAlign w:val="center"/>
            <w:hideMark/>
          </w:tcPr>
          <w:p w14:paraId="46765C9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FF0000"/>
            <w:vAlign w:val="center"/>
            <w:hideMark/>
          </w:tcPr>
          <w:p w14:paraId="45CBE40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0.1667</w:t>
            </w:r>
          </w:p>
        </w:tc>
      </w:tr>
      <w:tr w:rsidR="007E1952" w:rsidRPr="00290402" w14:paraId="6B5F0994" w14:textId="77777777" w:rsidTr="0008293F">
        <w:trPr>
          <w:tblCellSpacing w:w="15" w:type="dxa"/>
          <w:jc w:val="center"/>
        </w:trPr>
        <w:tc>
          <w:tcPr>
            <w:tcW w:w="0" w:type="auto"/>
            <w:vAlign w:val="center"/>
            <w:hideMark/>
          </w:tcPr>
          <w:p w14:paraId="6F3798F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M004</w:t>
            </w:r>
          </w:p>
        </w:tc>
        <w:tc>
          <w:tcPr>
            <w:tcW w:w="0" w:type="auto"/>
            <w:shd w:val="clear" w:color="auto" w:fill="CAFFCA"/>
            <w:vAlign w:val="center"/>
            <w:hideMark/>
          </w:tcPr>
          <w:p w14:paraId="42F40AA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-0.0129</w:t>
            </w:r>
          </w:p>
        </w:tc>
        <w:tc>
          <w:tcPr>
            <w:tcW w:w="0" w:type="auto"/>
            <w:shd w:val="clear" w:color="auto" w:fill="CBFFCB"/>
            <w:vAlign w:val="center"/>
            <w:hideMark/>
          </w:tcPr>
          <w:p w14:paraId="2748A6A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-0.0124</w:t>
            </w:r>
          </w:p>
        </w:tc>
        <w:tc>
          <w:tcPr>
            <w:tcW w:w="0" w:type="auto"/>
            <w:shd w:val="clear" w:color="auto" w:fill="FFFEFE"/>
            <w:vAlign w:val="center"/>
            <w:hideMark/>
          </w:tcPr>
          <w:p w14:paraId="292EC25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0.0023</w:t>
            </w:r>
          </w:p>
        </w:tc>
        <w:tc>
          <w:tcPr>
            <w:tcW w:w="0" w:type="auto"/>
            <w:shd w:val="clear" w:color="auto" w:fill="FFDADA"/>
            <w:vAlign w:val="center"/>
            <w:hideMark/>
          </w:tcPr>
          <w:p w14:paraId="01E263B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0.0636</w:t>
            </w:r>
          </w:p>
        </w:tc>
        <w:tc>
          <w:tcPr>
            <w:tcW w:w="0" w:type="auto"/>
            <w:shd w:val="clear" w:color="auto" w:fill="00FF00"/>
            <w:vAlign w:val="center"/>
            <w:hideMark/>
          </w:tcPr>
          <w:p w14:paraId="6519253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-0.061</w:t>
            </w:r>
          </w:p>
        </w:tc>
        <w:tc>
          <w:tcPr>
            <w:tcW w:w="0" w:type="auto"/>
            <w:shd w:val="clear" w:color="auto" w:fill="FFBDBD"/>
            <w:vAlign w:val="center"/>
            <w:hideMark/>
          </w:tcPr>
          <w:p w14:paraId="10B5D434"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0.1118</w:t>
            </w:r>
          </w:p>
        </w:tc>
        <w:tc>
          <w:tcPr>
            <w:tcW w:w="0" w:type="auto"/>
            <w:shd w:val="clear" w:color="auto" w:fill="96FF96"/>
            <w:vAlign w:val="center"/>
            <w:hideMark/>
          </w:tcPr>
          <w:p w14:paraId="2A9A86D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-0.0251</w:t>
            </w:r>
          </w:p>
        </w:tc>
        <w:tc>
          <w:tcPr>
            <w:tcW w:w="0" w:type="auto"/>
            <w:shd w:val="clear" w:color="auto" w:fill="FBFFFB"/>
            <w:vAlign w:val="center"/>
            <w:hideMark/>
          </w:tcPr>
          <w:p w14:paraId="05349A1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w:t>
            </w:r>
          </w:p>
        </w:tc>
        <w:tc>
          <w:tcPr>
            <w:tcW w:w="0" w:type="auto"/>
            <w:shd w:val="clear" w:color="auto" w:fill="FFE7E7"/>
            <w:vAlign w:val="center"/>
            <w:hideMark/>
          </w:tcPr>
          <w:p w14:paraId="4E07201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0.0414</w:t>
            </w:r>
          </w:p>
        </w:tc>
        <w:tc>
          <w:tcPr>
            <w:tcW w:w="0" w:type="auto"/>
            <w:shd w:val="clear" w:color="auto" w:fill="FF0000"/>
            <w:vAlign w:val="center"/>
            <w:hideMark/>
          </w:tcPr>
          <w:p w14:paraId="0268039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0.4303</w:t>
            </w:r>
          </w:p>
        </w:tc>
      </w:tr>
      <w:tr w:rsidR="007E1952" w:rsidRPr="00290402" w14:paraId="52BEE2CA" w14:textId="77777777" w:rsidTr="0008293F">
        <w:trPr>
          <w:tblCellSpacing w:w="15" w:type="dxa"/>
          <w:jc w:val="center"/>
        </w:trPr>
        <w:tc>
          <w:tcPr>
            <w:tcW w:w="0" w:type="auto"/>
            <w:vAlign w:val="center"/>
            <w:hideMark/>
          </w:tcPr>
          <w:p w14:paraId="37FF5C6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M005</w:t>
            </w:r>
          </w:p>
        </w:tc>
        <w:tc>
          <w:tcPr>
            <w:tcW w:w="0" w:type="auto"/>
            <w:shd w:val="clear" w:color="auto" w:fill="C3FFC3"/>
            <w:vAlign w:val="center"/>
            <w:hideMark/>
          </w:tcPr>
          <w:p w14:paraId="5A8943C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A1FFA1"/>
            <w:vAlign w:val="center"/>
            <w:hideMark/>
          </w:tcPr>
          <w:p w14:paraId="5EF9C0A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-0.0195</w:t>
            </w:r>
          </w:p>
        </w:tc>
        <w:tc>
          <w:tcPr>
            <w:tcW w:w="0" w:type="auto"/>
            <w:shd w:val="clear" w:color="auto" w:fill="FFFFFF"/>
            <w:vAlign w:val="center"/>
            <w:hideMark/>
          </w:tcPr>
          <w:p w14:paraId="2E6153B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0.0003</w:t>
            </w:r>
          </w:p>
        </w:tc>
        <w:tc>
          <w:tcPr>
            <w:tcW w:w="0" w:type="auto"/>
            <w:shd w:val="clear" w:color="auto" w:fill="97FF97"/>
            <w:vAlign w:val="center"/>
            <w:hideMark/>
          </w:tcPr>
          <w:p w14:paraId="66D6378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-0.0215</w:t>
            </w:r>
          </w:p>
        </w:tc>
        <w:tc>
          <w:tcPr>
            <w:tcW w:w="0" w:type="auto"/>
            <w:shd w:val="clear" w:color="auto" w:fill="79FF79"/>
            <w:vAlign w:val="center"/>
            <w:hideMark/>
          </w:tcPr>
          <w:p w14:paraId="431DF76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-0.0277</w:t>
            </w:r>
          </w:p>
        </w:tc>
        <w:tc>
          <w:tcPr>
            <w:tcW w:w="0" w:type="auto"/>
            <w:shd w:val="clear" w:color="auto" w:fill="FFDEDE"/>
            <w:vAlign w:val="center"/>
            <w:hideMark/>
          </w:tcPr>
          <w:p w14:paraId="6FA9532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0.0584</w:t>
            </w:r>
          </w:p>
        </w:tc>
        <w:tc>
          <w:tcPr>
            <w:tcW w:w="0" w:type="auto"/>
            <w:shd w:val="clear" w:color="auto" w:fill="FAFFFA"/>
            <w:vAlign w:val="center"/>
            <w:hideMark/>
          </w:tcPr>
          <w:p w14:paraId="4DE8017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-0.0012</w:t>
            </w:r>
          </w:p>
        </w:tc>
        <w:tc>
          <w:tcPr>
            <w:tcW w:w="0" w:type="auto"/>
            <w:shd w:val="clear" w:color="auto" w:fill="00FF00"/>
            <w:vAlign w:val="center"/>
            <w:hideMark/>
          </w:tcPr>
          <w:p w14:paraId="588D2DA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-0.0525</w:t>
            </w:r>
          </w:p>
        </w:tc>
        <w:tc>
          <w:tcPr>
            <w:tcW w:w="0" w:type="auto"/>
            <w:shd w:val="clear" w:color="auto" w:fill="FFF9F9"/>
            <w:vAlign w:val="center"/>
            <w:hideMark/>
          </w:tcPr>
          <w:p w14:paraId="3B1CA64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0.0116</w:t>
            </w:r>
          </w:p>
        </w:tc>
        <w:tc>
          <w:tcPr>
            <w:tcW w:w="0" w:type="auto"/>
            <w:shd w:val="clear" w:color="auto" w:fill="FF0000"/>
            <w:vAlign w:val="center"/>
            <w:hideMark/>
          </w:tcPr>
          <w:p w14:paraId="5523A00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0.4411</w:t>
            </w:r>
          </w:p>
        </w:tc>
      </w:tr>
      <w:tr w:rsidR="007E1952" w:rsidRPr="00290402" w14:paraId="682E1321" w14:textId="77777777" w:rsidTr="0008293F">
        <w:trPr>
          <w:tblCellSpacing w:w="15" w:type="dxa"/>
          <w:jc w:val="center"/>
        </w:trPr>
        <w:tc>
          <w:tcPr>
            <w:tcW w:w="0" w:type="auto"/>
            <w:vAlign w:val="center"/>
            <w:hideMark/>
          </w:tcPr>
          <w:p w14:paraId="000F4CB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M006</w:t>
            </w:r>
          </w:p>
        </w:tc>
        <w:tc>
          <w:tcPr>
            <w:tcW w:w="0" w:type="auto"/>
            <w:shd w:val="clear" w:color="auto" w:fill="FFF5F5"/>
            <w:vAlign w:val="center"/>
            <w:hideMark/>
          </w:tcPr>
          <w:p w14:paraId="65FE6FC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C0FFC0"/>
            <w:vAlign w:val="center"/>
            <w:hideMark/>
          </w:tcPr>
          <w:p w14:paraId="6D121B3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-0.0092</w:t>
            </w:r>
          </w:p>
        </w:tc>
        <w:tc>
          <w:tcPr>
            <w:tcW w:w="0" w:type="auto"/>
            <w:shd w:val="clear" w:color="auto" w:fill="FFF0F0"/>
            <w:vAlign w:val="center"/>
            <w:hideMark/>
          </w:tcPr>
          <w:p w14:paraId="6AAA641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0.0152</w:t>
            </w:r>
          </w:p>
        </w:tc>
        <w:tc>
          <w:tcPr>
            <w:tcW w:w="0" w:type="auto"/>
            <w:shd w:val="clear" w:color="auto" w:fill="9AFF9A"/>
            <w:vAlign w:val="center"/>
            <w:hideMark/>
          </w:tcPr>
          <w:p w14:paraId="25CDD9C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00FF00"/>
            <w:vAlign w:val="center"/>
            <w:hideMark/>
          </w:tcPr>
          <w:p w14:paraId="6528C64A"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-0.0372</w:t>
            </w:r>
          </w:p>
        </w:tc>
        <w:tc>
          <w:tcPr>
            <w:tcW w:w="0" w:type="auto"/>
            <w:shd w:val="clear" w:color="auto" w:fill="FFD9D9"/>
            <w:vAlign w:val="center"/>
            <w:hideMark/>
          </w:tcPr>
          <w:p w14:paraId="684BEFA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0.0382</w:t>
            </w:r>
          </w:p>
        </w:tc>
        <w:tc>
          <w:tcPr>
            <w:tcW w:w="0" w:type="auto"/>
            <w:shd w:val="clear" w:color="auto" w:fill="FFFEFE"/>
            <w:vAlign w:val="center"/>
            <w:hideMark/>
          </w:tcPr>
          <w:p w14:paraId="4435D3A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0.0015</w:t>
            </w:r>
          </w:p>
        </w:tc>
        <w:tc>
          <w:tcPr>
            <w:tcW w:w="0" w:type="auto"/>
            <w:shd w:val="clear" w:color="auto" w:fill="49FF49"/>
            <w:vAlign w:val="center"/>
            <w:hideMark/>
          </w:tcPr>
          <w:p w14:paraId="60057C6A"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-0.0266</w:t>
            </w:r>
          </w:p>
        </w:tc>
        <w:tc>
          <w:tcPr>
            <w:tcW w:w="0" w:type="auto"/>
            <w:shd w:val="clear" w:color="auto" w:fill="BEFFBE"/>
            <w:vAlign w:val="center"/>
            <w:hideMark/>
          </w:tcPr>
          <w:p w14:paraId="4D82EB0A"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-0.0096</w:t>
            </w:r>
          </w:p>
        </w:tc>
        <w:tc>
          <w:tcPr>
            <w:tcW w:w="0" w:type="auto"/>
            <w:shd w:val="clear" w:color="auto" w:fill="FF0000"/>
            <w:vAlign w:val="center"/>
            <w:hideMark/>
          </w:tcPr>
          <w:p w14:paraId="327FB421"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0.2536</w:t>
            </w:r>
          </w:p>
        </w:tc>
      </w:tr>
      <w:tr w:rsidR="007E1952" w:rsidRPr="00290402" w14:paraId="1B2A7B45" w14:textId="77777777" w:rsidTr="0008293F">
        <w:trPr>
          <w:tblCellSpacing w:w="15" w:type="dxa"/>
          <w:jc w:val="center"/>
        </w:trPr>
        <w:tc>
          <w:tcPr>
            <w:tcW w:w="0" w:type="auto"/>
            <w:vAlign w:val="center"/>
            <w:hideMark/>
          </w:tcPr>
          <w:p w14:paraId="4AA0BB38"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M007</w:t>
            </w:r>
          </w:p>
        </w:tc>
        <w:tc>
          <w:tcPr>
            <w:tcW w:w="0" w:type="auto"/>
            <w:shd w:val="clear" w:color="auto" w:fill="FFFDFD"/>
            <w:vAlign w:val="center"/>
            <w:hideMark/>
          </w:tcPr>
          <w:p w14:paraId="133B323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0.0085</w:t>
            </w:r>
          </w:p>
        </w:tc>
        <w:tc>
          <w:tcPr>
            <w:tcW w:w="0" w:type="auto"/>
            <w:shd w:val="clear" w:color="auto" w:fill="55FF55"/>
            <w:vAlign w:val="center"/>
            <w:hideMark/>
          </w:tcPr>
          <w:p w14:paraId="6101CD14"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w:t>
            </w:r>
          </w:p>
        </w:tc>
        <w:tc>
          <w:tcPr>
            <w:tcW w:w="0" w:type="auto"/>
            <w:shd w:val="clear" w:color="auto" w:fill="DAFFDA"/>
            <w:vAlign w:val="center"/>
            <w:hideMark/>
          </w:tcPr>
          <w:p w14:paraId="1D257074"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-0.0057</w:t>
            </w:r>
          </w:p>
        </w:tc>
        <w:tc>
          <w:tcPr>
            <w:tcW w:w="0" w:type="auto"/>
            <w:shd w:val="clear" w:color="auto" w:fill="FFF9F9"/>
            <w:vAlign w:val="center"/>
            <w:hideMark/>
          </w:tcPr>
          <w:p w14:paraId="4057D31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0.0227</w:t>
            </w:r>
          </w:p>
        </w:tc>
        <w:tc>
          <w:tcPr>
            <w:tcW w:w="0" w:type="auto"/>
            <w:shd w:val="clear" w:color="auto" w:fill="00FF00"/>
            <w:vAlign w:val="center"/>
            <w:hideMark/>
          </w:tcPr>
          <w:p w14:paraId="044A78C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-0.0388</w:t>
            </w:r>
          </w:p>
        </w:tc>
        <w:tc>
          <w:tcPr>
            <w:tcW w:w="0" w:type="auto"/>
            <w:shd w:val="clear" w:color="auto" w:fill="FFE5E5"/>
            <w:vAlign w:val="center"/>
            <w:hideMark/>
          </w:tcPr>
          <w:p w14:paraId="3808D04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0.0989</w:t>
            </w:r>
          </w:p>
        </w:tc>
        <w:tc>
          <w:tcPr>
            <w:tcW w:w="0" w:type="auto"/>
            <w:shd w:val="clear" w:color="auto" w:fill="66FF66"/>
            <w:vAlign w:val="center"/>
            <w:hideMark/>
          </w:tcPr>
          <w:p w14:paraId="4529EC2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2DFF2D"/>
            <w:vAlign w:val="center"/>
            <w:hideMark/>
          </w:tcPr>
          <w:p w14:paraId="7456A51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-0.0321</w:t>
            </w:r>
          </w:p>
        </w:tc>
        <w:tc>
          <w:tcPr>
            <w:tcW w:w="0" w:type="auto"/>
            <w:shd w:val="clear" w:color="auto" w:fill="DEFFDE"/>
            <w:vAlign w:val="center"/>
            <w:hideMark/>
          </w:tcPr>
          <w:p w14:paraId="3B08FB7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FF0000"/>
            <w:vAlign w:val="center"/>
            <w:hideMark/>
          </w:tcPr>
          <w:p w14:paraId="62A2D0A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0.9353</w:t>
            </w:r>
          </w:p>
        </w:tc>
      </w:tr>
      <w:tr w:rsidR="007E1952" w:rsidRPr="00290402" w14:paraId="3436FA15" w14:textId="77777777" w:rsidTr="0008293F">
        <w:trPr>
          <w:tblCellSpacing w:w="15" w:type="dxa"/>
          <w:jc w:val="center"/>
        </w:trPr>
        <w:tc>
          <w:tcPr>
            <w:tcW w:w="0" w:type="auto"/>
            <w:vAlign w:val="center"/>
            <w:hideMark/>
          </w:tcPr>
          <w:p w14:paraId="47C7C42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M008</w:t>
            </w:r>
          </w:p>
        </w:tc>
        <w:tc>
          <w:tcPr>
            <w:tcW w:w="0" w:type="auto"/>
            <w:shd w:val="clear" w:color="auto" w:fill="FFFBFB"/>
            <w:vAlign w:val="center"/>
            <w:hideMark/>
          </w:tcPr>
          <w:p w14:paraId="55BE08C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0.0026</w:t>
            </w:r>
          </w:p>
        </w:tc>
        <w:tc>
          <w:tcPr>
            <w:tcW w:w="0" w:type="auto"/>
            <w:shd w:val="clear" w:color="auto" w:fill="9DFF9D"/>
            <w:vAlign w:val="center"/>
            <w:hideMark/>
          </w:tcPr>
          <w:p w14:paraId="7664967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FFEEEE"/>
            <w:vAlign w:val="center"/>
            <w:hideMark/>
          </w:tcPr>
          <w:p w14:paraId="0BEDF01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0.0112</w:t>
            </w:r>
          </w:p>
        </w:tc>
        <w:tc>
          <w:tcPr>
            <w:tcW w:w="0" w:type="auto"/>
            <w:shd w:val="clear" w:color="auto" w:fill="FFEDED"/>
            <w:vAlign w:val="center"/>
            <w:hideMark/>
          </w:tcPr>
          <w:p w14:paraId="42212CBA"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0.0115</w:t>
            </w:r>
          </w:p>
        </w:tc>
        <w:tc>
          <w:tcPr>
            <w:tcW w:w="0" w:type="auto"/>
            <w:shd w:val="clear" w:color="auto" w:fill="3FFF3F"/>
            <w:vAlign w:val="center"/>
            <w:hideMark/>
          </w:tcPr>
          <w:p w14:paraId="0DBDAB2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-0.0206</w:t>
            </w:r>
          </w:p>
        </w:tc>
        <w:tc>
          <w:tcPr>
            <w:tcW w:w="0" w:type="auto"/>
            <w:shd w:val="clear" w:color="auto" w:fill="FFB8B8"/>
            <w:vAlign w:val="center"/>
            <w:hideMark/>
          </w:tcPr>
          <w:p w14:paraId="405B808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0.0446</w:t>
            </w:r>
          </w:p>
        </w:tc>
        <w:tc>
          <w:tcPr>
            <w:tcW w:w="0" w:type="auto"/>
            <w:shd w:val="clear" w:color="auto" w:fill="9DFF9D"/>
            <w:vAlign w:val="center"/>
            <w:hideMark/>
          </w:tcPr>
          <w:p w14:paraId="115ED64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00FF00"/>
            <w:vAlign w:val="center"/>
            <w:hideMark/>
          </w:tcPr>
          <w:p w14:paraId="7E4FE2D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-0.0272</w:t>
            </w:r>
          </w:p>
        </w:tc>
        <w:tc>
          <w:tcPr>
            <w:tcW w:w="0" w:type="auto"/>
            <w:shd w:val="clear" w:color="auto" w:fill="FFFBFB"/>
            <w:vAlign w:val="center"/>
            <w:hideMark/>
          </w:tcPr>
          <w:p w14:paraId="59BF66D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1EDA352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0.1595</w:t>
            </w:r>
          </w:p>
        </w:tc>
      </w:tr>
      <w:tr w:rsidR="007E1952" w:rsidRPr="00290402" w14:paraId="1559FD59" w14:textId="77777777" w:rsidTr="0008293F">
        <w:trPr>
          <w:tblCellSpacing w:w="15" w:type="dxa"/>
          <w:jc w:val="center"/>
        </w:trPr>
        <w:tc>
          <w:tcPr>
            <w:tcW w:w="0" w:type="auto"/>
            <w:vAlign w:val="center"/>
            <w:hideMark/>
          </w:tcPr>
          <w:p w14:paraId="3C24BF5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M009</w:t>
            </w:r>
          </w:p>
        </w:tc>
        <w:tc>
          <w:tcPr>
            <w:tcW w:w="0" w:type="auto"/>
            <w:shd w:val="clear" w:color="auto" w:fill="0DFF0D"/>
            <w:vAlign w:val="center"/>
            <w:hideMark/>
          </w:tcPr>
          <w:p w14:paraId="68CD198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77FF77"/>
            <w:vAlign w:val="center"/>
            <w:hideMark/>
          </w:tcPr>
          <w:p w14:paraId="1F5A828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-0.0083</w:t>
            </w:r>
          </w:p>
        </w:tc>
        <w:tc>
          <w:tcPr>
            <w:tcW w:w="0" w:type="auto"/>
            <w:shd w:val="clear" w:color="auto" w:fill="FFF9F9"/>
            <w:vAlign w:val="center"/>
            <w:hideMark/>
          </w:tcPr>
          <w:p w14:paraId="6E4F41D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FFF7F7"/>
            <w:vAlign w:val="center"/>
            <w:hideMark/>
          </w:tcPr>
          <w:p w14:paraId="719F025E"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0.0149</w:t>
            </w:r>
          </w:p>
        </w:tc>
        <w:tc>
          <w:tcPr>
            <w:tcW w:w="0" w:type="auto"/>
            <w:shd w:val="clear" w:color="auto" w:fill="39FF39"/>
            <w:vAlign w:val="center"/>
            <w:hideMark/>
          </w:tcPr>
          <w:p w14:paraId="7C2AC1D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FFE8E8"/>
            <w:vAlign w:val="center"/>
            <w:hideMark/>
          </w:tcPr>
          <w:p w14:paraId="0F5A378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0.0403</w:t>
            </w:r>
          </w:p>
        </w:tc>
        <w:tc>
          <w:tcPr>
            <w:tcW w:w="0" w:type="auto"/>
            <w:shd w:val="clear" w:color="auto" w:fill="70FF70"/>
            <w:vAlign w:val="center"/>
            <w:hideMark/>
          </w:tcPr>
          <w:p w14:paraId="131136B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70FF70"/>
            <w:vAlign w:val="center"/>
            <w:hideMark/>
          </w:tcPr>
          <w:p w14:paraId="166C1FC9"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00FF00"/>
            <w:vAlign w:val="center"/>
            <w:hideMark/>
          </w:tcPr>
          <w:p w14:paraId="4D0C22AF"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0000"/>
            <w:vAlign w:val="center"/>
            <w:hideMark/>
          </w:tcPr>
          <w:p w14:paraId="659B640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0.4376</w:t>
            </w:r>
          </w:p>
        </w:tc>
      </w:tr>
      <w:tr w:rsidR="007E1952" w:rsidRPr="00290402" w14:paraId="5E00412E" w14:textId="77777777" w:rsidTr="0008293F">
        <w:trPr>
          <w:tblCellSpacing w:w="15" w:type="dxa"/>
          <w:jc w:val="center"/>
        </w:trPr>
        <w:tc>
          <w:tcPr>
            <w:tcW w:w="0" w:type="auto"/>
            <w:vAlign w:val="center"/>
            <w:hideMark/>
          </w:tcPr>
          <w:p w14:paraId="385902C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Avg</w:t>
            </w:r>
          </w:p>
        </w:tc>
        <w:tc>
          <w:tcPr>
            <w:tcW w:w="0" w:type="auto"/>
            <w:shd w:val="clear" w:color="auto" w:fill="BFFFBF"/>
            <w:vAlign w:val="center"/>
            <w:hideMark/>
          </w:tcPr>
          <w:p w14:paraId="49CC0553"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w:t>
            </w:r>
          </w:p>
        </w:tc>
        <w:tc>
          <w:tcPr>
            <w:tcW w:w="0" w:type="auto"/>
            <w:shd w:val="clear" w:color="auto" w:fill="58FF58"/>
            <w:vAlign w:val="center"/>
            <w:hideMark/>
          </w:tcPr>
          <w:p w14:paraId="32F51F1D"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FFFCFC"/>
            <w:vAlign w:val="center"/>
            <w:hideMark/>
          </w:tcPr>
          <w:p w14:paraId="00B76CD6"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0.0048</w:t>
            </w:r>
          </w:p>
        </w:tc>
        <w:tc>
          <w:tcPr>
            <w:tcW w:w="0" w:type="auto"/>
            <w:shd w:val="clear" w:color="auto" w:fill="FFFBFB"/>
            <w:vAlign w:val="center"/>
            <w:hideMark/>
          </w:tcPr>
          <w:p w14:paraId="17D7044B"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0.0055</w:t>
            </w:r>
          </w:p>
        </w:tc>
        <w:tc>
          <w:tcPr>
            <w:tcW w:w="0" w:type="auto"/>
            <w:shd w:val="clear" w:color="auto" w:fill="01FF01"/>
            <w:vAlign w:val="center"/>
            <w:hideMark/>
          </w:tcPr>
          <w:p w14:paraId="2ECC6DB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-0.0278</w:t>
            </w:r>
          </w:p>
        </w:tc>
        <w:tc>
          <w:tcPr>
            <w:tcW w:w="0" w:type="auto"/>
            <w:shd w:val="clear" w:color="auto" w:fill="FFBFBF"/>
            <w:vAlign w:val="center"/>
            <w:hideMark/>
          </w:tcPr>
          <w:p w14:paraId="7399DADC"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0.0809</w:t>
            </w:r>
          </w:p>
        </w:tc>
        <w:tc>
          <w:tcPr>
            <w:tcW w:w="0" w:type="auto"/>
            <w:shd w:val="clear" w:color="auto" w:fill="BAFFBA"/>
            <w:vAlign w:val="center"/>
            <w:hideMark/>
          </w:tcPr>
          <w:p w14:paraId="706E1627"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-0.0076</w:t>
            </w:r>
          </w:p>
        </w:tc>
        <w:tc>
          <w:tcPr>
            <w:tcW w:w="0" w:type="auto"/>
            <w:shd w:val="clear" w:color="auto" w:fill="30FF30"/>
            <w:vAlign w:val="center"/>
            <w:hideMark/>
          </w:tcPr>
          <w:p w14:paraId="4A54D1E0"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-0.0226</w:t>
            </w:r>
          </w:p>
        </w:tc>
        <w:tc>
          <w:tcPr>
            <w:tcW w:w="0" w:type="auto"/>
            <w:shd w:val="clear" w:color="auto" w:fill="FFFDFD"/>
            <w:vAlign w:val="center"/>
            <w:hideMark/>
          </w:tcPr>
          <w:p w14:paraId="3304540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48180EE5" w14:textId="77777777" w:rsidR="007E1952" w:rsidRPr="00290402" w:rsidRDefault="007E1952" w:rsidP="0008293F">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0.3212</w:t>
            </w:r>
          </w:p>
        </w:tc>
      </w:tr>
    </w:tbl>
    <w:p w14:paraId="4AD16152" w14:textId="77777777" w:rsidR="007E1952" w:rsidRDefault="007E1952" w:rsidP="007E1952">
      <w:pPr>
        <w:jc w:val="center"/>
      </w:pPr>
      <w:r>
        <w:t>Table 3.</w:t>
      </w:r>
    </w:p>
    <w:p w14:paraId="5D8F57EF" w14:textId="77777777" w:rsidR="007E1952" w:rsidRDefault="007E1952" w:rsidP="007E1952">
      <w:pPr>
        <w:pStyle w:val="Heading3"/>
        <w:bidi w:val="0"/>
      </w:pPr>
      <w:bookmarkStart w:id="15" w:name="_Toc6721751"/>
      <w:r>
        <w:t>6.5.6. Result Actions</w:t>
      </w:r>
      <w:bookmarkEnd w:id="15"/>
    </w:p>
    <w:p w14:paraId="5F2D6129" w14:textId="77777777" w:rsidR="007E1952" w:rsidRDefault="007E1952" w:rsidP="007E1952">
      <w:r>
        <w:t xml:space="preserve">Certainly, we cannot cover all possible cases. From the one hand, the platform renders results in CSV files that are easy to use in both sheet program and programming language. From the other hand, for programming languages we think it is better to pass results in some well-known, aggregated and having wide usage format. ‘Result Actions’ sub section has two outputs: ‘Save Systems Averages’ and ‘Save All’. Both aggregates values in JSON format and save under the ‘result’ directory. The first saves only average values by summarizing system. The second one saves all aggregated values in one JSON file. The JSON file is pretty-printed which makes it understandable by human and easy to load by any modern </w:t>
      </w:r>
      <w:r>
        <w:lastRenderedPageBreak/>
        <w:t>programming language. We think it should ease the work for one who wish to process results in his own way.</w:t>
      </w:r>
    </w:p>
    <w:p w14:paraId="0F35DFBF" w14:textId="77777777" w:rsidR="00913C99" w:rsidRDefault="007E1952"/>
    <w:sectPr w:rsidR="00913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9"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2"/>
  </w:num>
  <w:num w:numId="5">
    <w:abstractNumId w:val="9"/>
  </w:num>
  <w:num w:numId="6">
    <w:abstractNumId w:val="5"/>
  </w:num>
  <w:num w:numId="7">
    <w:abstractNumId w:val="8"/>
  </w:num>
  <w:num w:numId="8">
    <w:abstractNumId w:val="10"/>
  </w:num>
  <w:num w:numId="9">
    <w:abstractNumId w:val="3"/>
  </w:num>
  <w:num w:numId="10">
    <w:abstractNumId w:val="1"/>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80"/>
    <w:rsid w:val="003340CB"/>
    <w:rsid w:val="0067708D"/>
    <w:rsid w:val="0069661D"/>
    <w:rsid w:val="007E1952"/>
    <w:rsid w:val="00947321"/>
    <w:rsid w:val="00A71880"/>
    <w:rsid w:val="00AE7B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572EC-B458-4EDA-94F4-5FCA04C7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952"/>
    <w:pPr>
      <w:keepNext/>
      <w:keepLines/>
      <w:bidi/>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952"/>
    <w:pPr>
      <w:keepNext/>
      <w:keepLines/>
      <w:bidi/>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1952"/>
    <w:pPr>
      <w:keepNext/>
      <w:keepLines/>
      <w:bidi/>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9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195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952"/>
    <w:rPr>
      <w:color w:val="0563C1" w:themeColor="hyperlink"/>
      <w:u w:val="single"/>
    </w:rPr>
  </w:style>
  <w:style w:type="paragraph" w:styleId="ListParagraph">
    <w:name w:val="List Paragraph"/>
    <w:basedOn w:val="Normal"/>
    <w:uiPriority w:val="34"/>
    <w:qFormat/>
    <w:rsid w:val="007E1952"/>
    <w:pPr>
      <w:bidi/>
      <w:spacing w:after="200" w:line="276" w:lineRule="auto"/>
      <w:ind w:left="720"/>
      <w:contextualSpacing/>
    </w:pPr>
    <w:rPr>
      <w:sz w:val="24"/>
    </w:rPr>
  </w:style>
  <w:style w:type="paragraph" w:styleId="BalloonText">
    <w:name w:val="Balloon Text"/>
    <w:basedOn w:val="Normal"/>
    <w:link w:val="BalloonTextChar"/>
    <w:uiPriority w:val="99"/>
    <w:semiHidden/>
    <w:unhideWhenUsed/>
    <w:rsid w:val="007E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scm.com/downloads" TargetMode="Externa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www.java.com/en/download/help/path.xml" TargetMode="External"/><Relationship Id="rId12" Type="http://schemas.openxmlformats.org/officeDocument/2006/relationships/image" Target="media/image5.png"/><Relationship Id="rId17" Type="http://schemas.openxmlformats.org/officeDocument/2006/relationships/hyperlink" Target="https://maven.apache.org/download.cgi"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acle.com/technetwork/java/javase/downloads/jdk8-downloads-2133151.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r-project.or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hyperlink" Target="https://www.oracle.com/technetwork/java/javase/downloads/index.html"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github.com/karno-bh/rouge-reimpl"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3818</Words>
  <Characters>21767</Characters>
  <Application>Microsoft Office Word</Application>
  <DocSecurity>0</DocSecurity>
  <Lines>181</Lines>
  <Paragraphs>51</Paragraphs>
  <ScaleCrop>false</ScaleCrop>
  <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2</cp:revision>
  <dcterms:created xsi:type="dcterms:W3CDTF">2019-05-04T07:16:00Z</dcterms:created>
  <dcterms:modified xsi:type="dcterms:W3CDTF">2019-05-04T07:19:00Z</dcterms:modified>
</cp:coreProperties>
</file>