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38761d"/>
          <w:sz w:val="36"/>
          <w:szCs w:val="36"/>
        </w:rPr>
      </w:pPr>
      <w:r w:rsidDel="00000000" w:rsidR="00000000" w:rsidRPr="00000000">
        <w:rPr>
          <w:rFonts w:ascii="Calibri" w:cs="Calibri" w:eastAsia="Calibri" w:hAnsi="Calibri"/>
          <w:b w:val="1"/>
          <w:bCs w:val="1"/>
          <w:color w:val="38761d"/>
          <w:sz w:val="36"/>
          <w:szCs w:val="36"/>
          <w:rtl w:val="0"/>
        </w:rPr>
        <w:t xml:space="preserve">Informe Técnico</w:t>
      </w:r>
      <w:r w:rsidDel="00000000" w:rsidR="00000000" w:rsidRPr="00000000">
        <w:rPr>
          <w:rtl w:val="0"/>
        </w:rPr>
      </w:r>
    </w:p>
    <w:p w:rsidR="00000000" w:rsidDel="00000000" w:rsidP="00000000" w:rsidRDefault="00000000" w:rsidRPr="00000000" w14:paraId="00000002">
      <w:pPr>
        <w:spacing w:after="60" w:lineRule="auto"/>
        <w:jc w:val="center"/>
        <w:rPr>
          <w:rFonts w:ascii="Calibri" w:cs="Calibri" w:eastAsia="Calibri" w:hAnsi="Calibri"/>
          <w:b w:val="1"/>
          <w:bCs w:val="1"/>
          <w:color w:val="38761d"/>
          <w:sz w:val="32"/>
          <w:szCs w:val="32"/>
        </w:rPr>
      </w:pPr>
      <w:r w:rsidDel="00000000" w:rsidR="00000000" w:rsidRPr="00000000">
        <w:rPr>
          <w:rFonts w:ascii="Calibri" w:cs="Calibri" w:eastAsia="Calibri" w:hAnsi="Calibri"/>
          <w:b w:val="1"/>
          <w:bCs w:val="1"/>
          <w:color w:val="38761d"/>
          <w:sz w:val="32"/>
          <w:szCs w:val="32"/>
          <w:rtl w:val="0"/>
        </w:rPr>
        <w:t xml:space="preserve">Diagrama de Despliegue AgroData</w:t>
      </w:r>
    </w:p>
    <w:p w:rsidR="00000000" w:rsidDel="00000000" w:rsidP="00000000" w:rsidRDefault="00000000" w:rsidRPr="00000000" w14:paraId="00000003">
      <w:pPr>
        <w:spacing w:after="60" w:lineRule="auto"/>
        <w:jc w:val="center"/>
        <w:rPr>
          <w:rFonts w:ascii="Calibri" w:cs="Calibri" w:eastAsia="Calibri" w:hAnsi="Calibri"/>
          <w:b w:val="1"/>
          <w:bCs w:val="1"/>
          <w:color w:val="70ad47"/>
          <w:sz w:val="32"/>
          <w:szCs w:val="32"/>
        </w:rPr>
      </w:pPr>
      <w:r w:rsidDel="00000000" w:rsidR="00000000" w:rsidRPr="00000000">
        <w:rPr>
          <w:rtl w:val="0"/>
        </w:rPr>
      </w:r>
    </w:p>
    <w:p w:rsidR="00000000" w:rsidDel="00000000" w:rsidP="00000000" w:rsidRDefault="00000000" w:rsidRPr="00000000" w14:paraId="00000004">
      <w:pPr>
        <w:pStyle w:val="Heading1"/>
        <w:spacing w:after="160" w:before="320" w:lineRule="auto"/>
        <w:jc w:val="both"/>
        <w:rPr>
          <w:color w:val="38761d"/>
        </w:rPr>
      </w:pPr>
      <w:r w:rsidDel="00000000" w:rsidR="00000000" w:rsidRPr="00000000">
        <w:rPr>
          <w:rFonts w:ascii="Calibri" w:cs="Calibri" w:eastAsia="Calibri" w:hAnsi="Calibri"/>
          <w:b w:val="1"/>
          <w:bCs w:val="1"/>
          <w:color w:val="38761d"/>
          <w:sz w:val="28"/>
          <w:szCs w:val="28"/>
          <w:rtl w:val="0"/>
        </w:rPr>
        <w:t xml:space="preserve">1. Introducción</w:t>
      </w:r>
      <w:r w:rsidDel="00000000" w:rsidR="00000000" w:rsidRPr="00000000">
        <w:rPr>
          <w:rtl w:val="0"/>
        </w:rPr>
      </w:r>
    </w:p>
    <w:p w:rsidR="00000000" w:rsidDel="00000000" w:rsidP="00000000" w:rsidRDefault="00000000" w:rsidRPr="00000000" w14:paraId="0000000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El objetivo de este documento es explicar qué es cada nodo, qué recursos mínimos necesita para funcionar y cómo se comunican entre sí. Incluyendo la integración con el sistema contable ISA y con el servicio de correo, alineado con la notación UML correcta que debe reflejar el diagrama.</w:t>
      </w:r>
    </w:p>
    <w:p w:rsidR="00000000" w:rsidDel="00000000" w:rsidP="00000000" w:rsidRDefault="00000000" w:rsidRPr="00000000" w14:paraId="00000006">
      <w:pPr>
        <w:spacing w:after="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spacing w:after="160" w:before="320" w:lineRule="auto"/>
        <w:jc w:val="both"/>
        <w:rPr>
          <w:color w:val="38761d"/>
        </w:rPr>
      </w:pPr>
      <w:r w:rsidDel="00000000" w:rsidR="00000000" w:rsidRPr="00000000">
        <w:rPr>
          <w:rFonts w:ascii="Calibri" w:cs="Calibri" w:eastAsia="Calibri" w:hAnsi="Calibri"/>
          <w:b w:val="1"/>
          <w:bCs w:val="1"/>
          <w:color w:val="38761d"/>
          <w:sz w:val="28"/>
          <w:szCs w:val="28"/>
          <w:rtl w:val="0"/>
        </w:rPr>
        <w:t xml:space="preserve">2. Nodos del Diagrama de Despliegue</w:t>
      </w:r>
      <w:r w:rsidDel="00000000" w:rsidR="00000000" w:rsidRPr="00000000">
        <w:rPr>
          <w:rtl w:val="0"/>
        </w:rPr>
      </w:r>
    </w:p>
    <w:p w:rsidR="00000000" w:rsidDel="00000000" w:rsidP="00000000" w:rsidRDefault="00000000" w:rsidRPr="00000000" w14:paraId="00000008">
      <w:pPr>
        <w:pStyle w:val="Heading2"/>
        <w:spacing w:after="120" w:before="260" w:lineRule="auto"/>
        <w:jc w:val="both"/>
        <w:rPr>
          <w:color w:val="38761d"/>
        </w:rPr>
      </w:pPr>
      <w:r w:rsidDel="00000000" w:rsidR="00000000" w:rsidRPr="00000000">
        <w:rPr>
          <w:rFonts w:ascii="Calibri" w:cs="Calibri" w:eastAsia="Calibri" w:hAnsi="Calibri"/>
          <w:b w:val="1"/>
          <w:bCs w:val="1"/>
          <w:color w:val="38761d"/>
          <w:sz w:val="24"/>
          <w:szCs w:val="24"/>
          <w:rtl w:val="0"/>
        </w:rPr>
        <w:t xml:space="preserve">Nodo 1: PC Escritorio (Windows) — BYOD</w:t>
      </w:r>
      <w:r w:rsidDel="00000000" w:rsidR="00000000" w:rsidRPr="00000000">
        <w:rPr>
          <w:rtl w:val="0"/>
        </w:rPr>
      </w:r>
    </w:p>
    <w:p w:rsidR="00000000" w:rsidDel="00000000" w:rsidP="00000000" w:rsidRDefault="00000000" w:rsidRPr="00000000" w14:paraId="00000009">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Es el computador propio del gerente o del distribuidor, usado principalmente en oficina. Desde su navegador (Chrome, Firefox o Edge) accede a la PWA de AgroData, la cual guarda información local mediante Service Worker + IndexedDB (</w:t>
      </w:r>
      <w:r w:rsidDel="00000000" w:rsidR="00000000" w:rsidRPr="00000000">
        <w:rPr>
          <w:rFonts w:ascii="Arial" w:cs="Arial" w:eastAsia="Arial" w:hAnsi="Arial"/>
          <w:rtl w:val="0"/>
        </w:rPr>
        <w:t xml:space="preserve">Dexie.js</w:t>
      </w:r>
      <w:r w:rsidDel="00000000" w:rsidR="00000000" w:rsidRPr="00000000">
        <w:rPr>
          <w:rFonts w:ascii="Arial" w:cs="Arial" w:eastAsia="Arial" w:hAnsi="Arial"/>
          <w:rtl w:val="0"/>
        </w:rPr>
        <w:t xml:space="preserve">) para poder seguir funcionando sin conexión.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operativo: Windows 10/11 de 64 bits.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 RAM: 4 GB mínimo (8 GB recomendado).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Almacenamiento: 500 MB libres.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Wi-Fi o Ethernet de al menos 5 Mbps.</w:t>
      </w:r>
    </w:p>
    <w:p w:rsidR="00000000" w:rsidDel="00000000" w:rsidP="00000000" w:rsidRDefault="00000000" w:rsidRPr="00000000" w14:paraId="0000000E">
      <w:pPr>
        <w:pStyle w:val="Heading2"/>
        <w:spacing w:after="120" w:before="260" w:lineRule="auto"/>
        <w:jc w:val="both"/>
        <w:rPr>
          <w:color w:val="38761d"/>
        </w:rPr>
      </w:pPr>
      <w:r w:rsidDel="00000000" w:rsidR="00000000" w:rsidRPr="00000000">
        <w:rPr>
          <w:rFonts w:ascii="Calibri" w:cs="Calibri" w:eastAsia="Calibri" w:hAnsi="Calibri"/>
          <w:b w:val="1"/>
          <w:bCs w:val="1"/>
          <w:color w:val="38761d"/>
          <w:sz w:val="24"/>
          <w:szCs w:val="24"/>
          <w:rtl w:val="0"/>
        </w:rPr>
        <w:t xml:space="preserve">Nodo 2: Smartphone / Tablet — BYOD (dispositivo del distribuidor)</w:t>
      </w:r>
      <w:r w:rsidDel="00000000" w:rsidR="00000000" w:rsidRPr="00000000">
        <w:rPr>
          <w:rtl w:val="0"/>
        </w:rPr>
      </w:r>
    </w:p>
    <w:p w:rsidR="00000000" w:rsidDel="00000000" w:rsidP="00000000" w:rsidRDefault="00000000" w:rsidRPr="00000000" w14:paraId="0000000F">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Es el celular o tablet propio del distribuidor, utilizado en campo. Igual que el PC, ejecuta la PWA desde el navegador móvil y guarda información local en modo offline mientras no hay señal. En el diagrama se modela como un nodo independiente del PC, ya que se trata de un dispositivo físico distinto con sus propias especificaciones.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operativo: Android 8.0 o superior / iOS 13 o superior.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 RAM: 2 GB como mínimo.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Almacenamiento: 200 MB libres.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Wi-Fi o datos móviles 4G/LTE.</w:t>
      </w:r>
    </w:p>
    <w:p w:rsidR="00000000" w:rsidDel="00000000" w:rsidP="00000000" w:rsidRDefault="00000000" w:rsidRPr="00000000" w14:paraId="00000014">
      <w:pPr>
        <w:pStyle w:val="Heading2"/>
        <w:spacing w:after="120" w:before="260" w:lineRule="auto"/>
        <w:jc w:val="both"/>
        <w:rPr>
          <w:color w:val="38761d"/>
        </w:rPr>
      </w:pPr>
      <w:r w:rsidDel="00000000" w:rsidR="00000000" w:rsidRPr="00000000">
        <w:rPr>
          <w:rFonts w:ascii="Calibri" w:cs="Calibri" w:eastAsia="Calibri" w:hAnsi="Calibri"/>
          <w:b w:val="1"/>
          <w:bCs w:val="1"/>
          <w:color w:val="38761d"/>
          <w:sz w:val="24"/>
          <w:szCs w:val="24"/>
          <w:rtl w:val="0"/>
        </w:rPr>
        <w:t xml:space="preserve">Nodo 3: Infraestructura en la Nube — AWS Lightsail (IaaS)</w:t>
      </w:r>
      <w:r w:rsidDel="00000000" w:rsidR="00000000" w:rsidRPr="00000000">
        <w:rPr>
          <w:rtl w:val="0"/>
        </w:rPr>
      </w:r>
    </w:p>
    <w:p w:rsidR="00000000" w:rsidDel="00000000" w:rsidP="00000000" w:rsidRDefault="00000000" w:rsidRPr="00000000" w14:paraId="00000015">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Es el servidor virtual donde vive el "cerebro" del sistema. Dentro de este mismo nodo conviven dos entornos de ejecución independientes: Nginx, que recibe las conexiones, sirve la aplicación y gestiona el certificado de seguridad HTTPS; y el backend en Python (Django), que ejecuta la lógica de los módulos M1 a M8, procesa archivos con pandas, calcula el pronóstico de recompra y genera los enlaces para restablecer contraseña.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operativo: Ubuntu Server 22.04 LTS.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 RAM: 1 GB en el plan gratuito (nano), 2 GB recomendado.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Almacenamiento: 40 GB en disco SSD.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IP pública fija, HTTPS por el puerto 443, con 2 TB de transferencia de datos incluida al mes.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spacing w:after="120" w:before="260" w:lineRule="auto"/>
        <w:jc w:val="both"/>
        <w:rPr>
          <w:color w:val="38761d"/>
        </w:rPr>
      </w:pPr>
      <w:r w:rsidDel="00000000" w:rsidR="00000000" w:rsidRPr="00000000">
        <w:rPr>
          <w:rFonts w:ascii="Calibri" w:cs="Calibri" w:eastAsia="Calibri" w:hAnsi="Calibri"/>
          <w:b w:val="1"/>
          <w:bCs w:val="1"/>
          <w:color w:val="38761d"/>
          <w:sz w:val="24"/>
          <w:szCs w:val="24"/>
          <w:rtl w:val="0"/>
        </w:rPr>
        <w:t xml:space="preserve">Nodo 4: Base de Datos — PostgreSQL</w:t>
      </w:r>
      <w:r w:rsidDel="00000000" w:rsidR="00000000" w:rsidRPr="00000000">
        <w:rPr>
          <w:rtl w:val="0"/>
        </w:rPr>
      </w:r>
    </w:p>
    <w:p w:rsidR="00000000" w:rsidDel="00000000" w:rsidP="00000000" w:rsidRDefault="00000000" w:rsidRPr="00000000" w14:paraId="0000001C">
      <w:pPr>
        <w:spacing w:after="160" w:line="276" w:lineRule="auto"/>
        <w:jc w:val="both"/>
        <w:rPr>
          <w:rFonts w:ascii="Arial" w:cs="Arial" w:eastAsia="Arial" w:hAnsi="Arial"/>
        </w:rPr>
      </w:pPr>
      <w:r w:rsidDel="00000000" w:rsidR="00000000" w:rsidRPr="00000000">
        <w:rPr>
          <w:rFonts w:ascii="Arial" w:cs="Arial" w:eastAsia="Arial" w:hAnsi="Arial"/>
          <w:rtl w:val="0"/>
        </w:rPr>
        <w:t xml:space="preserve">Es el servidor dedicado exclusivamente a guardar la información: clientes, visitas, oportunidades de venta, órdenes y el historial de recompra. Aunque corre en el mismo servidor Lightsail, se representa como un nodo aparte porque cumple una función distinta a la del backend.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operativo: Ubuntu Server 22.04 LTS.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 RAM: entre 1 y 2 GB dedicados a PostgreSQL.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Almacenamiento: 40 GB SSD (compartido con el mismo servidor Lightsail).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interna, por el puerto 5432, sin exponerse directamente a internet.</w:t>
      </w:r>
    </w:p>
    <w:p w:rsidR="00000000" w:rsidDel="00000000" w:rsidP="00000000" w:rsidRDefault="00000000" w:rsidRPr="00000000" w14:paraId="00000021">
      <w:pPr>
        <w:pStyle w:val="Heading2"/>
        <w:spacing w:after="120" w:before="260" w:lineRule="auto"/>
        <w:jc w:val="both"/>
        <w:rPr>
          <w:color w:val="38761d"/>
        </w:rPr>
      </w:pPr>
      <w:r w:rsidDel="00000000" w:rsidR="00000000" w:rsidRPr="00000000">
        <w:rPr>
          <w:rFonts w:ascii="Calibri" w:cs="Calibri" w:eastAsia="Calibri" w:hAnsi="Calibri"/>
          <w:b w:val="1"/>
          <w:bCs w:val="1"/>
          <w:color w:val="38761d"/>
          <w:sz w:val="24"/>
          <w:szCs w:val="24"/>
          <w:rtl w:val="0"/>
        </w:rPr>
        <w:t xml:space="preserve">Nodo 5: Servicio de Correo (SMTP / API)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 un servicio externo, gestionado en la nube, encargado de enviar los correos que el sistema necesita: el enlace para restablecer la contraseña y otras notificaciones transaccionales. Puede ser, por ejemplo, Gmail SMTP, SendGrid o Amazon SES.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servicio gestionado en la nube (relé SMTP o API).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 RAM / almacenamiento: no aplica, ya que lo administra el proveedor del servicio.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saliente, por HTTPS o SMTP, en los puertos 587 o 465.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spacing w:after="120" w:before="260" w:lineRule="auto"/>
        <w:jc w:val="both"/>
        <w:rPr>
          <w:rFonts w:ascii="Calibri" w:cs="Calibri" w:eastAsia="Calibri" w:hAnsi="Calibri"/>
          <w:b w:val="1"/>
          <w:bCs w:val="1"/>
          <w:color w:val="38761d"/>
          <w:sz w:val="28"/>
          <w:szCs w:val="28"/>
        </w:rPr>
      </w:pPr>
      <w:r w:rsidDel="00000000" w:rsidR="00000000" w:rsidRPr="00000000">
        <w:rPr>
          <w:rFonts w:ascii="Calibri" w:cs="Calibri" w:eastAsia="Calibri" w:hAnsi="Calibri"/>
          <w:b w:val="1"/>
          <w:bCs w:val="1"/>
          <w:color w:val="38761d"/>
          <w:sz w:val="28"/>
          <w:szCs w:val="28"/>
          <w:rtl w:val="0"/>
        </w:rPr>
        <w:t xml:space="preserve">4. Comunicación entre los Nodos</w:t>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sdt>
        <w:sdtPr>
          <w:id w:val="835746200"/>
          <w:tag w:val="goog_rdk_0"/>
        </w:sdtPr>
        <w:sdtContent>
          <w:r w:rsidDel="00000000" w:rsidR="00000000" w:rsidRPr="00000000">
            <w:rPr>
              <w:rFonts w:ascii="Arial Unicode MS" w:cs="Arial Unicode MS" w:eastAsia="Arial Unicode MS" w:hAnsi="Arial Unicode MS"/>
              <w:b w:val="1"/>
              <w:bCs w:val="1"/>
              <w:i w:val="0"/>
              <w:iCs w:val="0"/>
              <w:smallCaps w:val="0"/>
              <w:strike w:val="0"/>
              <w:color w:val="38761d"/>
              <w:sz w:val="20"/>
              <w:szCs w:val="20"/>
              <w:u w:val="none"/>
              <w:shd w:fill="auto" w:val="clear"/>
              <w:vertAlign w:val="baseline"/>
              <w:rtl w:val="0"/>
            </w:rPr>
            <w:t xml:space="preserve">PC Escritorio y Smartphone/Tablet → AWS Lightsail (Nginx)</w:t>
          </w:r>
        </w:sdtContent>
      </w:sdt>
      <w:r w:rsidDel="00000000" w:rsidR="00000000" w:rsidRPr="00000000">
        <w:rPr>
          <w:rFonts w:ascii="Arial" w:cs="Arial" w:eastAsia="Arial" w:hAnsi="Arial"/>
          <w:b w:val="0"/>
          <w:bCs w:val="0"/>
          <w:i w:val="0"/>
          <w:iCs w:val="0"/>
          <w:smallCaps w:val="0"/>
          <w:strike w:val="0"/>
          <w:color w:val="38761d"/>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ambos dispositivos se conectan al servidor mediante HTTPS/TLS por el puerto 443. Si el dispositivo está sin conexión, la información queda guardada localmente (offline-primero) y se sincroniza de forma automática apenas el dispositivo vuelve a tener señal.</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sdt>
        <w:sdtPr>
          <w:id w:val="-485851473"/>
          <w:tag w:val="goog_rdk_1"/>
        </w:sdtPr>
        <w:sdtContent>
          <w:r w:rsidDel="00000000" w:rsidR="00000000" w:rsidRPr="00000000">
            <w:rPr>
              <w:rFonts w:ascii="Arial Unicode MS" w:cs="Arial Unicode MS" w:eastAsia="Arial Unicode MS" w:hAnsi="Arial Unicode MS"/>
              <w:b w:val="1"/>
              <w:bCs w:val="1"/>
              <w:i w:val="0"/>
              <w:iCs w:val="0"/>
              <w:smallCaps w:val="0"/>
              <w:strike w:val="0"/>
              <w:color w:val="38761d"/>
              <w:sz w:val="20"/>
              <w:szCs w:val="20"/>
              <w:u w:val="none"/>
              <w:shd w:fill="auto" w:val="clear"/>
              <w:vertAlign w:val="baseline"/>
              <w:rtl w:val="0"/>
            </w:rPr>
            <w:t xml:space="preserve">Nginx → Backend Django (dentro del mismo servidor):</w:t>
          </w:r>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Nginx recibe la petición y se la entrega internamente al backend mediante "proxy_pass", una comunicación interna que no sale a internet.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506764977"/>
          <w:tag w:val="goog_rdk_2"/>
        </w:sdtPr>
        <w:sdtContent>
          <w:r w:rsidDel="00000000" w:rsidR="00000000" w:rsidRPr="00000000">
            <w:rPr>
              <w:rFonts w:ascii="Arial Unicode MS" w:cs="Arial Unicode MS" w:eastAsia="Arial Unicode MS" w:hAnsi="Arial Unicode MS"/>
              <w:b w:val="1"/>
              <w:bCs w:val="1"/>
              <w:i w:val="0"/>
              <w:iCs w:val="0"/>
              <w:smallCaps w:val="0"/>
              <w:strike w:val="0"/>
              <w:color w:val="38761d"/>
              <w:sz w:val="20"/>
              <w:szCs w:val="20"/>
              <w:u w:val="none"/>
              <w:shd w:fill="auto" w:val="clear"/>
              <w:vertAlign w:val="baseline"/>
              <w:rtl w:val="0"/>
            </w:rPr>
            <w:t xml:space="preserve">Backend Django → Base de Datos PostgreSQL:</w:t>
          </w:r>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backend se conecta a la base de datos por el puerto 5432, usando el ORM de Django (psycopg2), de forma interna dentro de la misma infraestructura en la nube.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094696378"/>
          <w:tag w:val="goog_rdk_3"/>
        </w:sdtPr>
        <w:sdtContent>
          <w:r w:rsidDel="00000000" w:rsidR="00000000" w:rsidRPr="00000000">
            <w:rPr>
              <w:rFonts w:ascii="Arial Unicode MS" w:cs="Arial Unicode MS" w:eastAsia="Arial Unicode MS" w:hAnsi="Arial Unicode MS"/>
              <w:b w:val="1"/>
              <w:bCs w:val="1"/>
              <w:i w:val="0"/>
              <w:iCs w:val="0"/>
              <w:smallCaps w:val="0"/>
              <w:strike w:val="0"/>
              <w:color w:val="38761d"/>
              <w:sz w:val="20"/>
              <w:szCs w:val="20"/>
              <w:u w:val="none"/>
              <w:shd w:fill="auto" w:val="clear"/>
              <w:vertAlign w:val="baseline"/>
              <w:rtl w:val="0"/>
            </w:rPr>
            <w:t xml:space="preserve">Backend Django → Servicio de Correo:</w:t>
          </w:r>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cuando un usuario necesita restablecer su contraseña (SYS-FR-003) o recibir una notificación, el backend envía la solicitud al servicio de correo mediante SMTP o HTTPS, por el puerto 587 o 465, y es este servicio externo el que finalmente entrega el correo.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014517143"/>
          <w:tag w:val="goog_rdk_4"/>
        </w:sdtPr>
        <w:sdtContent>
          <w:r w:rsidDel="00000000" w:rsidR="00000000" w:rsidRPr="00000000">
            <w:rPr>
              <w:rFonts w:ascii="Arial Unicode MS" w:cs="Arial Unicode MS" w:eastAsia="Arial Unicode MS" w:hAnsi="Arial Unicode MS"/>
              <w:b w:val="1"/>
              <w:bCs w:val="1"/>
              <w:color w:val="38761d"/>
              <w:rtl w:val="0"/>
            </w:rPr>
            <w:t xml:space="preserve">Sistema ISA ↔ PC Escritorio:</w:t>
          </w:r>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hay una conexión en tiempo real entre ISA y AgroData. El gerente o distribuidor exporta manualmente un archivo Excel o CSV desde ISA y lo descarga en el PC.</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770085024"/>
          <w:tag w:val="goog_rdk_5"/>
        </w:sdtPr>
        <w:sdtContent>
          <w:r w:rsidDel="00000000" w:rsidR="00000000" w:rsidRPr="00000000">
            <w:rPr>
              <w:rFonts w:ascii="Arial Unicode MS" w:cs="Arial Unicode MS" w:eastAsia="Arial Unicode MS" w:hAnsi="Arial Unicode MS"/>
              <w:b w:val="1"/>
              <w:bCs w:val="1"/>
              <w:color w:val="38761d"/>
              <w:rtl w:val="0"/>
            </w:rPr>
            <w:t xml:space="preserve">Sistema ISA → Backend Django (módulo de importación):</w:t>
          </w:r>
        </w:sdtContent>
      </w:s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ese archivo exportado de ISA se carga manualmente en AgroData a través del módulo de importación, que forma parte del backend en Django. Es decir, la integración con ISA no es automática ni continua, sino un proceso manual de carga de archivos cuando se necesita actualizar la información de clientes.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713117344"/>
          <w:tag w:val="goog_rdk_6"/>
        </w:sdtPr>
        <w:sdtContent>
          <w:r w:rsidDel="00000000" w:rsidR="00000000" w:rsidRPr="00000000">
            <w:rPr>
              <w:rFonts w:ascii="Arial Unicode MS" w:cs="Arial Unicode MS" w:eastAsia="Arial Unicode MS" w:hAnsi="Arial Unicode MS"/>
              <w:b w:val="1"/>
              <w:bCs w:val="1"/>
              <w:color w:val="38761d"/>
              <w:rtl w:val="0"/>
            </w:rPr>
            <w:t xml:space="preserve">GitHub → AWS Lightsail:</w:t>
          </w:r>
        </w:sdtContent>
      </w:sdt>
      <w:r w:rsidDel="00000000" w:rsidR="00000000" w:rsidRPr="00000000">
        <w:rPr>
          <w:rFonts w:ascii="Arial" w:cs="Arial" w:eastAsia="Arial" w:hAnsi="Arial"/>
          <w:b w:val="0"/>
          <w:bCs w:val="0"/>
          <w:i w:val="0"/>
          <w:iCs w:val="0"/>
          <w:smallCaps w:val="0"/>
          <w:strike w:val="0"/>
          <w:color w:val="38761d"/>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conexión no ocurre en el uso diario del sistema, sino solo cuando el equipo de desarrollo despliega una nueva versión del código al servidor (git pull o integración continua).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1"/>
        <w:spacing w:after="160" w:before="320" w:lineRule="auto"/>
        <w:jc w:val="both"/>
        <w:rPr>
          <w:rFonts w:ascii="Calibri" w:cs="Calibri" w:eastAsia="Calibri" w:hAnsi="Calibri"/>
          <w:b w:val="1"/>
          <w:bCs w:val="1"/>
          <w:color w:val="38761d"/>
          <w:sz w:val="28"/>
          <w:szCs w:val="28"/>
        </w:rPr>
      </w:pPr>
      <w:r w:rsidDel="00000000" w:rsidR="00000000" w:rsidRPr="00000000">
        <w:rPr>
          <w:rtl w:val="0"/>
        </w:rPr>
      </w:r>
    </w:p>
    <w:p w:rsidR="00000000" w:rsidDel="00000000" w:rsidP="00000000" w:rsidRDefault="00000000" w:rsidRPr="00000000" w14:paraId="00000032">
      <w:pPr>
        <w:pStyle w:val="Heading1"/>
        <w:spacing w:after="160" w:before="320" w:lineRule="auto"/>
        <w:jc w:val="both"/>
        <w:rPr>
          <w:rFonts w:ascii="Calibri" w:cs="Calibri" w:eastAsia="Calibri" w:hAnsi="Calibri"/>
          <w:b w:val="1"/>
          <w:bCs w:val="1"/>
          <w:color w:val="38761d"/>
          <w:sz w:val="28"/>
          <w:szCs w:val="28"/>
        </w:rPr>
      </w:pPr>
      <w:r w:rsidDel="00000000" w:rsidR="00000000" w:rsidRPr="00000000">
        <w:rPr>
          <w:rtl w:val="0"/>
        </w:rPr>
      </w:r>
    </w:p>
    <w:p w:rsidR="00000000" w:rsidDel="00000000" w:rsidP="00000000" w:rsidRDefault="00000000" w:rsidRPr="00000000" w14:paraId="00000033">
      <w:pPr>
        <w:pStyle w:val="Heading1"/>
        <w:spacing w:after="160" w:before="320" w:lineRule="auto"/>
        <w:jc w:val="both"/>
        <w:rPr>
          <w:rFonts w:ascii="Calibri" w:cs="Calibri" w:eastAsia="Calibri" w:hAnsi="Calibri"/>
          <w:b w:val="1"/>
          <w:bCs w:val="1"/>
          <w:color w:val="38761d"/>
          <w:sz w:val="28"/>
          <w:szCs w:val="28"/>
        </w:rPr>
      </w:pPr>
      <w:r w:rsidDel="00000000" w:rsidR="00000000" w:rsidRPr="00000000">
        <w:rPr>
          <w:rtl w:val="0"/>
        </w:rPr>
      </w:r>
    </w:p>
    <w:p w:rsidR="00000000" w:rsidDel="00000000" w:rsidP="00000000" w:rsidRDefault="00000000" w:rsidRPr="00000000" w14:paraId="00000034">
      <w:pPr>
        <w:pStyle w:val="Heading1"/>
        <w:spacing w:after="160" w:before="320" w:lineRule="auto"/>
        <w:jc w:val="both"/>
        <w:rPr>
          <w:color w:val="38761d"/>
        </w:rPr>
      </w:pPr>
      <w:r w:rsidDel="00000000" w:rsidR="00000000" w:rsidRPr="00000000">
        <w:rPr>
          <w:rFonts w:ascii="Calibri" w:cs="Calibri" w:eastAsia="Calibri" w:hAnsi="Calibri"/>
          <w:b w:val="1"/>
          <w:bCs w:val="1"/>
          <w:color w:val="38761d"/>
          <w:sz w:val="28"/>
          <w:szCs w:val="28"/>
          <w:rtl w:val="0"/>
        </w:rPr>
        <w:t xml:space="preserve">5. Conclusión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0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50612084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El diagrama de despliegue corregido (V3) de AgroData CRM mantiene la misma arquitectura descrita en la versión anterior: dispositivos cliente independientes (PC y móvil, ambos BYOD), un servidor en la nube que concentra Nginx y el backend en Django, una base de datos PostgreSQL dedicada, y dos servicios externos — el sistema contable ISA, integrado de forma manual mediante archivos, y un servicio de correo externo, integrado mediante SMTP/API. Lo que cambia es la representación gráfica: ahora cada nodo físico usa de forma consistente el estereotipo &lt;&lt;device&gt;&gt;, el PC y el Smartphone/Tablet están modelados como nodos independientes, y la relación Nodo → Entorno de Ejecución → Artefacto queda explícita y homogénea en todo el diagrama, conforme a la notación estándar de Diagramas de Despliegue UML.</w:t>
          </w:r>
        </w:sdtContent>
      </w:sdt>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CxFV8VBO38FShstAxdCbo3eS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QZG5LOU51MDRvQXJJWXN5TVBiQno3YkFvR1pYYkhm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2026-09-15T00:54:00Z</dcterms:created>
  <dc:creator>Un-named</dc:creator>
</cp:coreProperties>
</file>