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DC642" w14:textId="77777777" w:rsidR="00C13868" w:rsidRPr="000613FB" w:rsidRDefault="00C13868">
      <w:pPr>
        <w:spacing w:before="2400"/>
        <w:rPr>
          <w:color w:val="000000" w:themeColor="text1"/>
        </w:rPr>
      </w:pPr>
    </w:p>
    <w:p w14:paraId="24CBA872" w14:textId="77777777" w:rsidR="00C13868" w:rsidRPr="000613FB" w:rsidRDefault="00000000">
      <w:pPr>
        <w:spacing w:after="160"/>
        <w:jc w:val="center"/>
        <w:rPr>
          <w:color w:val="000000" w:themeColor="text1"/>
        </w:rPr>
      </w:pPr>
      <w:r w:rsidRPr="000613FB">
        <w:rPr>
          <w:color w:val="000000" w:themeColor="text1"/>
          <w:sz w:val="24"/>
          <w:szCs w:val="24"/>
        </w:rPr>
        <w:t>DOCUMENTAÇÃO TÉCNICA E ANALÍTICA</w:t>
      </w:r>
    </w:p>
    <w:p w14:paraId="62EC501D" w14:textId="77777777" w:rsidR="0068760F" w:rsidRDefault="0068760F" w:rsidP="0068760F">
      <w:pPr>
        <w:spacing w:after="800"/>
        <w:jc w:val="center"/>
        <w:rPr>
          <w:b/>
          <w:bCs/>
          <w:color w:val="0E2841" w:themeColor="text2"/>
          <w:sz w:val="52"/>
          <w:szCs w:val="52"/>
        </w:rPr>
      </w:pPr>
      <w:r>
        <w:rPr>
          <w:b/>
          <w:bCs/>
          <w:color w:val="0E2841" w:themeColor="text2"/>
          <w:sz w:val="52"/>
          <w:szCs w:val="52"/>
        </w:rPr>
        <w:t>Formulas e KPIs</w:t>
      </w:r>
    </w:p>
    <w:p w14:paraId="7B2623E3" w14:textId="25DB2377" w:rsidR="00C13868" w:rsidRPr="0068760F" w:rsidRDefault="00000000" w:rsidP="0068760F">
      <w:pPr>
        <w:spacing w:after="800"/>
        <w:jc w:val="center"/>
        <w:rPr>
          <w:b/>
          <w:bCs/>
          <w:color w:val="0E2841" w:themeColor="text2"/>
          <w:sz w:val="52"/>
          <w:szCs w:val="52"/>
        </w:rPr>
      </w:pPr>
      <w:r w:rsidRPr="000613FB">
        <w:rPr>
          <w:b/>
          <w:bCs/>
          <w:i/>
          <w:iCs/>
          <w:color w:val="000000" w:themeColor="text1"/>
          <w:sz w:val="26"/>
          <w:szCs w:val="26"/>
        </w:rPr>
        <w:t>Projeto: Análise Estratégica de E-Commerce Olist</w:t>
      </w:r>
    </w:p>
    <w:p w14:paraId="1B5989D7" w14:textId="43E59743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Fonte de Dados: </w:t>
      </w:r>
      <w:proofErr w:type="spellStart"/>
      <w:r w:rsidRPr="000613FB">
        <w:rPr>
          <w:color w:val="000000" w:themeColor="text1"/>
          <w:sz w:val="22"/>
          <w:szCs w:val="22"/>
        </w:rPr>
        <w:t>Brazilian</w:t>
      </w:r>
      <w:proofErr w:type="spellEnd"/>
      <w:r w:rsidRPr="000613FB">
        <w:rPr>
          <w:color w:val="000000" w:themeColor="text1"/>
          <w:sz w:val="22"/>
          <w:szCs w:val="22"/>
        </w:rPr>
        <w:t xml:space="preserve"> E-Commerce </w:t>
      </w:r>
      <w:proofErr w:type="spellStart"/>
      <w:r w:rsidRPr="000613FB">
        <w:rPr>
          <w:color w:val="000000" w:themeColor="text1"/>
          <w:sz w:val="22"/>
          <w:szCs w:val="22"/>
        </w:rPr>
        <w:t>Public</w:t>
      </w:r>
      <w:proofErr w:type="spellEnd"/>
      <w:r w:rsidRPr="000613FB">
        <w:rPr>
          <w:color w:val="000000" w:themeColor="text1"/>
          <w:sz w:val="22"/>
          <w:szCs w:val="22"/>
        </w:rPr>
        <w:t xml:space="preserve"> </w:t>
      </w:r>
      <w:proofErr w:type="spellStart"/>
      <w:r w:rsidRPr="000613FB">
        <w:rPr>
          <w:color w:val="000000" w:themeColor="text1"/>
          <w:sz w:val="22"/>
          <w:szCs w:val="22"/>
        </w:rPr>
        <w:t>Dataset</w:t>
      </w:r>
      <w:proofErr w:type="spellEnd"/>
      <w:r w:rsidRPr="000613FB">
        <w:rPr>
          <w:color w:val="000000" w:themeColor="text1"/>
          <w:sz w:val="22"/>
          <w:szCs w:val="22"/>
        </w:rPr>
        <w:t xml:space="preserve"> </w:t>
      </w:r>
      <w:proofErr w:type="spellStart"/>
      <w:r w:rsidRPr="000613FB">
        <w:rPr>
          <w:color w:val="000000" w:themeColor="text1"/>
          <w:sz w:val="22"/>
          <w:szCs w:val="22"/>
        </w:rPr>
        <w:t>by</w:t>
      </w:r>
      <w:proofErr w:type="spellEnd"/>
      <w:r w:rsidRPr="000613FB">
        <w:rPr>
          <w:color w:val="000000" w:themeColor="text1"/>
          <w:sz w:val="22"/>
          <w:szCs w:val="22"/>
        </w:rPr>
        <w:t xml:space="preserve"> Olist (</w:t>
      </w:r>
      <w:proofErr w:type="spellStart"/>
      <w:r w:rsidRPr="000613FB">
        <w:rPr>
          <w:color w:val="000000" w:themeColor="text1"/>
          <w:sz w:val="22"/>
          <w:szCs w:val="22"/>
        </w:rPr>
        <w:t>Kaggle</w:t>
      </w:r>
      <w:proofErr w:type="spellEnd"/>
      <w:r w:rsidRPr="000613FB">
        <w:rPr>
          <w:color w:val="000000" w:themeColor="text1"/>
          <w:sz w:val="22"/>
          <w:szCs w:val="22"/>
        </w:rPr>
        <w:t>)</w:t>
      </w:r>
    </w:p>
    <w:p w14:paraId="5509B0CE" w14:textId="136C6ADC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Período dos Dados: </w:t>
      </w:r>
      <w:proofErr w:type="gramStart"/>
      <w:r w:rsidRPr="000613FB">
        <w:rPr>
          <w:color w:val="000000" w:themeColor="text1"/>
          <w:sz w:val="22"/>
          <w:szCs w:val="22"/>
        </w:rPr>
        <w:t>Setembro</w:t>
      </w:r>
      <w:proofErr w:type="gramEnd"/>
      <w:r w:rsidRPr="000613FB">
        <w:rPr>
          <w:color w:val="000000" w:themeColor="text1"/>
          <w:sz w:val="22"/>
          <w:szCs w:val="22"/>
        </w:rPr>
        <w:t>/2016 – Agosto/2018</w:t>
      </w:r>
    </w:p>
    <w:p w14:paraId="6FD0B569" w14:textId="7C09BB49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Ferramentas: </w:t>
      </w:r>
      <w:r w:rsidRPr="000613FB">
        <w:rPr>
          <w:color w:val="000000" w:themeColor="text1"/>
          <w:sz w:val="22"/>
          <w:szCs w:val="22"/>
        </w:rPr>
        <w:t>Microsoft Excel, Power Query, Tabelas Dinâmicas</w:t>
      </w:r>
    </w:p>
    <w:p w14:paraId="34CC7089" w14:textId="43EDB599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>Total de Tabelas Documentadas:</w:t>
      </w:r>
      <w:r w:rsidRPr="000613FB">
        <w:rPr>
          <w:color w:val="000000" w:themeColor="text1"/>
          <w:sz w:val="22"/>
          <w:szCs w:val="22"/>
        </w:rPr>
        <w:t xml:space="preserve"> 15 tabelas (7 brutas + 3 auxiliares + 5 analíticas)</w:t>
      </w:r>
    </w:p>
    <w:p w14:paraId="6C75CBDA" w14:textId="3C7AFA9C" w:rsidR="00C13868" w:rsidRPr="000613FB" w:rsidRDefault="000613FB" w:rsidP="00B57D3E">
      <w:pPr>
        <w:jc w:val="center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Classificação: </w:t>
      </w:r>
      <w:r w:rsidRPr="000613FB">
        <w:rPr>
          <w:color w:val="000000" w:themeColor="text1"/>
          <w:sz w:val="22"/>
          <w:szCs w:val="22"/>
        </w:rPr>
        <w:t>Uso Interno / Portfólio Analítico</w:t>
      </w:r>
      <w:r w:rsidRPr="000613FB">
        <w:rPr>
          <w:color w:val="000000" w:themeColor="text1"/>
        </w:rPr>
        <w:br w:type="page"/>
      </w:r>
    </w:p>
    <w:p w14:paraId="7E1A490D" w14:textId="6CB74689" w:rsidR="00C13868" w:rsidRPr="000613FB" w:rsidRDefault="0068760F">
      <w:pPr>
        <w:pStyle w:val="Ttulo1"/>
        <w:pBdr>
          <w:bottom w:val="single" w:sz="8" w:space="4" w:color="2E5BA8"/>
        </w:pBdr>
        <w:rPr>
          <w:color w:val="000000" w:themeColor="text1"/>
        </w:rPr>
      </w:pPr>
      <w:r>
        <w:rPr>
          <w:color w:val="000000" w:themeColor="text1"/>
        </w:rPr>
        <w:lastRenderedPageBreak/>
        <w:t>KPIs e Fórmulas</w:t>
      </w:r>
    </w:p>
    <w:p w14:paraId="5171766D" w14:textId="3E29D880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 xml:space="preserve">1.1 Visão Geral </w:t>
      </w:r>
      <w:r w:rsidR="0068760F">
        <w:rPr>
          <w:color w:val="000000" w:themeColor="text1"/>
        </w:rPr>
        <w:t>da Arquitetura Métrica do Projeto</w:t>
      </w:r>
    </w:p>
    <w:p w14:paraId="08D9136F" w14:textId="4F9E7377" w:rsidR="00C13868" w:rsidRPr="000613FB" w:rsidRDefault="000613FB">
      <w:pPr>
        <w:spacing w:after="2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  </w:t>
      </w:r>
      <w:r w:rsidR="0068760F" w:rsidRPr="0068760F">
        <w:rPr>
          <w:color w:val="000000" w:themeColor="text1"/>
        </w:rPr>
        <w:t xml:space="preserve">Esta seção documenta a arquitetura métrica do projeto, detalhando a lógica de negócio e as fórmulas aplicadas para transformar dados brutos em indicadores de performance (KPIs). Toda a estrutura foi consolidada em uma </w:t>
      </w:r>
      <w:r w:rsidR="0068760F" w:rsidRPr="0068760F">
        <w:rPr>
          <w:b/>
          <w:bCs/>
          <w:color w:val="000000" w:themeColor="text1"/>
        </w:rPr>
        <w:t>Base Tratada</w:t>
      </w:r>
      <w:r w:rsidR="0068760F" w:rsidRPr="0068760F">
        <w:rPr>
          <w:color w:val="000000" w:themeColor="text1"/>
        </w:rPr>
        <w:t xml:space="preserve"> única, onde as tabelas de itens e pagamentos foram agregadas por pedido para garantir a integridade dos cálculos e evitar a duplicidade de valores.</w:t>
      </w:r>
    </w:p>
    <w:p w14:paraId="46F0DAF2" w14:textId="57E96498" w:rsidR="0068760F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 xml:space="preserve">1.2 </w:t>
      </w:r>
      <w:r w:rsidR="0068760F" w:rsidRPr="0068760F">
        <w:rPr>
          <w:color w:val="000000" w:themeColor="text1"/>
        </w:rPr>
        <w:t>Dicionário de Métricas e KPIs</w:t>
      </w:r>
    </w:p>
    <w:p w14:paraId="5863E66F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 xml:space="preserve">1. GMV (Gross </w:t>
      </w:r>
      <w:proofErr w:type="spellStart"/>
      <w:r w:rsidRPr="00272E7B">
        <w:rPr>
          <w:b/>
          <w:bCs/>
          <w:color w:val="000000" w:themeColor="text1"/>
          <w:sz w:val="22"/>
          <w:szCs w:val="22"/>
        </w:rPr>
        <w:t>Merchandise</w:t>
      </w:r>
      <w:proofErr w:type="spellEnd"/>
      <w:r w:rsidRPr="00272E7B">
        <w:rPr>
          <w:b/>
          <w:bCs/>
          <w:color w:val="000000" w:themeColor="text1"/>
          <w:sz w:val="22"/>
          <w:szCs w:val="22"/>
        </w:rPr>
        <w:t xml:space="preserve"> Volume)</w:t>
      </w:r>
    </w:p>
    <w:p w14:paraId="0B8C0393" w14:textId="77777777" w:rsidR="00272E7B" w:rsidRPr="00272E7B" w:rsidRDefault="00272E7B" w:rsidP="00272E7B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Valor total bruto transacionado na plataforma. Representa a receita total antes de cancelamentos ou taxas.</w:t>
      </w:r>
    </w:p>
    <w:p w14:paraId="1571CA50" w14:textId="77777777" w:rsidR="00272E7B" w:rsidRPr="00272E7B" w:rsidRDefault="00272E7B" w:rsidP="00272E7B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Soma de (Preço do Produto + Valor do Frete)</w:t>
      </w:r>
    </w:p>
    <w:p w14:paraId="496B2379" w14:textId="77777777" w:rsidR="00272E7B" w:rsidRPr="00272E7B" w:rsidRDefault="00272E7B" w:rsidP="00272E7B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tratada (com agregação prévia de itens por pedido para evitar duplicidade).</w:t>
      </w:r>
    </w:p>
    <w:p w14:paraId="2E3CAC94" w14:textId="77777777" w:rsidR="00272E7B" w:rsidRPr="00272E7B" w:rsidRDefault="00272E7B" w:rsidP="00272E7B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Indicador fundamental de escala e tração financeira do e-commerce.</w:t>
      </w:r>
    </w:p>
    <w:p w14:paraId="68B57883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>2. Ticket Médio</w:t>
      </w:r>
    </w:p>
    <w:p w14:paraId="14DD3620" w14:textId="77777777" w:rsidR="00272E7B" w:rsidRPr="00272E7B" w:rsidRDefault="00272E7B" w:rsidP="00272E7B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Valor médio gasto pelo cliente em cada pedido realizado.</w:t>
      </w:r>
    </w:p>
    <w:p w14:paraId="057218C2" w14:textId="77777777" w:rsidR="00272E7B" w:rsidRPr="00272E7B" w:rsidRDefault="00272E7B" w:rsidP="00272E7B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GMV Total / Quantidade Total de Pedidos</w:t>
      </w:r>
    </w:p>
    <w:p w14:paraId="052C879F" w14:textId="77777777" w:rsidR="00272E7B" w:rsidRPr="00272E7B" w:rsidRDefault="00272E7B" w:rsidP="00272E7B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tratada.</w:t>
      </w:r>
    </w:p>
    <w:p w14:paraId="185B9AA2" w14:textId="77777777" w:rsidR="00272E7B" w:rsidRPr="00272E7B" w:rsidRDefault="00272E7B" w:rsidP="00272E7B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Reflete o perfil de consumo e ajuda a medir a eficiência de estratégias de aumento de cesta (</w:t>
      </w:r>
      <w:proofErr w:type="spellStart"/>
      <w:r w:rsidRPr="00272E7B">
        <w:rPr>
          <w:rFonts w:ascii="Arial" w:hAnsi="Arial" w:cs="Arial"/>
          <w:color w:val="000000" w:themeColor="text1"/>
          <w:sz w:val="22"/>
          <w:szCs w:val="22"/>
        </w:rPr>
        <w:t>upselling</w:t>
      </w:r>
      <w:proofErr w:type="spellEnd"/>
      <w:r w:rsidRPr="00272E7B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D47F15A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>3. Frete Médio</w:t>
      </w:r>
    </w:p>
    <w:p w14:paraId="1C02BB86" w14:textId="77777777" w:rsidR="00272E7B" w:rsidRPr="00272E7B" w:rsidRDefault="00272E7B" w:rsidP="00272E7B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Custo logístico médio repassado ao consumidor por transação.</w:t>
      </w:r>
    </w:p>
    <w:p w14:paraId="2FE0D581" w14:textId="77777777" w:rsidR="00272E7B" w:rsidRPr="00272E7B" w:rsidRDefault="00272E7B" w:rsidP="00272E7B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Valor Total de Fretes / Pedidos com frete registrado</w:t>
      </w:r>
    </w:p>
    <w:p w14:paraId="5F6B76D3" w14:textId="77777777" w:rsidR="00272E7B" w:rsidRPr="00272E7B" w:rsidRDefault="00272E7B" w:rsidP="00272E7B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tratada.</w:t>
      </w:r>
    </w:p>
    <w:p w14:paraId="38BA6900" w14:textId="77777777" w:rsidR="00272E7B" w:rsidRPr="00272E7B" w:rsidRDefault="00272E7B" w:rsidP="00272E7B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Identifica disparidades geográficas e o peso do custo logístico na decisão de compra do cliente.</w:t>
      </w:r>
    </w:p>
    <w:p w14:paraId="625AF180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>4. Taxa de Entrega (Delivery Rate)</w:t>
      </w:r>
    </w:p>
    <w:p w14:paraId="55EFA6CC" w14:textId="77777777" w:rsidR="00272E7B" w:rsidRPr="00272E7B" w:rsidRDefault="00272E7B" w:rsidP="00272E7B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Eficiência da operação em concluir o ciclo logístico até o destino final.</w:t>
      </w:r>
    </w:p>
    <w:p w14:paraId="65DEBE24" w14:textId="77777777" w:rsidR="00272E7B" w:rsidRPr="00272E7B" w:rsidRDefault="00272E7B" w:rsidP="00272E7B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(Pedidos com Status "Entregue" / Total de Pedidos) * 100</w:t>
      </w:r>
    </w:p>
    <w:p w14:paraId="2D3169B5" w14:textId="77777777" w:rsidR="00272E7B" w:rsidRPr="00272E7B" w:rsidRDefault="00272E7B" w:rsidP="00272E7B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de Pedidos (</w:t>
      </w:r>
      <w:proofErr w:type="spellStart"/>
      <w:r w:rsidRPr="00272E7B">
        <w:rPr>
          <w:rFonts w:ascii="Arial" w:hAnsi="Arial" w:cs="Arial"/>
          <w:color w:val="000000" w:themeColor="text1"/>
          <w:sz w:val="22"/>
          <w:szCs w:val="22"/>
        </w:rPr>
        <w:t>Orders</w:t>
      </w:r>
      <w:proofErr w:type="spellEnd"/>
      <w:r w:rsidRPr="00272E7B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BB11D8B" w14:textId="77777777" w:rsidR="00272E7B" w:rsidRPr="00272E7B" w:rsidRDefault="00272E7B" w:rsidP="00272E7B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Mede a saúde da última milha (</w:t>
      </w:r>
      <w:proofErr w:type="spellStart"/>
      <w:r w:rsidRPr="00272E7B">
        <w:rPr>
          <w:rFonts w:ascii="Arial" w:hAnsi="Arial" w:cs="Arial"/>
          <w:color w:val="000000" w:themeColor="text1"/>
          <w:sz w:val="22"/>
          <w:szCs w:val="22"/>
        </w:rPr>
        <w:t>last-mile</w:t>
      </w:r>
      <w:proofErr w:type="spellEnd"/>
      <w:r w:rsidRPr="00272E7B">
        <w:rPr>
          <w:rFonts w:ascii="Arial" w:hAnsi="Arial" w:cs="Arial"/>
          <w:color w:val="000000" w:themeColor="text1"/>
          <w:sz w:val="22"/>
          <w:szCs w:val="22"/>
        </w:rPr>
        <w:t>) e a integridade do fluxo de transporte.</w:t>
      </w:r>
    </w:p>
    <w:p w14:paraId="34C740B4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>5. SLA no Prazo (SLA Compliance)</w:t>
      </w:r>
    </w:p>
    <w:p w14:paraId="5B09FFBF" w14:textId="77777777" w:rsidR="00272E7B" w:rsidRPr="00272E7B" w:rsidRDefault="00272E7B" w:rsidP="00272E7B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Percentual de entregas realizadas dentro ou antes da data prometida ao cliente.</w:t>
      </w:r>
    </w:p>
    <w:p w14:paraId="29A531BB" w14:textId="77777777" w:rsidR="00272E7B" w:rsidRPr="00272E7B" w:rsidRDefault="00272E7B" w:rsidP="00272E7B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(Pedidos Entregues no Prazo / Total de Pedidos Entregues) * 100</w:t>
      </w:r>
    </w:p>
    <w:p w14:paraId="4171A9A0" w14:textId="77777777" w:rsidR="00272E7B" w:rsidRPr="00272E7B" w:rsidRDefault="00272E7B" w:rsidP="00272E7B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tratada (comparação entre data de entrega real e data estimada).</w:t>
      </w:r>
    </w:p>
    <w:p w14:paraId="40853F09" w14:textId="77777777" w:rsidR="00272E7B" w:rsidRPr="00272E7B" w:rsidRDefault="00272E7B" w:rsidP="00272E7B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O principal KPI de confiabilidade. Impacta diretamente a satisfação e a nota de avaliação (Review Score).</w:t>
      </w:r>
    </w:p>
    <w:p w14:paraId="52D002ED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lastRenderedPageBreak/>
        <w:t>6. Taxa de Atraso (Delay Rate)</w:t>
      </w:r>
    </w:p>
    <w:p w14:paraId="110D22F4" w14:textId="77777777" w:rsidR="00272E7B" w:rsidRPr="00272E7B" w:rsidRDefault="00272E7B" w:rsidP="00272E7B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Proporção de clientes que receberam seus produtos após o prazo estipulado.</w:t>
      </w:r>
    </w:p>
    <w:p w14:paraId="4002B0D9" w14:textId="77777777" w:rsidR="00272E7B" w:rsidRPr="00272E7B" w:rsidRDefault="00272E7B" w:rsidP="00272E7B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(Pedidos Entregues com Atraso / Total de Pedidos Entregues) * 100</w:t>
      </w:r>
    </w:p>
    <w:p w14:paraId="4247563D" w14:textId="77777777" w:rsidR="00272E7B" w:rsidRPr="00272E7B" w:rsidRDefault="00272E7B" w:rsidP="00272E7B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Filtros Aplicados: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Considera apenas pedidos com o ciclo de entrega concluído.</w:t>
      </w:r>
    </w:p>
    <w:p w14:paraId="45C44118" w14:textId="77777777" w:rsidR="00272E7B" w:rsidRPr="00272E7B" w:rsidRDefault="00272E7B" w:rsidP="00272E7B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Indica falhas de processo que geram detratores e aumentam o volume de chamados no suporte.</w:t>
      </w:r>
    </w:p>
    <w:p w14:paraId="150214E1" w14:textId="77777777" w:rsidR="00272E7B" w:rsidRPr="00272E7B" w:rsidRDefault="00272E7B" w:rsidP="00272E7B">
      <w:pPr>
        <w:pStyle w:val="Ttulo3"/>
        <w:rPr>
          <w:b/>
          <w:bCs/>
          <w:color w:val="000000" w:themeColor="text1"/>
          <w:sz w:val="22"/>
          <w:szCs w:val="22"/>
        </w:rPr>
      </w:pPr>
      <w:r w:rsidRPr="00272E7B">
        <w:rPr>
          <w:b/>
          <w:bCs/>
          <w:color w:val="000000" w:themeColor="text1"/>
          <w:sz w:val="22"/>
          <w:szCs w:val="22"/>
        </w:rPr>
        <w:t>7. Tempo Médio de Entrega (Lead Time)</w:t>
      </w:r>
    </w:p>
    <w:p w14:paraId="0BE7C971" w14:textId="77777777" w:rsidR="00272E7B" w:rsidRPr="00272E7B" w:rsidRDefault="00272E7B" w:rsidP="00272E7B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Definição de Negócio: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Tempo médio (em dias) que a operação leva para entregar o produto após a compra.</w:t>
      </w:r>
    </w:p>
    <w:p w14:paraId="5627B563" w14:textId="77777777" w:rsidR="00272E7B" w:rsidRPr="00272E7B" w:rsidRDefault="00272E7B" w:rsidP="00272E7B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Fórmula: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Média de (Data de Entrega Real - Data de Compra)</w:t>
      </w:r>
    </w:p>
    <w:p w14:paraId="4C667FCA" w14:textId="77777777" w:rsidR="00272E7B" w:rsidRPr="00272E7B" w:rsidRDefault="00272E7B" w:rsidP="00272E7B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Base Utilizada: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Base tratada (diferença entre os </w:t>
      </w:r>
      <w:proofErr w:type="spellStart"/>
      <w:r w:rsidRPr="00272E7B">
        <w:rPr>
          <w:rFonts w:ascii="Arial" w:hAnsi="Arial" w:cs="Arial"/>
          <w:color w:val="000000" w:themeColor="text1"/>
          <w:sz w:val="22"/>
          <w:szCs w:val="22"/>
        </w:rPr>
        <w:t>timestamps</w:t>
      </w:r>
      <w:proofErr w:type="spellEnd"/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de compra e recebimento).</w:t>
      </w:r>
    </w:p>
    <w:p w14:paraId="134146A5" w14:textId="77777777" w:rsidR="00272E7B" w:rsidRPr="00272E7B" w:rsidRDefault="00272E7B" w:rsidP="00272E7B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272E7B">
        <w:rPr>
          <w:rFonts w:ascii="Arial" w:hAnsi="Arial" w:cs="Arial"/>
          <w:b/>
          <w:bCs/>
          <w:color w:val="000000" w:themeColor="text1"/>
          <w:sz w:val="22"/>
          <w:szCs w:val="22"/>
        </w:rPr>
        <w:t>Interpretação:</w:t>
      </w:r>
      <w:r w:rsidRPr="00272E7B">
        <w:rPr>
          <w:rFonts w:ascii="Arial" w:hAnsi="Arial" w:cs="Arial"/>
          <w:color w:val="000000" w:themeColor="text1"/>
          <w:sz w:val="22"/>
          <w:szCs w:val="22"/>
        </w:rPr>
        <w:t xml:space="preserve"> Avalia a agilidade logística total, desde o processamento do pedido até a entrega final.</w:t>
      </w:r>
    </w:p>
    <w:p w14:paraId="5C53A320" w14:textId="77777777" w:rsidR="0068760F" w:rsidRPr="00272E7B" w:rsidRDefault="0068760F">
      <w:pPr>
        <w:pStyle w:val="Ttulo2"/>
        <w:rPr>
          <w:color w:val="000000" w:themeColor="text1"/>
          <w:sz w:val="24"/>
          <w:szCs w:val="24"/>
        </w:rPr>
      </w:pPr>
    </w:p>
    <w:p w14:paraId="4C8454C2" w14:textId="77777777" w:rsidR="0068760F" w:rsidRPr="000613FB" w:rsidRDefault="0068760F">
      <w:pPr>
        <w:pStyle w:val="Ttulo2"/>
        <w:rPr>
          <w:color w:val="000000" w:themeColor="text1"/>
        </w:rPr>
      </w:pPr>
    </w:p>
    <w:p w14:paraId="099DEB80" w14:textId="1BD5C893" w:rsidR="00C13868" w:rsidRPr="000613FB" w:rsidRDefault="00C13868">
      <w:pPr>
        <w:spacing w:before="240" w:after="100"/>
        <w:rPr>
          <w:color w:val="000000" w:themeColor="text1"/>
        </w:rPr>
      </w:pPr>
    </w:p>
    <w:sectPr w:rsidR="00C13868" w:rsidRPr="000613F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67A7A" w14:textId="77777777" w:rsidR="004755AB" w:rsidRDefault="004755AB">
      <w:r>
        <w:separator/>
      </w:r>
    </w:p>
  </w:endnote>
  <w:endnote w:type="continuationSeparator" w:id="0">
    <w:p w14:paraId="4430293D" w14:textId="77777777" w:rsidR="004755AB" w:rsidRDefault="0047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ECDF0" w14:textId="77777777" w:rsidR="00C13868" w:rsidRPr="000613FB" w:rsidRDefault="00000000">
    <w:pPr>
      <w:pBdr>
        <w:top w:val="single" w:sz="4" w:space="2" w:color="2E5BA8"/>
      </w:pBdr>
      <w:rPr>
        <w:lang w:val="en-US"/>
      </w:rPr>
    </w:pPr>
    <w:r>
      <w:rPr>
        <w:color w:val="AAAAAA"/>
        <w:sz w:val="14"/>
        <w:szCs w:val="14"/>
      </w:rPr>
      <w:t xml:space="preserve">Documento para uso interno e portfólio analítico. </w:t>
    </w:r>
    <w:r w:rsidRPr="000613FB">
      <w:rPr>
        <w:color w:val="AAAAAA"/>
        <w:sz w:val="14"/>
        <w:szCs w:val="14"/>
        <w:lang w:val="en-US"/>
      </w:rPr>
      <w:t>Dados: Brazilian E-Commerce Public Dataset by Olist (Kaggle).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02D8" w14:textId="77777777" w:rsidR="004755AB" w:rsidRDefault="004755AB">
      <w:r>
        <w:separator/>
      </w:r>
    </w:p>
  </w:footnote>
  <w:footnote w:type="continuationSeparator" w:id="0">
    <w:p w14:paraId="18077559" w14:textId="77777777" w:rsidR="004755AB" w:rsidRDefault="00475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2ABF" w14:textId="77777777" w:rsidR="00C13868" w:rsidRDefault="00000000">
    <w:pPr>
      <w:pBdr>
        <w:bottom w:val="single" w:sz="4" w:space="2" w:color="2E5BA8"/>
      </w:pBdr>
      <w:tabs>
        <w:tab w:val="right" w:pos="9026"/>
      </w:tabs>
    </w:pPr>
    <w:r>
      <w:rPr>
        <w:color w:val="555555"/>
        <w:sz w:val="16"/>
        <w:szCs w:val="16"/>
      </w:rPr>
      <w:t xml:space="preserve">DICIONÁRIO DE </w:t>
    </w:r>
    <w:proofErr w:type="gramStart"/>
    <w:r>
      <w:rPr>
        <w:color w:val="555555"/>
        <w:sz w:val="16"/>
        <w:szCs w:val="16"/>
      </w:rPr>
      <w:t>DADOS  |</w:t>
    </w:r>
    <w:proofErr w:type="gramEnd"/>
    <w:r>
      <w:rPr>
        <w:color w:val="555555"/>
        <w:sz w:val="16"/>
        <w:szCs w:val="16"/>
      </w:rPr>
      <w:t xml:space="preserve">  Projeto Análise E-Commerce Olist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613F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B1622"/>
    <w:multiLevelType w:val="multilevel"/>
    <w:tmpl w:val="A9D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2D2F"/>
    <w:multiLevelType w:val="multilevel"/>
    <w:tmpl w:val="416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149FE"/>
    <w:multiLevelType w:val="multilevel"/>
    <w:tmpl w:val="A41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1659C"/>
    <w:multiLevelType w:val="multilevel"/>
    <w:tmpl w:val="A4B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A41F6"/>
    <w:multiLevelType w:val="multilevel"/>
    <w:tmpl w:val="816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96F05"/>
    <w:multiLevelType w:val="multilevel"/>
    <w:tmpl w:val="B54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E6452"/>
    <w:multiLevelType w:val="multilevel"/>
    <w:tmpl w:val="ECF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746CB"/>
    <w:multiLevelType w:val="multilevel"/>
    <w:tmpl w:val="5A7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6461A"/>
    <w:multiLevelType w:val="multilevel"/>
    <w:tmpl w:val="2BC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B0338"/>
    <w:multiLevelType w:val="multilevel"/>
    <w:tmpl w:val="4E1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42809"/>
    <w:multiLevelType w:val="hybridMultilevel"/>
    <w:tmpl w:val="350C866A"/>
    <w:lvl w:ilvl="0" w:tplc="19EA7F52">
      <w:start w:val="1"/>
      <w:numFmt w:val="bullet"/>
      <w:lvlText w:val="●"/>
      <w:lvlJc w:val="left"/>
      <w:pPr>
        <w:ind w:left="720" w:hanging="360"/>
      </w:pPr>
    </w:lvl>
    <w:lvl w:ilvl="1" w:tplc="D556FA3A">
      <w:start w:val="1"/>
      <w:numFmt w:val="bullet"/>
      <w:lvlText w:val="○"/>
      <w:lvlJc w:val="left"/>
      <w:pPr>
        <w:ind w:left="1440" w:hanging="360"/>
      </w:pPr>
    </w:lvl>
    <w:lvl w:ilvl="2" w:tplc="47CE0CF6">
      <w:start w:val="1"/>
      <w:numFmt w:val="bullet"/>
      <w:lvlText w:val="■"/>
      <w:lvlJc w:val="left"/>
      <w:pPr>
        <w:ind w:left="2160" w:hanging="360"/>
      </w:pPr>
    </w:lvl>
    <w:lvl w:ilvl="3" w:tplc="A766728C">
      <w:start w:val="1"/>
      <w:numFmt w:val="bullet"/>
      <w:lvlText w:val="●"/>
      <w:lvlJc w:val="left"/>
      <w:pPr>
        <w:ind w:left="2880" w:hanging="360"/>
      </w:pPr>
    </w:lvl>
    <w:lvl w:ilvl="4" w:tplc="D1567E8E">
      <w:start w:val="1"/>
      <w:numFmt w:val="bullet"/>
      <w:lvlText w:val="○"/>
      <w:lvlJc w:val="left"/>
      <w:pPr>
        <w:ind w:left="3600" w:hanging="360"/>
      </w:pPr>
    </w:lvl>
    <w:lvl w:ilvl="5" w:tplc="855EFCC8">
      <w:start w:val="1"/>
      <w:numFmt w:val="bullet"/>
      <w:lvlText w:val="■"/>
      <w:lvlJc w:val="left"/>
      <w:pPr>
        <w:ind w:left="4320" w:hanging="360"/>
      </w:pPr>
    </w:lvl>
    <w:lvl w:ilvl="6" w:tplc="390ABB62">
      <w:start w:val="1"/>
      <w:numFmt w:val="bullet"/>
      <w:lvlText w:val="●"/>
      <w:lvlJc w:val="left"/>
      <w:pPr>
        <w:ind w:left="5040" w:hanging="360"/>
      </w:pPr>
    </w:lvl>
    <w:lvl w:ilvl="7" w:tplc="2FA2BF56">
      <w:start w:val="1"/>
      <w:numFmt w:val="bullet"/>
      <w:lvlText w:val="●"/>
      <w:lvlJc w:val="left"/>
      <w:pPr>
        <w:ind w:left="5760" w:hanging="360"/>
      </w:pPr>
    </w:lvl>
    <w:lvl w:ilvl="8" w:tplc="BAAAA58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F4B6257"/>
    <w:multiLevelType w:val="multilevel"/>
    <w:tmpl w:val="D08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40841"/>
    <w:multiLevelType w:val="multilevel"/>
    <w:tmpl w:val="B6F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D7D1A"/>
    <w:multiLevelType w:val="multilevel"/>
    <w:tmpl w:val="34F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37D80"/>
    <w:multiLevelType w:val="multilevel"/>
    <w:tmpl w:val="DBC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34855">
    <w:abstractNumId w:val="10"/>
    <w:lvlOverride w:ilvl="0">
      <w:startOverride w:val="1"/>
    </w:lvlOverride>
  </w:num>
  <w:num w:numId="2" w16cid:durableId="338704148">
    <w:abstractNumId w:val="14"/>
  </w:num>
  <w:num w:numId="3" w16cid:durableId="1182278839">
    <w:abstractNumId w:val="4"/>
  </w:num>
  <w:num w:numId="4" w16cid:durableId="427309442">
    <w:abstractNumId w:val="3"/>
  </w:num>
  <w:num w:numId="5" w16cid:durableId="773475227">
    <w:abstractNumId w:val="11"/>
  </w:num>
  <w:num w:numId="6" w16cid:durableId="1614172720">
    <w:abstractNumId w:val="7"/>
  </w:num>
  <w:num w:numId="7" w16cid:durableId="393167805">
    <w:abstractNumId w:val="6"/>
  </w:num>
  <w:num w:numId="8" w16cid:durableId="1574119070">
    <w:abstractNumId w:val="12"/>
  </w:num>
  <w:num w:numId="9" w16cid:durableId="472260070">
    <w:abstractNumId w:val="5"/>
  </w:num>
  <w:num w:numId="10" w16cid:durableId="180167092">
    <w:abstractNumId w:val="2"/>
  </w:num>
  <w:num w:numId="11" w16cid:durableId="1342078829">
    <w:abstractNumId w:val="0"/>
  </w:num>
  <w:num w:numId="12" w16cid:durableId="1303536764">
    <w:abstractNumId w:val="9"/>
  </w:num>
  <w:num w:numId="13" w16cid:durableId="291635726">
    <w:abstractNumId w:val="1"/>
  </w:num>
  <w:num w:numId="14" w16cid:durableId="1302542337">
    <w:abstractNumId w:val="13"/>
  </w:num>
  <w:num w:numId="15" w16cid:durableId="1849052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68"/>
    <w:rsid w:val="000613FB"/>
    <w:rsid w:val="00272E7B"/>
    <w:rsid w:val="004755AB"/>
    <w:rsid w:val="0068760F"/>
    <w:rsid w:val="00791155"/>
    <w:rsid w:val="007E57FF"/>
    <w:rsid w:val="00B57D3E"/>
    <w:rsid w:val="00C13868"/>
    <w:rsid w:val="00D2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E818"/>
  <w15:docId w15:val="{56A31C91-5E94-4D39-98D0-7F9BBBD6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5B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613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13FB"/>
  </w:style>
  <w:style w:type="paragraph" w:styleId="Rodap">
    <w:name w:val="footer"/>
    <w:basedOn w:val="Normal"/>
    <w:link w:val="RodapChar"/>
    <w:uiPriority w:val="99"/>
    <w:unhideWhenUsed/>
    <w:rsid w:val="000613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13FB"/>
  </w:style>
  <w:style w:type="paragraph" w:styleId="NormalWeb">
    <w:name w:val="Normal (Web)"/>
    <w:basedOn w:val="Normal"/>
    <w:uiPriority w:val="99"/>
    <w:semiHidden/>
    <w:unhideWhenUsed/>
    <w:rsid w:val="00272E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532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Karol Antunes Karol Antunes</cp:lastModifiedBy>
  <cp:revision>2</cp:revision>
  <dcterms:created xsi:type="dcterms:W3CDTF">2026-05-04T17:57:00Z</dcterms:created>
  <dcterms:modified xsi:type="dcterms:W3CDTF">2026-05-04T17:57:00Z</dcterms:modified>
</cp:coreProperties>
</file>