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62" w:type="dxa"/>
        <w:tblInd w:w="-830" w:type="dxa"/>
        <w:tblCellMar>
          <w:left w:w="70" w:type="dxa"/>
          <w:right w:w="70" w:type="dxa"/>
        </w:tblCellMar>
        <w:tblLook w:val="0000" w:firstRow="0" w:lastRow="0" w:firstColumn="0" w:lastColumn="0" w:noHBand="0" w:noVBand="0"/>
      </w:tblPr>
      <w:tblGrid>
        <w:gridCol w:w="1256"/>
        <w:gridCol w:w="9452"/>
        <w:gridCol w:w="45"/>
        <w:gridCol w:w="109"/>
      </w:tblGrid>
      <w:tr w:rsidR="00467B83" w:rsidRPr="0000591E" w14:paraId="482983CA" w14:textId="77777777" w:rsidTr="003F7925">
        <w:trPr>
          <w:trHeight w:val="20"/>
        </w:trPr>
        <w:tc>
          <w:tcPr>
            <w:tcW w:w="1256" w:type="dxa"/>
            <w:noWrap/>
            <w:vAlign w:val="bottom"/>
          </w:tcPr>
          <w:p w14:paraId="659A02EB" w14:textId="77777777" w:rsidR="00467B83" w:rsidRPr="0000591E" w:rsidRDefault="00467B83" w:rsidP="00A45DAD">
            <w:pPr>
              <w:pStyle w:val="Nadpis2"/>
              <w:jc w:val="center"/>
              <w:rPr>
                <w:sz w:val="28"/>
                <w:szCs w:val="28"/>
              </w:rPr>
            </w:pPr>
            <w:r>
              <w:rPr>
                <w:sz w:val="28"/>
                <w:szCs w:val="28"/>
              </w:rPr>
              <w:t xml:space="preserve">                     </w:t>
            </w:r>
          </w:p>
          <w:p w14:paraId="606EEF2D" w14:textId="77777777" w:rsidR="00467B83" w:rsidRPr="0000591E" w:rsidRDefault="00467B83" w:rsidP="00D30EAB">
            <w:pPr>
              <w:rPr>
                <w:lang w:eastAsia="cs-CZ"/>
              </w:rPr>
            </w:pPr>
          </w:p>
        </w:tc>
        <w:tc>
          <w:tcPr>
            <w:tcW w:w="9606" w:type="dxa"/>
            <w:gridSpan w:val="3"/>
            <w:noWrap/>
            <w:vAlign w:val="bottom"/>
          </w:tcPr>
          <w:p w14:paraId="1ADA6A37" w14:textId="77777777" w:rsidR="00467B83" w:rsidRPr="0000591E" w:rsidRDefault="00467B83" w:rsidP="00AD36F1">
            <w:pPr>
              <w:pStyle w:val="Nadpis1"/>
              <w:jc w:val="both"/>
              <w:rPr>
                <w:sz w:val="28"/>
                <w:szCs w:val="28"/>
                <w:lang w:val="sk-SK"/>
              </w:rPr>
            </w:pPr>
            <w:r w:rsidRPr="0000591E">
              <w:rPr>
                <w:sz w:val="28"/>
                <w:szCs w:val="28"/>
                <w:lang w:val="sk-SK"/>
              </w:rPr>
              <w:t>Indikačné</w:t>
            </w:r>
            <w:r>
              <w:rPr>
                <w:sz w:val="28"/>
                <w:szCs w:val="28"/>
                <w:lang w:val="sk-SK"/>
              </w:rPr>
              <w:t xml:space="preserve"> obmedzenia</w:t>
            </w:r>
          </w:p>
        </w:tc>
      </w:tr>
      <w:tr w:rsidR="00467B83" w:rsidRPr="0000591E" w14:paraId="5EB5BA96" w14:textId="77777777" w:rsidTr="003F7925">
        <w:trPr>
          <w:trHeight w:val="20"/>
        </w:trPr>
        <w:tc>
          <w:tcPr>
            <w:tcW w:w="1256" w:type="dxa"/>
            <w:noWrap/>
            <w:vAlign w:val="bottom"/>
          </w:tcPr>
          <w:p w14:paraId="7BB1C4FB" w14:textId="77777777" w:rsidR="00467B83" w:rsidRPr="0000591E" w:rsidRDefault="00467B83" w:rsidP="00AD36F1">
            <w:pPr>
              <w:rPr>
                <w:rFonts w:ascii="Arial" w:hAnsi="Arial" w:cs="Arial"/>
                <w:sz w:val="20"/>
                <w:szCs w:val="20"/>
              </w:rPr>
            </w:pPr>
          </w:p>
        </w:tc>
        <w:tc>
          <w:tcPr>
            <w:tcW w:w="9606" w:type="dxa"/>
            <w:gridSpan w:val="3"/>
            <w:noWrap/>
            <w:vAlign w:val="bottom"/>
          </w:tcPr>
          <w:p w14:paraId="6DDEC0E6" w14:textId="77777777" w:rsidR="00467B83" w:rsidRPr="0000591E" w:rsidRDefault="00467B83" w:rsidP="00AD36F1">
            <w:pPr>
              <w:jc w:val="both"/>
              <w:rPr>
                <w:rFonts w:ascii="Arial" w:hAnsi="Arial" w:cs="Arial"/>
                <w:sz w:val="16"/>
                <w:szCs w:val="16"/>
              </w:rPr>
            </w:pPr>
          </w:p>
          <w:p w14:paraId="159B312B" w14:textId="77777777" w:rsidR="005E740D" w:rsidRDefault="005E740D" w:rsidP="005E740D">
            <w:pPr>
              <w:jc w:val="both"/>
              <w:rPr>
                <w:rFonts w:ascii="Arial" w:hAnsi="Arial" w:cs="Arial"/>
                <w:sz w:val="20"/>
                <w:szCs w:val="20"/>
              </w:rPr>
            </w:pPr>
            <w:r>
              <w:rPr>
                <w:rFonts w:ascii="Arial" w:hAnsi="Arial" w:cs="Arial"/>
                <w:sz w:val="20"/>
                <w:szCs w:val="20"/>
              </w:rPr>
              <w:t>Pri aplikácii indikačných obmedzení pre liečivá a lieky plne uhrádzané alebo čiastočne uhrádzané na základe verejného zdravotného poistenia (ďalej len „hradená liečba“) platia aj preskripčné obmedzenia uvedené v Zozname liekov a Abecednom zozname liekov.</w:t>
            </w:r>
          </w:p>
          <w:p w14:paraId="7DB9EA9A" w14:textId="77777777" w:rsidR="005E740D" w:rsidRDefault="005E740D" w:rsidP="005E740D">
            <w:pPr>
              <w:jc w:val="both"/>
              <w:rPr>
                <w:rFonts w:ascii="Arial" w:hAnsi="Arial" w:cs="Arial"/>
                <w:sz w:val="20"/>
                <w:szCs w:val="20"/>
              </w:rPr>
            </w:pPr>
            <w:r>
              <w:rPr>
                <w:rFonts w:ascii="Arial" w:hAnsi="Arial" w:cs="Arial"/>
                <w:sz w:val="20"/>
                <w:szCs w:val="20"/>
              </w:rPr>
              <w:t>Výška doplatku pacienta podľa tabuľky v časti Zozname liekov platí, ak indikačné obmedzenia neustanovujú inak.</w:t>
            </w:r>
          </w:p>
          <w:p w14:paraId="606A07AF" w14:textId="77777777" w:rsidR="00467B83" w:rsidRPr="0000591E" w:rsidRDefault="00467B83" w:rsidP="00AD36F1">
            <w:pPr>
              <w:jc w:val="both"/>
              <w:rPr>
                <w:rFonts w:ascii="Arial" w:hAnsi="Arial" w:cs="Arial"/>
                <w:sz w:val="16"/>
                <w:szCs w:val="16"/>
              </w:rPr>
            </w:pPr>
          </w:p>
        </w:tc>
      </w:tr>
      <w:tr w:rsidR="00467B83" w:rsidRPr="0000591E" w14:paraId="74EFEFFC" w14:textId="77777777" w:rsidTr="003F7925">
        <w:trPr>
          <w:trHeight w:val="20"/>
        </w:trPr>
        <w:tc>
          <w:tcPr>
            <w:tcW w:w="1256" w:type="dxa"/>
            <w:tcBorders>
              <w:bottom w:val="single" w:sz="4" w:space="0" w:color="auto"/>
            </w:tcBorders>
            <w:noWrap/>
            <w:vAlign w:val="bottom"/>
          </w:tcPr>
          <w:p w14:paraId="7CC3E98D" w14:textId="77777777" w:rsidR="00467B83" w:rsidRPr="0000591E" w:rsidRDefault="00467B83" w:rsidP="00AD36F1">
            <w:pPr>
              <w:rPr>
                <w:rFonts w:ascii="Arial" w:hAnsi="Arial" w:cs="Arial"/>
                <w:b/>
                <w:bCs/>
                <w:sz w:val="20"/>
                <w:szCs w:val="20"/>
              </w:rPr>
            </w:pPr>
            <w:r>
              <w:rPr>
                <w:rFonts w:ascii="Arial" w:hAnsi="Arial" w:cs="Arial"/>
                <w:b/>
                <w:bCs/>
                <w:sz w:val="20"/>
                <w:szCs w:val="20"/>
              </w:rPr>
              <w:t>A04AA5</w:t>
            </w:r>
            <w:r w:rsidRPr="0000591E">
              <w:rPr>
                <w:rFonts w:ascii="Arial" w:hAnsi="Arial" w:cs="Arial"/>
                <w:b/>
                <w:bCs/>
                <w:sz w:val="20"/>
                <w:szCs w:val="20"/>
              </w:rPr>
              <w:t>5</w:t>
            </w:r>
          </w:p>
        </w:tc>
        <w:tc>
          <w:tcPr>
            <w:tcW w:w="9606" w:type="dxa"/>
            <w:gridSpan w:val="3"/>
            <w:tcBorders>
              <w:bottom w:val="single" w:sz="4" w:space="0" w:color="auto"/>
            </w:tcBorders>
            <w:noWrap/>
            <w:vAlign w:val="bottom"/>
          </w:tcPr>
          <w:p w14:paraId="02E3B6FE" w14:textId="77777777" w:rsidR="00467B83" w:rsidRPr="0000591E" w:rsidRDefault="00467B83" w:rsidP="00F8209B">
            <w:pPr>
              <w:rPr>
                <w:rFonts w:ascii="Arial" w:hAnsi="Arial" w:cs="Arial"/>
                <w:b/>
                <w:bCs/>
                <w:sz w:val="20"/>
                <w:szCs w:val="20"/>
              </w:rPr>
            </w:pPr>
            <w:r w:rsidRPr="00844DBE">
              <w:rPr>
                <w:rFonts w:ascii="Arial" w:hAnsi="Arial" w:cs="Arial"/>
                <w:b/>
                <w:bCs/>
                <w:sz w:val="20"/>
                <w:szCs w:val="20"/>
              </w:rPr>
              <w:t>Palonosetrón, kombinácie p.o. netupitant 300 mg/0,5 mg</w:t>
            </w:r>
          </w:p>
        </w:tc>
      </w:tr>
      <w:tr w:rsidR="00467B83" w:rsidRPr="0000591E" w14:paraId="1A55CEFF" w14:textId="77777777" w:rsidTr="003F7925">
        <w:trPr>
          <w:trHeight w:val="20"/>
        </w:trPr>
        <w:tc>
          <w:tcPr>
            <w:tcW w:w="1256" w:type="dxa"/>
            <w:tcBorders>
              <w:top w:val="single" w:sz="4" w:space="0" w:color="auto"/>
            </w:tcBorders>
            <w:noWrap/>
            <w:vAlign w:val="bottom"/>
          </w:tcPr>
          <w:p w14:paraId="33D67BDA" w14:textId="77777777" w:rsidR="00467B83" w:rsidRPr="0000591E" w:rsidRDefault="00467B83" w:rsidP="00AD36F1">
            <w:pPr>
              <w:rPr>
                <w:rFonts w:ascii="Arial" w:hAnsi="Arial" w:cs="Arial"/>
                <w:sz w:val="20"/>
                <w:szCs w:val="20"/>
              </w:rPr>
            </w:pPr>
          </w:p>
        </w:tc>
        <w:tc>
          <w:tcPr>
            <w:tcW w:w="9606" w:type="dxa"/>
            <w:gridSpan w:val="3"/>
            <w:tcBorders>
              <w:top w:val="single" w:sz="4" w:space="0" w:color="auto"/>
            </w:tcBorders>
            <w:vAlign w:val="bottom"/>
          </w:tcPr>
          <w:p w14:paraId="465A3AED" w14:textId="77777777" w:rsidR="00467B83" w:rsidRPr="00647B86" w:rsidRDefault="00467B83" w:rsidP="00647B86">
            <w:pPr>
              <w:jc w:val="both"/>
              <w:rPr>
                <w:rFonts w:ascii="Arial" w:hAnsi="Arial" w:cs="Arial"/>
                <w:bCs/>
                <w:sz w:val="20"/>
                <w:szCs w:val="20"/>
              </w:rPr>
            </w:pPr>
            <w:r w:rsidRPr="00647B86">
              <w:rPr>
                <w:rFonts w:ascii="Arial" w:hAnsi="Arial" w:cs="Arial"/>
                <w:bCs/>
                <w:sz w:val="20"/>
                <w:szCs w:val="20"/>
              </w:rPr>
              <w:t>Hradená liečba sa môže indikovať u pacientov pri profylaxii a terapii nevoľnosti a vracania počas terapie</w:t>
            </w:r>
          </w:p>
          <w:p w14:paraId="0E93830C" w14:textId="77777777" w:rsidR="00467B83" w:rsidRDefault="00467B83">
            <w:pPr>
              <w:numPr>
                <w:ilvl w:val="0"/>
                <w:numId w:val="93"/>
              </w:numPr>
              <w:jc w:val="both"/>
              <w:rPr>
                <w:rFonts w:ascii="Arial" w:hAnsi="Arial" w:cs="Arial"/>
                <w:bCs/>
                <w:sz w:val="20"/>
                <w:szCs w:val="20"/>
              </w:rPr>
            </w:pPr>
            <w:r w:rsidRPr="00647B86">
              <w:rPr>
                <w:rFonts w:ascii="Arial" w:hAnsi="Arial" w:cs="Arial"/>
                <w:bCs/>
                <w:sz w:val="20"/>
                <w:szCs w:val="20"/>
              </w:rPr>
              <w:t>vysoko emetogénnymi režimami a režimami na báze antracyklín+cyklofosfamid od prvého cyklu chemoterapie,</w:t>
            </w:r>
          </w:p>
          <w:p w14:paraId="4C171AE1" w14:textId="77777777" w:rsidR="00467B83" w:rsidRPr="00647B86" w:rsidRDefault="00467B83">
            <w:pPr>
              <w:numPr>
                <w:ilvl w:val="0"/>
                <w:numId w:val="93"/>
              </w:numPr>
              <w:jc w:val="both"/>
              <w:rPr>
                <w:rFonts w:ascii="Arial" w:hAnsi="Arial" w:cs="Arial"/>
                <w:bCs/>
                <w:sz w:val="20"/>
                <w:szCs w:val="20"/>
              </w:rPr>
            </w:pPr>
            <w:r w:rsidRPr="00647B86">
              <w:rPr>
                <w:rFonts w:ascii="Arial" w:hAnsi="Arial" w:cs="Arial"/>
                <w:bCs/>
                <w:sz w:val="20"/>
                <w:szCs w:val="20"/>
              </w:rPr>
              <w:t>stredne emetogénnymi režimami, ak je odpoveď na predchádzajúcu liečbu nedostatočná.</w:t>
            </w:r>
          </w:p>
          <w:p w14:paraId="2D6F1A6F" w14:textId="77777777" w:rsidR="00467B83" w:rsidRPr="0000591E" w:rsidRDefault="00467B83" w:rsidP="00AD36F1">
            <w:pPr>
              <w:jc w:val="both"/>
              <w:rPr>
                <w:rFonts w:ascii="Arial" w:hAnsi="Arial" w:cs="Arial"/>
                <w:sz w:val="20"/>
                <w:szCs w:val="20"/>
              </w:rPr>
            </w:pPr>
          </w:p>
        </w:tc>
      </w:tr>
      <w:tr w:rsidR="00467B83" w:rsidRPr="0000591E" w14:paraId="3830AB7C" w14:textId="77777777" w:rsidTr="003F7925">
        <w:trPr>
          <w:trHeight w:val="20"/>
        </w:trPr>
        <w:tc>
          <w:tcPr>
            <w:tcW w:w="1256" w:type="dxa"/>
            <w:tcBorders>
              <w:bottom w:val="single" w:sz="4" w:space="0" w:color="auto"/>
            </w:tcBorders>
            <w:noWrap/>
            <w:vAlign w:val="center"/>
          </w:tcPr>
          <w:p w14:paraId="68F2C8BA" w14:textId="77777777" w:rsidR="00467B83" w:rsidRPr="0000591E" w:rsidRDefault="00467B83" w:rsidP="00AD36F1">
            <w:pPr>
              <w:rPr>
                <w:rFonts w:ascii="Arial" w:hAnsi="Arial" w:cs="Arial"/>
                <w:b/>
                <w:bCs/>
                <w:sz w:val="20"/>
                <w:szCs w:val="20"/>
              </w:rPr>
            </w:pPr>
            <w:r w:rsidRPr="0000591E">
              <w:rPr>
                <w:rFonts w:ascii="Arial" w:hAnsi="Arial" w:cs="Arial"/>
                <w:b/>
                <w:bCs/>
                <w:sz w:val="20"/>
                <w:szCs w:val="20"/>
              </w:rPr>
              <w:t>A04AD12</w:t>
            </w:r>
          </w:p>
        </w:tc>
        <w:tc>
          <w:tcPr>
            <w:tcW w:w="9606" w:type="dxa"/>
            <w:gridSpan w:val="3"/>
            <w:tcBorders>
              <w:bottom w:val="single" w:sz="4" w:space="0" w:color="auto"/>
            </w:tcBorders>
            <w:noWrap/>
            <w:vAlign w:val="bottom"/>
          </w:tcPr>
          <w:p w14:paraId="450B7B56" w14:textId="77777777" w:rsidR="00467B83" w:rsidRPr="0000591E" w:rsidRDefault="00467B83" w:rsidP="00AD36F1">
            <w:pPr>
              <w:rPr>
                <w:rFonts w:ascii="Arial" w:hAnsi="Arial" w:cs="Arial"/>
                <w:b/>
                <w:bCs/>
                <w:sz w:val="20"/>
                <w:szCs w:val="20"/>
              </w:rPr>
            </w:pPr>
            <w:r w:rsidRPr="0000591E">
              <w:rPr>
                <w:rFonts w:ascii="Arial" w:hAnsi="Arial" w:cs="Arial"/>
                <w:b/>
                <w:bCs/>
                <w:sz w:val="20"/>
                <w:szCs w:val="20"/>
              </w:rPr>
              <w:t>Aprepitant p.o. 1x125 mg + 2x80 mg,</w:t>
            </w:r>
          </w:p>
          <w:p w14:paraId="64875E11" w14:textId="77777777" w:rsidR="00467B83" w:rsidRPr="0000591E" w:rsidRDefault="00467B83" w:rsidP="00AD36F1">
            <w:pPr>
              <w:rPr>
                <w:rFonts w:ascii="Arial" w:hAnsi="Arial" w:cs="Arial"/>
                <w:b/>
                <w:bCs/>
                <w:sz w:val="20"/>
                <w:szCs w:val="20"/>
              </w:rPr>
            </w:pPr>
            <w:r w:rsidRPr="0000591E">
              <w:rPr>
                <w:rFonts w:ascii="Arial" w:hAnsi="Arial" w:cs="Arial"/>
                <w:b/>
                <w:bCs/>
                <w:sz w:val="20"/>
                <w:szCs w:val="20"/>
              </w:rPr>
              <w:t>Aprepitant p.o. 80 mg</w:t>
            </w:r>
          </w:p>
        </w:tc>
      </w:tr>
      <w:tr w:rsidR="00467B83" w:rsidRPr="0000591E" w14:paraId="5C8615F9" w14:textId="77777777" w:rsidTr="003F7925">
        <w:trPr>
          <w:trHeight w:val="20"/>
        </w:trPr>
        <w:tc>
          <w:tcPr>
            <w:tcW w:w="1256" w:type="dxa"/>
            <w:tcBorders>
              <w:top w:val="single" w:sz="4" w:space="0" w:color="auto"/>
            </w:tcBorders>
            <w:noWrap/>
            <w:vAlign w:val="center"/>
          </w:tcPr>
          <w:p w14:paraId="3E2F90CF" w14:textId="77777777" w:rsidR="00467B83" w:rsidRPr="0000591E" w:rsidRDefault="00467B83" w:rsidP="00AD36F1">
            <w:pPr>
              <w:rPr>
                <w:rFonts w:ascii="Arial" w:hAnsi="Arial" w:cs="Arial"/>
                <w:sz w:val="20"/>
                <w:szCs w:val="20"/>
              </w:rPr>
            </w:pPr>
          </w:p>
        </w:tc>
        <w:tc>
          <w:tcPr>
            <w:tcW w:w="9606" w:type="dxa"/>
            <w:gridSpan w:val="3"/>
            <w:tcBorders>
              <w:top w:val="single" w:sz="4" w:space="0" w:color="auto"/>
            </w:tcBorders>
            <w:vAlign w:val="bottom"/>
          </w:tcPr>
          <w:p w14:paraId="41D32A18" w14:textId="77777777" w:rsidR="00467B83" w:rsidRDefault="00467B83" w:rsidP="009849A8">
            <w:pPr>
              <w:jc w:val="both"/>
              <w:rPr>
                <w:rFonts w:ascii="Arial" w:hAnsi="Arial" w:cs="Arial"/>
                <w:sz w:val="20"/>
                <w:szCs w:val="20"/>
              </w:rPr>
            </w:pPr>
            <w:r w:rsidRPr="0000591E">
              <w:rPr>
                <w:rFonts w:ascii="Arial" w:hAnsi="Arial" w:cs="Arial"/>
                <w:sz w:val="20"/>
                <w:szCs w:val="20"/>
              </w:rPr>
              <w:t>Hradená liečba sa môže indikovať u pacientov pri profylaxii a terapii nevoľnosti a vracania počas terapie</w:t>
            </w:r>
          </w:p>
          <w:p w14:paraId="4AAD90F1" w14:textId="1ED7B6FC" w:rsidR="00467B83" w:rsidRPr="009849A8" w:rsidRDefault="00467B83" w:rsidP="00570E81">
            <w:pPr>
              <w:numPr>
                <w:ilvl w:val="0"/>
                <w:numId w:val="122"/>
              </w:numPr>
              <w:ind w:left="351" w:hanging="351"/>
              <w:rPr>
                <w:rFonts w:ascii="Arial" w:hAnsi="Arial" w:cs="Arial"/>
                <w:sz w:val="20"/>
                <w:szCs w:val="20"/>
              </w:rPr>
            </w:pPr>
            <w:r w:rsidRPr="009849A8">
              <w:rPr>
                <w:rFonts w:ascii="Arial" w:hAnsi="Arial" w:cs="Arial"/>
                <w:sz w:val="20"/>
                <w:szCs w:val="20"/>
              </w:rPr>
              <w:t>vysoko emetogénnymi režimami a režimami na báze antracyklín+cyklofosfamid od prvého cyklu chemoterapie,</w:t>
            </w:r>
          </w:p>
          <w:p w14:paraId="76733581" w14:textId="36E3846A" w:rsidR="00467B83" w:rsidRPr="009849A8" w:rsidRDefault="00467B83" w:rsidP="00452BE2">
            <w:pPr>
              <w:numPr>
                <w:ilvl w:val="0"/>
                <w:numId w:val="122"/>
              </w:numPr>
              <w:ind w:left="351" w:hanging="351"/>
              <w:rPr>
                <w:rFonts w:ascii="Arial" w:hAnsi="Arial" w:cs="Arial"/>
                <w:sz w:val="20"/>
                <w:szCs w:val="20"/>
              </w:rPr>
            </w:pPr>
            <w:r w:rsidRPr="009849A8">
              <w:rPr>
                <w:rFonts w:ascii="Arial" w:hAnsi="Arial" w:cs="Arial"/>
                <w:sz w:val="20"/>
                <w:szCs w:val="20"/>
              </w:rPr>
              <w:t>stredne emetogénnymi režimami, ak je odpoveď na predchádzajúcu liečbu nedostatočná.</w:t>
            </w:r>
          </w:p>
          <w:p w14:paraId="3CD89983" w14:textId="77777777" w:rsidR="00467B83" w:rsidRPr="0000591E" w:rsidRDefault="00467B83" w:rsidP="00AD36F1">
            <w:pPr>
              <w:jc w:val="both"/>
              <w:rPr>
                <w:rFonts w:ascii="Arial" w:hAnsi="Arial" w:cs="Arial"/>
                <w:sz w:val="20"/>
                <w:szCs w:val="20"/>
              </w:rPr>
            </w:pPr>
          </w:p>
        </w:tc>
      </w:tr>
      <w:tr w:rsidR="009849A8" w:rsidRPr="0000591E" w14:paraId="43377933" w14:textId="77777777" w:rsidTr="003F7925">
        <w:trPr>
          <w:trHeight w:val="20"/>
        </w:trPr>
        <w:tc>
          <w:tcPr>
            <w:tcW w:w="1256" w:type="dxa"/>
            <w:tcBorders>
              <w:bottom w:val="single" w:sz="4" w:space="0" w:color="auto"/>
            </w:tcBorders>
            <w:noWrap/>
            <w:vAlign w:val="bottom"/>
          </w:tcPr>
          <w:p w14:paraId="1DFD2D3E" w14:textId="00DEDC77" w:rsidR="009849A8" w:rsidRPr="0000591E" w:rsidRDefault="009849A8" w:rsidP="00F752F1">
            <w:pPr>
              <w:rPr>
                <w:rFonts w:ascii="Arial" w:hAnsi="Arial" w:cs="Arial"/>
                <w:b/>
                <w:sz w:val="20"/>
                <w:szCs w:val="20"/>
              </w:rPr>
            </w:pPr>
            <w:r w:rsidRPr="0000591E">
              <w:rPr>
                <w:rFonts w:ascii="Arial" w:hAnsi="Arial" w:cs="Arial"/>
                <w:b/>
                <w:sz w:val="20"/>
                <w:szCs w:val="20"/>
              </w:rPr>
              <w:t>A0</w:t>
            </w:r>
            <w:r>
              <w:rPr>
                <w:rFonts w:ascii="Arial" w:hAnsi="Arial" w:cs="Arial"/>
                <w:b/>
                <w:sz w:val="20"/>
                <w:szCs w:val="20"/>
              </w:rPr>
              <w:t>5</w:t>
            </w:r>
            <w:r w:rsidRPr="0000591E">
              <w:rPr>
                <w:rFonts w:ascii="Arial" w:hAnsi="Arial" w:cs="Arial"/>
                <w:b/>
                <w:sz w:val="20"/>
                <w:szCs w:val="20"/>
              </w:rPr>
              <w:t>A</w:t>
            </w:r>
            <w:r>
              <w:rPr>
                <w:rFonts w:ascii="Arial" w:hAnsi="Arial" w:cs="Arial"/>
                <w:b/>
                <w:sz w:val="20"/>
                <w:szCs w:val="20"/>
              </w:rPr>
              <w:t>X</w:t>
            </w:r>
            <w:r w:rsidRPr="0000591E">
              <w:rPr>
                <w:rFonts w:ascii="Arial" w:hAnsi="Arial" w:cs="Arial"/>
                <w:b/>
                <w:sz w:val="20"/>
                <w:szCs w:val="20"/>
              </w:rPr>
              <w:t>0</w:t>
            </w:r>
            <w:r>
              <w:rPr>
                <w:rFonts w:ascii="Arial" w:hAnsi="Arial" w:cs="Arial"/>
                <w:b/>
                <w:sz w:val="20"/>
                <w:szCs w:val="20"/>
              </w:rPr>
              <w:t>4</w:t>
            </w:r>
          </w:p>
        </w:tc>
        <w:tc>
          <w:tcPr>
            <w:tcW w:w="9606" w:type="dxa"/>
            <w:gridSpan w:val="3"/>
            <w:tcBorders>
              <w:bottom w:val="single" w:sz="4" w:space="0" w:color="auto"/>
            </w:tcBorders>
            <w:noWrap/>
          </w:tcPr>
          <w:p w14:paraId="14BD74D3" w14:textId="3CF34A5D" w:rsidR="009849A8" w:rsidRPr="007C1BC7" w:rsidRDefault="009849A8" w:rsidP="00F752F1">
            <w:pPr>
              <w:rPr>
                <w:rFonts w:ascii="Arial" w:hAnsi="Arial" w:cs="Arial"/>
                <w:b/>
                <w:sz w:val="20"/>
                <w:szCs w:val="20"/>
              </w:rPr>
            </w:pPr>
            <w:r w:rsidRPr="009849A8">
              <w:rPr>
                <w:rFonts w:ascii="Arial" w:hAnsi="Arial" w:cs="Arial"/>
                <w:b/>
                <w:sz w:val="20"/>
                <w:szCs w:val="20"/>
              </w:rPr>
              <w:t>Maralixibátium-chlorid</w:t>
            </w:r>
            <w:r>
              <w:rPr>
                <w:rFonts w:ascii="Arial" w:hAnsi="Arial" w:cs="Arial"/>
                <w:b/>
                <w:sz w:val="20"/>
                <w:szCs w:val="20"/>
              </w:rPr>
              <w:t xml:space="preserve"> p.o. </w:t>
            </w:r>
            <w:r w:rsidRPr="009849A8">
              <w:rPr>
                <w:rFonts w:ascii="Arial" w:hAnsi="Arial" w:cs="Arial"/>
                <w:b/>
                <w:sz w:val="20"/>
                <w:szCs w:val="20"/>
              </w:rPr>
              <w:t>9,5 mg/ml</w:t>
            </w:r>
          </w:p>
        </w:tc>
      </w:tr>
      <w:tr w:rsidR="009849A8" w:rsidRPr="0000591E" w14:paraId="67FF91C5" w14:textId="77777777" w:rsidTr="003F7925">
        <w:trPr>
          <w:trHeight w:val="20"/>
        </w:trPr>
        <w:tc>
          <w:tcPr>
            <w:tcW w:w="1256" w:type="dxa"/>
            <w:tcBorders>
              <w:bottom w:val="single" w:sz="4" w:space="0" w:color="auto"/>
            </w:tcBorders>
            <w:noWrap/>
            <w:vAlign w:val="bottom"/>
          </w:tcPr>
          <w:p w14:paraId="5035C634" w14:textId="77777777" w:rsidR="009849A8" w:rsidRPr="0000591E" w:rsidRDefault="009849A8" w:rsidP="00F752F1">
            <w:pPr>
              <w:rPr>
                <w:rFonts w:ascii="Arial" w:hAnsi="Arial" w:cs="Arial"/>
                <w:b/>
                <w:sz w:val="20"/>
                <w:szCs w:val="20"/>
              </w:rPr>
            </w:pPr>
          </w:p>
        </w:tc>
        <w:tc>
          <w:tcPr>
            <w:tcW w:w="9606" w:type="dxa"/>
            <w:gridSpan w:val="3"/>
            <w:tcBorders>
              <w:bottom w:val="single" w:sz="4" w:space="0" w:color="auto"/>
            </w:tcBorders>
            <w:noWrap/>
          </w:tcPr>
          <w:p w14:paraId="22ECEC3E" w14:textId="77777777" w:rsidR="009849A8" w:rsidRPr="009849A8" w:rsidRDefault="009849A8" w:rsidP="009849A8">
            <w:pPr>
              <w:jc w:val="both"/>
              <w:rPr>
                <w:rFonts w:ascii="Arial" w:hAnsi="Arial" w:cs="Arial"/>
                <w:bCs/>
                <w:sz w:val="20"/>
                <w:szCs w:val="20"/>
              </w:rPr>
            </w:pPr>
            <w:r w:rsidRPr="009849A8">
              <w:rPr>
                <w:rFonts w:ascii="Arial" w:hAnsi="Arial" w:cs="Arial"/>
                <w:bCs/>
                <w:sz w:val="20"/>
                <w:szCs w:val="20"/>
              </w:rPr>
              <w:t>Maralixibát je hradený v terapii cholestatického pruritu u pacientov s Alagillovým syndrómom vo veku 2 mesiacov a starších, ktorí neodpovedali na liečbu podpornou terapiou (BSC).</w:t>
            </w:r>
          </w:p>
          <w:p w14:paraId="762FBE44" w14:textId="77777777" w:rsidR="009849A8" w:rsidRPr="009849A8" w:rsidRDefault="009849A8" w:rsidP="009849A8">
            <w:pPr>
              <w:jc w:val="both"/>
              <w:rPr>
                <w:rFonts w:ascii="Arial" w:hAnsi="Arial" w:cs="Arial"/>
                <w:bCs/>
                <w:sz w:val="20"/>
                <w:szCs w:val="20"/>
              </w:rPr>
            </w:pPr>
            <w:r w:rsidRPr="009849A8">
              <w:rPr>
                <w:rFonts w:ascii="Arial" w:hAnsi="Arial" w:cs="Arial"/>
                <w:bCs/>
                <w:sz w:val="20"/>
                <w:szCs w:val="20"/>
              </w:rPr>
              <w:t>Ak po troch mesiacoch liečby nie je dosiahnuté zlepšenie pruritu definované ako pokles skóre ItchRO(Obs) aspoň o 1 bod oproti východiskovej hodnote, ďalšia liečba nie je hradenou liečbou. </w:t>
            </w:r>
          </w:p>
          <w:p w14:paraId="314D2AB8" w14:textId="77777777" w:rsidR="009849A8" w:rsidRPr="009849A8" w:rsidRDefault="009849A8" w:rsidP="009849A8">
            <w:pPr>
              <w:rPr>
                <w:rFonts w:ascii="Arial" w:hAnsi="Arial" w:cs="Arial"/>
                <w:bCs/>
                <w:sz w:val="20"/>
                <w:szCs w:val="20"/>
              </w:rPr>
            </w:pPr>
            <w:r w:rsidRPr="009849A8">
              <w:rPr>
                <w:rFonts w:ascii="Arial" w:hAnsi="Arial" w:cs="Arial"/>
                <w:bCs/>
                <w:sz w:val="20"/>
                <w:szCs w:val="20"/>
              </w:rPr>
              <w:t>Hradená liečba podlieha predchádzajúcemu súhlasu zdravotnej poisťovne.</w:t>
            </w:r>
          </w:p>
          <w:p w14:paraId="3A01895D" w14:textId="77777777" w:rsidR="009849A8" w:rsidRPr="009849A8" w:rsidRDefault="009849A8" w:rsidP="00F752F1">
            <w:pPr>
              <w:rPr>
                <w:rFonts w:ascii="Arial" w:hAnsi="Arial" w:cs="Arial"/>
                <w:bCs/>
                <w:sz w:val="20"/>
                <w:szCs w:val="20"/>
              </w:rPr>
            </w:pPr>
          </w:p>
        </w:tc>
      </w:tr>
      <w:tr w:rsidR="00F752F1" w:rsidRPr="0000591E" w14:paraId="19A23BD0" w14:textId="77777777" w:rsidTr="003F7925">
        <w:trPr>
          <w:trHeight w:val="20"/>
        </w:trPr>
        <w:tc>
          <w:tcPr>
            <w:tcW w:w="1256" w:type="dxa"/>
            <w:tcBorders>
              <w:bottom w:val="single" w:sz="4" w:space="0" w:color="auto"/>
            </w:tcBorders>
            <w:noWrap/>
            <w:vAlign w:val="bottom"/>
          </w:tcPr>
          <w:p w14:paraId="1F05D411" w14:textId="77777777" w:rsidR="00F752F1" w:rsidRPr="0000591E" w:rsidRDefault="00F752F1" w:rsidP="00F752F1">
            <w:pPr>
              <w:rPr>
                <w:rFonts w:ascii="Arial" w:hAnsi="Arial" w:cs="Arial"/>
                <w:b/>
                <w:bCs/>
                <w:sz w:val="20"/>
                <w:szCs w:val="20"/>
              </w:rPr>
            </w:pPr>
            <w:r w:rsidRPr="0000591E">
              <w:rPr>
                <w:rFonts w:ascii="Arial" w:hAnsi="Arial" w:cs="Arial"/>
                <w:b/>
                <w:sz w:val="20"/>
                <w:szCs w:val="20"/>
              </w:rPr>
              <w:t>A06AH01</w:t>
            </w:r>
          </w:p>
        </w:tc>
        <w:tc>
          <w:tcPr>
            <w:tcW w:w="9606" w:type="dxa"/>
            <w:gridSpan w:val="3"/>
            <w:tcBorders>
              <w:bottom w:val="single" w:sz="4" w:space="0" w:color="auto"/>
            </w:tcBorders>
            <w:noWrap/>
          </w:tcPr>
          <w:p w14:paraId="085AACC2" w14:textId="77777777" w:rsidR="00F752F1" w:rsidRPr="0000591E" w:rsidRDefault="00F752F1" w:rsidP="00F752F1">
            <w:pPr>
              <w:rPr>
                <w:rFonts w:ascii="Arial" w:hAnsi="Arial" w:cs="Arial"/>
                <w:b/>
                <w:bCs/>
                <w:sz w:val="20"/>
                <w:szCs w:val="20"/>
              </w:rPr>
            </w:pPr>
            <w:r w:rsidRPr="007C1BC7">
              <w:rPr>
                <w:rFonts w:ascii="Arial" w:hAnsi="Arial" w:cs="Arial"/>
                <w:b/>
                <w:sz w:val="20"/>
                <w:szCs w:val="20"/>
              </w:rPr>
              <w:t>Metylnaltrexóniumbromid parent. 12 mg</w:t>
            </w:r>
          </w:p>
        </w:tc>
      </w:tr>
      <w:tr w:rsidR="00F752F1" w:rsidRPr="0000591E" w14:paraId="4F533683" w14:textId="77777777" w:rsidTr="003F7925">
        <w:trPr>
          <w:trHeight w:val="20"/>
        </w:trPr>
        <w:tc>
          <w:tcPr>
            <w:tcW w:w="1256" w:type="dxa"/>
            <w:tcBorders>
              <w:top w:val="single" w:sz="4" w:space="0" w:color="auto"/>
            </w:tcBorders>
            <w:noWrap/>
            <w:vAlign w:val="bottom"/>
          </w:tcPr>
          <w:p w14:paraId="7FDD49EA" w14:textId="77777777" w:rsidR="00F752F1" w:rsidRPr="0000591E" w:rsidRDefault="00F752F1" w:rsidP="00F752F1">
            <w:pPr>
              <w:rPr>
                <w:rFonts w:ascii="Arial" w:hAnsi="Arial" w:cs="Arial"/>
                <w:b/>
                <w:bCs/>
                <w:sz w:val="20"/>
                <w:szCs w:val="20"/>
              </w:rPr>
            </w:pPr>
          </w:p>
        </w:tc>
        <w:tc>
          <w:tcPr>
            <w:tcW w:w="9606" w:type="dxa"/>
            <w:gridSpan w:val="3"/>
            <w:tcBorders>
              <w:top w:val="single" w:sz="4" w:space="0" w:color="auto"/>
            </w:tcBorders>
            <w:noWrap/>
          </w:tcPr>
          <w:p w14:paraId="67698E6A" w14:textId="77777777" w:rsidR="00F752F1" w:rsidRPr="0000591E" w:rsidRDefault="00F752F1" w:rsidP="00F752F1">
            <w:pPr>
              <w:jc w:val="both"/>
              <w:rPr>
                <w:rFonts w:ascii="Arial" w:hAnsi="Arial" w:cs="Arial"/>
                <w:sz w:val="20"/>
                <w:szCs w:val="20"/>
              </w:rPr>
            </w:pPr>
            <w:r w:rsidRPr="0000591E">
              <w:rPr>
                <w:rFonts w:ascii="Arial" w:hAnsi="Arial" w:cs="Arial"/>
                <w:sz w:val="20"/>
                <w:szCs w:val="20"/>
              </w:rPr>
              <w:t>Hradená liečba sa môže indikovať na liečbu opiátmi indukovanej zápchy u dospelých pacientov v pokročilom štádiu základného ochorenia, u ktorých zlyhala predchádzajúca laxatívna liečba.</w:t>
            </w:r>
          </w:p>
          <w:p w14:paraId="578974D0" w14:textId="77777777" w:rsidR="00F752F1" w:rsidRPr="0000591E" w:rsidRDefault="00F752F1" w:rsidP="00F752F1">
            <w:pPr>
              <w:rPr>
                <w:rFonts w:ascii="Arial" w:hAnsi="Arial" w:cs="Arial"/>
                <w:sz w:val="20"/>
                <w:szCs w:val="20"/>
              </w:rPr>
            </w:pPr>
          </w:p>
        </w:tc>
      </w:tr>
      <w:tr w:rsidR="00F752F1" w:rsidRPr="0000591E" w14:paraId="36481E56" w14:textId="77777777" w:rsidTr="003F7925">
        <w:trPr>
          <w:trHeight w:val="20"/>
        </w:trPr>
        <w:tc>
          <w:tcPr>
            <w:tcW w:w="1256" w:type="dxa"/>
            <w:tcBorders>
              <w:bottom w:val="single" w:sz="4" w:space="0" w:color="auto"/>
            </w:tcBorders>
            <w:noWrap/>
          </w:tcPr>
          <w:p w14:paraId="6934C65C" w14:textId="77777777" w:rsidR="00F752F1" w:rsidRPr="0000591E" w:rsidRDefault="00F752F1" w:rsidP="00F752F1">
            <w:pPr>
              <w:rPr>
                <w:rFonts w:ascii="Arial" w:hAnsi="Arial" w:cs="Arial"/>
                <w:b/>
                <w:bCs/>
                <w:sz w:val="20"/>
                <w:szCs w:val="20"/>
              </w:rPr>
            </w:pPr>
            <w:r w:rsidRPr="006B7C9B">
              <w:rPr>
                <w:rFonts w:ascii="Arial" w:hAnsi="Arial" w:cs="Arial"/>
                <w:b/>
                <w:sz w:val="20"/>
                <w:szCs w:val="20"/>
              </w:rPr>
              <w:t>A06AH03</w:t>
            </w:r>
          </w:p>
        </w:tc>
        <w:tc>
          <w:tcPr>
            <w:tcW w:w="9606" w:type="dxa"/>
            <w:gridSpan w:val="3"/>
            <w:tcBorders>
              <w:bottom w:val="single" w:sz="4" w:space="0" w:color="auto"/>
            </w:tcBorders>
            <w:noWrap/>
          </w:tcPr>
          <w:p w14:paraId="28AAA9FD" w14:textId="77777777" w:rsidR="00F752F1" w:rsidRPr="0000591E" w:rsidRDefault="00F752F1" w:rsidP="00F752F1">
            <w:pPr>
              <w:rPr>
                <w:rFonts w:ascii="Arial" w:hAnsi="Arial" w:cs="Arial"/>
                <w:sz w:val="20"/>
                <w:szCs w:val="20"/>
              </w:rPr>
            </w:pPr>
            <w:r w:rsidRPr="006B7C9B">
              <w:rPr>
                <w:rFonts w:ascii="Arial" w:hAnsi="Arial" w:cs="Arial"/>
                <w:b/>
                <w:sz w:val="20"/>
                <w:szCs w:val="20"/>
              </w:rPr>
              <w:t xml:space="preserve">Naloxegol p. o. 25 mg </w:t>
            </w:r>
          </w:p>
        </w:tc>
      </w:tr>
      <w:tr w:rsidR="00F752F1" w:rsidRPr="0000591E" w14:paraId="113C7B2B" w14:textId="77777777" w:rsidTr="003F7925">
        <w:trPr>
          <w:trHeight w:val="20"/>
        </w:trPr>
        <w:tc>
          <w:tcPr>
            <w:tcW w:w="1256" w:type="dxa"/>
            <w:tcBorders>
              <w:top w:val="single" w:sz="4" w:space="0" w:color="auto"/>
            </w:tcBorders>
            <w:noWrap/>
            <w:vAlign w:val="bottom"/>
          </w:tcPr>
          <w:p w14:paraId="07C09167" w14:textId="77777777" w:rsidR="00F752F1" w:rsidRPr="0000591E" w:rsidRDefault="00F752F1" w:rsidP="00F752F1">
            <w:pPr>
              <w:rPr>
                <w:rFonts w:ascii="Arial" w:hAnsi="Arial" w:cs="Arial"/>
                <w:b/>
                <w:bCs/>
                <w:sz w:val="20"/>
                <w:szCs w:val="20"/>
              </w:rPr>
            </w:pPr>
          </w:p>
        </w:tc>
        <w:tc>
          <w:tcPr>
            <w:tcW w:w="9606" w:type="dxa"/>
            <w:gridSpan w:val="3"/>
            <w:tcBorders>
              <w:top w:val="single" w:sz="4" w:space="0" w:color="auto"/>
            </w:tcBorders>
            <w:noWrap/>
          </w:tcPr>
          <w:p w14:paraId="1B6A8148" w14:textId="77777777" w:rsidR="00F752F1" w:rsidRDefault="00F752F1" w:rsidP="00F752F1">
            <w:pPr>
              <w:jc w:val="both"/>
              <w:rPr>
                <w:rFonts w:ascii="Arial" w:hAnsi="Arial" w:cs="Arial"/>
                <w:sz w:val="20"/>
                <w:szCs w:val="20"/>
              </w:rPr>
            </w:pPr>
            <w:r w:rsidRPr="006B7C9B">
              <w:rPr>
                <w:rFonts w:ascii="Arial" w:hAnsi="Arial" w:cs="Arial"/>
                <w:sz w:val="20"/>
                <w:szCs w:val="20"/>
              </w:rPr>
              <w:t>Hradená liečba sa môže indikovať na liečbu opiátmi indukovanej zápchy u dosp</w:t>
            </w:r>
            <w:r>
              <w:rPr>
                <w:rFonts w:ascii="Arial" w:hAnsi="Arial" w:cs="Arial"/>
                <w:sz w:val="20"/>
                <w:szCs w:val="20"/>
              </w:rPr>
              <w:t xml:space="preserve">elých pacientov, u ktorých bola </w:t>
            </w:r>
            <w:r w:rsidRPr="006B7C9B">
              <w:rPr>
                <w:rFonts w:ascii="Arial" w:hAnsi="Arial" w:cs="Arial"/>
                <w:sz w:val="20"/>
                <w:szCs w:val="20"/>
              </w:rPr>
              <w:t>odpoveď na liečbu laxatívom aspoň z jednej triedy nedostatočná. Pacient je liečený po dobu trvania súčasne užívanej</w:t>
            </w:r>
            <w:r>
              <w:rPr>
                <w:rFonts w:ascii="Arial" w:hAnsi="Arial" w:cs="Arial"/>
                <w:sz w:val="20"/>
                <w:szCs w:val="20"/>
              </w:rPr>
              <w:t xml:space="preserve"> </w:t>
            </w:r>
            <w:r w:rsidRPr="006B7C9B">
              <w:rPr>
                <w:rFonts w:ascii="Arial" w:hAnsi="Arial" w:cs="Arial"/>
                <w:sz w:val="20"/>
                <w:szCs w:val="20"/>
              </w:rPr>
              <w:t>liečby opiátmi.</w:t>
            </w:r>
          </w:p>
          <w:p w14:paraId="0196CCD3" w14:textId="0C28FC7A" w:rsidR="00211B83" w:rsidRPr="0000591E" w:rsidRDefault="00211B83" w:rsidP="00F752F1">
            <w:pPr>
              <w:jc w:val="both"/>
              <w:rPr>
                <w:rFonts w:ascii="Arial" w:hAnsi="Arial" w:cs="Arial"/>
                <w:b/>
                <w:bCs/>
                <w:sz w:val="20"/>
                <w:szCs w:val="20"/>
              </w:rPr>
            </w:pPr>
          </w:p>
        </w:tc>
      </w:tr>
      <w:tr w:rsidR="00F752F1" w:rsidRPr="0000591E" w14:paraId="34162BC7" w14:textId="77777777" w:rsidTr="003F7925">
        <w:trPr>
          <w:trHeight w:val="20"/>
        </w:trPr>
        <w:tc>
          <w:tcPr>
            <w:tcW w:w="1256" w:type="dxa"/>
            <w:tcBorders>
              <w:bottom w:val="single" w:sz="4" w:space="0" w:color="auto"/>
            </w:tcBorders>
            <w:noWrap/>
            <w:vAlign w:val="bottom"/>
          </w:tcPr>
          <w:p w14:paraId="22F0E173" w14:textId="77777777" w:rsidR="00F752F1" w:rsidRPr="0000591E" w:rsidRDefault="00F752F1" w:rsidP="00F752F1">
            <w:pPr>
              <w:rPr>
                <w:rFonts w:ascii="Arial" w:hAnsi="Arial" w:cs="Arial"/>
                <w:b/>
                <w:sz w:val="20"/>
                <w:szCs w:val="20"/>
              </w:rPr>
            </w:pPr>
            <w:r w:rsidRPr="0000591E">
              <w:rPr>
                <w:rFonts w:ascii="Arial" w:hAnsi="Arial" w:cs="Arial"/>
                <w:b/>
                <w:sz w:val="20"/>
                <w:szCs w:val="20"/>
              </w:rPr>
              <w:t>A06AX05</w:t>
            </w:r>
          </w:p>
        </w:tc>
        <w:tc>
          <w:tcPr>
            <w:tcW w:w="9606" w:type="dxa"/>
            <w:gridSpan w:val="3"/>
            <w:tcBorders>
              <w:bottom w:val="single" w:sz="4" w:space="0" w:color="auto"/>
            </w:tcBorders>
          </w:tcPr>
          <w:p w14:paraId="0E05B95E" w14:textId="77777777" w:rsidR="00F752F1" w:rsidRPr="0000591E" w:rsidRDefault="00F752F1" w:rsidP="00F752F1">
            <w:pPr>
              <w:jc w:val="both"/>
              <w:rPr>
                <w:rFonts w:ascii="Arial" w:hAnsi="Arial" w:cs="Arial"/>
                <w:b/>
                <w:sz w:val="20"/>
                <w:szCs w:val="20"/>
              </w:rPr>
            </w:pPr>
            <w:r w:rsidRPr="0000591E">
              <w:rPr>
                <w:rFonts w:ascii="Arial" w:hAnsi="Arial" w:cs="Arial"/>
                <w:b/>
                <w:sz w:val="20"/>
                <w:szCs w:val="20"/>
              </w:rPr>
              <w:t>Prukaloprid p.o. 1 mg</w:t>
            </w:r>
          </w:p>
          <w:p w14:paraId="0CA514A8" w14:textId="77777777" w:rsidR="00F752F1" w:rsidRPr="0000591E" w:rsidRDefault="00F752F1" w:rsidP="00F752F1">
            <w:pPr>
              <w:jc w:val="both"/>
              <w:rPr>
                <w:rFonts w:ascii="Arial" w:hAnsi="Arial" w:cs="Arial"/>
                <w:b/>
                <w:sz w:val="20"/>
                <w:szCs w:val="20"/>
              </w:rPr>
            </w:pPr>
            <w:r w:rsidRPr="0000591E">
              <w:rPr>
                <w:rFonts w:ascii="Arial" w:hAnsi="Arial" w:cs="Arial"/>
                <w:b/>
                <w:sz w:val="20"/>
                <w:szCs w:val="20"/>
              </w:rPr>
              <w:t>Prukaloprid p.o. 2 mg</w:t>
            </w:r>
          </w:p>
        </w:tc>
      </w:tr>
      <w:tr w:rsidR="00F752F1" w:rsidRPr="0000591E" w14:paraId="1631E5CF" w14:textId="77777777" w:rsidTr="003F7925">
        <w:trPr>
          <w:trHeight w:val="20"/>
        </w:trPr>
        <w:tc>
          <w:tcPr>
            <w:tcW w:w="1256" w:type="dxa"/>
            <w:tcBorders>
              <w:top w:val="single" w:sz="4" w:space="0" w:color="auto"/>
            </w:tcBorders>
            <w:noWrap/>
            <w:vAlign w:val="bottom"/>
          </w:tcPr>
          <w:p w14:paraId="519A345A" w14:textId="77777777" w:rsidR="00F752F1" w:rsidRPr="0000591E" w:rsidRDefault="00F752F1" w:rsidP="00F752F1">
            <w:pPr>
              <w:rPr>
                <w:rFonts w:ascii="Arial" w:hAnsi="Arial" w:cs="Arial"/>
                <w:sz w:val="20"/>
                <w:szCs w:val="20"/>
              </w:rPr>
            </w:pPr>
          </w:p>
        </w:tc>
        <w:tc>
          <w:tcPr>
            <w:tcW w:w="9606" w:type="dxa"/>
            <w:gridSpan w:val="3"/>
            <w:tcBorders>
              <w:top w:val="single" w:sz="4" w:space="0" w:color="auto"/>
            </w:tcBorders>
          </w:tcPr>
          <w:p w14:paraId="2BC3C35C" w14:textId="77777777" w:rsidR="00F752F1" w:rsidRDefault="00F752F1" w:rsidP="00F752F1">
            <w:pPr>
              <w:jc w:val="both"/>
              <w:rPr>
                <w:rFonts w:ascii="Arial" w:hAnsi="Arial" w:cs="Arial"/>
                <w:sz w:val="20"/>
                <w:szCs w:val="20"/>
              </w:rPr>
            </w:pPr>
            <w:r w:rsidRPr="0000591E">
              <w:rPr>
                <w:rFonts w:ascii="Arial" w:hAnsi="Arial" w:cs="Arial"/>
                <w:sz w:val="20"/>
                <w:szCs w:val="20"/>
              </w:rPr>
              <w:t>Hradená liečba sa môže indikovať u žien, u ktorých dostupné laxatíva nedosiahli požadovaný klinický efekt a je zvažovaná invazívna terapia.</w:t>
            </w:r>
          </w:p>
          <w:p w14:paraId="23D75057" w14:textId="182703A6" w:rsidR="00211B83" w:rsidRPr="0000591E" w:rsidRDefault="00211B83" w:rsidP="00F752F1">
            <w:pPr>
              <w:jc w:val="both"/>
              <w:rPr>
                <w:rFonts w:ascii="Arial" w:hAnsi="Arial" w:cs="Arial"/>
                <w:sz w:val="20"/>
                <w:szCs w:val="20"/>
              </w:rPr>
            </w:pPr>
          </w:p>
        </w:tc>
      </w:tr>
      <w:tr w:rsidR="00AD36F1" w:rsidRPr="0000591E" w14:paraId="3DFCB237" w14:textId="77777777" w:rsidTr="003F7925">
        <w:trPr>
          <w:gridAfter w:val="1"/>
          <w:wAfter w:w="109" w:type="dxa"/>
          <w:trHeight w:val="20"/>
        </w:trPr>
        <w:tc>
          <w:tcPr>
            <w:tcW w:w="1256" w:type="dxa"/>
            <w:tcBorders>
              <w:bottom w:val="single" w:sz="4" w:space="0" w:color="auto"/>
            </w:tcBorders>
            <w:noWrap/>
            <w:vAlign w:val="bottom"/>
          </w:tcPr>
          <w:p w14:paraId="78F5CF9C" w14:textId="77777777" w:rsidR="00AD36F1" w:rsidRPr="0000591E" w:rsidRDefault="00AD36F1" w:rsidP="00AD36F1">
            <w:pPr>
              <w:rPr>
                <w:rFonts w:ascii="Arial" w:hAnsi="Arial" w:cs="Arial"/>
                <w:b/>
                <w:bCs/>
                <w:sz w:val="20"/>
                <w:szCs w:val="20"/>
              </w:rPr>
            </w:pPr>
            <w:r w:rsidRPr="0000591E">
              <w:rPr>
                <w:rFonts w:ascii="Arial" w:hAnsi="Arial" w:cs="Arial"/>
                <w:b/>
                <w:bCs/>
                <w:sz w:val="20"/>
                <w:szCs w:val="20"/>
              </w:rPr>
              <w:t>A07AA11</w:t>
            </w:r>
          </w:p>
        </w:tc>
        <w:tc>
          <w:tcPr>
            <w:tcW w:w="9497" w:type="dxa"/>
            <w:gridSpan w:val="2"/>
            <w:tcBorders>
              <w:bottom w:val="single" w:sz="4" w:space="0" w:color="auto"/>
            </w:tcBorders>
            <w:noWrap/>
            <w:vAlign w:val="bottom"/>
          </w:tcPr>
          <w:p w14:paraId="092A7CA6" w14:textId="77777777" w:rsidR="00AD36F1" w:rsidRPr="0000591E" w:rsidRDefault="00AD36F1" w:rsidP="00AD36F1">
            <w:pPr>
              <w:rPr>
                <w:rFonts w:ascii="Arial" w:hAnsi="Arial" w:cs="Arial"/>
                <w:b/>
                <w:bCs/>
                <w:sz w:val="20"/>
                <w:szCs w:val="20"/>
              </w:rPr>
            </w:pPr>
            <w:r w:rsidRPr="0000591E">
              <w:rPr>
                <w:rFonts w:ascii="Arial" w:hAnsi="Arial" w:cs="Arial"/>
                <w:b/>
                <w:bCs/>
                <w:sz w:val="20"/>
                <w:szCs w:val="20"/>
              </w:rPr>
              <w:t>Rifaximín p.o.</w:t>
            </w:r>
            <w:r w:rsidR="00E80D7C" w:rsidRPr="0000591E">
              <w:rPr>
                <w:rFonts w:ascii="Arial" w:hAnsi="Arial" w:cs="Arial"/>
                <w:b/>
                <w:bCs/>
                <w:sz w:val="20"/>
                <w:szCs w:val="20"/>
              </w:rPr>
              <w:t xml:space="preserve"> 200 mg</w:t>
            </w:r>
          </w:p>
        </w:tc>
      </w:tr>
      <w:tr w:rsidR="00AD36F1" w:rsidRPr="0000591E" w14:paraId="17061341" w14:textId="77777777" w:rsidTr="003F7925">
        <w:trPr>
          <w:gridAfter w:val="1"/>
          <w:wAfter w:w="109" w:type="dxa"/>
          <w:trHeight w:val="20"/>
        </w:trPr>
        <w:tc>
          <w:tcPr>
            <w:tcW w:w="1256" w:type="dxa"/>
            <w:tcBorders>
              <w:top w:val="single" w:sz="4" w:space="0" w:color="auto"/>
            </w:tcBorders>
            <w:noWrap/>
            <w:vAlign w:val="bottom"/>
          </w:tcPr>
          <w:p w14:paraId="224DAD84" w14:textId="77777777" w:rsidR="00AD36F1" w:rsidRPr="0000591E" w:rsidRDefault="00AD36F1" w:rsidP="00AD36F1">
            <w:pPr>
              <w:rPr>
                <w:rFonts w:ascii="Arial" w:hAnsi="Arial" w:cs="Arial"/>
                <w:sz w:val="20"/>
                <w:szCs w:val="20"/>
              </w:rPr>
            </w:pPr>
          </w:p>
        </w:tc>
        <w:tc>
          <w:tcPr>
            <w:tcW w:w="9497" w:type="dxa"/>
            <w:gridSpan w:val="2"/>
            <w:tcBorders>
              <w:top w:val="single" w:sz="4" w:space="0" w:color="auto"/>
            </w:tcBorders>
          </w:tcPr>
          <w:p w14:paraId="19066A03" w14:textId="77777777" w:rsidR="00AD36F1" w:rsidRPr="0000591E" w:rsidRDefault="00AD36F1" w:rsidP="00A07C7E">
            <w:pPr>
              <w:pStyle w:val="Zkladntext"/>
              <w:jc w:val="both"/>
              <w:rPr>
                <w:lang w:val="sk-SK"/>
              </w:rPr>
            </w:pPr>
            <w:r w:rsidRPr="0000591E">
              <w:rPr>
                <w:lang w:val="sk-SK"/>
              </w:rPr>
              <w:t>Hradenú liečbu môže indikovať</w:t>
            </w:r>
          </w:p>
          <w:p w14:paraId="261DAC64" w14:textId="77777777" w:rsidR="00AD36F1" w:rsidRPr="0000591E" w:rsidRDefault="00AD36F1" w:rsidP="00FD3173">
            <w:pPr>
              <w:pStyle w:val="Zkladntext"/>
              <w:numPr>
                <w:ilvl w:val="0"/>
                <w:numId w:val="1"/>
              </w:numPr>
              <w:tabs>
                <w:tab w:val="clear" w:pos="720"/>
                <w:tab w:val="num" w:pos="351"/>
              </w:tabs>
              <w:ind w:hanging="653"/>
              <w:jc w:val="both"/>
              <w:rPr>
                <w:lang w:val="sk-SK"/>
              </w:rPr>
            </w:pPr>
            <w:r w:rsidRPr="0000591E">
              <w:rPr>
                <w:lang w:val="sk-SK"/>
              </w:rPr>
              <w:t>gastroenterológ, hepatológ, internista, geriater</w:t>
            </w:r>
            <w:r w:rsidR="00604661" w:rsidRPr="0000591E">
              <w:rPr>
                <w:lang w:val="sk-SK"/>
              </w:rPr>
              <w:t>, chirurg</w:t>
            </w:r>
            <w:r w:rsidRPr="0000591E">
              <w:rPr>
                <w:lang w:val="sk-SK"/>
              </w:rPr>
              <w:t xml:space="preserve"> alebo </w:t>
            </w:r>
            <w:r w:rsidR="00604661" w:rsidRPr="0000591E">
              <w:rPr>
                <w:lang w:val="sk-SK"/>
              </w:rPr>
              <w:t xml:space="preserve">cievny </w:t>
            </w:r>
            <w:r w:rsidRPr="0000591E">
              <w:rPr>
                <w:lang w:val="sk-SK"/>
              </w:rPr>
              <w:t>chirurg pri</w:t>
            </w:r>
          </w:p>
          <w:p w14:paraId="5B6B2DC0" w14:textId="77777777" w:rsidR="00AD36F1" w:rsidRPr="0000591E" w:rsidRDefault="00AD36F1" w:rsidP="00FD3173">
            <w:pPr>
              <w:numPr>
                <w:ilvl w:val="0"/>
                <w:numId w:val="2"/>
              </w:numPr>
              <w:tabs>
                <w:tab w:val="clear" w:pos="1068"/>
                <w:tab w:val="num" w:pos="351"/>
                <w:tab w:val="num" w:pos="634"/>
              </w:tabs>
              <w:ind w:hanging="653"/>
              <w:rPr>
                <w:rFonts w:ascii="Arial" w:hAnsi="Arial" w:cs="Arial"/>
                <w:sz w:val="20"/>
                <w:szCs w:val="20"/>
              </w:rPr>
            </w:pPr>
            <w:r w:rsidRPr="0000591E">
              <w:rPr>
                <w:rFonts w:ascii="Arial" w:hAnsi="Arial" w:cs="Arial"/>
                <w:sz w:val="20"/>
                <w:szCs w:val="20"/>
              </w:rPr>
              <w:t xml:space="preserve">hepatálnej encefalopatii, </w:t>
            </w:r>
          </w:p>
          <w:p w14:paraId="39C70C25" w14:textId="77777777" w:rsidR="00AD36F1" w:rsidRPr="0000591E" w:rsidRDefault="00AD36F1" w:rsidP="00FD3173">
            <w:pPr>
              <w:numPr>
                <w:ilvl w:val="0"/>
                <w:numId w:val="2"/>
              </w:numPr>
              <w:tabs>
                <w:tab w:val="clear" w:pos="1068"/>
                <w:tab w:val="num" w:pos="351"/>
                <w:tab w:val="num" w:pos="634"/>
              </w:tabs>
              <w:ind w:hanging="653"/>
              <w:rPr>
                <w:rFonts w:ascii="Arial" w:hAnsi="Arial" w:cs="Arial"/>
                <w:sz w:val="20"/>
                <w:szCs w:val="20"/>
              </w:rPr>
            </w:pPr>
            <w:r w:rsidRPr="0000591E">
              <w:rPr>
                <w:rFonts w:ascii="Arial" w:hAnsi="Arial" w:cs="Arial"/>
                <w:sz w:val="20"/>
                <w:szCs w:val="20"/>
              </w:rPr>
              <w:t xml:space="preserve">divertikulárnych ochoreniach hrubého čreva, </w:t>
            </w:r>
          </w:p>
          <w:p w14:paraId="2429C8C6" w14:textId="77777777" w:rsidR="00AD36F1" w:rsidRPr="0000591E" w:rsidRDefault="00AD36F1" w:rsidP="00FD3173">
            <w:pPr>
              <w:numPr>
                <w:ilvl w:val="0"/>
                <w:numId w:val="2"/>
              </w:numPr>
              <w:tabs>
                <w:tab w:val="clear" w:pos="1068"/>
                <w:tab w:val="num" w:pos="351"/>
                <w:tab w:val="num" w:pos="634"/>
              </w:tabs>
              <w:ind w:hanging="653"/>
              <w:rPr>
                <w:rFonts w:ascii="Arial" w:hAnsi="Arial" w:cs="Arial"/>
                <w:sz w:val="20"/>
                <w:szCs w:val="20"/>
              </w:rPr>
            </w:pPr>
            <w:r w:rsidRPr="0000591E">
              <w:rPr>
                <w:rFonts w:ascii="Arial" w:hAnsi="Arial" w:cs="Arial"/>
                <w:sz w:val="20"/>
                <w:szCs w:val="20"/>
              </w:rPr>
              <w:t>profylaxii v kolorektálnej chirurgii,</w:t>
            </w:r>
          </w:p>
          <w:p w14:paraId="72082BE5" w14:textId="77777777" w:rsidR="002E7D80" w:rsidRPr="0000591E" w:rsidRDefault="00AD36F1" w:rsidP="00FD3173">
            <w:pPr>
              <w:numPr>
                <w:ilvl w:val="0"/>
                <w:numId w:val="1"/>
              </w:numPr>
              <w:tabs>
                <w:tab w:val="clear" w:pos="720"/>
                <w:tab w:val="num" w:pos="351"/>
              </w:tabs>
              <w:ind w:left="351" w:hanging="284"/>
              <w:jc w:val="both"/>
              <w:rPr>
                <w:rFonts w:ascii="Arial" w:hAnsi="Arial" w:cs="Arial"/>
                <w:sz w:val="20"/>
                <w:szCs w:val="20"/>
              </w:rPr>
            </w:pPr>
            <w:r w:rsidRPr="0000591E">
              <w:rPr>
                <w:rFonts w:ascii="Arial" w:hAnsi="Arial" w:cs="Arial"/>
                <w:sz w:val="20"/>
                <w:szCs w:val="20"/>
              </w:rPr>
              <w:t>infektológ alebo gastroenterológ</w:t>
            </w:r>
            <w:r w:rsidR="000D3160" w:rsidRPr="0000591E">
              <w:rPr>
                <w:rFonts w:ascii="Arial" w:hAnsi="Arial" w:cs="Arial"/>
                <w:sz w:val="20"/>
                <w:szCs w:val="20"/>
              </w:rPr>
              <w:t xml:space="preserve"> </w:t>
            </w:r>
            <w:r w:rsidRPr="0000591E">
              <w:rPr>
                <w:rFonts w:ascii="Arial" w:hAnsi="Arial" w:cs="Arial"/>
                <w:sz w:val="20"/>
                <w:szCs w:val="20"/>
              </w:rPr>
              <w:t>pri hnačkovom ochorení so závažným priebehom po zlyhaní predchádzajúcej antiinfekčnej liečby a pri bakteriálnych infekciách, ktoré sprevádzajú nešpecifické zápalové ochorenia čriev (ulcerózna kolitída a Crohnova choroba) a pri pretrvávaní klinických príznakov celkového zápalu</w:t>
            </w:r>
            <w:r w:rsidR="002E7D80" w:rsidRPr="0000591E">
              <w:rPr>
                <w:rFonts w:ascii="Arial" w:hAnsi="Arial" w:cs="Arial"/>
                <w:sz w:val="20"/>
                <w:szCs w:val="20"/>
              </w:rPr>
              <w:t>,</w:t>
            </w:r>
          </w:p>
          <w:p w14:paraId="3E88D379" w14:textId="77777777" w:rsidR="00AD36F1" w:rsidRDefault="002E7D80" w:rsidP="00FD3173">
            <w:pPr>
              <w:numPr>
                <w:ilvl w:val="0"/>
                <w:numId w:val="1"/>
              </w:numPr>
              <w:tabs>
                <w:tab w:val="clear" w:pos="720"/>
                <w:tab w:val="num" w:pos="351"/>
              </w:tabs>
              <w:ind w:hanging="653"/>
              <w:jc w:val="both"/>
              <w:rPr>
                <w:rFonts w:ascii="Arial" w:hAnsi="Arial" w:cs="Arial"/>
                <w:sz w:val="20"/>
                <w:szCs w:val="20"/>
              </w:rPr>
            </w:pPr>
            <w:r w:rsidRPr="0000591E">
              <w:rPr>
                <w:rFonts w:ascii="Arial" w:hAnsi="Arial" w:cs="Arial"/>
                <w:sz w:val="20"/>
                <w:szCs w:val="20"/>
              </w:rPr>
              <w:t>infektológ, gastroenterológ, internista, geriater pri liečbe SIBO (bakteriálne prerastanie v tenkom čreve).</w:t>
            </w:r>
            <w:r w:rsidR="00AD36F1" w:rsidRPr="0000591E">
              <w:rPr>
                <w:rFonts w:ascii="Arial" w:hAnsi="Arial" w:cs="Arial"/>
                <w:sz w:val="20"/>
                <w:szCs w:val="20"/>
              </w:rPr>
              <w:t xml:space="preserve"> </w:t>
            </w:r>
          </w:p>
          <w:p w14:paraId="2225965C" w14:textId="77777777" w:rsidR="009849A8" w:rsidRPr="0000591E" w:rsidRDefault="009849A8" w:rsidP="004F341E">
            <w:pPr>
              <w:ind w:left="720"/>
              <w:jc w:val="both"/>
              <w:rPr>
                <w:rFonts w:ascii="Arial" w:hAnsi="Arial" w:cs="Arial"/>
                <w:sz w:val="20"/>
                <w:szCs w:val="20"/>
              </w:rPr>
            </w:pPr>
          </w:p>
        </w:tc>
      </w:tr>
      <w:tr w:rsidR="00211B83" w:rsidRPr="0000591E" w14:paraId="7F1EE810" w14:textId="77777777" w:rsidTr="003F7925">
        <w:trPr>
          <w:gridAfter w:val="1"/>
          <w:wAfter w:w="109" w:type="dxa"/>
          <w:trHeight w:val="20"/>
        </w:trPr>
        <w:tc>
          <w:tcPr>
            <w:tcW w:w="1256" w:type="dxa"/>
            <w:tcBorders>
              <w:bottom w:val="single" w:sz="4" w:space="0" w:color="auto"/>
            </w:tcBorders>
            <w:noWrap/>
            <w:vAlign w:val="bottom"/>
          </w:tcPr>
          <w:p w14:paraId="46300F6A" w14:textId="4435BF62" w:rsidR="00211B83" w:rsidRDefault="00211B83" w:rsidP="00AD36F1">
            <w:pPr>
              <w:rPr>
                <w:rFonts w:ascii="Arial" w:hAnsi="Arial" w:cs="Arial"/>
                <w:b/>
                <w:sz w:val="20"/>
                <w:szCs w:val="20"/>
              </w:rPr>
            </w:pPr>
            <w:r w:rsidRPr="00211B83">
              <w:rPr>
                <w:rFonts w:ascii="Arial" w:hAnsi="Arial" w:cs="Arial"/>
                <w:b/>
                <w:sz w:val="20"/>
                <w:szCs w:val="20"/>
              </w:rPr>
              <w:t>A07EA06</w:t>
            </w:r>
          </w:p>
        </w:tc>
        <w:tc>
          <w:tcPr>
            <w:tcW w:w="9497" w:type="dxa"/>
            <w:gridSpan w:val="2"/>
            <w:tcBorders>
              <w:bottom w:val="single" w:sz="4" w:space="0" w:color="auto"/>
            </w:tcBorders>
          </w:tcPr>
          <w:p w14:paraId="20176661" w14:textId="77777777" w:rsidR="00211B83" w:rsidRPr="00211B83" w:rsidRDefault="00211B83" w:rsidP="00211B83">
            <w:pPr>
              <w:pStyle w:val="Zkladntext"/>
              <w:rPr>
                <w:b/>
                <w:lang w:val="sk-SK"/>
              </w:rPr>
            </w:pPr>
            <w:r w:rsidRPr="00211B83">
              <w:rPr>
                <w:b/>
                <w:lang w:val="sk-SK"/>
              </w:rPr>
              <w:t>Budezonid p.o. 1 mg</w:t>
            </w:r>
          </w:p>
          <w:p w14:paraId="3CCC27C8" w14:textId="3CBF4984" w:rsidR="00211B83" w:rsidRDefault="00211B83" w:rsidP="00211B83">
            <w:pPr>
              <w:pStyle w:val="Zkladntext"/>
              <w:rPr>
                <w:b/>
                <w:lang w:val="sk-SK"/>
              </w:rPr>
            </w:pPr>
            <w:r w:rsidRPr="00211B83">
              <w:rPr>
                <w:b/>
                <w:lang w:val="sk-SK"/>
              </w:rPr>
              <w:t>Budezonid p.o. 0,5 mg</w:t>
            </w:r>
          </w:p>
        </w:tc>
      </w:tr>
      <w:tr w:rsidR="00211B83" w:rsidRPr="0000591E" w14:paraId="5901122C" w14:textId="77777777" w:rsidTr="003F7925">
        <w:trPr>
          <w:gridAfter w:val="1"/>
          <w:wAfter w:w="109" w:type="dxa"/>
          <w:trHeight w:val="20"/>
        </w:trPr>
        <w:tc>
          <w:tcPr>
            <w:tcW w:w="1256" w:type="dxa"/>
            <w:tcBorders>
              <w:top w:val="single" w:sz="4" w:space="0" w:color="auto"/>
            </w:tcBorders>
            <w:noWrap/>
            <w:vAlign w:val="bottom"/>
          </w:tcPr>
          <w:p w14:paraId="76CF1A98" w14:textId="77777777" w:rsidR="00211B83" w:rsidRDefault="00211B83" w:rsidP="00AD36F1">
            <w:pPr>
              <w:rPr>
                <w:rFonts w:ascii="Arial" w:hAnsi="Arial" w:cs="Arial"/>
                <w:b/>
                <w:sz w:val="20"/>
                <w:szCs w:val="20"/>
              </w:rPr>
            </w:pPr>
          </w:p>
        </w:tc>
        <w:tc>
          <w:tcPr>
            <w:tcW w:w="9497" w:type="dxa"/>
            <w:gridSpan w:val="2"/>
            <w:tcBorders>
              <w:top w:val="single" w:sz="4" w:space="0" w:color="auto"/>
            </w:tcBorders>
          </w:tcPr>
          <w:p w14:paraId="023C2917" w14:textId="7E176D9C" w:rsidR="009849A8" w:rsidRPr="00211B83" w:rsidRDefault="00211B83" w:rsidP="00FD3173">
            <w:pPr>
              <w:pStyle w:val="Zkladntext"/>
              <w:jc w:val="both"/>
              <w:rPr>
                <w:lang w:val="sk-SK"/>
              </w:rPr>
            </w:pPr>
            <w:r w:rsidRPr="00211B83">
              <w:rPr>
                <w:lang w:val="sk-SK"/>
              </w:rPr>
              <w:t>Hradená liečba sa môže indikovať na liečbu eozinofilnej ezofagitídy (EoE) u dospelých pacientov. Na stanovenie diagnózy je nevyhnutné, aby pacient absolvoval endoskopické vyšetrenie spolu s biopsiou zo sliznice pažeráka.</w:t>
            </w:r>
          </w:p>
        </w:tc>
      </w:tr>
      <w:tr w:rsidR="0007706B" w:rsidRPr="0000591E" w14:paraId="5499DF46" w14:textId="77777777" w:rsidTr="003F7925">
        <w:trPr>
          <w:gridAfter w:val="1"/>
          <w:wAfter w:w="109" w:type="dxa"/>
          <w:trHeight w:val="20"/>
        </w:trPr>
        <w:tc>
          <w:tcPr>
            <w:tcW w:w="1256" w:type="dxa"/>
            <w:tcBorders>
              <w:bottom w:val="single" w:sz="4" w:space="0" w:color="auto"/>
            </w:tcBorders>
            <w:noWrap/>
            <w:vAlign w:val="bottom"/>
          </w:tcPr>
          <w:p w14:paraId="5CE7174F" w14:textId="689DB7EF" w:rsidR="0007706B" w:rsidRDefault="0007706B" w:rsidP="00AD36F1">
            <w:pPr>
              <w:rPr>
                <w:rFonts w:ascii="Arial" w:hAnsi="Arial" w:cs="Arial"/>
                <w:b/>
                <w:sz w:val="20"/>
                <w:szCs w:val="20"/>
              </w:rPr>
            </w:pPr>
            <w:r w:rsidRPr="0007706B">
              <w:rPr>
                <w:rFonts w:ascii="Arial" w:hAnsi="Arial" w:cs="Arial"/>
                <w:b/>
                <w:sz w:val="20"/>
                <w:szCs w:val="20"/>
              </w:rPr>
              <w:lastRenderedPageBreak/>
              <w:t>A09AA02</w:t>
            </w:r>
          </w:p>
        </w:tc>
        <w:tc>
          <w:tcPr>
            <w:tcW w:w="9497" w:type="dxa"/>
            <w:gridSpan w:val="2"/>
            <w:tcBorders>
              <w:bottom w:val="single" w:sz="4" w:space="0" w:color="auto"/>
            </w:tcBorders>
          </w:tcPr>
          <w:p w14:paraId="7C4A00D7" w14:textId="77777777" w:rsidR="0007706B" w:rsidRPr="0007706B" w:rsidRDefault="0007706B" w:rsidP="0007706B">
            <w:pPr>
              <w:pStyle w:val="Zkladntext"/>
              <w:rPr>
                <w:b/>
                <w:lang w:val="sk-SK"/>
              </w:rPr>
            </w:pPr>
            <w:r w:rsidRPr="0007706B">
              <w:rPr>
                <w:b/>
                <w:lang w:val="sk-SK"/>
              </w:rPr>
              <w:t>Multienzýmy (lipáza, proteáza) p.o. podľa lipáz 10000 FI 150 mg,</w:t>
            </w:r>
          </w:p>
          <w:p w14:paraId="3E0F3191" w14:textId="77777777" w:rsidR="0007706B" w:rsidRPr="0007706B" w:rsidRDefault="0007706B" w:rsidP="0007706B">
            <w:pPr>
              <w:pStyle w:val="Zkladntext"/>
              <w:rPr>
                <w:b/>
                <w:lang w:val="sk-SK"/>
              </w:rPr>
            </w:pPr>
            <w:r w:rsidRPr="0007706B">
              <w:rPr>
                <w:b/>
                <w:lang w:val="sk-SK"/>
              </w:rPr>
              <w:t>Multienzýmy (lipáza, proteáza) p.o. podľa lipáz 20000 FI,</w:t>
            </w:r>
          </w:p>
          <w:p w14:paraId="67ED4C15" w14:textId="77777777" w:rsidR="0007706B" w:rsidRPr="0007706B" w:rsidRDefault="0007706B" w:rsidP="0007706B">
            <w:pPr>
              <w:pStyle w:val="Zkladntext"/>
              <w:rPr>
                <w:b/>
                <w:lang w:val="sk-SK"/>
              </w:rPr>
            </w:pPr>
            <w:r w:rsidRPr="0007706B">
              <w:rPr>
                <w:b/>
                <w:lang w:val="sk-SK"/>
              </w:rPr>
              <w:t>Multienzýmy (lipáza, proteáza) p.o. podľa lipáz 25000 FI 300 mg,</w:t>
            </w:r>
          </w:p>
          <w:p w14:paraId="287611E9" w14:textId="158CBB9D" w:rsidR="0007706B" w:rsidRDefault="0007706B" w:rsidP="0007706B">
            <w:pPr>
              <w:pStyle w:val="Zkladntext"/>
              <w:rPr>
                <w:b/>
                <w:lang w:val="sk-SK"/>
              </w:rPr>
            </w:pPr>
            <w:r w:rsidRPr="0007706B">
              <w:rPr>
                <w:b/>
                <w:lang w:val="sk-SK"/>
              </w:rPr>
              <w:t>Multienzýmy (lipáza, proteáza) p.o. podľa lipáz 25000 FI 250 mg</w:t>
            </w:r>
          </w:p>
        </w:tc>
      </w:tr>
      <w:tr w:rsidR="0007706B" w:rsidRPr="0000591E" w14:paraId="5FCFD56F" w14:textId="77777777" w:rsidTr="003F7925">
        <w:trPr>
          <w:gridAfter w:val="1"/>
          <w:wAfter w:w="109" w:type="dxa"/>
          <w:trHeight w:val="20"/>
        </w:trPr>
        <w:tc>
          <w:tcPr>
            <w:tcW w:w="1256" w:type="dxa"/>
            <w:tcBorders>
              <w:top w:val="single" w:sz="4" w:space="0" w:color="auto"/>
            </w:tcBorders>
            <w:noWrap/>
            <w:vAlign w:val="bottom"/>
          </w:tcPr>
          <w:p w14:paraId="121238B8"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4549A123" w14:textId="77777777" w:rsidR="0007706B" w:rsidRPr="0007706B" w:rsidRDefault="0007706B" w:rsidP="0007706B">
            <w:pPr>
              <w:pStyle w:val="Zkladntext"/>
              <w:rPr>
                <w:lang w:val="sk-SK"/>
              </w:rPr>
            </w:pPr>
            <w:r w:rsidRPr="0007706B">
              <w:rPr>
                <w:lang w:val="sk-SK"/>
              </w:rPr>
              <w:t>Hradená liečba sa môže indikovať pri</w:t>
            </w:r>
          </w:p>
          <w:p w14:paraId="34B7A30B" w14:textId="4737B103" w:rsidR="0007706B" w:rsidRPr="0007706B" w:rsidRDefault="0007706B" w:rsidP="0007706B">
            <w:pPr>
              <w:pStyle w:val="Zkladntext"/>
              <w:rPr>
                <w:lang w:val="sk-SK"/>
              </w:rPr>
            </w:pPr>
            <w:r w:rsidRPr="0007706B">
              <w:rPr>
                <w:lang w:val="sk-SK"/>
              </w:rPr>
              <w:t>a)</w:t>
            </w:r>
            <w:r w:rsidR="009849A8">
              <w:rPr>
                <w:lang w:val="sk-SK"/>
              </w:rPr>
              <w:t xml:space="preserve"> </w:t>
            </w:r>
            <w:r w:rsidRPr="0007706B">
              <w:rPr>
                <w:lang w:val="sk-SK"/>
              </w:rPr>
              <w:t xml:space="preserve">bolestivej forme chronickej pankreatitídy, </w:t>
            </w:r>
          </w:p>
          <w:p w14:paraId="03F6A2FC" w14:textId="00ED630A" w:rsidR="0007706B" w:rsidRPr="0007706B" w:rsidRDefault="0007706B" w:rsidP="0007706B">
            <w:pPr>
              <w:pStyle w:val="Zkladntext"/>
              <w:rPr>
                <w:lang w:val="sk-SK"/>
              </w:rPr>
            </w:pPr>
            <w:r w:rsidRPr="0007706B">
              <w:rPr>
                <w:lang w:val="sk-SK"/>
              </w:rPr>
              <w:t>b)</w:t>
            </w:r>
            <w:r w:rsidR="009849A8">
              <w:rPr>
                <w:lang w:val="sk-SK"/>
              </w:rPr>
              <w:t xml:space="preserve"> </w:t>
            </w:r>
            <w:r w:rsidRPr="0007706B">
              <w:rPr>
                <w:lang w:val="sk-SK"/>
              </w:rPr>
              <w:t>stavoch po resekcii pankreasu s príznakmi exosekrečnej insuficiencie pankreasu,</w:t>
            </w:r>
          </w:p>
          <w:p w14:paraId="27D743B0" w14:textId="65E05359" w:rsidR="0007706B" w:rsidRPr="0007706B" w:rsidRDefault="0007706B" w:rsidP="0007706B">
            <w:pPr>
              <w:pStyle w:val="Zkladntext"/>
              <w:rPr>
                <w:lang w:val="sk-SK"/>
              </w:rPr>
            </w:pPr>
            <w:r w:rsidRPr="0007706B">
              <w:rPr>
                <w:lang w:val="sk-SK"/>
              </w:rPr>
              <w:t>c)</w:t>
            </w:r>
            <w:r w:rsidR="009849A8">
              <w:rPr>
                <w:lang w:val="sk-SK"/>
              </w:rPr>
              <w:t xml:space="preserve"> </w:t>
            </w:r>
            <w:r w:rsidRPr="0007706B">
              <w:rPr>
                <w:lang w:val="sk-SK"/>
              </w:rPr>
              <w:t>exosekrečnej insuficiencii podžalúdkovej žľazy,</w:t>
            </w:r>
          </w:p>
          <w:p w14:paraId="084C7BE0" w14:textId="6372F740" w:rsidR="0007706B" w:rsidRPr="0007706B" w:rsidRDefault="0007706B" w:rsidP="009849A8">
            <w:pPr>
              <w:pStyle w:val="Zkladntext"/>
              <w:jc w:val="both"/>
              <w:rPr>
                <w:lang w:val="sk-SK"/>
              </w:rPr>
            </w:pPr>
            <w:r w:rsidRPr="0007706B">
              <w:rPr>
                <w:lang w:val="sk-SK"/>
              </w:rPr>
              <w:t>d)</w:t>
            </w:r>
            <w:r w:rsidR="009849A8">
              <w:rPr>
                <w:lang w:val="sk-SK"/>
              </w:rPr>
              <w:t xml:space="preserve"> </w:t>
            </w:r>
            <w:r w:rsidRPr="0007706B">
              <w:rPr>
                <w:lang w:val="sk-SK"/>
              </w:rPr>
              <w:t>cystickej fibróze (diagnóza E84 podľa Medzinárodnej klasifikácie chorôb 10) a pacientom s touto diagnózou je plne hradená,</w:t>
            </w:r>
          </w:p>
          <w:p w14:paraId="32BDE3A9" w14:textId="0AEEC2BB" w:rsidR="0007706B" w:rsidRDefault="0007706B" w:rsidP="0007706B">
            <w:pPr>
              <w:pStyle w:val="Zkladntext"/>
              <w:rPr>
                <w:lang w:val="sk-SK"/>
              </w:rPr>
            </w:pPr>
            <w:r w:rsidRPr="0007706B">
              <w:rPr>
                <w:lang w:val="sk-SK"/>
              </w:rPr>
              <w:t>e)</w:t>
            </w:r>
            <w:r w:rsidR="009849A8">
              <w:rPr>
                <w:lang w:val="sk-SK"/>
              </w:rPr>
              <w:t xml:space="preserve"> </w:t>
            </w:r>
            <w:r w:rsidRPr="0007706B">
              <w:rPr>
                <w:lang w:val="sk-SK"/>
              </w:rPr>
              <w:t>malasimilačnom syndróme.</w:t>
            </w:r>
          </w:p>
          <w:p w14:paraId="6016A549" w14:textId="3F441A9E" w:rsidR="0007706B" w:rsidRDefault="0007706B" w:rsidP="0007706B">
            <w:pPr>
              <w:pStyle w:val="Zkladntext"/>
              <w:rPr>
                <w:b/>
                <w:lang w:val="sk-SK"/>
              </w:rPr>
            </w:pPr>
          </w:p>
        </w:tc>
      </w:tr>
      <w:tr w:rsidR="0007706B" w:rsidRPr="0000591E" w14:paraId="7DB13C4B" w14:textId="77777777" w:rsidTr="003F7925">
        <w:trPr>
          <w:gridAfter w:val="1"/>
          <w:wAfter w:w="109" w:type="dxa"/>
          <w:trHeight w:val="20"/>
        </w:trPr>
        <w:tc>
          <w:tcPr>
            <w:tcW w:w="1256" w:type="dxa"/>
            <w:tcBorders>
              <w:bottom w:val="single" w:sz="4" w:space="0" w:color="auto"/>
            </w:tcBorders>
            <w:noWrap/>
            <w:vAlign w:val="bottom"/>
          </w:tcPr>
          <w:p w14:paraId="0E7E4A26" w14:textId="5F9AAF75" w:rsidR="0007706B" w:rsidRDefault="0007706B" w:rsidP="00AD36F1">
            <w:pPr>
              <w:rPr>
                <w:rFonts w:ascii="Arial" w:hAnsi="Arial" w:cs="Arial"/>
                <w:b/>
                <w:sz w:val="20"/>
                <w:szCs w:val="20"/>
              </w:rPr>
            </w:pPr>
            <w:r w:rsidRPr="0007706B">
              <w:rPr>
                <w:rFonts w:ascii="Arial" w:hAnsi="Arial" w:cs="Arial"/>
                <w:b/>
                <w:sz w:val="20"/>
                <w:szCs w:val="20"/>
              </w:rPr>
              <w:t>A10AB01</w:t>
            </w:r>
          </w:p>
        </w:tc>
        <w:tc>
          <w:tcPr>
            <w:tcW w:w="9497" w:type="dxa"/>
            <w:gridSpan w:val="2"/>
            <w:tcBorders>
              <w:bottom w:val="single" w:sz="4" w:space="0" w:color="auto"/>
            </w:tcBorders>
          </w:tcPr>
          <w:p w14:paraId="1DEF3AD8" w14:textId="52C39D92" w:rsidR="0007706B" w:rsidRDefault="0007706B" w:rsidP="007C1BC7">
            <w:pPr>
              <w:pStyle w:val="Zkladntext"/>
              <w:rPr>
                <w:b/>
                <w:lang w:val="sk-SK"/>
              </w:rPr>
            </w:pPr>
            <w:r w:rsidRPr="0007706B">
              <w:rPr>
                <w:b/>
                <w:lang w:val="sk-SK"/>
              </w:rPr>
              <w:t>Inzulín humánny parent. rýchle pôsobiaci náplne 300 IU</w:t>
            </w:r>
          </w:p>
        </w:tc>
      </w:tr>
      <w:tr w:rsidR="0007706B" w:rsidRPr="0000591E" w14:paraId="161E3457" w14:textId="77777777" w:rsidTr="003F7925">
        <w:trPr>
          <w:gridAfter w:val="1"/>
          <w:wAfter w:w="109" w:type="dxa"/>
          <w:trHeight w:val="20"/>
        </w:trPr>
        <w:tc>
          <w:tcPr>
            <w:tcW w:w="1256" w:type="dxa"/>
            <w:tcBorders>
              <w:top w:val="single" w:sz="4" w:space="0" w:color="auto"/>
            </w:tcBorders>
            <w:noWrap/>
            <w:vAlign w:val="bottom"/>
          </w:tcPr>
          <w:p w14:paraId="6EC9E204"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01E28646" w14:textId="77777777" w:rsidR="0007706B" w:rsidRPr="0007706B" w:rsidRDefault="0007706B" w:rsidP="0007706B">
            <w:pPr>
              <w:pStyle w:val="Zkladntext"/>
              <w:rPr>
                <w:lang w:val="sk-SK"/>
              </w:rPr>
            </w:pPr>
            <w:r w:rsidRPr="0007706B">
              <w:rPr>
                <w:lang w:val="sk-SK"/>
              </w:rPr>
              <w:t>Hradená liečba sa môže indikovať u pacientov</w:t>
            </w:r>
          </w:p>
          <w:p w14:paraId="6A45E366" w14:textId="71E5A2B3" w:rsidR="0007706B" w:rsidRPr="0007706B" w:rsidRDefault="0007706B" w:rsidP="0007706B">
            <w:pPr>
              <w:pStyle w:val="Zkladntext"/>
              <w:rPr>
                <w:lang w:val="sk-SK"/>
              </w:rPr>
            </w:pPr>
            <w:r w:rsidRPr="0007706B">
              <w:rPr>
                <w:lang w:val="sk-SK"/>
              </w:rPr>
              <w:t>a)</w:t>
            </w:r>
            <w:r w:rsidR="009849A8">
              <w:rPr>
                <w:lang w:val="sk-SK"/>
              </w:rPr>
              <w:t xml:space="preserve"> </w:t>
            </w:r>
            <w:r w:rsidRPr="0007706B">
              <w:rPr>
                <w:lang w:val="sk-SK"/>
              </w:rPr>
              <w:t>ktorým sa podávajú aspoň dve dávky inzulínu denne (z toho jedna dávka je bazálny inzulín),</w:t>
            </w:r>
          </w:p>
          <w:p w14:paraId="1631B433" w14:textId="348390AA" w:rsidR="0007706B" w:rsidRPr="0007706B" w:rsidRDefault="0007706B" w:rsidP="0007706B">
            <w:pPr>
              <w:pStyle w:val="Zkladntext"/>
              <w:rPr>
                <w:lang w:val="sk-SK"/>
              </w:rPr>
            </w:pPr>
            <w:r w:rsidRPr="0007706B">
              <w:rPr>
                <w:lang w:val="sk-SK"/>
              </w:rPr>
              <w:t>b) do dovŕšenia 18. roku veku,</w:t>
            </w:r>
          </w:p>
          <w:p w14:paraId="0BDAC17A" w14:textId="762608EE" w:rsidR="0007706B" w:rsidRPr="0007706B" w:rsidRDefault="0007706B" w:rsidP="0007706B">
            <w:pPr>
              <w:pStyle w:val="Zkladntext"/>
              <w:rPr>
                <w:lang w:val="sk-SK"/>
              </w:rPr>
            </w:pPr>
            <w:r w:rsidRPr="0007706B">
              <w:rPr>
                <w:lang w:val="sk-SK"/>
              </w:rPr>
              <w:t>c) s ťažkou poruchou vízu, ktorí sa orientujú zvukom pera,</w:t>
            </w:r>
          </w:p>
          <w:p w14:paraId="623D1A98" w14:textId="04643A7A" w:rsidR="0007706B" w:rsidRPr="0007706B" w:rsidRDefault="0007706B" w:rsidP="0007706B">
            <w:pPr>
              <w:pStyle w:val="Zkladntext"/>
              <w:rPr>
                <w:lang w:val="sk-SK"/>
              </w:rPr>
            </w:pPr>
            <w:r w:rsidRPr="0007706B">
              <w:rPr>
                <w:lang w:val="sk-SK"/>
              </w:rPr>
              <w:t>d) s ťažkou poruchou motoriky horných končatín, ktorí nezvládajú injekčnú techniku.</w:t>
            </w:r>
          </w:p>
          <w:p w14:paraId="6916BFF2" w14:textId="77777777" w:rsidR="0007706B" w:rsidRDefault="0007706B" w:rsidP="0007706B">
            <w:pPr>
              <w:pStyle w:val="Zkladntext"/>
              <w:rPr>
                <w:lang w:val="sk-SK"/>
              </w:rPr>
            </w:pPr>
            <w:r w:rsidRPr="0007706B">
              <w:rPr>
                <w:lang w:val="sk-SK"/>
              </w:rPr>
              <w:t>U pacientov do dovŕšenia 15. roku veku je táto liečba plne hradená.</w:t>
            </w:r>
          </w:p>
          <w:p w14:paraId="51F098AE" w14:textId="36C61B6C" w:rsidR="0007706B" w:rsidRPr="0007706B" w:rsidRDefault="0007706B" w:rsidP="0007706B">
            <w:pPr>
              <w:pStyle w:val="Zkladntext"/>
              <w:rPr>
                <w:lang w:val="sk-SK"/>
              </w:rPr>
            </w:pPr>
          </w:p>
        </w:tc>
      </w:tr>
      <w:tr w:rsidR="0007706B" w:rsidRPr="0000591E" w14:paraId="0E087828" w14:textId="77777777" w:rsidTr="003F7925">
        <w:trPr>
          <w:gridAfter w:val="1"/>
          <w:wAfter w:w="109" w:type="dxa"/>
          <w:trHeight w:val="20"/>
        </w:trPr>
        <w:tc>
          <w:tcPr>
            <w:tcW w:w="1256" w:type="dxa"/>
            <w:tcBorders>
              <w:bottom w:val="single" w:sz="4" w:space="0" w:color="auto"/>
            </w:tcBorders>
            <w:noWrap/>
            <w:vAlign w:val="bottom"/>
          </w:tcPr>
          <w:p w14:paraId="0250D2F8" w14:textId="6A441BDB" w:rsidR="0007706B" w:rsidRDefault="0007706B" w:rsidP="00AD36F1">
            <w:pPr>
              <w:rPr>
                <w:rFonts w:ascii="Arial" w:hAnsi="Arial" w:cs="Arial"/>
                <w:b/>
                <w:sz w:val="20"/>
                <w:szCs w:val="20"/>
              </w:rPr>
            </w:pPr>
            <w:r w:rsidRPr="0007706B">
              <w:rPr>
                <w:rFonts w:ascii="Arial" w:hAnsi="Arial" w:cs="Arial"/>
                <w:b/>
                <w:sz w:val="20"/>
                <w:szCs w:val="20"/>
              </w:rPr>
              <w:t>A10AB04</w:t>
            </w:r>
          </w:p>
        </w:tc>
        <w:tc>
          <w:tcPr>
            <w:tcW w:w="9497" w:type="dxa"/>
            <w:gridSpan w:val="2"/>
            <w:tcBorders>
              <w:bottom w:val="single" w:sz="4" w:space="0" w:color="auto"/>
            </w:tcBorders>
          </w:tcPr>
          <w:p w14:paraId="71BA2ACA" w14:textId="78AF0959" w:rsidR="0007706B" w:rsidRDefault="0007706B" w:rsidP="007C1BC7">
            <w:pPr>
              <w:pStyle w:val="Zkladntext"/>
              <w:rPr>
                <w:b/>
                <w:lang w:val="sk-SK"/>
              </w:rPr>
            </w:pPr>
            <w:r w:rsidRPr="006465A3">
              <w:rPr>
                <w:b/>
                <w:bCs/>
              </w:rPr>
              <w:t>Inzulín lispro parent. pôsobiace krátkodobo 1000 IU</w:t>
            </w:r>
          </w:p>
        </w:tc>
      </w:tr>
      <w:tr w:rsidR="0007706B" w:rsidRPr="0000591E" w14:paraId="471E2B82" w14:textId="77777777" w:rsidTr="003F7925">
        <w:trPr>
          <w:gridAfter w:val="1"/>
          <w:wAfter w:w="109" w:type="dxa"/>
          <w:trHeight w:val="20"/>
        </w:trPr>
        <w:tc>
          <w:tcPr>
            <w:tcW w:w="1256" w:type="dxa"/>
            <w:tcBorders>
              <w:top w:val="single" w:sz="4" w:space="0" w:color="auto"/>
            </w:tcBorders>
            <w:noWrap/>
            <w:vAlign w:val="bottom"/>
          </w:tcPr>
          <w:p w14:paraId="45B57809"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4855C510" w14:textId="77777777" w:rsidR="0007706B" w:rsidRDefault="0007706B" w:rsidP="007C1BC7">
            <w:pPr>
              <w:pStyle w:val="Zkladntext"/>
              <w:rPr>
                <w:lang w:val="sk-SK"/>
              </w:rPr>
            </w:pPr>
            <w:r w:rsidRPr="0007706B">
              <w:rPr>
                <w:lang w:val="sk-SK"/>
              </w:rPr>
              <w:t>Hradená liečba sa môže indikovať len na aplikáciu pomocou inzulínovej pumpy.</w:t>
            </w:r>
          </w:p>
          <w:p w14:paraId="5DCAC616" w14:textId="751BD8B6" w:rsidR="0007706B" w:rsidRPr="0007706B" w:rsidRDefault="0007706B" w:rsidP="007C1BC7">
            <w:pPr>
              <w:pStyle w:val="Zkladntext"/>
              <w:rPr>
                <w:lang w:val="sk-SK"/>
              </w:rPr>
            </w:pPr>
          </w:p>
        </w:tc>
      </w:tr>
      <w:tr w:rsidR="0007706B" w:rsidRPr="0000591E" w14:paraId="311E5D85" w14:textId="77777777" w:rsidTr="003F7925">
        <w:trPr>
          <w:gridAfter w:val="1"/>
          <w:wAfter w:w="109" w:type="dxa"/>
          <w:trHeight w:val="20"/>
        </w:trPr>
        <w:tc>
          <w:tcPr>
            <w:tcW w:w="1256" w:type="dxa"/>
            <w:tcBorders>
              <w:bottom w:val="single" w:sz="4" w:space="0" w:color="auto"/>
            </w:tcBorders>
            <w:noWrap/>
            <w:vAlign w:val="bottom"/>
          </w:tcPr>
          <w:p w14:paraId="436FE3F2" w14:textId="6297E1CB" w:rsidR="0007706B" w:rsidRDefault="0007706B" w:rsidP="00AD36F1">
            <w:pPr>
              <w:rPr>
                <w:rFonts w:ascii="Arial" w:hAnsi="Arial" w:cs="Arial"/>
                <w:b/>
                <w:sz w:val="20"/>
                <w:szCs w:val="20"/>
              </w:rPr>
            </w:pPr>
            <w:r w:rsidRPr="0007706B">
              <w:rPr>
                <w:rFonts w:ascii="Arial" w:hAnsi="Arial" w:cs="Arial"/>
                <w:b/>
                <w:sz w:val="20"/>
                <w:szCs w:val="20"/>
              </w:rPr>
              <w:t>A10AB04</w:t>
            </w:r>
          </w:p>
        </w:tc>
        <w:tc>
          <w:tcPr>
            <w:tcW w:w="9497" w:type="dxa"/>
            <w:gridSpan w:val="2"/>
            <w:tcBorders>
              <w:bottom w:val="single" w:sz="4" w:space="0" w:color="auto"/>
            </w:tcBorders>
          </w:tcPr>
          <w:p w14:paraId="403C3A80" w14:textId="77777777" w:rsidR="0007706B" w:rsidRPr="0007706B" w:rsidRDefault="0007706B" w:rsidP="0007706B">
            <w:pPr>
              <w:pStyle w:val="Zkladntext"/>
              <w:rPr>
                <w:b/>
                <w:lang w:val="sk-SK"/>
              </w:rPr>
            </w:pPr>
            <w:r w:rsidRPr="0007706B">
              <w:rPr>
                <w:b/>
                <w:lang w:val="sk-SK"/>
              </w:rPr>
              <w:t>Inzulín lispro parent. pôsobiaci krátkodobo náplne 300 IU</w:t>
            </w:r>
          </w:p>
          <w:p w14:paraId="619D0B6D" w14:textId="77777777" w:rsidR="0007706B" w:rsidRPr="0007706B" w:rsidRDefault="0007706B" w:rsidP="0007706B">
            <w:pPr>
              <w:pStyle w:val="Zkladntext"/>
              <w:rPr>
                <w:b/>
                <w:lang w:val="sk-SK"/>
              </w:rPr>
            </w:pPr>
            <w:r w:rsidRPr="0007706B">
              <w:rPr>
                <w:b/>
                <w:lang w:val="sk-SK"/>
              </w:rPr>
              <w:t>Inzulín lispro parent. predplnené pero 300 IU</w:t>
            </w:r>
          </w:p>
          <w:p w14:paraId="3688973A" w14:textId="60CC4703" w:rsidR="0007706B" w:rsidRDefault="0007706B" w:rsidP="0007706B">
            <w:pPr>
              <w:pStyle w:val="Zkladntext"/>
              <w:rPr>
                <w:b/>
                <w:lang w:val="sk-SK"/>
              </w:rPr>
            </w:pPr>
            <w:r w:rsidRPr="0007706B">
              <w:rPr>
                <w:b/>
                <w:lang w:val="sk-SK"/>
              </w:rPr>
              <w:t>Inzulín lispro s.c. predplnené pero 600 IU</w:t>
            </w:r>
          </w:p>
        </w:tc>
      </w:tr>
      <w:tr w:rsidR="0007706B" w:rsidRPr="0000591E" w14:paraId="5DD06207" w14:textId="77777777" w:rsidTr="003F7925">
        <w:trPr>
          <w:gridAfter w:val="1"/>
          <w:wAfter w:w="109" w:type="dxa"/>
          <w:trHeight w:val="20"/>
        </w:trPr>
        <w:tc>
          <w:tcPr>
            <w:tcW w:w="1256" w:type="dxa"/>
            <w:tcBorders>
              <w:top w:val="single" w:sz="4" w:space="0" w:color="auto"/>
            </w:tcBorders>
            <w:noWrap/>
            <w:vAlign w:val="bottom"/>
          </w:tcPr>
          <w:p w14:paraId="3C19AACB"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309EFC12" w14:textId="77777777" w:rsidR="0007706B" w:rsidRPr="0007706B" w:rsidRDefault="0007706B" w:rsidP="0007706B">
            <w:pPr>
              <w:pStyle w:val="Zkladntext"/>
              <w:rPr>
                <w:lang w:val="sk-SK"/>
              </w:rPr>
            </w:pPr>
            <w:r w:rsidRPr="0007706B">
              <w:rPr>
                <w:lang w:val="sk-SK"/>
              </w:rPr>
              <w:t xml:space="preserve">Hradená liečba sa môže indikovať u pacientov s diabetes mellitus dospelých, adolescentov a detí, kde sa vyžaduje liečba inzulínom. </w:t>
            </w:r>
          </w:p>
          <w:p w14:paraId="5E391754" w14:textId="77777777" w:rsidR="0007706B" w:rsidRPr="0007706B" w:rsidRDefault="0007706B" w:rsidP="0007706B">
            <w:pPr>
              <w:pStyle w:val="Zkladntext"/>
              <w:rPr>
                <w:lang w:val="sk-SK"/>
              </w:rPr>
            </w:pPr>
            <w:r w:rsidRPr="0007706B">
              <w:rPr>
                <w:lang w:val="sk-SK"/>
              </w:rPr>
              <w:t xml:space="preserve">U pacientov do dovŕšenia 18. roku veku je táto liečba plne hradená. </w:t>
            </w:r>
          </w:p>
          <w:p w14:paraId="35D55949" w14:textId="77777777" w:rsidR="0007706B" w:rsidRDefault="0007706B" w:rsidP="0007706B">
            <w:pPr>
              <w:pStyle w:val="Zkladntext"/>
              <w:rPr>
                <w:lang w:val="sk-SK"/>
              </w:rPr>
            </w:pPr>
            <w:r w:rsidRPr="0007706B">
              <w:rPr>
                <w:lang w:val="sk-SK"/>
              </w:rPr>
              <w:t>U tehotných a dojčiacich žien je táto liečba plne hradená.</w:t>
            </w:r>
          </w:p>
          <w:p w14:paraId="3FBA014B" w14:textId="0DEF712C" w:rsidR="0007706B" w:rsidRPr="0007706B" w:rsidRDefault="0007706B" w:rsidP="0007706B">
            <w:pPr>
              <w:pStyle w:val="Zkladntext"/>
              <w:rPr>
                <w:lang w:val="sk-SK"/>
              </w:rPr>
            </w:pPr>
          </w:p>
        </w:tc>
      </w:tr>
      <w:tr w:rsidR="00F67927" w:rsidRPr="0000591E" w14:paraId="35D9983D" w14:textId="77777777" w:rsidTr="003F7925">
        <w:trPr>
          <w:gridAfter w:val="1"/>
          <w:wAfter w:w="109" w:type="dxa"/>
          <w:trHeight w:val="20"/>
        </w:trPr>
        <w:tc>
          <w:tcPr>
            <w:tcW w:w="1256" w:type="dxa"/>
            <w:tcBorders>
              <w:bottom w:val="single" w:sz="4" w:space="0" w:color="auto"/>
            </w:tcBorders>
            <w:noWrap/>
            <w:vAlign w:val="bottom"/>
          </w:tcPr>
          <w:p w14:paraId="25B1C3CB" w14:textId="376CA35D" w:rsidR="00F67927" w:rsidRDefault="00F67927" w:rsidP="00AD36F1">
            <w:pPr>
              <w:rPr>
                <w:rFonts w:ascii="Arial" w:hAnsi="Arial" w:cs="Arial"/>
                <w:b/>
                <w:sz w:val="20"/>
                <w:szCs w:val="20"/>
              </w:rPr>
            </w:pPr>
            <w:r w:rsidRPr="006465A3">
              <w:rPr>
                <w:rFonts w:ascii="Arial" w:hAnsi="Arial" w:cs="Arial"/>
                <w:b/>
                <w:bCs/>
                <w:sz w:val="20"/>
                <w:szCs w:val="20"/>
              </w:rPr>
              <w:t>A10AB05</w:t>
            </w:r>
          </w:p>
        </w:tc>
        <w:tc>
          <w:tcPr>
            <w:tcW w:w="9497" w:type="dxa"/>
            <w:gridSpan w:val="2"/>
            <w:tcBorders>
              <w:bottom w:val="single" w:sz="4" w:space="0" w:color="auto"/>
            </w:tcBorders>
          </w:tcPr>
          <w:p w14:paraId="69881476" w14:textId="77777777" w:rsidR="00F67927" w:rsidRPr="006465A3" w:rsidRDefault="00F67927" w:rsidP="00F67927">
            <w:pPr>
              <w:jc w:val="both"/>
              <w:rPr>
                <w:rFonts w:ascii="Arial" w:hAnsi="Arial" w:cs="Arial"/>
                <w:b/>
                <w:bCs/>
                <w:sz w:val="20"/>
                <w:szCs w:val="20"/>
              </w:rPr>
            </w:pPr>
            <w:r w:rsidRPr="006465A3">
              <w:rPr>
                <w:rFonts w:ascii="Arial" w:hAnsi="Arial" w:cs="Arial"/>
                <w:b/>
                <w:bCs/>
                <w:sz w:val="20"/>
                <w:szCs w:val="20"/>
              </w:rPr>
              <w:t>Inzulín aspart parent. náplne 160 IU,</w:t>
            </w:r>
          </w:p>
          <w:p w14:paraId="2485F2EC" w14:textId="77777777" w:rsidR="00F67927" w:rsidRPr="006465A3" w:rsidRDefault="00F67927" w:rsidP="00F67927">
            <w:pPr>
              <w:jc w:val="both"/>
              <w:rPr>
                <w:rFonts w:ascii="Arial" w:hAnsi="Arial" w:cs="Arial"/>
                <w:b/>
                <w:bCs/>
                <w:sz w:val="20"/>
                <w:szCs w:val="20"/>
              </w:rPr>
            </w:pPr>
            <w:r w:rsidRPr="006465A3">
              <w:rPr>
                <w:rFonts w:ascii="Arial" w:hAnsi="Arial" w:cs="Arial"/>
                <w:b/>
                <w:bCs/>
                <w:sz w:val="20"/>
                <w:szCs w:val="20"/>
              </w:rPr>
              <w:t>Inzulín aspart parent. náplne 300 IU</w:t>
            </w:r>
          </w:p>
          <w:p w14:paraId="2FB10A01" w14:textId="41C50B78" w:rsidR="00F67927" w:rsidRDefault="00F67927" w:rsidP="00F67927">
            <w:pPr>
              <w:pStyle w:val="Zkladntext"/>
              <w:rPr>
                <w:b/>
                <w:lang w:val="sk-SK"/>
              </w:rPr>
            </w:pPr>
            <w:r w:rsidRPr="006465A3">
              <w:rPr>
                <w:b/>
                <w:bCs/>
              </w:rPr>
              <w:t>Inzulín aspart parent. predplnené pero 300 IU</w:t>
            </w:r>
          </w:p>
        </w:tc>
      </w:tr>
      <w:tr w:rsidR="00F67927" w:rsidRPr="0000591E" w14:paraId="5ABB4B3E" w14:textId="77777777" w:rsidTr="003F7925">
        <w:trPr>
          <w:gridAfter w:val="1"/>
          <w:wAfter w:w="109" w:type="dxa"/>
          <w:trHeight w:val="20"/>
        </w:trPr>
        <w:tc>
          <w:tcPr>
            <w:tcW w:w="1256" w:type="dxa"/>
            <w:tcBorders>
              <w:top w:val="single" w:sz="4" w:space="0" w:color="auto"/>
            </w:tcBorders>
            <w:noWrap/>
            <w:vAlign w:val="bottom"/>
          </w:tcPr>
          <w:p w14:paraId="30524CB7" w14:textId="77777777" w:rsidR="00F67927" w:rsidRDefault="00F67927" w:rsidP="00AD36F1">
            <w:pPr>
              <w:rPr>
                <w:rFonts w:ascii="Arial" w:hAnsi="Arial" w:cs="Arial"/>
                <w:b/>
                <w:sz w:val="20"/>
                <w:szCs w:val="20"/>
              </w:rPr>
            </w:pPr>
          </w:p>
        </w:tc>
        <w:tc>
          <w:tcPr>
            <w:tcW w:w="9497" w:type="dxa"/>
            <w:gridSpan w:val="2"/>
            <w:tcBorders>
              <w:top w:val="single" w:sz="4" w:space="0" w:color="auto"/>
            </w:tcBorders>
          </w:tcPr>
          <w:p w14:paraId="04925DDC" w14:textId="77777777" w:rsidR="00F67927" w:rsidRPr="00F67927" w:rsidRDefault="00F67927" w:rsidP="00F67927">
            <w:pPr>
              <w:pStyle w:val="Zkladntext"/>
              <w:rPr>
                <w:lang w:val="sk-SK"/>
              </w:rPr>
            </w:pPr>
            <w:r w:rsidRPr="00F67927">
              <w:rPr>
                <w:lang w:val="sk-SK"/>
              </w:rPr>
              <w:t xml:space="preserve">Hradená liečba sa môže indikovať u pacientov s diabetes mellitus dospelých, adolescentov a detí vo veku 1 rok a starších, kde sa vyžaduje liečba inzulínom. </w:t>
            </w:r>
          </w:p>
          <w:p w14:paraId="7E2761BD" w14:textId="77777777" w:rsidR="00F67927" w:rsidRPr="00F67927" w:rsidRDefault="00F67927" w:rsidP="00F67927">
            <w:pPr>
              <w:pStyle w:val="Zkladntext"/>
              <w:rPr>
                <w:lang w:val="sk-SK"/>
              </w:rPr>
            </w:pPr>
            <w:r w:rsidRPr="00F67927">
              <w:rPr>
                <w:lang w:val="sk-SK"/>
              </w:rPr>
              <w:t xml:space="preserve">U pacientov do dovŕšenia 18. roku veku je táto liečba plne hradená. </w:t>
            </w:r>
          </w:p>
          <w:p w14:paraId="16C328A2" w14:textId="77777777" w:rsidR="00F67927" w:rsidRDefault="00F67927" w:rsidP="00F67927">
            <w:pPr>
              <w:pStyle w:val="Zkladntext"/>
              <w:rPr>
                <w:lang w:val="sk-SK"/>
              </w:rPr>
            </w:pPr>
            <w:r w:rsidRPr="00F67927">
              <w:rPr>
                <w:lang w:val="sk-SK"/>
              </w:rPr>
              <w:t>U tehotných a dojčiacich žien je táto liečba plne hradená.</w:t>
            </w:r>
          </w:p>
          <w:p w14:paraId="6055E83D" w14:textId="1180D6F5" w:rsidR="00F67927" w:rsidRPr="00F67927" w:rsidRDefault="00F67927" w:rsidP="00F67927">
            <w:pPr>
              <w:pStyle w:val="Zkladntext"/>
              <w:rPr>
                <w:lang w:val="sk-SK"/>
              </w:rPr>
            </w:pPr>
          </w:p>
        </w:tc>
      </w:tr>
      <w:tr w:rsidR="00F67927" w:rsidRPr="0000591E" w14:paraId="44D6CF7C" w14:textId="77777777" w:rsidTr="003F7925">
        <w:trPr>
          <w:gridAfter w:val="1"/>
          <w:wAfter w:w="109" w:type="dxa"/>
          <w:trHeight w:val="20"/>
        </w:trPr>
        <w:tc>
          <w:tcPr>
            <w:tcW w:w="1256" w:type="dxa"/>
            <w:tcBorders>
              <w:bottom w:val="single" w:sz="4" w:space="0" w:color="auto"/>
            </w:tcBorders>
            <w:noWrap/>
            <w:vAlign w:val="center"/>
          </w:tcPr>
          <w:p w14:paraId="4CFBA8D8" w14:textId="77C737D1" w:rsidR="00F67927" w:rsidRDefault="00F67927" w:rsidP="00F67927">
            <w:pPr>
              <w:rPr>
                <w:rFonts w:ascii="Arial" w:hAnsi="Arial" w:cs="Arial"/>
                <w:b/>
                <w:sz w:val="20"/>
                <w:szCs w:val="20"/>
              </w:rPr>
            </w:pPr>
            <w:r w:rsidRPr="006465A3">
              <w:rPr>
                <w:rFonts w:ascii="Arial" w:hAnsi="Arial" w:cs="Arial"/>
                <w:b/>
                <w:bCs/>
                <w:sz w:val="20"/>
                <w:szCs w:val="20"/>
              </w:rPr>
              <w:t>A10AB06</w:t>
            </w:r>
          </w:p>
        </w:tc>
        <w:tc>
          <w:tcPr>
            <w:tcW w:w="9497" w:type="dxa"/>
            <w:gridSpan w:val="2"/>
            <w:tcBorders>
              <w:bottom w:val="single" w:sz="4" w:space="0" w:color="auto"/>
            </w:tcBorders>
            <w:vAlign w:val="bottom"/>
          </w:tcPr>
          <w:p w14:paraId="6D893C2F" w14:textId="30B53920" w:rsidR="00F67927" w:rsidRDefault="00F67927" w:rsidP="00F67927">
            <w:pPr>
              <w:pStyle w:val="Zkladntext"/>
              <w:rPr>
                <w:b/>
                <w:lang w:val="sk-SK"/>
              </w:rPr>
            </w:pPr>
            <w:r w:rsidRPr="006465A3">
              <w:rPr>
                <w:b/>
                <w:bCs/>
              </w:rPr>
              <w:t>Inzulín glulizín parent. predplnené pero 300 IU</w:t>
            </w:r>
          </w:p>
        </w:tc>
      </w:tr>
      <w:tr w:rsidR="00F67927" w:rsidRPr="0000591E" w14:paraId="7E1F71A4" w14:textId="77777777" w:rsidTr="003F7925">
        <w:trPr>
          <w:gridAfter w:val="1"/>
          <w:wAfter w:w="109" w:type="dxa"/>
          <w:trHeight w:val="20"/>
        </w:trPr>
        <w:tc>
          <w:tcPr>
            <w:tcW w:w="1256" w:type="dxa"/>
            <w:tcBorders>
              <w:top w:val="single" w:sz="4" w:space="0" w:color="auto"/>
            </w:tcBorders>
            <w:noWrap/>
            <w:vAlign w:val="bottom"/>
          </w:tcPr>
          <w:p w14:paraId="7723A31E" w14:textId="77777777" w:rsidR="00F67927" w:rsidRDefault="00F67927" w:rsidP="00F67927">
            <w:pPr>
              <w:rPr>
                <w:rFonts w:ascii="Arial" w:hAnsi="Arial" w:cs="Arial"/>
                <w:b/>
                <w:sz w:val="20"/>
                <w:szCs w:val="20"/>
              </w:rPr>
            </w:pPr>
          </w:p>
        </w:tc>
        <w:tc>
          <w:tcPr>
            <w:tcW w:w="9497" w:type="dxa"/>
            <w:gridSpan w:val="2"/>
            <w:tcBorders>
              <w:top w:val="single" w:sz="4" w:space="0" w:color="auto"/>
            </w:tcBorders>
          </w:tcPr>
          <w:p w14:paraId="26F55C48" w14:textId="77777777" w:rsidR="00F67927" w:rsidRPr="00F67927" w:rsidRDefault="00F67927" w:rsidP="00F67927">
            <w:pPr>
              <w:pStyle w:val="Zkladntext"/>
              <w:rPr>
                <w:lang w:val="sk-SK"/>
              </w:rPr>
            </w:pPr>
            <w:r w:rsidRPr="00F67927">
              <w:rPr>
                <w:lang w:val="sk-SK"/>
              </w:rPr>
              <w:t xml:space="preserve">Hradená liečba sa môže indikovať u pacientov s diabetes mellitus dospelých, adolescentov a detí vo </w:t>
            </w:r>
          </w:p>
          <w:p w14:paraId="2DE1F938" w14:textId="77777777" w:rsidR="00F67927" w:rsidRPr="00F67927" w:rsidRDefault="00F67927" w:rsidP="00F67927">
            <w:pPr>
              <w:pStyle w:val="Zkladntext"/>
              <w:rPr>
                <w:lang w:val="sk-SK"/>
              </w:rPr>
            </w:pPr>
            <w:r w:rsidRPr="00F67927">
              <w:rPr>
                <w:lang w:val="sk-SK"/>
              </w:rPr>
              <w:t xml:space="preserve">veku 6 rokov a starších, kde sa vyžaduje liečba inzulínom. </w:t>
            </w:r>
          </w:p>
          <w:p w14:paraId="5122A29F" w14:textId="77777777" w:rsidR="00F67927" w:rsidRPr="00F67927" w:rsidRDefault="00F67927" w:rsidP="00F67927">
            <w:pPr>
              <w:pStyle w:val="Zkladntext"/>
              <w:rPr>
                <w:lang w:val="sk-SK"/>
              </w:rPr>
            </w:pPr>
            <w:r w:rsidRPr="00F67927">
              <w:rPr>
                <w:lang w:val="sk-SK"/>
              </w:rPr>
              <w:t xml:space="preserve">U pacientov do dovŕšenia 18. roku veku je táto liečba plne hradená. </w:t>
            </w:r>
          </w:p>
          <w:p w14:paraId="76AAED2E" w14:textId="77777777" w:rsidR="00F67927" w:rsidRDefault="00F67927" w:rsidP="00F67927">
            <w:pPr>
              <w:pStyle w:val="Zkladntext"/>
              <w:rPr>
                <w:lang w:val="sk-SK"/>
              </w:rPr>
            </w:pPr>
            <w:r w:rsidRPr="00F67927">
              <w:rPr>
                <w:lang w:val="sk-SK"/>
              </w:rPr>
              <w:t>U tehotných a dojčiacich žien je táto liečba plne hradená.</w:t>
            </w:r>
          </w:p>
          <w:p w14:paraId="2D35A59E" w14:textId="62D73F79" w:rsidR="00F67927" w:rsidRDefault="00F67927" w:rsidP="00F67927">
            <w:pPr>
              <w:pStyle w:val="Zkladntext"/>
              <w:rPr>
                <w:b/>
                <w:lang w:val="sk-SK"/>
              </w:rPr>
            </w:pPr>
          </w:p>
        </w:tc>
      </w:tr>
      <w:tr w:rsidR="00F67927" w:rsidRPr="0000591E" w14:paraId="2B72B286" w14:textId="77777777" w:rsidTr="003F7925">
        <w:trPr>
          <w:gridAfter w:val="1"/>
          <w:wAfter w:w="109" w:type="dxa"/>
          <w:trHeight w:val="20"/>
        </w:trPr>
        <w:tc>
          <w:tcPr>
            <w:tcW w:w="1256" w:type="dxa"/>
            <w:tcBorders>
              <w:bottom w:val="single" w:sz="4" w:space="0" w:color="auto"/>
            </w:tcBorders>
            <w:noWrap/>
            <w:vAlign w:val="bottom"/>
          </w:tcPr>
          <w:p w14:paraId="26097AF3" w14:textId="19E28E09" w:rsidR="00F67927" w:rsidRDefault="00F67927" w:rsidP="00F67927">
            <w:pPr>
              <w:rPr>
                <w:rFonts w:ascii="Arial" w:hAnsi="Arial" w:cs="Arial"/>
                <w:b/>
                <w:sz w:val="20"/>
                <w:szCs w:val="20"/>
              </w:rPr>
            </w:pPr>
            <w:r w:rsidRPr="00F67927">
              <w:rPr>
                <w:rFonts w:ascii="Arial" w:hAnsi="Arial" w:cs="Arial"/>
                <w:b/>
                <w:sz w:val="20"/>
                <w:szCs w:val="20"/>
              </w:rPr>
              <w:t>A10AC01</w:t>
            </w:r>
          </w:p>
        </w:tc>
        <w:tc>
          <w:tcPr>
            <w:tcW w:w="9497" w:type="dxa"/>
            <w:gridSpan w:val="2"/>
            <w:tcBorders>
              <w:bottom w:val="single" w:sz="4" w:space="0" w:color="auto"/>
            </w:tcBorders>
          </w:tcPr>
          <w:p w14:paraId="54BE8149" w14:textId="6C2FDD48" w:rsidR="00F67927" w:rsidRDefault="00F67927" w:rsidP="00F67927">
            <w:pPr>
              <w:pStyle w:val="Zkladntext"/>
              <w:rPr>
                <w:b/>
                <w:lang w:val="sk-SK"/>
              </w:rPr>
            </w:pPr>
            <w:r w:rsidRPr="00F67927">
              <w:rPr>
                <w:b/>
                <w:lang w:val="sk-SK"/>
              </w:rPr>
              <w:t>Inzulín humánny parent. strednodobo pôsobiaci náplne 300 IU</w:t>
            </w:r>
          </w:p>
        </w:tc>
      </w:tr>
      <w:tr w:rsidR="00F67927" w:rsidRPr="0000591E" w14:paraId="21FA8A87" w14:textId="77777777" w:rsidTr="003F7925">
        <w:trPr>
          <w:gridAfter w:val="1"/>
          <w:wAfter w:w="109" w:type="dxa"/>
          <w:trHeight w:val="20"/>
        </w:trPr>
        <w:tc>
          <w:tcPr>
            <w:tcW w:w="1256" w:type="dxa"/>
            <w:tcBorders>
              <w:top w:val="single" w:sz="4" w:space="0" w:color="auto"/>
            </w:tcBorders>
            <w:noWrap/>
            <w:vAlign w:val="bottom"/>
          </w:tcPr>
          <w:p w14:paraId="0BF993F4" w14:textId="77777777" w:rsidR="00F67927" w:rsidRDefault="00F67927" w:rsidP="00F67927">
            <w:pPr>
              <w:rPr>
                <w:rFonts w:ascii="Arial" w:hAnsi="Arial" w:cs="Arial"/>
                <w:b/>
                <w:sz w:val="20"/>
                <w:szCs w:val="20"/>
              </w:rPr>
            </w:pPr>
          </w:p>
        </w:tc>
        <w:tc>
          <w:tcPr>
            <w:tcW w:w="9497" w:type="dxa"/>
            <w:gridSpan w:val="2"/>
            <w:tcBorders>
              <w:top w:val="single" w:sz="4" w:space="0" w:color="auto"/>
            </w:tcBorders>
          </w:tcPr>
          <w:p w14:paraId="2BE93F67" w14:textId="77777777" w:rsidR="00F67927" w:rsidRPr="00F67927" w:rsidRDefault="00F67927" w:rsidP="00F67927">
            <w:pPr>
              <w:pStyle w:val="Zkladntext"/>
              <w:rPr>
                <w:lang w:val="sk-SK"/>
              </w:rPr>
            </w:pPr>
            <w:r w:rsidRPr="00F67927">
              <w:rPr>
                <w:lang w:val="sk-SK"/>
              </w:rPr>
              <w:t>Hradená liečba sa môže indikovať u pacientov</w:t>
            </w:r>
          </w:p>
          <w:p w14:paraId="2E321448" w14:textId="17E67290" w:rsidR="00F67927" w:rsidRPr="00F67927" w:rsidRDefault="00F67927" w:rsidP="00F67927">
            <w:pPr>
              <w:pStyle w:val="Zkladntext"/>
              <w:rPr>
                <w:lang w:val="sk-SK"/>
              </w:rPr>
            </w:pPr>
            <w:r w:rsidRPr="00F67927">
              <w:rPr>
                <w:lang w:val="sk-SK"/>
              </w:rPr>
              <w:t>a)</w:t>
            </w:r>
            <w:r w:rsidR="009849A8">
              <w:rPr>
                <w:lang w:val="sk-SK"/>
              </w:rPr>
              <w:t xml:space="preserve"> </w:t>
            </w:r>
            <w:r w:rsidRPr="00F67927">
              <w:rPr>
                <w:lang w:val="sk-SK"/>
              </w:rPr>
              <w:t>ktorým sa podávajú najmenej tri dávky inzulínu denne,</w:t>
            </w:r>
          </w:p>
          <w:p w14:paraId="5240DB08" w14:textId="053076CB" w:rsidR="00F67927" w:rsidRPr="00F67927" w:rsidRDefault="00F67927" w:rsidP="00F67927">
            <w:pPr>
              <w:pStyle w:val="Zkladntext"/>
              <w:rPr>
                <w:lang w:val="sk-SK"/>
              </w:rPr>
            </w:pPr>
            <w:r w:rsidRPr="00F67927">
              <w:rPr>
                <w:lang w:val="sk-SK"/>
              </w:rPr>
              <w:t>b)</w:t>
            </w:r>
            <w:r w:rsidR="009849A8">
              <w:rPr>
                <w:lang w:val="sk-SK"/>
              </w:rPr>
              <w:t xml:space="preserve"> </w:t>
            </w:r>
            <w:r w:rsidRPr="00F67927">
              <w:rPr>
                <w:lang w:val="sk-SK"/>
              </w:rPr>
              <w:t>do dovŕšenia 18. roku veku,</w:t>
            </w:r>
          </w:p>
          <w:p w14:paraId="1D1FA9AF" w14:textId="46C32B83" w:rsidR="00F67927" w:rsidRPr="00F67927" w:rsidRDefault="00F67927" w:rsidP="00F67927">
            <w:pPr>
              <w:pStyle w:val="Zkladntext"/>
              <w:rPr>
                <w:lang w:val="sk-SK"/>
              </w:rPr>
            </w:pPr>
            <w:r w:rsidRPr="00F67927">
              <w:rPr>
                <w:lang w:val="sk-SK"/>
              </w:rPr>
              <w:t>c)</w:t>
            </w:r>
            <w:r w:rsidR="009849A8">
              <w:rPr>
                <w:lang w:val="sk-SK"/>
              </w:rPr>
              <w:t xml:space="preserve"> </w:t>
            </w:r>
            <w:r w:rsidRPr="00F67927">
              <w:rPr>
                <w:lang w:val="sk-SK"/>
              </w:rPr>
              <w:t>s ťažkou poruchou vízu, ktorí sa orientujú zvukom pera,</w:t>
            </w:r>
          </w:p>
          <w:p w14:paraId="62BD6801" w14:textId="060D5E45" w:rsidR="00F67927" w:rsidRPr="00F67927" w:rsidRDefault="00F67927" w:rsidP="00F67927">
            <w:pPr>
              <w:pStyle w:val="Zkladntext"/>
              <w:rPr>
                <w:lang w:val="sk-SK"/>
              </w:rPr>
            </w:pPr>
            <w:r w:rsidRPr="00F67927">
              <w:rPr>
                <w:lang w:val="sk-SK"/>
              </w:rPr>
              <w:t>d)</w:t>
            </w:r>
            <w:r w:rsidR="009849A8">
              <w:rPr>
                <w:lang w:val="sk-SK"/>
              </w:rPr>
              <w:t xml:space="preserve"> </w:t>
            </w:r>
            <w:r w:rsidRPr="00F67927">
              <w:rPr>
                <w:lang w:val="sk-SK"/>
              </w:rPr>
              <w:t>s ťažkou poruchou motoriky horných končatín, ktorí nezvládnu injekčnú techniku,</w:t>
            </w:r>
          </w:p>
          <w:p w14:paraId="174BC881" w14:textId="20738411" w:rsidR="00F67927" w:rsidRPr="00F67927" w:rsidRDefault="00F67927" w:rsidP="00F67927">
            <w:pPr>
              <w:pStyle w:val="Zkladntext"/>
              <w:rPr>
                <w:lang w:val="sk-SK"/>
              </w:rPr>
            </w:pPr>
            <w:r w:rsidRPr="00F67927">
              <w:rPr>
                <w:lang w:val="sk-SK"/>
              </w:rPr>
              <w:t>e)</w:t>
            </w:r>
            <w:r w:rsidR="009849A8">
              <w:rPr>
                <w:lang w:val="sk-SK"/>
              </w:rPr>
              <w:t xml:space="preserve"> </w:t>
            </w:r>
            <w:r w:rsidRPr="00F67927">
              <w:rPr>
                <w:lang w:val="sk-SK"/>
              </w:rPr>
              <w:t>po kombinovanej liečbe perorálnymi antidiabetikami v maximálnej terapeutickej dávke s nedostatočnou metabolickou kompenzáciou (HbA1c v intervale 7- 8,5 % vrátane podľa štandardu DCCT); podmienkou úhrady je vyšetrenie HbA1c najmenej dvakrát ročne.</w:t>
            </w:r>
          </w:p>
          <w:p w14:paraId="2F318422" w14:textId="77777777" w:rsidR="00F67927" w:rsidRDefault="00F67927" w:rsidP="00F67927">
            <w:pPr>
              <w:pStyle w:val="Zkladntext"/>
              <w:rPr>
                <w:lang w:val="sk-SK"/>
              </w:rPr>
            </w:pPr>
            <w:r w:rsidRPr="00F67927">
              <w:rPr>
                <w:lang w:val="sk-SK"/>
              </w:rPr>
              <w:t>U pacientov do dovŕšenia 15. roku veku je táto liečba plne hradená.</w:t>
            </w:r>
          </w:p>
          <w:p w14:paraId="00ADAE0B" w14:textId="13B20333" w:rsidR="00F67927" w:rsidRPr="00F67927" w:rsidRDefault="00F67927" w:rsidP="00F67927">
            <w:pPr>
              <w:pStyle w:val="Zkladntext"/>
              <w:rPr>
                <w:lang w:val="sk-SK"/>
              </w:rPr>
            </w:pPr>
          </w:p>
        </w:tc>
      </w:tr>
      <w:tr w:rsidR="00F67927" w:rsidRPr="0000591E" w14:paraId="721823D4" w14:textId="77777777" w:rsidTr="003F7925">
        <w:trPr>
          <w:gridAfter w:val="1"/>
          <w:wAfter w:w="109" w:type="dxa"/>
          <w:trHeight w:val="20"/>
        </w:trPr>
        <w:tc>
          <w:tcPr>
            <w:tcW w:w="1256" w:type="dxa"/>
            <w:tcBorders>
              <w:bottom w:val="single" w:sz="4" w:space="0" w:color="auto"/>
            </w:tcBorders>
            <w:noWrap/>
            <w:vAlign w:val="bottom"/>
          </w:tcPr>
          <w:p w14:paraId="65624C20" w14:textId="7BE8C4A8" w:rsidR="00F67927" w:rsidRDefault="00F67927" w:rsidP="00F67927">
            <w:pPr>
              <w:rPr>
                <w:rFonts w:ascii="Arial" w:hAnsi="Arial" w:cs="Arial"/>
                <w:b/>
                <w:sz w:val="20"/>
                <w:szCs w:val="20"/>
              </w:rPr>
            </w:pPr>
            <w:r w:rsidRPr="00F67927">
              <w:rPr>
                <w:rFonts w:ascii="Arial" w:hAnsi="Arial" w:cs="Arial"/>
                <w:b/>
                <w:sz w:val="20"/>
                <w:szCs w:val="20"/>
              </w:rPr>
              <w:t>A10AD01</w:t>
            </w:r>
          </w:p>
        </w:tc>
        <w:tc>
          <w:tcPr>
            <w:tcW w:w="9497" w:type="dxa"/>
            <w:gridSpan w:val="2"/>
            <w:tcBorders>
              <w:bottom w:val="single" w:sz="4" w:space="0" w:color="auto"/>
            </w:tcBorders>
          </w:tcPr>
          <w:p w14:paraId="070F540D" w14:textId="18F86D79" w:rsidR="00F67927" w:rsidRDefault="00F67927" w:rsidP="00F67927">
            <w:pPr>
              <w:pStyle w:val="Zkladntext"/>
              <w:rPr>
                <w:b/>
                <w:lang w:val="sk-SK"/>
              </w:rPr>
            </w:pPr>
            <w:r w:rsidRPr="00F67927">
              <w:rPr>
                <w:b/>
                <w:lang w:val="sk-SK"/>
              </w:rPr>
              <w:t>Inzulín humánny parent. komb. stred. a rých. pôsobiaci náplne 300 IU</w:t>
            </w:r>
          </w:p>
        </w:tc>
      </w:tr>
      <w:tr w:rsidR="00F67927" w:rsidRPr="0000591E" w14:paraId="45A170A1" w14:textId="77777777" w:rsidTr="003F7925">
        <w:trPr>
          <w:gridAfter w:val="1"/>
          <w:wAfter w:w="109" w:type="dxa"/>
          <w:trHeight w:val="20"/>
        </w:trPr>
        <w:tc>
          <w:tcPr>
            <w:tcW w:w="1256" w:type="dxa"/>
            <w:tcBorders>
              <w:top w:val="single" w:sz="4" w:space="0" w:color="auto"/>
            </w:tcBorders>
            <w:noWrap/>
            <w:vAlign w:val="bottom"/>
          </w:tcPr>
          <w:p w14:paraId="5DAE2B1F" w14:textId="77777777" w:rsidR="00F67927" w:rsidRDefault="00F67927" w:rsidP="00F67927">
            <w:pPr>
              <w:rPr>
                <w:rFonts w:ascii="Arial" w:hAnsi="Arial" w:cs="Arial"/>
                <w:b/>
                <w:sz w:val="20"/>
                <w:szCs w:val="20"/>
              </w:rPr>
            </w:pPr>
          </w:p>
        </w:tc>
        <w:tc>
          <w:tcPr>
            <w:tcW w:w="9497" w:type="dxa"/>
            <w:gridSpan w:val="2"/>
            <w:tcBorders>
              <w:top w:val="single" w:sz="4" w:space="0" w:color="auto"/>
            </w:tcBorders>
          </w:tcPr>
          <w:p w14:paraId="4F9DD1A9" w14:textId="77777777" w:rsidR="00F67927" w:rsidRPr="00F67927" w:rsidRDefault="00F67927" w:rsidP="00F67927">
            <w:pPr>
              <w:pStyle w:val="Zkladntext"/>
              <w:rPr>
                <w:lang w:val="sk-SK"/>
              </w:rPr>
            </w:pPr>
            <w:r w:rsidRPr="00F67927">
              <w:rPr>
                <w:lang w:val="sk-SK"/>
              </w:rPr>
              <w:t>Hradená liečba sa môže indikovať u pacientov</w:t>
            </w:r>
          </w:p>
          <w:p w14:paraId="74811463" w14:textId="77777777" w:rsidR="00F67927" w:rsidRPr="00F67927" w:rsidRDefault="00F67927" w:rsidP="00F67927">
            <w:pPr>
              <w:pStyle w:val="Zkladntext"/>
              <w:rPr>
                <w:lang w:val="sk-SK"/>
              </w:rPr>
            </w:pPr>
            <w:r w:rsidRPr="00F67927">
              <w:rPr>
                <w:lang w:val="sk-SK"/>
              </w:rPr>
              <w:t>a)</w:t>
            </w:r>
            <w:r w:rsidRPr="00F67927">
              <w:rPr>
                <w:lang w:val="sk-SK"/>
              </w:rPr>
              <w:tab/>
              <w:t>ktorým sa podávajú najmenej tri dávky inzulínu denne,</w:t>
            </w:r>
          </w:p>
          <w:p w14:paraId="16F80B8F" w14:textId="77777777" w:rsidR="00F67927" w:rsidRPr="00F67927" w:rsidRDefault="00F67927" w:rsidP="00F67927">
            <w:pPr>
              <w:pStyle w:val="Zkladntext"/>
              <w:rPr>
                <w:lang w:val="sk-SK"/>
              </w:rPr>
            </w:pPr>
            <w:r w:rsidRPr="00F67927">
              <w:rPr>
                <w:lang w:val="sk-SK"/>
              </w:rPr>
              <w:t>b)</w:t>
            </w:r>
            <w:r w:rsidRPr="00F67927">
              <w:rPr>
                <w:lang w:val="sk-SK"/>
              </w:rPr>
              <w:tab/>
              <w:t>do dovŕšenia 18. roku veku,</w:t>
            </w:r>
          </w:p>
          <w:p w14:paraId="44E02E83" w14:textId="77777777" w:rsidR="00F67927" w:rsidRPr="00F67927" w:rsidRDefault="00F67927" w:rsidP="00F67927">
            <w:pPr>
              <w:pStyle w:val="Zkladntext"/>
              <w:rPr>
                <w:lang w:val="sk-SK"/>
              </w:rPr>
            </w:pPr>
            <w:r w:rsidRPr="00F67927">
              <w:rPr>
                <w:lang w:val="sk-SK"/>
              </w:rPr>
              <w:lastRenderedPageBreak/>
              <w:t>c)</w:t>
            </w:r>
            <w:r w:rsidRPr="00F67927">
              <w:rPr>
                <w:lang w:val="sk-SK"/>
              </w:rPr>
              <w:tab/>
              <w:t>s ťažkou poruchou vízu, ktorí sa orientujú zvukom pera,</w:t>
            </w:r>
          </w:p>
          <w:p w14:paraId="67652EF4" w14:textId="77777777" w:rsidR="00F67927" w:rsidRPr="00F67927" w:rsidRDefault="00F67927" w:rsidP="00F67927">
            <w:pPr>
              <w:pStyle w:val="Zkladntext"/>
              <w:rPr>
                <w:lang w:val="sk-SK"/>
              </w:rPr>
            </w:pPr>
            <w:r w:rsidRPr="00F67927">
              <w:rPr>
                <w:lang w:val="sk-SK"/>
              </w:rPr>
              <w:t>d)</w:t>
            </w:r>
            <w:r w:rsidRPr="00F67927">
              <w:rPr>
                <w:lang w:val="sk-SK"/>
              </w:rPr>
              <w:tab/>
              <w:t>s ťažkou poruchou motoriky horných končatín, ktorí nezvládajú injekčnú techniku,</w:t>
            </w:r>
          </w:p>
          <w:p w14:paraId="2FC73EE7" w14:textId="77777777" w:rsidR="00F67927" w:rsidRPr="00F67927" w:rsidRDefault="00F67927" w:rsidP="00F67927">
            <w:pPr>
              <w:pStyle w:val="Zkladntext"/>
              <w:rPr>
                <w:lang w:val="sk-SK"/>
              </w:rPr>
            </w:pPr>
            <w:r w:rsidRPr="00F67927">
              <w:rPr>
                <w:lang w:val="sk-SK"/>
              </w:rPr>
              <w:t>e)</w:t>
            </w:r>
            <w:r w:rsidRPr="00F67927">
              <w:rPr>
                <w:lang w:val="sk-SK"/>
              </w:rPr>
              <w:tab/>
              <w:t>po kombinovanej liečbe perorálnymi antidiabetikami v maximálnej terapeutickej dávke s nedostatočnou metabolickou kompenzáciou (HbA1c v intervale 7 - 8,5 % vrátane podľa štandardu DCCT); podmienkou úhrady je vyšetrenie HbA1c minimálne dvakrát ročne.</w:t>
            </w:r>
          </w:p>
          <w:p w14:paraId="3F207CDD" w14:textId="77777777" w:rsidR="00F67927" w:rsidRDefault="00F67927" w:rsidP="00F67927">
            <w:pPr>
              <w:pStyle w:val="Zkladntext"/>
              <w:rPr>
                <w:lang w:val="sk-SK"/>
              </w:rPr>
            </w:pPr>
            <w:r w:rsidRPr="00F67927">
              <w:rPr>
                <w:lang w:val="sk-SK"/>
              </w:rPr>
              <w:t>U pacientov do dovŕšenia 15. roku veku je táto liečba plne hradená.</w:t>
            </w:r>
          </w:p>
          <w:p w14:paraId="7DB937DF" w14:textId="25120397" w:rsidR="00F67927" w:rsidRPr="00F67927" w:rsidRDefault="00F67927" w:rsidP="00F67927">
            <w:pPr>
              <w:pStyle w:val="Zkladntext"/>
              <w:rPr>
                <w:lang w:val="sk-SK"/>
              </w:rPr>
            </w:pPr>
          </w:p>
        </w:tc>
      </w:tr>
      <w:tr w:rsidR="00EE52BC" w:rsidRPr="0000591E" w14:paraId="0B62DF6D" w14:textId="77777777" w:rsidTr="003F7925">
        <w:trPr>
          <w:gridAfter w:val="1"/>
          <w:wAfter w:w="109" w:type="dxa"/>
          <w:trHeight w:val="20"/>
        </w:trPr>
        <w:tc>
          <w:tcPr>
            <w:tcW w:w="1256" w:type="dxa"/>
            <w:tcBorders>
              <w:bottom w:val="single" w:sz="4" w:space="0" w:color="auto"/>
            </w:tcBorders>
            <w:noWrap/>
            <w:vAlign w:val="bottom"/>
          </w:tcPr>
          <w:p w14:paraId="039621DD" w14:textId="64F5EE81" w:rsidR="00EE52BC" w:rsidRDefault="00EE52BC" w:rsidP="00F67927">
            <w:pPr>
              <w:rPr>
                <w:rFonts w:ascii="Arial" w:hAnsi="Arial" w:cs="Arial"/>
                <w:b/>
                <w:sz w:val="20"/>
                <w:szCs w:val="20"/>
              </w:rPr>
            </w:pPr>
            <w:r w:rsidRPr="00EE52BC">
              <w:rPr>
                <w:rFonts w:ascii="Arial" w:hAnsi="Arial" w:cs="Arial"/>
                <w:b/>
                <w:sz w:val="20"/>
                <w:szCs w:val="20"/>
              </w:rPr>
              <w:lastRenderedPageBreak/>
              <w:t>A10AD04</w:t>
            </w:r>
          </w:p>
        </w:tc>
        <w:tc>
          <w:tcPr>
            <w:tcW w:w="9497" w:type="dxa"/>
            <w:gridSpan w:val="2"/>
            <w:tcBorders>
              <w:bottom w:val="single" w:sz="4" w:space="0" w:color="auto"/>
            </w:tcBorders>
          </w:tcPr>
          <w:p w14:paraId="65B66FD2" w14:textId="77777777" w:rsidR="00EE52BC" w:rsidRPr="00EE52BC" w:rsidRDefault="00EE52BC" w:rsidP="00EE52BC">
            <w:pPr>
              <w:pStyle w:val="Zkladntext"/>
              <w:rPr>
                <w:b/>
                <w:lang w:val="sk-SK"/>
              </w:rPr>
            </w:pPr>
            <w:r w:rsidRPr="00EE52BC">
              <w:rPr>
                <w:b/>
                <w:lang w:val="sk-SK"/>
              </w:rPr>
              <w:t>Inzulín lispro parent. predplnené pero 25 100 IU/ml,</w:t>
            </w:r>
          </w:p>
          <w:p w14:paraId="319DBCDB" w14:textId="22ECA940" w:rsidR="00EE52BC" w:rsidRDefault="00EE52BC" w:rsidP="00EE52BC">
            <w:pPr>
              <w:pStyle w:val="Zkladntext"/>
              <w:rPr>
                <w:b/>
                <w:lang w:val="sk-SK"/>
              </w:rPr>
            </w:pPr>
            <w:r w:rsidRPr="00EE52BC">
              <w:rPr>
                <w:b/>
                <w:lang w:val="sk-SK"/>
              </w:rPr>
              <w:t>Inzulín lispro parent. predplnené pero 50 100 IU/ml,</w:t>
            </w:r>
          </w:p>
        </w:tc>
      </w:tr>
      <w:tr w:rsidR="00EE52BC" w:rsidRPr="0000591E" w14:paraId="3726AE4D" w14:textId="77777777" w:rsidTr="003F7925">
        <w:trPr>
          <w:gridAfter w:val="1"/>
          <w:wAfter w:w="109" w:type="dxa"/>
          <w:trHeight w:val="20"/>
        </w:trPr>
        <w:tc>
          <w:tcPr>
            <w:tcW w:w="1256" w:type="dxa"/>
            <w:tcBorders>
              <w:top w:val="single" w:sz="4" w:space="0" w:color="auto"/>
            </w:tcBorders>
            <w:noWrap/>
            <w:vAlign w:val="bottom"/>
          </w:tcPr>
          <w:p w14:paraId="5DECC01A" w14:textId="77777777" w:rsidR="00EE52BC" w:rsidRDefault="00EE52BC" w:rsidP="00F67927">
            <w:pPr>
              <w:rPr>
                <w:rFonts w:ascii="Arial" w:hAnsi="Arial" w:cs="Arial"/>
                <w:b/>
                <w:sz w:val="20"/>
                <w:szCs w:val="20"/>
              </w:rPr>
            </w:pPr>
          </w:p>
        </w:tc>
        <w:tc>
          <w:tcPr>
            <w:tcW w:w="9497" w:type="dxa"/>
            <w:gridSpan w:val="2"/>
            <w:tcBorders>
              <w:top w:val="single" w:sz="4" w:space="0" w:color="auto"/>
            </w:tcBorders>
          </w:tcPr>
          <w:p w14:paraId="70079853" w14:textId="77777777" w:rsidR="00EE52BC" w:rsidRPr="00EE52BC" w:rsidRDefault="00EE52BC" w:rsidP="00EE52BC">
            <w:pPr>
              <w:pStyle w:val="Zkladntext"/>
              <w:rPr>
                <w:lang w:val="sk-SK"/>
              </w:rPr>
            </w:pPr>
            <w:r w:rsidRPr="00EE52BC">
              <w:rPr>
                <w:lang w:val="sk-SK"/>
              </w:rPr>
              <w:t xml:space="preserve">Hradená liečba sa môže indikovať u pacientov s diabetes mellitus dospelých, adolescentov a detí, kde sa vyžaduje liečba inzulínom. </w:t>
            </w:r>
          </w:p>
          <w:p w14:paraId="6E6BAC66" w14:textId="77777777" w:rsidR="00EE52BC" w:rsidRPr="00EE52BC" w:rsidRDefault="00EE52BC" w:rsidP="00EE52BC">
            <w:pPr>
              <w:pStyle w:val="Zkladntext"/>
              <w:rPr>
                <w:lang w:val="sk-SK"/>
              </w:rPr>
            </w:pPr>
            <w:r w:rsidRPr="00EE52BC">
              <w:rPr>
                <w:lang w:val="sk-SK"/>
              </w:rPr>
              <w:t xml:space="preserve">U pacientov do dovŕšenia 18. roku veku je táto liečba plne hradená. </w:t>
            </w:r>
          </w:p>
          <w:p w14:paraId="0714E9F6" w14:textId="77777777" w:rsidR="00EE52BC" w:rsidRDefault="00EE52BC" w:rsidP="00EE52BC">
            <w:pPr>
              <w:pStyle w:val="Zkladntext"/>
              <w:rPr>
                <w:lang w:val="sk-SK"/>
              </w:rPr>
            </w:pPr>
            <w:r w:rsidRPr="00EE52BC">
              <w:rPr>
                <w:lang w:val="sk-SK"/>
              </w:rPr>
              <w:t>U tehotných a dojčiacich žien je táto liečba plne hradená.</w:t>
            </w:r>
          </w:p>
          <w:p w14:paraId="5E928C8C" w14:textId="739A7204" w:rsidR="00EE52BC" w:rsidRPr="00EE52BC" w:rsidRDefault="00EE52BC" w:rsidP="00EE52BC">
            <w:pPr>
              <w:pStyle w:val="Zkladntext"/>
              <w:rPr>
                <w:lang w:val="sk-SK"/>
              </w:rPr>
            </w:pPr>
          </w:p>
        </w:tc>
      </w:tr>
      <w:tr w:rsidR="00EE52BC" w:rsidRPr="0000591E" w14:paraId="7EE073A2" w14:textId="77777777" w:rsidTr="003F7925">
        <w:trPr>
          <w:gridAfter w:val="1"/>
          <w:wAfter w:w="109" w:type="dxa"/>
          <w:trHeight w:val="20"/>
        </w:trPr>
        <w:tc>
          <w:tcPr>
            <w:tcW w:w="1256" w:type="dxa"/>
            <w:tcBorders>
              <w:bottom w:val="single" w:sz="4" w:space="0" w:color="auto"/>
            </w:tcBorders>
            <w:noWrap/>
            <w:vAlign w:val="bottom"/>
          </w:tcPr>
          <w:p w14:paraId="1DD373AB" w14:textId="5AFED6E7" w:rsidR="00EE52BC" w:rsidRDefault="00EE52BC" w:rsidP="00F67927">
            <w:pPr>
              <w:rPr>
                <w:rFonts w:ascii="Arial" w:hAnsi="Arial" w:cs="Arial"/>
                <w:b/>
                <w:sz w:val="20"/>
                <w:szCs w:val="20"/>
              </w:rPr>
            </w:pPr>
            <w:r w:rsidRPr="00EE52BC">
              <w:rPr>
                <w:rFonts w:ascii="Arial" w:hAnsi="Arial" w:cs="Arial"/>
                <w:b/>
                <w:sz w:val="20"/>
                <w:szCs w:val="20"/>
              </w:rPr>
              <w:t>A10AD05</w:t>
            </w:r>
          </w:p>
        </w:tc>
        <w:tc>
          <w:tcPr>
            <w:tcW w:w="9497" w:type="dxa"/>
            <w:gridSpan w:val="2"/>
            <w:tcBorders>
              <w:bottom w:val="single" w:sz="4" w:space="0" w:color="auto"/>
            </w:tcBorders>
          </w:tcPr>
          <w:p w14:paraId="54092BC1" w14:textId="3E197F49" w:rsidR="00EE52BC" w:rsidRDefault="00EE52BC" w:rsidP="00F67927">
            <w:pPr>
              <w:pStyle w:val="Zkladntext"/>
              <w:rPr>
                <w:b/>
                <w:lang w:val="sk-SK"/>
              </w:rPr>
            </w:pPr>
            <w:r w:rsidRPr="00EE52BC">
              <w:rPr>
                <w:b/>
                <w:lang w:val="sk-SK"/>
              </w:rPr>
              <w:t>Inzulín aspart parent. dual release predplnené pero 300 IU</w:t>
            </w:r>
          </w:p>
        </w:tc>
      </w:tr>
      <w:tr w:rsidR="00EE52BC" w:rsidRPr="0000591E" w14:paraId="32A49E1C" w14:textId="77777777" w:rsidTr="003F7925">
        <w:trPr>
          <w:gridAfter w:val="1"/>
          <w:wAfter w:w="109" w:type="dxa"/>
          <w:trHeight w:val="20"/>
        </w:trPr>
        <w:tc>
          <w:tcPr>
            <w:tcW w:w="1256" w:type="dxa"/>
            <w:tcBorders>
              <w:top w:val="single" w:sz="4" w:space="0" w:color="auto"/>
            </w:tcBorders>
            <w:noWrap/>
            <w:vAlign w:val="bottom"/>
          </w:tcPr>
          <w:p w14:paraId="6ED44F06" w14:textId="77777777" w:rsidR="00EE52BC" w:rsidRDefault="00EE52BC" w:rsidP="00F67927">
            <w:pPr>
              <w:rPr>
                <w:rFonts w:ascii="Arial" w:hAnsi="Arial" w:cs="Arial"/>
                <w:b/>
                <w:sz w:val="20"/>
                <w:szCs w:val="20"/>
              </w:rPr>
            </w:pPr>
          </w:p>
        </w:tc>
        <w:tc>
          <w:tcPr>
            <w:tcW w:w="9497" w:type="dxa"/>
            <w:gridSpan w:val="2"/>
            <w:tcBorders>
              <w:top w:val="single" w:sz="4" w:space="0" w:color="auto"/>
            </w:tcBorders>
          </w:tcPr>
          <w:p w14:paraId="623582D2" w14:textId="77777777" w:rsidR="00EE52BC" w:rsidRPr="00EE52BC" w:rsidRDefault="00EE52BC" w:rsidP="00EE52BC">
            <w:pPr>
              <w:pStyle w:val="Zkladntext"/>
              <w:rPr>
                <w:lang w:val="sk-SK"/>
              </w:rPr>
            </w:pPr>
            <w:r w:rsidRPr="00EE52BC">
              <w:rPr>
                <w:lang w:val="sk-SK"/>
              </w:rPr>
              <w:t>Hradená liečba sa môže indikovať u pacientov s diabetes mellitus dospelých, adolescentov a detí vo veku 10 rokov a starších na liečbe maximálne tolerovanej dávke antidiabetikami s  nedostatočnou metabolickou kompenzáciou (HbA1C &gt; 7%, podľa DCCT)</w:t>
            </w:r>
          </w:p>
          <w:p w14:paraId="39E8A022" w14:textId="77777777" w:rsidR="00EE52BC" w:rsidRPr="00EE52BC" w:rsidRDefault="00EE52BC" w:rsidP="00EE52BC">
            <w:pPr>
              <w:pStyle w:val="Zkladntext"/>
              <w:rPr>
                <w:lang w:val="sk-SK"/>
              </w:rPr>
            </w:pPr>
            <w:r w:rsidRPr="00EE52BC">
              <w:rPr>
                <w:lang w:val="sk-SK"/>
              </w:rPr>
              <w:t xml:space="preserve">U pacientov do dovŕšenia 18. roku veku je táto liečba plne hradená. </w:t>
            </w:r>
          </w:p>
          <w:p w14:paraId="2C541D22" w14:textId="77777777" w:rsidR="00EE52BC" w:rsidRPr="00EE52BC" w:rsidRDefault="00EE52BC" w:rsidP="00EE52BC">
            <w:pPr>
              <w:pStyle w:val="Zkladntext"/>
              <w:rPr>
                <w:lang w:val="sk-SK"/>
              </w:rPr>
            </w:pPr>
            <w:r w:rsidRPr="00EE52BC">
              <w:rPr>
                <w:lang w:val="sk-SK"/>
              </w:rPr>
              <w:t>U tehotných a dojčiacich žien je táto liečba plne hradená.</w:t>
            </w:r>
          </w:p>
          <w:p w14:paraId="61E894E2" w14:textId="67373C4E" w:rsidR="00EE52BC" w:rsidRPr="00EE52BC" w:rsidRDefault="00EE52BC" w:rsidP="00F67927">
            <w:pPr>
              <w:pStyle w:val="Zkladntext"/>
              <w:rPr>
                <w:lang w:val="sk-SK"/>
              </w:rPr>
            </w:pPr>
          </w:p>
        </w:tc>
      </w:tr>
      <w:tr w:rsidR="002A769B" w:rsidRPr="0000591E" w14:paraId="3282CCF3" w14:textId="77777777" w:rsidTr="003F7925">
        <w:trPr>
          <w:gridAfter w:val="1"/>
          <w:wAfter w:w="109" w:type="dxa"/>
          <w:trHeight w:val="20"/>
        </w:trPr>
        <w:tc>
          <w:tcPr>
            <w:tcW w:w="1256" w:type="dxa"/>
            <w:tcBorders>
              <w:bottom w:val="single" w:sz="4" w:space="0" w:color="auto"/>
            </w:tcBorders>
            <w:noWrap/>
            <w:vAlign w:val="bottom"/>
          </w:tcPr>
          <w:p w14:paraId="1E78CF3A" w14:textId="5A783AC9" w:rsidR="002A769B" w:rsidRDefault="002A769B" w:rsidP="00F67927">
            <w:pPr>
              <w:rPr>
                <w:rFonts w:ascii="Arial" w:hAnsi="Arial" w:cs="Arial"/>
                <w:b/>
                <w:sz w:val="20"/>
                <w:szCs w:val="20"/>
              </w:rPr>
            </w:pPr>
            <w:r w:rsidRPr="002A769B">
              <w:rPr>
                <w:rFonts w:ascii="Arial" w:hAnsi="Arial" w:cs="Arial"/>
                <w:b/>
                <w:sz w:val="20"/>
                <w:szCs w:val="20"/>
              </w:rPr>
              <w:t>A10AD06</w:t>
            </w:r>
          </w:p>
        </w:tc>
        <w:tc>
          <w:tcPr>
            <w:tcW w:w="9497" w:type="dxa"/>
            <w:gridSpan w:val="2"/>
            <w:tcBorders>
              <w:bottom w:val="single" w:sz="4" w:space="0" w:color="auto"/>
            </w:tcBorders>
          </w:tcPr>
          <w:p w14:paraId="1BB2B97E" w14:textId="4B8F4F7D" w:rsidR="002A769B" w:rsidRDefault="002A769B" w:rsidP="00F67927">
            <w:pPr>
              <w:pStyle w:val="Zkladntext"/>
              <w:rPr>
                <w:b/>
                <w:lang w:val="sk-SK"/>
              </w:rPr>
            </w:pPr>
            <w:r w:rsidRPr="002A769B">
              <w:rPr>
                <w:b/>
                <w:lang w:val="sk-SK"/>
              </w:rPr>
              <w:t>Inzulín degludek a inzulín aspart parent. komb. dlho. a rých. pôsobiaci predplnené pero 100 IU</w:t>
            </w:r>
          </w:p>
        </w:tc>
      </w:tr>
      <w:tr w:rsidR="002A769B" w:rsidRPr="0000591E" w14:paraId="3DF1D4E7" w14:textId="77777777" w:rsidTr="003F7925">
        <w:trPr>
          <w:gridAfter w:val="1"/>
          <w:wAfter w:w="109" w:type="dxa"/>
          <w:trHeight w:val="20"/>
        </w:trPr>
        <w:tc>
          <w:tcPr>
            <w:tcW w:w="1256" w:type="dxa"/>
            <w:tcBorders>
              <w:top w:val="single" w:sz="4" w:space="0" w:color="auto"/>
            </w:tcBorders>
            <w:noWrap/>
            <w:vAlign w:val="bottom"/>
          </w:tcPr>
          <w:p w14:paraId="460169E1"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25FA712E" w14:textId="77777777" w:rsidR="002A769B" w:rsidRPr="002A769B" w:rsidRDefault="002A769B" w:rsidP="002A769B">
            <w:pPr>
              <w:pStyle w:val="Zkladntext"/>
              <w:rPr>
                <w:lang w:val="sk-SK"/>
              </w:rPr>
            </w:pPr>
            <w:r w:rsidRPr="002A769B">
              <w:rPr>
                <w:lang w:val="sk-SK"/>
              </w:rPr>
              <w:t>Hradená liečba sa môže indikovať u pacientov s diabetes mellitus dospelých, adolescentov a detí vo veku 2 rokov a starších na liečbe maximálne tolerovanej dávke antidiabetikami s  nedostatočnou metabolickou kompenzáciou (HbA1C &gt; 7%, podľa DCCT)</w:t>
            </w:r>
          </w:p>
          <w:p w14:paraId="13D4C45C" w14:textId="77777777" w:rsidR="002A769B" w:rsidRPr="002A769B" w:rsidRDefault="002A769B" w:rsidP="002A769B">
            <w:pPr>
              <w:pStyle w:val="Zkladntext"/>
              <w:rPr>
                <w:lang w:val="sk-SK"/>
              </w:rPr>
            </w:pPr>
            <w:r w:rsidRPr="002A769B">
              <w:rPr>
                <w:lang w:val="sk-SK"/>
              </w:rPr>
              <w:t xml:space="preserve">U pacientov do dovŕšenia 18. roku veku je táto liečba plne hradená. </w:t>
            </w:r>
          </w:p>
          <w:p w14:paraId="07C7E2A1" w14:textId="77777777" w:rsidR="002A769B" w:rsidRDefault="002A769B" w:rsidP="002A769B">
            <w:pPr>
              <w:pStyle w:val="Zkladntext"/>
              <w:rPr>
                <w:lang w:val="sk-SK"/>
              </w:rPr>
            </w:pPr>
            <w:r w:rsidRPr="002A769B">
              <w:rPr>
                <w:lang w:val="sk-SK"/>
              </w:rPr>
              <w:t>U tehotných a dojčiacich žien je táto liečba plne hradená.</w:t>
            </w:r>
          </w:p>
          <w:p w14:paraId="3F47BB86" w14:textId="64E6DD62" w:rsidR="002A769B" w:rsidRPr="002A769B" w:rsidRDefault="002A769B" w:rsidP="002A769B">
            <w:pPr>
              <w:pStyle w:val="Zkladntext"/>
              <w:rPr>
                <w:lang w:val="sk-SK"/>
              </w:rPr>
            </w:pPr>
          </w:p>
        </w:tc>
      </w:tr>
      <w:tr w:rsidR="002A769B" w:rsidRPr="0000591E" w14:paraId="2D6A185A" w14:textId="77777777" w:rsidTr="003F7925">
        <w:trPr>
          <w:gridAfter w:val="1"/>
          <w:wAfter w:w="109" w:type="dxa"/>
          <w:trHeight w:val="20"/>
        </w:trPr>
        <w:tc>
          <w:tcPr>
            <w:tcW w:w="1256" w:type="dxa"/>
            <w:tcBorders>
              <w:bottom w:val="single" w:sz="4" w:space="0" w:color="auto"/>
            </w:tcBorders>
            <w:noWrap/>
            <w:vAlign w:val="bottom"/>
          </w:tcPr>
          <w:p w14:paraId="353615B1" w14:textId="44FB7DB7" w:rsidR="002A769B" w:rsidRDefault="002A769B" w:rsidP="00F67927">
            <w:pPr>
              <w:rPr>
                <w:rFonts w:ascii="Arial" w:hAnsi="Arial" w:cs="Arial"/>
                <w:b/>
                <w:sz w:val="20"/>
                <w:szCs w:val="20"/>
              </w:rPr>
            </w:pPr>
            <w:r w:rsidRPr="002A769B">
              <w:rPr>
                <w:rFonts w:ascii="Arial" w:hAnsi="Arial" w:cs="Arial"/>
                <w:b/>
                <w:sz w:val="20"/>
                <w:szCs w:val="20"/>
              </w:rPr>
              <w:t>A10AE04</w:t>
            </w:r>
          </w:p>
        </w:tc>
        <w:tc>
          <w:tcPr>
            <w:tcW w:w="9497" w:type="dxa"/>
            <w:gridSpan w:val="2"/>
            <w:tcBorders>
              <w:bottom w:val="single" w:sz="4" w:space="0" w:color="auto"/>
            </w:tcBorders>
          </w:tcPr>
          <w:p w14:paraId="76EAEBEF" w14:textId="3F26377E" w:rsidR="002A769B" w:rsidRDefault="002A769B" w:rsidP="00F67927">
            <w:pPr>
              <w:pStyle w:val="Zkladntext"/>
              <w:rPr>
                <w:b/>
                <w:lang w:val="sk-SK"/>
              </w:rPr>
            </w:pPr>
            <w:r w:rsidRPr="002A769B">
              <w:rPr>
                <w:b/>
                <w:lang w:val="sk-SK"/>
              </w:rPr>
              <w:t>Inzulín glargín parent. pôsobiace dlhodobo predplnené pero 300 IU</w:t>
            </w:r>
          </w:p>
        </w:tc>
      </w:tr>
      <w:tr w:rsidR="002A769B" w:rsidRPr="0000591E" w14:paraId="480BBA1E" w14:textId="77777777" w:rsidTr="003F7925">
        <w:trPr>
          <w:gridAfter w:val="1"/>
          <w:wAfter w:w="109" w:type="dxa"/>
          <w:trHeight w:val="20"/>
        </w:trPr>
        <w:tc>
          <w:tcPr>
            <w:tcW w:w="1256" w:type="dxa"/>
            <w:tcBorders>
              <w:top w:val="single" w:sz="4" w:space="0" w:color="auto"/>
            </w:tcBorders>
            <w:noWrap/>
            <w:vAlign w:val="bottom"/>
          </w:tcPr>
          <w:p w14:paraId="25BF954C"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716F1A1E" w14:textId="77777777" w:rsidR="002A769B" w:rsidRPr="002A769B" w:rsidRDefault="002A769B" w:rsidP="002A769B">
            <w:pPr>
              <w:pStyle w:val="Zkladntext"/>
              <w:rPr>
                <w:lang w:val="sk-SK"/>
              </w:rPr>
            </w:pPr>
            <w:r w:rsidRPr="002A769B">
              <w:rPr>
                <w:lang w:val="sk-SK"/>
              </w:rPr>
              <w:t xml:space="preserve">Hradená liečba sa môže indikovať u pacientov s diabetes mellitus dospelých, adolescentov a detí vo veku 2 rokov a starších, kde sa vyžaduje liečba inzulínom. </w:t>
            </w:r>
          </w:p>
          <w:p w14:paraId="4E49EB41" w14:textId="77777777" w:rsidR="002A769B" w:rsidRPr="002A769B" w:rsidRDefault="002A769B" w:rsidP="002A769B">
            <w:pPr>
              <w:pStyle w:val="Zkladntext"/>
              <w:rPr>
                <w:lang w:val="sk-SK"/>
              </w:rPr>
            </w:pPr>
            <w:r w:rsidRPr="002A769B">
              <w:rPr>
                <w:lang w:val="sk-SK"/>
              </w:rPr>
              <w:t xml:space="preserve">U pacientov do dovŕšenia 18. roku veku je táto liečba plne hradená. </w:t>
            </w:r>
          </w:p>
          <w:p w14:paraId="4FF6B304" w14:textId="77777777" w:rsidR="002A769B" w:rsidRDefault="002A769B" w:rsidP="002A769B">
            <w:pPr>
              <w:pStyle w:val="Zkladntext"/>
              <w:rPr>
                <w:lang w:val="sk-SK"/>
              </w:rPr>
            </w:pPr>
            <w:r w:rsidRPr="002A769B">
              <w:rPr>
                <w:lang w:val="sk-SK"/>
              </w:rPr>
              <w:t>U tehotných a dojčiacich žien je táto liečba plne hradená.</w:t>
            </w:r>
          </w:p>
          <w:p w14:paraId="41CF480C" w14:textId="135571AD" w:rsidR="002A769B" w:rsidRPr="002A769B" w:rsidRDefault="002A769B" w:rsidP="002A769B">
            <w:pPr>
              <w:pStyle w:val="Zkladntext"/>
              <w:rPr>
                <w:lang w:val="sk-SK"/>
              </w:rPr>
            </w:pPr>
          </w:p>
        </w:tc>
      </w:tr>
      <w:tr w:rsidR="002A769B" w:rsidRPr="0000591E" w14:paraId="0C5BDA37" w14:textId="77777777" w:rsidTr="003F7925">
        <w:trPr>
          <w:gridAfter w:val="1"/>
          <w:wAfter w:w="109" w:type="dxa"/>
          <w:trHeight w:val="20"/>
        </w:trPr>
        <w:tc>
          <w:tcPr>
            <w:tcW w:w="1256" w:type="dxa"/>
            <w:tcBorders>
              <w:bottom w:val="single" w:sz="4" w:space="0" w:color="auto"/>
            </w:tcBorders>
            <w:noWrap/>
            <w:vAlign w:val="bottom"/>
          </w:tcPr>
          <w:p w14:paraId="2D07D78D" w14:textId="05956BD1" w:rsidR="002A769B" w:rsidRDefault="002A769B" w:rsidP="00F67927">
            <w:pPr>
              <w:rPr>
                <w:rFonts w:ascii="Arial" w:hAnsi="Arial" w:cs="Arial"/>
                <w:b/>
                <w:sz w:val="20"/>
                <w:szCs w:val="20"/>
              </w:rPr>
            </w:pPr>
            <w:r w:rsidRPr="002A769B">
              <w:rPr>
                <w:rFonts w:ascii="Arial" w:hAnsi="Arial" w:cs="Arial"/>
                <w:b/>
                <w:sz w:val="20"/>
                <w:szCs w:val="20"/>
              </w:rPr>
              <w:t>A10AE04</w:t>
            </w:r>
          </w:p>
        </w:tc>
        <w:tc>
          <w:tcPr>
            <w:tcW w:w="9497" w:type="dxa"/>
            <w:gridSpan w:val="2"/>
            <w:tcBorders>
              <w:bottom w:val="single" w:sz="4" w:space="0" w:color="auto"/>
            </w:tcBorders>
          </w:tcPr>
          <w:p w14:paraId="646BC47B" w14:textId="77777777" w:rsidR="002A769B" w:rsidRPr="002A769B" w:rsidRDefault="002A769B" w:rsidP="002A769B">
            <w:pPr>
              <w:pStyle w:val="Zkladntext"/>
              <w:rPr>
                <w:b/>
                <w:lang w:val="sk-SK"/>
              </w:rPr>
            </w:pPr>
            <w:r w:rsidRPr="002A769B">
              <w:rPr>
                <w:b/>
                <w:lang w:val="sk-SK"/>
              </w:rPr>
              <w:t>Inzulín glargín parent. pôsobiace dlhodobo predplnené pero 450 IU,</w:t>
            </w:r>
          </w:p>
          <w:p w14:paraId="20E500C9" w14:textId="155D99BF" w:rsidR="002A769B" w:rsidRDefault="002A769B" w:rsidP="002A769B">
            <w:pPr>
              <w:pStyle w:val="Zkladntext"/>
              <w:rPr>
                <w:b/>
                <w:lang w:val="sk-SK"/>
              </w:rPr>
            </w:pPr>
            <w:r w:rsidRPr="002A769B">
              <w:rPr>
                <w:b/>
                <w:lang w:val="sk-SK"/>
              </w:rPr>
              <w:t>Inzulín glargin parent.pôsobiace dlhodobo predplnené pero 900 IU</w:t>
            </w:r>
          </w:p>
        </w:tc>
      </w:tr>
      <w:tr w:rsidR="002A769B" w:rsidRPr="0000591E" w14:paraId="4CE3D455" w14:textId="77777777" w:rsidTr="003F7925">
        <w:trPr>
          <w:gridAfter w:val="1"/>
          <w:wAfter w:w="109" w:type="dxa"/>
          <w:trHeight w:val="20"/>
        </w:trPr>
        <w:tc>
          <w:tcPr>
            <w:tcW w:w="1256" w:type="dxa"/>
            <w:tcBorders>
              <w:top w:val="single" w:sz="4" w:space="0" w:color="auto"/>
            </w:tcBorders>
            <w:noWrap/>
            <w:vAlign w:val="bottom"/>
          </w:tcPr>
          <w:p w14:paraId="56C0B92E"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1A0FB6FE" w14:textId="77777777" w:rsidR="002A769B" w:rsidRPr="002A769B" w:rsidRDefault="002A769B" w:rsidP="002A769B">
            <w:pPr>
              <w:pStyle w:val="Zkladntext"/>
              <w:rPr>
                <w:lang w:val="sk-SK"/>
              </w:rPr>
            </w:pPr>
            <w:r w:rsidRPr="002A769B">
              <w:rPr>
                <w:lang w:val="sk-SK"/>
              </w:rPr>
              <w:t xml:space="preserve">Hradená liečba sa môže indikovať u pacientov s diabetes mellitus dospelých, adolescentov a detí vo veku 6 rokov a starších, kde sa vyžaduje liečba inzulínom. </w:t>
            </w:r>
          </w:p>
          <w:p w14:paraId="67EBEEB6" w14:textId="77777777" w:rsidR="002A769B" w:rsidRPr="002A769B" w:rsidRDefault="002A769B" w:rsidP="002A769B">
            <w:pPr>
              <w:pStyle w:val="Zkladntext"/>
              <w:rPr>
                <w:lang w:val="sk-SK"/>
              </w:rPr>
            </w:pPr>
            <w:r w:rsidRPr="002A769B">
              <w:rPr>
                <w:lang w:val="sk-SK"/>
              </w:rPr>
              <w:t xml:space="preserve">U pacientov do dovŕšenia 18. roku veku je táto liečba plne hradená. </w:t>
            </w:r>
          </w:p>
          <w:p w14:paraId="774F73B3" w14:textId="77777777" w:rsidR="002A769B" w:rsidRDefault="002A769B" w:rsidP="002A769B">
            <w:pPr>
              <w:pStyle w:val="Zkladntext"/>
              <w:rPr>
                <w:lang w:val="sk-SK"/>
              </w:rPr>
            </w:pPr>
            <w:r w:rsidRPr="002A769B">
              <w:rPr>
                <w:lang w:val="sk-SK"/>
              </w:rPr>
              <w:t>U tehotných a dojčiacich žien je táto liečba plne hradená.</w:t>
            </w:r>
          </w:p>
          <w:p w14:paraId="3A8CF6C6" w14:textId="36D72912" w:rsidR="002A769B" w:rsidRPr="002A769B" w:rsidRDefault="002A769B" w:rsidP="002A769B">
            <w:pPr>
              <w:pStyle w:val="Zkladntext"/>
              <w:rPr>
                <w:lang w:val="sk-SK"/>
              </w:rPr>
            </w:pPr>
          </w:p>
        </w:tc>
      </w:tr>
      <w:tr w:rsidR="002A769B" w:rsidRPr="0000591E" w14:paraId="14B109DB" w14:textId="77777777" w:rsidTr="003F7925">
        <w:trPr>
          <w:gridAfter w:val="1"/>
          <w:wAfter w:w="109" w:type="dxa"/>
          <w:trHeight w:val="20"/>
        </w:trPr>
        <w:tc>
          <w:tcPr>
            <w:tcW w:w="1256" w:type="dxa"/>
            <w:tcBorders>
              <w:bottom w:val="single" w:sz="4" w:space="0" w:color="auto"/>
            </w:tcBorders>
            <w:noWrap/>
            <w:vAlign w:val="bottom"/>
          </w:tcPr>
          <w:p w14:paraId="53DE5551" w14:textId="312FDA53" w:rsidR="002A769B" w:rsidRDefault="002A769B" w:rsidP="00F67927">
            <w:pPr>
              <w:rPr>
                <w:rFonts w:ascii="Arial" w:hAnsi="Arial" w:cs="Arial"/>
                <w:b/>
                <w:sz w:val="20"/>
                <w:szCs w:val="20"/>
              </w:rPr>
            </w:pPr>
            <w:r w:rsidRPr="002A769B">
              <w:rPr>
                <w:rFonts w:ascii="Arial" w:hAnsi="Arial" w:cs="Arial"/>
                <w:b/>
                <w:sz w:val="20"/>
                <w:szCs w:val="20"/>
              </w:rPr>
              <w:t>A10AE05</w:t>
            </w:r>
          </w:p>
        </w:tc>
        <w:tc>
          <w:tcPr>
            <w:tcW w:w="9497" w:type="dxa"/>
            <w:gridSpan w:val="2"/>
            <w:tcBorders>
              <w:bottom w:val="single" w:sz="4" w:space="0" w:color="auto"/>
            </w:tcBorders>
          </w:tcPr>
          <w:p w14:paraId="7D417647" w14:textId="77777777" w:rsidR="002A769B" w:rsidRPr="002A769B" w:rsidRDefault="002A769B" w:rsidP="002A769B">
            <w:pPr>
              <w:pStyle w:val="Zkladntext"/>
              <w:tabs>
                <w:tab w:val="left" w:pos="3013"/>
              </w:tabs>
              <w:rPr>
                <w:b/>
                <w:lang w:val="sk-SK"/>
              </w:rPr>
            </w:pPr>
            <w:r w:rsidRPr="002A769B">
              <w:rPr>
                <w:b/>
                <w:lang w:val="sk-SK"/>
              </w:rPr>
              <w:t>Inzulín detemir parent. pôsobiace dlhodobo náplň 300 IU,</w:t>
            </w:r>
          </w:p>
          <w:p w14:paraId="137BEFF3" w14:textId="53637E9F" w:rsidR="002A769B" w:rsidRDefault="002A769B" w:rsidP="002A769B">
            <w:pPr>
              <w:pStyle w:val="Zkladntext"/>
              <w:tabs>
                <w:tab w:val="left" w:pos="3013"/>
              </w:tabs>
              <w:rPr>
                <w:b/>
                <w:lang w:val="sk-SK"/>
              </w:rPr>
            </w:pPr>
            <w:r w:rsidRPr="002A769B">
              <w:rPr>
                <w:b/>
                <w:lang w:val="sk-SK"/>
              </w:rPr>
              <w:t>Inzulín detemir parent. predplnené pero 300 IU</w:t>
            </w:r>
          </w:p>
        </w:tc>
      </w:tr>
      <w:tr w:rsidR="002A769B" w:rsidRPr="0000591E" w14:paraId="545A5311" w14:textId="77777777" w:rsidTr="003F7925">
        <w:trPr>
          <w:gridAfter w:val="1"/>
          <w:wAfter w:w="109" w:type="dxa"/>
          <w:trHeight w:val="20"/>
        </w:trPr>
        <w:tc>
          <w:tcPr>
            <w:tcW w:w="1256" w:type="dxa"/>
            <w:tcBorders>
              <w:top w:val="single" w:sz="4" w:space="0" w:color="auto"/>
            </w:tcBorders>
            <w:noWrap/>
            <w:vAlign w:val="bottom"/>
          </w:tcPr>
          <w:p w14:paraId="2F8570B7"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1FA60C3B" w14:textId="77777777" w:rsidR="002A769B" w:rsidRPr="002A769B" w:rsidRDefault="002A769B" w:rsidP="002A769B">
            <w:pPr>
              <w:pStyle w:val="Zkladntext"/>
              <w:tabs>
                <w:tab w:val="left" w:pos="3013"/>
              </w:tabs>
              <w:rPr>
                <w:lang w:val="sk-SK"/>
              </w:rPr>
            </w:pPr>
            <w:r w:rsidRPr="002A769B">
              <w:rPr>
                <w:lang w:val="sk-SK"/>
              </w:rPr>
              <w:t xml:space="preserve">Hradená liečba sa môže indikovať u pacientov s diabetes mellitus dospelých, adolescentov a detí vo </w:t>
            </w:r>
          </w:p>
          <w:p w14:paraId="4030021C" w14:textId="77777777" w:rsidR="002A769B" w:rsidRPr="002A769B" w:rsidRDefault="002A769B" w:rsidP="002A769B">
            <w:pPr>
              <w:pStyle w:val="Zkladntext"/>
              <w:tabs>
                <w:tab w:val="left" w:pos="3013"/>
              </w:tabs>
              <w:rPr>
                <w:lang w:val="sk-SK"/>
              </w:rPr>
            </w:pPr>
            <w:r w:rsidRPr="002A769B">
              <w:rPr>
                <w:lang w:val="sk-SK"/>
              </w:rPr>
              <w:t xml:space="preserve">veku 1 rok a starších, kde sa vyžaduje liečba inzulínom. </w:t>
            </w:r>
          </w:p>
          <w:p w14:paraId="0CCDBB60" w14:textId="77777777" w:rsidR="002A769B" w:rsidRPr="002A769B" w:rsidRDefault="002A769B" w:rsidP="002A769B">
            <w:pPr>
              <w:pStyle w:val="Zkladntext"/>
              <w:tabs>
                <w:tab w:val="left" w:pos="3013"/>
              </w:tabs>
              <w:rPr>
                <w:lang w:val="sk-SK"/>
              </w:rPr>
            </w:pPr>
            <w:r w:rsidRPr="002A769B">
              <w:rPr>
                <w:lang w:val="sk-SK"/>
              </w:rPr>
              <w:t xml:space="preserve">U pacientov do dovŕšenia 18. roku veku je táto liečba plne hradená. </w:t>
            </w:r>
          </w:p>
          <w:p w14:paraId="51672AEF" w14:textId="77777777" w:rsidR="002A769B" w:rsidRDefault="002A769B" w:rsidP="002A769B">
            <w:pPr>
              <w:pStyle w:val="Zkladntext"/>
              <w:tabs>
                <w:tab w:val="left" w:pos="3013"/>
              </w:tabs>
              <w:rPr>
                <w:lang w:val="sk-SK"/>
              </w:rPr>
            </w:pPr>
            <w:r w:rsidRPr="002A769B">
              <w:rPr>
                <w:lang w:val="sk-SK"/>
              </w:rPr>
              <w:t>U tehotných a dojčiacich žien je táto liečba plne hradená.</w:t>
            </w:r>
          </w:p>
          <w:p w14:paraId="2D41E77C" w14:textId="6308530E" w:rsidR="002A769B" w:rsidRPr="002A769B" w:rsidRDefault="002A769B" w:rsidP="002A769B">
            <w:pPr>
              <w:pStyle w:val="Zkladntext"/>
              <w:tabs>
                <w:tab w:val="left" w:pos="3013"/>
              </w:tabs>
              <w:rPr>
                <w:lang w:val="sk-SK"/>
              </w:rPr>
            </w:pPr>
          </w:p>
        </w:tc>
      </w:tr>
      <w:tr w:rsidR="00A5483D" w:rsidRPr="0000591E" w14:paraId="54B90268" w14:textId="77777777" w:rsidTr="003F7925">
        <w:trPr>
          <w:gridAfter w:val="1"/>
          <w:wAfter w:w="109" w:type="dxa"/>
          <w:trHeight w:val="20"/>
        </w:trPr>
        <w:tc>
          <w:tcPr>
            <w:tcW w:w="1256" w:type="dxa"/>
            <w:tcBorders>
              <w:bottom w:val="single" w:sz="4" w:space="0" w:color="auto"/>
            </w:tcBorders>
            <w:noWrap/>
            <w:vAlign w:val="bottom"/>
          </w:tcPr>
          <w:p w14:paraId="146BAF3F" w14:textId="7A05B1B7" w:rsidR="00A5483D" w:rsidRDefault="00A5483D" w:rsidP="00F67927">
            <w:pPr>
              <w:rPr>
                <w:rFonts w:ascii="Arial" w:hAnsi="Arial" w:cs="Arial"/>
                <w:b/>
                <w:sz w:val="20"/>
                <w:szCs w:val="20"/>
              </w:rPr>
            </w:pPr>
            <w:r w:rsidRPr="00A5483D">
              <w:rPr>
                <w:rFonts w:ascii="Arial" w:hAnsi="Arial" w:cs="Arial"/>
                <w:b/>
                <w:sz w:val="20"/>
                <w:szCs w:val="20"/>
              </w:rPr>
              <w:t>A10AE54</w:t>
            </w:r>
          </w:p>
        </w:tc>
        <w:tc>
          <w:tcPr>
            <w:tcW w:w="9497" w:type="dxa"/>
            <w:gridSpan w:val="2"/>
            <w:tcBorders>
              <w:bottom w:val="single" w:sz="4" w:space="0" w:color="auto"/>
            </w:tcBorders>
          </w:tcPr>
          <w:p w14:paraId="1F1475EA" w14:textId="77777777" w:rsidR="00A5483D" w:rsidRPr="00A5483D" w:rsidRDefault="00A5483D" w:rsidP="00A5483D">
            <w:pPr>
              <w:pStyle w:val="Zkladntext"/>
              <w:tabs>
                <w:tab w:val="left" w:pos="3013"/>
              </w:tabs>
              <w:rPr>
                <w:b/>
                <w:lang w:val="sk-SK"/>
              </w:rPr>
            </w:pPr>
            <w:r w:rsidRPr="00A5483D">
              <w:rPr>
                <w:b/>
                <w:lang w:val="sk-SK"/>
              </w:rPr>
              <w:t>Inzulín glargín a lixisenatid parent. predplnené pero 300 IU + 100 µg,</w:t>
            </w:r>
          </w:p>
          <w:p w14:paraId="022EB3EB" w14:textId="6EFC4A47" w:rsidR="00A5483D" w:rsidRDefault="00A5483D" w:rsidP="00A5483D">
            <w:pPr>
              <w:pStyle w:val="Zkladntext"/>
              <w:tabs>
                <w:tab w:val="left" w:pos="3013"/>
              </w:tabs>
              <w:rPr>
                <w:b/>
                <w:lang w:val="sk-SK"/>
              </w:rPr>
            </w:pPr>
            <w:r w:rsidRPr="00A5483D">
              <w:rPr>
                <w:b/>
                <w:lang w:val="sk-SK"/>
              </w:rPr>
              <w:t>Inzulín glargín a lixisenatid parent. predplnené pero 300 IU + 150 µg</w:t>
            </w:r>
          </w:p>
        </w:tc>
      </w:tr>
      <w:tr w:rsidR="00A5483D" w:rsidRPr="0000591E" w14:paraId="375EE5C9" w14:textId="77777777" w:rsidTr="003F7925">
        <w:trPr>
          <w:gridAfter w:val="1"/>
          <w:wAfter w:w="109" w:type="dxa"/>
          <w:trHeight w:val="20"/>
        </w:trPr>
        <w:tc>
          <w:tcPr>
            <w:tcW w:w="1256" w:type="dxa"/>
            <w:tcBorders>
              <w:top w:val="single" w:sz="4" w:space="0" w:color="auto"/>
            </w:tcBorders>
            <w:noWrap/>
            <w:vAlign w:val="bottom"/>
          </w:tcPr>
          <w:p w14:paraId="093D3C08" w14:textId="77777777" w:rsidR="00A5483D" w:rsidRDefault="00A5483D" w:rsidP="00F67927">
            <w:pPr>
              <w:rPr>
                <w:rFonts w:ascii="Arial" w:hAnsi="Arial" w:cs="Arial"/>
                <w:b/>
                <w:sz w:val="20"/>
                <w:szCs w:val="20"/>
              </w:rPr>
            </w:pPr>
          </w:p>
        </w:tc>
        <w:tc>
          <w:tcPr>
            <w:tcW w:w="9497" w:type="dxa"/>
            <w:gridSpan w:val="2"/>
            <w:tcBorders>
              <w:top w:val="single" w:sz="4" w:space="0" w:color="auto"/>
            </w:tcBorders>
          </w:tcPr>
          <w:p w14:paraId="7E7173A0" w14:textId="77777777" w:rsidR="00A5483D" w:rsidRDefault="00A5483D" w:rsidP="002A769B">
            <w:pPr>
              <w:pStyle w:val="Zkladntext"/>
              <w:tabs>
                <w:tab w:val="left" w:pos="3013"/>
              </w:tabs>
              <w:rPr>
                <w:lang w:val="sk-SK"/>
              </w:rPr>
            </w:pPr>
            <w:r w:rsidRPr="00A5483D">
              <w:rPr>
                <w:lang w:val="sk-SK"/>
              </w:rPr>
              <w:t>Hradená liečba sa môže indikovať u pacientov s nedostatočne kompenzovaným diabetom 2. typu (HbA1C &gt; 7 %), ktorí sú liečení akoukoľvek kombinovanou liečbou obsahujúcou bazálny inzulín alebo agonistom GLP-1 receptorov.</w:t>
            </w:r>
          </w:p>
          <w:p w14:paraId="0D34A306" w14:textId="1C26254B" w:rsidR="00A5483D" w:rsidRPr="00A5483D" w:rsidRDefault="00A5483D" w:rsidP="002A769B">
            <w:pPr>
              <w:pStyle w:val="Zkladntext"/>
              <w:tabs>
                <w:tab w:val="left" w:pos="3013"/>
              </w:tabs>
              <w:rPr>
                <w:lang w:val="sk-SK"/>
              </w:rPr>
            </w:pPr>
          </w:p>
        </w:tc>
      </w:tr>
      <w:tr w:rsidR="00A5483D" w:rsidRPr="0000591E" w14:paraId="0314BED2" w14:textId="77777777" w:rsidTr="003F7925">
        <w:trPr>
          <w:gridAfter w:val="1"/>
          <w:wAfter w:w="109" w:type="dxa"/>
          <w:trHeight w:val="20"/>
        </w:trPr>
        <w:tc>
          <w:tcPr>
            <w:tcW w:w="1256" w:type="dxa"/>
            <w:tcBorders>
              <w:bottom w:val="single" w:sz="4" w:space="0" w:color="auto"/>
            </w:tcBorders>
            <w:noWrap/>
            <w:vAlign w:val="bottom"/>
          </w:tcPr>
          <w:p w14:paraId="64A21489" w14:textId="1D8B6979" w:rsidR="00A5483D" w:rsidRDefault="00A5483D" w:rsidP="00F67927">
            <w:pPr>
              <w:rPr>
                <w:rFonts w:ascii="Arial" w:hAnsi="Arial" w:cs="Arial"/>
                <w:b/>
                <w:sz w:val="20"/>
                <w:szCs w:val="20"/>
              </w:rPr>
            </w:pPr>
            <w:r w:rsidRPr="00A5483D">
              <w:rPr>
                <w:rFonts w:ascii="Arial" w:hAnsi="Arial" w:cs="Arial"/>
                <w:b/>
                <w:sz w:val="20"/>
                <w:szCs w:val="20"/>
              </w:rPr>
              <w:t>A10AE56</w:t>
            </w:r>
          </w:p>
        </w:tc>
        <w:tc>
          <w:tcPr>
            <w:tcW w:w="9497" w:type="dxa"/>
            <w:gridSpan w:val="2"/>
            <w:tcBorders>
              <w:bottom w:val="single" w:sz="4" w:space="0" w:color="auto"/>
            </w:tcBorders>
          </w:tcPr>
          <w:p w14:paraId="38FAA83B" w14:textId="3A4438C7" w:rsidR="00A5483D" w:rsidRDefault="00A5483D" w:rsidP="002A769B">
            <w:pPr>
              <w:pStyle w:val="Zkladntext"/>
              <w:tabs>
                <w:tab w:val="left" w:pos="3013"/>
              </w:tabs>
              <w:rPr>
                <w:b/>
                <w:lang w:val="sk-SK"/>
              </w:rPr>
            </w:pPr>
            <w:r w:rsidRPr="00A5483D">
              <w:rPr>
                <w:b/>
                <w:lang w:val="sk-SK"/>
              </w:rPr>
              <w:t>Inzulín degludek a liraglutid parent. predplnené pero 300 IU + 10,8 mg</w:t>
            </w:r>
          </w:p>
        </w:tc>
      </w:tr>
      <w:tr w:rsidR="00A5483D" w:rsidRPr="0000591E" w14:paraId="3BC227F4" w14:textId="77777777" w:rsidTr="003F7925">
        <w:trPr>
          <w:gridAfter w:val="1"/>
          <w:wAfter w:w="109" w:type="dxa"/>
          <w:trHeight w:val="20"/>
        </w:trPr>
        <w:tc>
          <w:tcPr>
            <w:tcW w:w="1256" w:type="dxa"/>
            <w:tcBorders>
              <w:top w:val="single" w:sz="4" w:space="0" w:color="auto"/>
            </w:tcBorders>
            <w:noWrap/>
            <w:vAlign w:val="bottom"/>
          </w:tcPr>
          <w:p w14:paraId="5869A353" w14:textId="77777777" w:rsidR="00A5483D" w:rsidRDefault="00A5483D" w:rsidP="00F67927">
            <w:pPr>
              <w:rPr>
                <w:rFonts w:ascii="Arial" w:hAnsi="Arial" w:cs="Arial"/>
                <w:b/>
                <w:sz w:val="20"/>
                <w:szCs w:val="20"/>
              </w:rPr>
            </w:pPr>
          </w:p>
        </w:tc>
        <w:tc>
          <w:tcPr>
            <w:tcW w:w="9497" w:type="dxa"/>
            <w:gridSpan w:val="2"/>
            <w:tcBorders>
              <w:top w:val="single" w:sz="4" w:space="0" w:color="auto"/>
            </w:tcBorders>
          </w:tcPr>
          <w:p w14:paraId="1E11C36E" w14:textId="77777777" w:rsidR="00A5483D" w:rsidRDefault="00A5483D" w:rsidP="002A769B">
            <w:pPr>
              <w:pStyle w:val="Zkladntext"/>
              <w:tabs>
                <w:tab w:val="left" w:pos="3013"/>
              </w:tabs>
              <w:rPr>
                <w:lang w:val="sk-SK"/>
              </w:rPr>
            </w:pPr>
            <w:r w:rsidRPr="00A5483D">
              <w:rPr>
                <w:lang w:val="sk-SK"/>
              </w:rPr>
              <w:t>Hradená liečba sa môže indikovať u pacientov s nedostatočne kompenzovaným diabetom 2. typu (HbA1C &gt; 7 %), ktorí sú liečení akoukoľvek kombinovanou liečbou obsahujúcou bazálny inzulín alebo agonistom GLP-1 receptorov.</w:t>
            </w:r>
          </w:p>
          <w:p w14:paraId="4A841B7A" w14:textId="77777777" w:rsidR="00A5483D" w:rsidRDefault="00A5483D" w:rsidP="002A769B">
            <w:pPr>
              <w:pStyle w:val="Zkladntext"/>
              <w:tabs>
                <w:tab w:val="left" w:pos="3013"/>
              </w:tabs>
              <w:rPr>
                <w:lang w:val="sk-SK"/>
              </w:rPr>
            </w:pPr>
          </w:p>
          <w:p w14:paraId="67AB900D" w14:textId="1C6785C8" w:rsidR="00A5483D" w:rsidRPr="00A5483D" w:rsidRDefault="00A5483D" w:rsidP="002A769B">
            <w:pPr>
              <w:pStyle w:val="Zkladntext"/>
              <w:tabs>
                <w:tab w:val="left" w:pos="3013"/>
              </w:tabs>
              <w:rPr>
                <w:lang w:val="sk-SK"/>
              </w:rPr>
            </w:pPr>
          </w:p>
        </w:tc>
      </w:tr>
      <w:tr w:rsidR="00F67927" w:rsidRPr="0000591E" w14:paraId="1E734F6F" w14:textId="77777777" w:rsidTr="003F7925">
        <w:trPr>
          <w:gridAfter w:val="1"/>
          <w:wAfter w:w="109" w:type="dxa"/>
          <w:trHeight w:val="20"/>
        </w:trPr>
        <w:tc>
          <w:tcPr>
            <w:tcW w:w="1256" w:type="dxa"/>
            <w:tcBorders>
              <w:bottom w:val="single" w:sz="4" w:space="0" w:color="auto"/>
            </w:tcBorders>
            <w:noWrap/>
            <w:vAlign w:val="center"/>
          </w:tcPr>
          <w:p w14:paraId="3B1113A4" w14:textId="77777777" w:rsidR="0075055D" w:rsidRDefault="0075055D" w:rsidP="00F67927">
            <w:pPr>
              <w:rPr>
                <w:rFonts w:ascii="Arial" w:hAnsi="Arial" w:cs="Arial"/>
                <w:b/>
                <w:bCs/>
                <w:sz w:val="20"/>
                <w:szCs w:val="20"/>
              </w:rPr>
            </w:pPr>
          </w:p>
          <w:p w14:paraId="74C3F72D" w14:textId="77777777" w:rsidR="0075055D" w:rsidRDefault="0075055D" w:rsidP="00F67927">
            <w:pPr>
              <w:rPr>
                <w:rFonts w:ascii="Arial" w:hAnsi="Arial" w:cs="Arial"/>
                <w:b/>
                <w:bCs/>
                <w:sz w:val="20"/>
                <w:szCs w:val="20"/>
              </w:rPr>
            </w:pPr>
          </w:p>
          <w:p w14:paraId="6A0BB398" w14:textId="13BDD5E9" w:rsidR="00F67927" w:rsidRDefault="00F67927" w:rsidP="00F67927">
            <w:pPr>
              <w:rPr>
                <w:rFonts w:ascii="Arial" w:hAnsi="Arial" w:cs="Arial"/>
                <w:b/>
                <w:bCs/>
                <w:sz w:val="20"/>
                <w:szCs w:val="20"/>
              </w:rPr>
            </w:pPr>
            <w:r w:rsidRPr="0000591E">
              <w:rPr>
                <w:rFonts w:ascii="Arial" w:hAnsi="Arial" w:cs="Arial"/>
                <w:b/>
                <w:bCs/>
                <w:sz w:val="20"/>
                <w:szCs w:val="20"/>
              </w:rPr>
              <w:t>A10BA02</w:t>
            </w:r>
          </w:p>
        </w:tc>
        <w:tc>
          <w:tcPr>
            <w:tcW w:w="9497" w:type="dxa"/>
            <w:gridSpan w:val="2"/>
            <w:tcBorders>
              <w:bottom w:val="single" w:sz="4" w:space="0" w:color="auto"/>
            </w:tcBorders>
          </w:tcPr>
          <w:p w14:paraId="5DF5C6ED" w14:textId="77777777" w:rsidR="00F67927" w:rsidRPr="0000591E" w:rsidRDefault="00F67927" w:rsidP="00F67927">
            <w:pPr>
              <w:jc w:val="both"/>
              <w:rPr>
                <w:rFonts w:ascii="Arial" w:hAnsi="Arial" w:cs="Arial"/>
                <w:b/>
                <w:bCs/>
                <w:sz w:val="20"/>
                <w:szCs w:val="20"/>
              </w:rPr>
            </w:pPr>
            <w:r w:rsidRPr="0000591E">
              <w:rPr>
                <w:rFonts w:ascii="Arial" w:hAnsi="Arial" w:cs="Arial"/>
                <w:b/>
                <w:bCs/>
                <w:sz w:val="20"/>
                <w:szCs w:val="20"/>
              </w:rPr>
              <w:t>Metformín, p.o. predĺžené uvoľňovanie 500 mg,</w:t>
            </w:r>
          </w:p>
          <w:p w14:paraId="38DD63D7" w14:textId="77777777" w:rsidR="00F67927" w:rsidRPr="0000591E" w:rsidRDefault="00F67927" w:rsidP="00F67927">
            <w:pPr>
              <w:jc w:val="both"/>
              <w:rPr>
                <w:rFonts w:ascii="Arial" w:hAnsi="Arial" w:cs="Arial"/>
                <w:b/>
                <w:bCs/>
                <w:sz w:val="20"/>
                <w:szCs w:val="20"/>
              </w:rPr>
            </w:pPr>
            <w:r w:rsidRPr="0000591E">
              <w:rPr>
                <w:rFonts w:ascii="Arial" w:hAnsi="Arial" w:cs="Arial"/>
                <w:b/>
                <w:bCs/>
                <w:sz w:val="20"/>
                <w:szCs w:val="20"/>
              </w:rPr>
              <w:t>Metformín, p.o. predĺžené uvoľňovanie 750 mg,</w:t>
            </w:r>
          </w:p>
          <w:p w14:paraId="204BFE9B" w14:textId="77777777" w:rsidR="00F67927" w:rsidRPr="008C48E9" w:rsidRDefault="00F67927" w:rsidP="00F67927">
            <w:pPr>
              <w:jc w:val="both"/>
              <w:rPr>
                <w:rFonts w:ascii="Arial" w:hAnsi="Arial" w:cs="Arial"/>
                <w:sz w:val="20"/>
                <w:szCs w:val="20"/>
              </w:rPr>
            </w:pPr>
            <w:r w:rsidRPr="0000591E">
              <w:rPr>
                <w:rFonts w:ascii="Arial" w:hAnsi="Arial" w:cs="Arial"/>
                <w:b/>
                <w:bCs/>
                <w:sz w:val="20"/>
                <w:szCs w:val="20"/>
              </w:rPr>
              <w:t>Metformín, p.o. predĺžené uvoľňovanie 1000 mg</w:t>
            </w:r>
          </w:p>
        </w:tc>
      </w:tr>
      <w:tr w:rsidR="00F67927" w:rsidRPr="0000591E" w14:paraId="19ADE3F5" w14:textId="77777777" w:rsidTr="003F7925">
        <w:trPr>
          <w:gridAfter w:val="1"/>
          <w:wAfter w:w="109" w:type="dxa"/>
          <w:trHeight w:val="20"/>
        </w:trPr>
        <w:tc>
          <w:tcPr>
            <w:tcW w:w="1256" w:type="dxa"/>
            <w:tcBorders>
              <w:top w:val="single" w:sz="4" w:space="0" w:color="auto"/>
            </w:tcBorders>
            <w:noWrap/>
            <w:vAlign w:val="center"/>
          </w:tcPr>
          <w:p w14:paraId="48BB27F8" w14:textId="77777777" w:rsidR="00F67927" w:rsidRPr="0000591E" w:rsidRDefault="00F67927" w:rsidP="00F67927">
            <w:pPr>
              <w:jc w:val="center"/>
              <w:rPr>
                <w:rFonts w:ascii="Arial" w:hAnsi="Arial" w:cs="Arial"/>
                <w:b/>
                <w:bCs/>
                <w:sz w:val="20"/>
                <w:szCs w:val="20"/>
              </w:rPr>
            </w:pPr>
          </w:p>
        </w:tc>
        <w:tc>
          <w:tcPr>
            <w:tcW w:w="9497" w:type="dxa"/>
            <w:gridSpan w:val="2"/>
            <w:tcBorders>
              <w:top w:val="single" w:sz="4" w:space="0" w:color="auto"/>
            </w:tcBorders>
          </w:tcPr>
          <w:p w14:paraId="4EF93C58" w14:textId="77777777" w:rsidR="00F67927" w:rsidRDefault="00F67927" w:rsidP="00F67927">
            <w:pPr>
              <w:jc w:val="both"/>
              <w:rPr>
                <w:rFonts w:ascii="Arial" w:hAnsi="Arial" w:cs="Arial"/>
                <w:sz w:val="20"/>
                <w:szCs w:val="20"/>
              </w:rPr>
            </w:pPr>
            <w:r w:rsidRPr="0000591E">
              <w:rPr>
                <w:rFonts w:ascii="Arial" w:hAnsi="Arial" w:cs="Arial"/>
                <w:sz w:val="20"/>
                <w:szCs w:val="20"/>
              </w:rPr>
              <w:t>Hradená liečba sa môže indikovať pri liečbe diabetes mellitus 2. typu s preukázaným nežiaducim účinkom na klasický metformín.</w:t>
            </w:r>
          </w:p>
          <w:p w14:paraId="4A8CE159" w14:textId="77777777" w:rsidR="00F67927" w:rsidRPr="0000591E" w:rsidRDefault="00F67927" w:rsidP="00F67927">
            <w:pPr>
              <w:jc w:val="both"/>
              <w:rPr>
                <w:rFonts w:ascii="Arial" w:hAnsi="Arial" w:cs="Arial"/>
                <w:sz w:val="20"/>
                <w:szCs w:val="20"/>
              </w:rPr>
            </w:pPr>
          </w:p>
        </w:tc>
      </w:tr>
      <w:tr w:rsidR="00F67927" w:rsidRPr="0000591E" w14:paraId="3DF8293C" w14:textId="77777777" w:rsidTr="003F7925">
        <w:trPr>
          <w:gridAfter w:val="1"/>
          <w:wAfter w:w="109" w:type="dxa"/>
          <w:trHeight w:val="20"/>
        </w:trPr>
        <w:tc>
          <w:tcPr>
            <w:tcW w:w="1256" w:type="dxa"/>
            <w:tcBorders>
              <w:bottom w:val="single" w:sz="4" w:space="0" w:color="auto"/>
            </w:tcBorders>
            <w:noWrap/>
            <w:vAlign w:val="bottom"/>
          </w:tcPr>
          <w:p w14:paraId="3F0EF290"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t>A10BD07</w:t>
            </w:r>
          </w:p>
        </w:tc>
        <w:tc>
          <w:tcPr>
            <w:tcW w:w="9497" w:type="dxa"/>
            <w:gridSpan w:val="2"/>
            <w:tcBorders>
              <w:bottom w:val="single" w:sz="4" w:space="0" w:color="auto"/>
            </w:tcBorders>
            <w:noWrap/>
          </w:tcPr>
          <w:p w14:paraId="3B7C5FDF"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Pr>
                <w:b/>
                <w:bCs/>
                <w:lang w:val="sk-SK"/>
              </w:rPr>
              <w:t>S</w:t>
            </w:r>
            <w:r w:rsidRPr="0000591E">
              <w:rPr>
                <w:b/>
                <w:bCs/>
                <w:lang w:val="sk-SK"/>
              </w:rPr>
              <w:t>itagliptín</w:t>
            </w:r>
            <w:r>
              <w:rPr>
                <w:b/>
                <w:bCs/>
                <w:lang w:val="sk-SK"/>
              </w:rPr>
              <w:t xml:space="preserve"> a metformín</w:t>
            </w:r>
            <w:r w:rsidRPr="0000591E">
              <w:rPr>
                <w:b/>
                <w:bCs/>
                <w:lang w:val="sk-SK"/>
              </w:rPr>
              <w:t xml:space="preserve"> p.o. 50/850 mg,</w:t>
            </w:r>
          </w:p>
          <w:p w14:paraId="2D76B485"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Pr>
                <w:b/>
                <w:bCs/>
                <w:lang w:val="sk-SK"/>
              </w:rPr>
              <w:t>S</w:t>
            </w:r>
            <w:r w:rsidRPr="0000591E">
              <w:rPr>
                <w:b/>
                <w:bCs/>
                <w:lang w:val="sk-SK"/>
              </w:rPr>
              <w:t>itagliptín</w:t>
            </w:r>
            <w:r>
              <w:rPr>
                <w:b/>
                <w:bCs/>
                <w:lang w:val="sk-SK"/>
              </w:rPr>
              <w:t xml:space="preserve"> a metformín</w:t>
            </w:r>
            <w:r w:rsidRPr="0000591E">
              <w:rPr>
                <w:b/>
                <w:bCs/>
                <w:lang w:val="sk-SK"/>
              </w:rPr>
              <w:t xml:space="preserve"> p.o. 50/1000 mg</w:t>
            </w:r>
          </w:p>
        </w:tc>
      </w:tr>
      <w:tr w:rsidR="00F67927" w:rsidRPr="0000591E" w14:paraId="1ECA7B6D" w14:textId="77777777" w:rsidTr="003F7925">
        <w:trPr>
          <w:gridAfter w:val="1"/>
          <w:wAfter w:w="109" w:type="dxa"/>
          <w:trHeight w:val="20"/>
        </w:trPr>
        <w:tc>
          <w:tcPr>
            <w:tcW w:w="1256" w:type="dxa"/>
            <w:tcBorders>
              <w:top w:val="single" w:sz="4" w:space="0" w:color="auto"/>
            </w:tcBorders>
            <w:noWrap/>
            <w:vAlign w:val="bottom"/>
          </w:tcPr>
          <w:p w14:paraId="7452B13E"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23669E8C" w14:textId="77777777" w:rsidR="00F67927" w:rsidRPr="0000591E" w:rsidRDefault="00F67927" w:rsidP="00F67927">
            <w:pPr>
              <w:pStyle w:val="Zkladntext"/>
              <w:overflowPunct w:val="0"/>
              <w:autoSpaceDE w:val="0"/>
              <w:autoSpaceDN w:val="0"/>
              <w:adjustRightInd w:val="0"/>
              <w:jc w:val="both"/>
              <w:textAlignment w:val="baseline"/>
            </w:pPr>
            <w:r w:rsidRPr="0000591E">
              <w:t>Hradená liečba sa môže indikovať u dospelých pacientov s diabetes mellitus 2. typu s nedostatočnou glykemickou kontrolou HbA1c ≥ 7,0% podľa DCCT :</w:t>
            </w:r>
          </w:p>
          <w:p w14:paraId="32DD20A0" w14:textId="77777777" w:rsidR="00F67927" w:rsidRDefault="00F67927">
            <w:pPr>
              <w:pStyle w:val="Zkladntext"/>
              <w:numPr>
                <w:ilvl w:val="0"/>
                <w:numId w:val="127"/>
              </w:numPr>
              <w:overflowPunct w:val="0"/>
              <w:autoSpaceDE w:val="0"/>
              <w:autoSpaceDN w:val="0"/>
              <w:adjustRightInd w:val="0"/>
              <w:jc w:val="both"/>
              <w:textAlignment w:val="baseline"/>
              <w:rPr>
                <w:iCs/>
              </w:rPr>
            </w:pPr>
            <w:r w:rsidRPr="0000591E">
              <w:t>po najmenej trojmesačnej liečbe maximálnymi tolerovanými dávkami samotného metformínu s BMI &gt; 28 kg/m</w:t>
            </w:r>
            <w:r w:rsidRPr="0000591E">
              <w:rPr>
                <w:vertAlign w:val="superscript"/>
              </w:rPr>
              <w:t>2</w:t>
            </w:r>
            <w:r w:rsidRPr="0000591E">
              <w:t>,</w:t>
            </w:r>
          </w:p>
          <w:p w14:paraId="683963B4" w14:textId="77777777" w:rsidR="00F67927" w:rsidRDefault="00F67927">
            <w:pPr>
              <w:pStyle w:val="Zkladntext"/>
              <w:numPr>
                <w:ilvl w:val="0"/>
                <w:numId w:val="127"/>
              </w:numPr>
              <w:overflowPunct w:val="0"/>
              <w:autoSpaceDE w:val="0"/>
              <w:autoSpaceDN w:val="0"/>
              <w:adjustRightInd w:val="0"/>
              <w:jc w:val="both"/>
              <w:textAlignment w:val="baseline"/>
              <w:rPr>
                <w:iCs/>
              </w:rPr>
            </w:pPr>
            <w:r w:rsidRPr="00204640">
              <w:rPr>
                <w:iCs/>
              </w:rPr>
              <w:t>v kombinácii so sulfonylmočovinou (t.j. trojkombinačná liečba) ako doplnok k diéte a cvičeniu u pacientov nedostatočne kontrolovaných maximálnou tolerovanou dávkou metformínu a sulfonylmočoviny,</w:t>
            </w:r>
            <w:r w:rsidRPr="0000591E">
              <w:t xml:space="preserve"> s BMI &gt; 28 kg/m</w:t>
            </w:r>
            <w:r w:rsidRPr="00204640">
              <w:rPr>
                <w:vertAlign w:val="superscript"/>
              </w:rPr>
              <w:t>2</w:t>
            </w:r>
            <w:r>
              <w:rPr>
                <w:vertAlign w:val="superscript"/>
              </w:rPr>
              <w:t xml:space="preserve"> </w:t>
            </w:r>
            <w:r>
              <w:t>,</w:t>
            </w:r>
          </w:p>
          <w:p w14:paraId="7CB2D876" w14:textId="77777777" w:rsidR="00F67927" w:rsidRPr="00204640" w:rsidRDefault="00F67927">
            <w:pPr>
              <w:pStyle w:val="Zkladntext"/>
              <w:numPr>
                <w:ilvl w:val="0"/>
                <w:numId w:val="127"/>
              </w:numPr>
              <w:overflowPunct w:val="0"/>
              <w:autoSpaceDE w:val="0"/>
              <w:autoSpaceDN w:val="0"/>
              <w:adjustRightInd w:val="0"/>
              <w:jc w:val="both"/>
              <w:textAlignment w:val="baseline"/>
              <w:rPr>
                <w:iCs/>
              </w:rPr>
            </w:pPr>
            <w:r w:rsidRPr="00204640">
              <w:rPr>
                <w:lang w:val="sk-SK"/>
              </w:rPr>
              <w:t xml:space="preserve">v kombinácii s inzulínom </w:t>
            </w:r>
            <w:r w:rsidRPr="00204640">
              <w:rPr>
                <w:iCs/>
                <w:lang w:val="sk-SK"/>
              </w:rPr>
              <w:t>(t.j. trojkombinačná liečba) ako doplnok k diéte a cvičeniu na zlepšenie kontroly glykémie u pacientov, u ktorých stabilná dávka inzulínu a metformínu samotná nezabezpečí dostatočnú kontrolu glykémie.</w:t>
            </w:r>
          </w:p>
          <w:p w14:paraId="74273288" w14:textId="77777777" w:rsidR="00F67927" w:rsidRPr="0000591E" w:rsidRDefault="00F67927" w:rsidP="00F67927">
            <w:pPr>
              <w:pStyle w:val="Zkladntext"/>
              <w:overflowPunct w:val="0"/>
              <w:autoSpaceDE w:val="0"/>
              <w:autoSpaceDN w:val="0"/>
              <w:adjustRightInd w:val="0"/>
              <w:jc w:val="both"/>
              <w:textAlignment w:val="baseline"/>
              <w:rPr>
                <w:lang w:val="sk-SK"/>
              </w:rPr>
            </w:pPr>
          </w:p>
        </w:tc>
      </w:tr>
      <w:tr w:rsidR="00F67927" w:rsidRPr="0000591E" w14:paraId="0EF2A58F" w14:textId="77777777" w:rsidTr="003F7925">
        <w:trPr>
          <w:gridAfter w:val="1"/>
          <w:wAfter w:w="109" w:type="dxa"/>
          <w:trHeight w:val="20"/>
        </w:trPr>
        <w:tc>
          <w:tcPr>
            <w:tcW w:w="1256" w:type="dxa"/>
            <w:tcBorders>
              <w:bottom w:val="single" w:sz="4" w:space="0" w:color="auto"/>
            </w:tcBorders>
            <w:noWrap/>
            <w:vAlign w:val="bottom"/>
          </w:tcPr>
          <w:p w14:paraId="58EDCD5A"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t>A10BD08</w:t>
            </w:r>
          </w:p>
        </w:tc>
        <w:tc>
          <w:tcPr>
            <w:tcW w:w="9497" w:type="dxa"/>
            <w:gridSpan w:val="2"/>
            <w:tcBorders>
              <w:bottom w:val="single" w:sz="4" w:space="0" w:color="auto"/>
            </w:tcBorders>
            <w:noWrap/>
          </w:tcPr>
          <w:p w14:paraId="35EBDDD9"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Metformín a vildagliptín p.o. 50/850 mg,</w:t>
            </w:r>
          </w:p>
          <w:p w14:paraId="34AA93BE"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 xml:space="preserve">Metformín a vildagliptín p.o. 50/1000 mg </w:t>
            </w:r>
          </w:p>
        </w:tc>
      </w:tr>
      <w:tr w:rsidR="00F67927" w:rsidRPr="0000591E" w14:paraId="27713153" w14:textId="77777777" w:rsidTr="003F7925">
        <w:trPr>
          <w:gridAfter w:val="1"/>
          <w:wAfter w:w="109" w:type="dxa"/>
          <w:trHeight w:val="20"/>
        </w:trPr>
        <w:tc>
          <w:tcPr>
            <w:tcW w:w="1256" w:type="dxa"/>
            <w:tcBorders>
              <w:top w:val="single" w:sz="4" w:space="0" w:color="auto"/>
            </w:tcBorders>
            <w:noWrap/>
            <w:vAlign w:val="bottom"/>
          </w:tcPr>
          <w:p w14:paraId="0DC62802" w14:textId="77777777" w:rsidR="00F67927" w:rsidRPr="0000591E" w:rsidRDefault="00F67927" w:rsidP="00F67927">
            <w:pPr>
              <w:rPr>
                <w:rFonts w:ascii="Arial" w:hAnsi="Arial" w:cs="Arial"/>
                <w:b/>
                <w:bCs/>
                <w:sz w:val="20"/>
                <w:szCs w:val="20"/>
              </w:rPr>
            </w:pPr>
          </w:p>
          <w:p w14:paraId="05F98C07" w14:textId="77777777" w:rsidR="00F67927" w:rsidRPr="0000591E" w:rsidRDefault="00F67927" w:rsidP="00F67927">
            <w:pPr>
              <w:rPr>
                <w:rFonts w:ascii="Arial" w:hAnsi="Arial" w:cs="Arial"/>
                <w:b/>
                <w:bCs/>
                <w:sz w:val="20"/>
                <w:szCs w:val="20"/>
              </w:rPr>
            </w:pPr>
          </w:p>
          <w:p w14:paraId="517D9DF7" w14:textId="77777777" w:rsidR="00F67927" w:rsidRPr="0000591E" w:rsidRDefault="00F67927" w:rsidP="00F67927">
            <w:pPr>
              <w:rPr>
                <w:rFonts w:ascii="Arial" w:hAnsi="Arial" w:cs="Arial"/>
                <w:b/>
                <w:bCs/>
                <w:sz w:val="20"/>
                <w:szCs w:val="20"/>
              </w:rPr>
            </w:pPr>
          </w:p>
          <w:p w14:paraId="5B21FA20" w14:textId="77777777" w:rsidR="00F67927" w:rsidRPr="0000591E" w:rsidRDefault="00F67927" w:rsidP="00F67927">
            <w:pPr>
              <w:rPr>
                <w:rFonts w:ascii="Arial" w:hAnsi="Arial" w:cs="Arial"/>
                <w:b/>
                <w:bCs/>
                <w:sz w:val="20"/>
                <w:szCs w:val="20"/>
              </w:rPr>
            </w:pPr>
          </w:p>
          <w:p w14:paraId="41857EF5" w14:textId="77777777" w:rsidR="00F67927" w:rsidRPr="0000591E" w:rsidRDefault="00F67927" w:rsidP="00F67927">
            <w:pPr>
              <w:rPr>
                <w:rFonts w:ascii="Arial" w:hAnsi="Arial" w:cs="Arial"/>
                <w:b/>
                <w:bCs/>
                <w:sz w:val="20"/>
                <w:szCs w:val="20"/>
              </w:rPr>
            </w:pPr>
          </w:p>
          <w:p w14:paraId="396454F8" w14:textId="77777777" w:rsidR="00F67927" w:rsidRPr="0000591E" w:rsidRDefault="00F67927" w:rsidP="00F67927">
            <w:pPr>
              <w:rPr>
                <w:rFonts w:ascii="Arial" w:hAnsi="Arial" w:cs="Arial"/>
                <w:b/>
                <w:bCs/>
                <w:sz w:val="20"/>
                <w:szCs w:val="20"/>
              </w:rPr>
            </w:pPr>
          </w:p>
          <w:p w14:paraId="591C915F" w14:textId="77777777" w:rsidR="00F67927" w:rsidRPr="0000591E" w:rsidRDefault="00F67927" w:rsidP="00F67927">
            <w:pPr>
              <w:rPr>
                <w:rFonts w:ascii="Arial" w:hAnsi="Arial" w:cs="Arial"/>
                <w:b/>
                <w:bCs/>
                <w:sz w:val="20"/>
                <w:szCs w:val="20"/>
              </w:rPr>
            </w:pPr>
          </w:p>
          <w:p w14:paraId="3801DD34"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3A8FD8C0" w14:textId="77777777" w:rsidR="00F67927" w:rsidRPr="0000591E" w:rsidRDefault="00F67927" w:rsidP="00F67927">
            <w:pPr>
              <w:pStyle w:val="Zkladntext"/>
              <w:overflowPunct w:val="0"/>
              <w:autoSpaceDE w:val="0"/>
              <w:autoSpaceDN w:val="0"/>
              <w:adjustRightInd w:val="0"/>
              <w:jc w:val="both"/>
              <w:textAlignment w:val="baseline"/>
            </w:pPr>
            <w:r w:rsidRPr="0000591E">
              <w:t>Hradená liečba sa môže indikovať u dospelých pacientov s diabetes mellitus 2. typu s nedostatočnou glykemickou kontrolou HbA1c ≥ 7,0% podľa DCCT :</w:t>
            </w:r>
          </w:p>
          <w:p w14:paraId="3B7B14D1" w14:textId="77777777" w:rsidR="00F67927" w:rsidRPr="0000591E" w:rsidRDefault="00F67927">
            <w:pPr>
              <w:pStyle w:val="Zkladntext"/>
              <w:numPr>
                <w:ilvl w:val="0"/>
                <w:numId w:val="67"/>
              </w:numPr>
              <w:overflowPunct w:val="0"/>
              <w:autoSpaceDE w:val="0"/>
              <w:autoSpaceDN w:val="0"/>
              <w:adjustRightInd w:val="0"/>
              <w:jc w:val="both"/>
              <w:textAlignment w:val="baseline"/>
            </w:pPr>
            <w:r w:rsidRPr="0000591E">
              <w:t>po najmenej trojmesačnej liečbe maximálnymi tolerovanými dávkami samotného metformínu s BMI &gt; 28 kg/m</w:t>
            </w:r>
            <w:r w:rsidRPr="0000591E">
              <w:rPr>
                <w:vertAlign w:val="superscript"/>
              </w:rPr>
              <w:t>2</w:t>
            </w:r>
          </w:p>
          <w:p w14:paraId="7BDA724F" w14:textId="77777777" w:rsidR="00F67927" w:rsidRPr="0000591E" w:rsidRDefault="00F67927">
            <w:pPr>
              <w:pStyle w:val="Zkladntext"/>
              <w:numPr>
                <w:ilvl w:val="0"/>
                <w:numId w:val="67"/>
              </w:numPr>
              <w:overflowPunct w:val="0"/>
              <w:autoSpaceDE w:val="0"/>
              <w:autoSpaceDN w:val="0"/>
              <w:adjustRightInd w:val="0"/>
              <w:jc w:val="both"/>
              <w:textAlignment w:val="baseline"/>
              <w:rPr>
                <w:iCs/>
              </w:rPr>
            </w:pPr>
            <w:r w:rsidRPr="0000591E">
              <w:rPr>
                <w:iCs/>
              </w:rPr>
              <w:t>v kombinácii so sulfonylmočovinou (t.j. trojkombinačná liečba) ako doplnok k diéte a cvičeniu u pacientov nedostatočne kontrolovaných maximálnou tolerovanou dávkou metformínu a sulfonylmočoviny</w:t>
            </w:r>
            <w:r w:rsidRPr="0000591E">
              <w:t xml:space="preserve"> s BMI &gt; 28 kg/m</w:t>
            </w:r>
            <w:r w:rsidRPr="0000591E">
              <w:rPr>
                <w:vertAlign w:val="superscript"/>
              </w:rPr>
              <w:t>2</w:t>
            </w:r>
          </w:p>
          <w:p w14:paraId="06603F7B" w14:textId="77777777" w:rsidR="00F67927" w:rsidRPr="0000591E" w:rsidRDefault="00F67927">
            <w:pPr>
              <w:pStyle w:val="Zkladntext"/>
              <w:numPr>
                <w:ilvl w:val="0"/>
                <w:numId w:val="67"/>
              </w:numPr>
              <w:overflowPunct w:val="0"/>
              <w:autoSpaceDE w:val="0"/>
              <w:autoSpaceDN w:val="0"/>
              <w:adjustRightInd w:val="0"/>
              <w:jc w:val="both"/>
              <w:textAlignment w:val="baseline"/>
              <w:rPr>
                <w:iCs/>
              </w:rPr>
            </w:pPr>
            <w:r w:rsidRPr="0000591E">
              <w:rPr>
                <w:lang w:val="sk-SK"/>
              </w:rPr>
              <w:t xml:space="preserve">v kombinácii s inzulínom </w:t>
            </w:r>
            <w:r w:rsidRPr="0000591E">
              <w:rPr>
                <w:iCs/>
                <w:lang w:val="sk-SK"/>
              </w:rPr>
              <w:t>(t.j. trojkombinačná liečba) ako doplnok k diéte a cvičeniu na zlepšenie kontroly glykémie u pacientov, u ktorých stabilná dávka inzulínu a metformínu samotná nezabezpečí dostatočnú kontrolu glykémie.</w:t>
            </w:r>
          </w:p>
          <w:p w14:paraId="3570120C" w14:textId="77777777" w:rsidR="00F67927" w:rsidRPr="0000591E" w:rsidRDefault="00F67927" w:rsidP="00F67927">
            <w:pPr>
              <w:pStyle w:val="Zkladntext"/>
              <w:overflowPunct w:val="0"/>
              <w:autoSpaceDE w:val="0"/>
              <w:autoSpaceDN w:val="0"/>
              <w:adjustRightInd w:val="0"/>
              <w:textAlignment w:val="baseline"/>
              <w:rPr>
                <w:iCs/>
              </w:rPr>
            </w:pPr>
          </w:p>
        </w:tc>
      </w:tr>
      <w:tr w:rsidR="00F67927" w:rsidRPr="0000591E" w14:paraId="588CB7A3" w14:textId="77777777" w:rsidTr="003F7925">
        <w:trPr>
          <w:gridAfter w:val="1"/>
          <w:wAfter w:w="109" w:type="dxa"/>
          <w:trHeight w:val="20"/>
        </w:trPr>
        <w:tc>
          <w:tcPr>
            <w:tcW w:w="1256" w:type="dxa"/>
            <w:tcBorders>
              <w:bottom w:val="single" w:sz="4" w:space="0" w:color="auto"/>
            </w:tcBorders>
            <w:noWrap/>
            <w:vAlign w:val="bottom"/>
          </w:tcPr>
          <w:p w14:paraId="3C7E0443" w14:textId="77777777" w:rsidR="00F67927" w:rsidRPr="0000591E" w:rsidRDefault="00F67927" w:rsidP="00F67927">
            <w:pPr>
              <w:rPr>
                <w:rFonts w:ascii="Arial" w:hAnsi="Arial" w:cs="Arial"/>
                <w:b/>
                <w:bCs/>
                <w:sz w:val="20"/>
                <w:szCs w:val="20"/>
              </w:rPr>
            </w:pPr>
            <w:r>
              <w:rPr>
                <w:rFonts w:ascii="Arial" w:hAnsi="Arial" w:cs="Arial"/>
                <w:b/>
                <w:bCs/>
                <w:sz w:val="20"/>
                <w:szCs w:val="20"/>
              </w:rPr>
              <w:t>A10BD09</w:t>
            </w:r>
          </w:p>
        </w:tc>
        <w:tc>
          <w:tcPr>
            <w:tcW w:w="9497" w:type="dxa"/>
            <w:gridSpan w:val="2"/>
            <w:tcBorders>
              <w:bottom w:val="single" w:sz="4" w:space="0" w:color="auto"/>
            </w:tcBorders>
            <w:noWrap/>
          </w:tcPr>
          <w:p w14:paraId="49764047"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282788">
              <w:rPr>
                <w:b/>
                <w:bCs/>
                <w:lang w:val="sk-SK"/>
              </w:rPr>
              <w:t>Pioglitazón a alogliptín  p.o. 25 mg/30 mg</w:t>
            </w:r>
            <w:r w:rsidRPr="0000591E">
              <w:rPr>
                <w:b/>
                <w:bCs/>
                <w:lang w:val="sk-SK"/>
              </w:rPr>
              <w:t xml:space="preserve"> </w:t>
            </w:r>
          </w:p>
        </w:tc>
      </w:tr>
      <w:tr w:rsidR="00F67927" w:rsidRPr="0000591E" w14:paraId="618D920F" w14:textId="77777777" w:rsidTr="003F7925">
        <w:trPr>
          <w:gridAfter w:val="1"/>
          <w:wAfter w:w="109" w:type="dxa"/>
          <w:trHeight w:val="20"/>
        </w:trPr>
        <w:tc>
          <w:tcPr>
            <w:tcW w:w="1256" w:type="dxa"/>
            <w:tcBorders>
              <w:top w:val="single" w:sz="4" w:space="0" w:color="auto"/>
            </w:tcBorders>
            <w:noWrap/>
            <w:vAlign w:val="bottom"/>
          </w:tcPr>
          <w:p w14:paraId="296DCBDF" w14:textId="77777777" w:rsidR="00F67927" w:rsidRPr="0000591E" w:rsidRDefault="00F67927" w:rsidP="00F67927">
            <w:pPr>
              <w:rPr>
                <w:rFonts w:ascii="Arial" w:hAnsi="Arial" w:cs="Arial"/>
                <w:b/>
                <w:bCs/>
                <w:sz w:val="20"/>
                <w:szCs w:val="20"/>
              </w:rPr>
            </w:pPr>
          </w:p>
          <w:p w14:paraId="7432F3D0" w14:textId="77777777" w:rsidR="00F67927" w:rsidRPr="0000591E" w:rsidRDefault="00F67927" w:rsidP="00F67927">
            <w:pPr>
              <w:rPr>
                <w:rFonts w:ascii="Arial" w:hAnsi="Arial" w:cs="Arial"/>
                <w:b/>
                <w:bCs/>
                <w:sz w:val="20"/>
                <w:szCs w:val="20"/>
              </w:rPr>
            </w:pPr>
          </w:p>
          <w:p w14:paraId="61C06F8B" w14:textId="77777777" w:rsidR="00F67927" w:rsidRPr="0000591E" w:rsidRDefault="00F67927" w:rsidP="00F67927">
            <w:pPr>
              <w:rPr>
                <w:rFonts w:ascii="Arial" w:hAnsi="Arial" w:cs="Arial"/>
                <w:b/>
                <w:bCs/>
                <w:sz w:val="20"/>
                <w:szCs w:val="20"/>
              </w:rPr>
            </w:pPr>
          </w:p>
          <w:p w14:paraId="2E840070" w14:textId="77777777" w:rsidR="00F67927" w:rsidRPr="0000591E" w:rsidRDefault="00F67927" w:rsidP="00F67927">
            <w:pPr>
              <w:rPr>
                <w:rFonts w:ascii="Arial" w:hAnsi="Arial" w:cs="Arial"/>
                <w:b/>
                <w:bCs/>
                <w:sz w:val="20"/>
                <w:szCs w:val="20"/>
              </w:rPr>
            </w:pPr>
          </w:p>
          <w:p w14:paraId="19119378" w14:textId="77777777" w:rsidR="00F67927" w:rsidRPr="0000591E" w:rsidRDefault="00F67927" w:rsidP="00F67927">
            <w:pPr>
              <w:rPr>
                <w:rFonts w:ascii="Arial" w:hAnsi="Arial" w:cs="Arial"/>
                <w:b/>
                <w:bCs/>
                <w:sz w:val="20"/>
                <w:szCs w:val="20"/>
              </w:rPr>
            </w:pPr>
          </w:p>
          <w:p w14:paraId="525320B5" w14:textId="77777777" w:rsidR="00F67927" w:rsidRPr="0000591E" w:rsidRDefault="00F67927" w:rsidP="00F67927">
            <w:pPr>
              <w:rPr>
                <w:rFonts w:ascii="Arial" w:hAnsi="Arial" w:cs="Arial"/>
                <w:b/>
                <w:bCs/>
                <w:sz w:val="20"/>
                <w:szCs w:val="20"/>
              </w:rPr>
            </w:pPr>
          </w:p>
          <w:p w14:paraId="5A1AAFD8" w14:textId="77777777" w:rsidR="00F67927" w:rsidRPr="0000591E" w:rsidRDefault="00F67927" w:rsidP="00F67927">
            <w:pPr>
              <w:rPr>
                <w:rFonts w:ascii="Arial" w:hAnsi="Arial" w:cs="Arial"/>
                <w:b/>
                <w:bCs/>
                <w:sz w:val="20"/>
                <w:szCs w:val="20"/>
              </w:rPr>
            </w:pPr>
          </w:p>
          <w:p w14:paraId="4CD8E77B" w14:textId="77777777" w:rsidR="00F67927" w:rsidRDefault="00F67927" w:rsidP="00F67927">
            <w:pPr>
              <w:rPr>
                <w:rFonts w:ascii="Arial" w:hAnsi="Arial" w:cs="Arial"/>
                <w:b/>
                <w:bCs/>
                <w:sz w:val="20"/>
                <w:szCs w:val="20"/>
              </w:rPr>
            </w:pPr>
          </w:p>
          <w:p w14:paraId="383536BF" w14:textId="77777777" w:rsidR="00F67927" w:rsidRDefault="00F67927" w:rsidP="00F67927">
            <w:pPr>
              <w:rPr>
                <w:rFonts w:ascii="Arial" w:hAnsi="Arial" w:cs="Arial"/>
                <w:b/>
                <w:bCs/>
                <w:sz w:val="20"/>
                <w:szCs w:val="20"/>
              </w:rPr>
            </w:pPr>
          </w:p>
          <w:p w14:paraId="6C8207CA"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5371B862" w14:textId="77777777" w:rsidR="00F67927" w:rsidRPr="00282788" w:rsidRDefault="00F67927" w:rsidP="00F67927">
            <w:pPr>
              <w:rPr>
                <w:rFonts w:ascii="Arial" w:hAnsi="Arial" w:cs="Arial"/>
                <w:sz w:val="20"/>
                <w:szCs w:val="20"/>
              </w:rPr>
            </w:pPr>
            <w:r w:rsidRPr="00282788">
              <w:rPr>
                <w:rFonts w:ascii="Arial" w:hAnsi="Arial" w:cs="Arial"/>
                <w:sz w:val="20"/>
                <w:szCs w:val="20"/>
              </w:rPr>
              <w:t>Hradená liečba sa môže indikovať ako liečba druhej alebo tretej voľby u dospelých vo veku 18 a viac rokov pri liečbe diabetes mellitus 2. typu s HbA</w:t>
            </w:r>
            <w:r w:rsidRPr="00282788">
              <w:rPr>
                <w:rFonts w:ascii="Arial" w:hAnsi="Arial" w:cs="Arial"/>
                <w:sz w:val="20"/>
                <w:szCs w:val="20"/>
                <w:vertAlign w:val="subscript"/>
              </w:rPr>
              <w:t>1c</w:t>
            </w:r>
            <w:r w:rsidRPr="00282788">
              <w:rPr>
                <w:rFonts w:ascii="Arial" w:hAnsi="Arial" w:cs="Arial"/>
                <w:sz w:val="20"/>
                <w:szCs w:val="20"/>
              </w:rPr>
              <w:t xml:space="preserve"> nad 7 % podľa DCCT:</w:t>
            </w:r>
          </w:p>
          <w:p w14:paraId="4CBB65F0" w14:textId="77777777" w:rsidR="00F67927" w:rsidRPr="00282788" w:rsidRDefault="00F67927">
            <w:pPr>
              <w:pStyle w:val="Odsekzoznamu"/>
              <w:numPr>
                <w:ilvl w:val="0"/>
                <w:numId w:val="80"/>
              </w:numPr>
              <w:spacing w:after="0"/>
              <w:contextualSpacing w:val="0"/>
              <w:rPr>
                <w:rFonts w:ascii="Arial" w:hAnsi="Arial" w:cs="Arial"/>
                <w:sz w:val="20"/>
                <w:szCs w:val="20"/>
              </w:rPr>
            </w:pPr>
            <w:r w:rsidRPr="00282788">
              <w:rPr>
                <w:rFonts w:ascii="Arial" w:hAnsi="Arial" w:cs="Arial"/>
                <w:sz w:val="20"/>
                <w:szCs w:val="20"/>
              </w:rPr>
              <w:t>ako prídavný liek k diéte a cvičeniu na zlepšenie kontroly glykémie u dospelých pacientov (obzvlášť pacientov s nadváhou), u ktorých je samotný pioglitazón neadekvátnou kontrolou a metformín nevhodný z dôvodu kontraindikácií alebo intolerancie.</w:t>
            </w:r>
          </w:p>
          <w:p w14:paraId="4C4275F6" w14:textId="77777777" w:rsidR="00F67927" w:rsidRPr="00282788" w:rsidRDefault="00F67927">
            <w:pPr>
              <w:pStyle w:val="Odsekzoznamu"/>
              <w:numPr>
                <w:ilvl w:val="0"/>
                <w:numId w:val="80"/>
              </w:numPr>
              <w:spacing w:after="120"/>
              <w:ind w:left="714" w:hanging="357"/>
              <w:contextualSpacing w:val="0"/>
              <w:rPr>
                <w:rFonts w:ascii="Arial" w:hAnsi="Arial" w:cs="Arial"/>
                <w:sz w:val="20"/>
                <w:szCs w:val="20"/>
              </w:rPr>
            </w:pPr>
            <w:r w:rsidRPr="00282788">
              <w:rPr>
                <w:rFonts w:ascii="Arial" w:hAnsi="Arial" w:cs="Arial"/>
                <w:sz w:val="20"/>
                <w:szCs w:val="20"/>
              </w:rPr>
              <w:t xml:space="preserve">v kombinácii s metformínom (t. j. kombinovaná liečba tromi liekmi) ako prídavný liek k diéte a cvičeniu na zlepšenie glykemickej kontroly u dospelých pacientov (obzvlášť pacientov s nadváhou) s neadekvátnou kontrolou pri svojej maximálnej tolerovanej dávke metformínu a pioglitazónu.                    </w:t>
            </w:r>
          </w:p>
          <w:p w14:paraId="2CB44D0A" w14:textId="77777777" w:rsidR="00F67927" w:rsidRPr="00282788" w:rsidRDefault="00F67927" w:rsidP="00F67927">
            <w:pPr>
              <w:rPr>
                <w:rFonts w:ascii="Arial" w:hAnsi="Arial" w:cs="Arial"/>
                <w:sz w:val="20"/>
                <w:szCs w:val="20"/>
              </w:rPr>
            </w:pPr>
            <w:r w:rsidRPr="00282788">
              <w:rPr>
                <w:rFonts w:ascii="Arial" w:hAnsi="Arial" w:cs="Arial"/>
                <w:sz w:val="20"/>
                <w:szCs w:val="20"/>
              </w:rPr>
              <w:t>Použitie je indikované u obéznych pacientov bez prejavov srdcového zlyhania.</w:t>
            </w:r>
          </w:p>
          <w:p w14:paraId="1BFC36FA" w14:textId="77777777" w:rsidR="00F67927" w:rsidRPr="00282788" w:rsidRDefault="00F67927" w:rsidP="00F67927">
            <w:pPr>
              <w:rPr>
                <w:rFonts w:ascii="Arial" w:hAnsi="Arial" w:cs="Arial"/>
                <w:sz w:val="20"/>
                <w:szCs w:val="20"/>
              </w:rPr>
            </w:pPr>
            <w:r w:rsidRPr="00282788">
              <w:rPr>
                <w:rFonts w:ascii="Arial" w:hAnsi="Arial" w:cs="Arial"/>
                <w:sz w:val="20"/>
                <w:szCs w:val="20"/>
              </w:rPr>
              <w:t>Ak po šiestich mesiacoch liečby nedôjde k poklesu HbA</w:t>
            </w:r>
            <w:r w:rsidRPr="00282788">
              <w:rPr>
                <w:rFonts w:ascii="Arial" w:hAnsi="Arial" w:cs="Arial"/>
                <w:sz w:val="20"/>
                <w:szCs w:val="20"/>
                <w:vertAlign w:val="subscript"/>
              </w:rPr>
              <w:t>1c</w:t>
            </w:r>
            <w:r w:rsidRPr="00282788">
              <w:rPr>
                <w:rFonts w:ascii="Arial" w:hAnsi="Arial" w:cs="Arial"/>
                <w:sz w:val="20"/>
                <w:szCs w:val="20"/>
              </w:rPr>
              <w:t xml:space="preserve"> o 0,5 %,  ďalšia liečba nie je hradenou liečbou.</w:t>
            </w:r>
          </w:p>
          <w:p w14:paraId="35D5CD18" w14:textId="77777777" w:rsidR="00F67927" w:rsidRPr="00282788" w:rsidRDefault="00F67927" w:rsidP="00F67927">
            <w:pPr>
              <w:pStyle w:val="Zkladntext"/>
              <w:jc w:val="both"/>
              <w:rPr>
                <w:lang w:val="sk-SK"/>
              </w:rPr>
            </w:pPr>
            <w:r w:rsidRPr="00282788">
              <w:rPr>
                <w:lang w:val="sk-SK"/>
              </w:rPr>
              <w:t xml:space="preserve">Liečba nie je hradenou liečbou u pacientov, ktorí súčasne majú rakovinu močového mechúra alebo ktorí prekonali takéto ochorenie v minulosti. </w:t>
            </w:r>
          </w:p>
          <w:p w14:paraId="6629D501" w14:textId="77777777" w:rsidR="00F67927" w:rsidRPr="0000591E" w:rsidRDefault="00F67927" w:rsidP="00F67927">
            <w:pPr>
              <w:pStyle w:val="Zkladntext"/>
              <w:overflowPunct w:val="0"/>
              <w:autoSpaceDE w:val="0"/>
              <w:autoSpaceDN w:val="0"/>
              <w:adjustRightInd w:val="0"/>
              <w:textAlignment w:val="baseline"/>
              <w:rPr>
                <w:iCs/>
              </w:rPr>
            </w:pPr>
            <w:r w:rsidRPr="00282788">
              <w:rPr>
                <w:lang w:val="sk-SK"/>
              </w:rPr>
              <w:t>Podmienkou hradenej liečby je pravidelné vyhodnocovanie hematúrie.</w:t>
            </w:r>
          </w:p>
          <w:p w14:paraId="6DDD658C" w14:textId="77777777" w:rsidR="00F67927" w:rsidRPr="0000591E" w:rsidRDefault="00F67927" w:rsidP="00F67927">
            <w:pPr>
              <w:pStyle w:val="Zkladntext"/>
              <w:overflowPunct w:val="0"/>
              <w:autoSpaceDE w:val="0"/>
              <w:autoSpaceDN w:val="0"/>
              <w:adjustRightInd w:val="0"/>
              <w:ind w:left="720"/>
              <w:textAlignment w:val="baseline"/>
              <w:rPr>
                <w:iCs/>
              </w:rPr>
            </w:pPr>
          </w:p>
        </w:tc>
      </w:tr>
      <w:tr w:rsidR="00F67927" w:rsidRPr="0000591E" w14:paraId="53344AB8" w14:textId="77777777" w:rsidTr="003F7925">
        <w:trPr>
          <w:gridAfter w:val="1"/>
          <w:wAfter w:w="109" w:type="dxa"/>
          <w:trHeight w:val="20"/>
        </w:trPr>
        <w:tc>
          <w:tcPr>
            <w:tcW w:w="1256" w:type="dxa"/>
            <w:tcBorders>
              <w:bottom w:val="single" w:sz="4" w:space="0" w:color="auto"/>
            </w:tcBorders>
            <w:noWrap/>
            <w:vAlign w:val="bottom"/>
          </w:tcPr>
          <w:p w14:paraId="0F29405D"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t>A10BD11</w:t>
            </w:r>
          </w:p>
        </w:tc>
        <w:tc>
          <w:tcPr>
            <w:tcW w:w="9497" w:type="dxa"/>
            <w:gridSpan w:val="2"/>
            <w:tcBorders>
              <w:bottom w:val="single" w:sz="4" w:space="0" w:color="auto"/>
            </w:tcBorders>
            <w:noWrap/>
          </w:tcPr>
          <w:p w14:paraId="3C96ED60"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Metformín a linagliptín p.o. 2,5/850 mg</w:t>
            </w:r>
          </w:p>
          <w:p w14:paraId="051D618E"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Metformín a linagliptín p.o. 2,5/1000 mg</w:t>
            </w:r>
          </w:p>
        </w:tc>
      </w:tr>
      <w:tr w:rsidR="00F67927" w:rsidRPr="0000591E" w14:paraId="51545588" w14:textId="77777777" w:rsidTr="003F7925">
        <w:trPr>
          <w:gridAfter w:val="1"/>
          <w:wAfter w:w="109" w:type="dxa"/>
          <w:trHeight w:val="20"/>
        </w:trPr>
        <w:tc>
          <w:tcPr>
            <w:tcW w:w="1256" w:type="dxa"/>
            <w:tcBorders>
              <w:top w:val="single" w:sz="4" w:space="0" w:color="auto"/>
            </w:tcBorders>
            <w:noWrap/>
            <w:vAlign w:val="bottom"/>
          </w:tcPr>
          <w:p w14:paraId="18234F49" w14:textId="77777777" w:rsidR="00F67927" w:rsidRPr="0000591E" w:rsidRDefault="00F67927" w:rsidP="00F67927">
            <w:pPr>
              <w:rPr>
                <w:rFonts w:ascii="Arial" w:hAnsi="Arial" w:cs="Arial"/>
                <w:b/>
                <w:bCs/>
                <w:sz w:val="20"/>
                <w:szCs w:val="20"/>
              </w:rPr>
            </w:pPr>
          </w:p>
          <w:p w14:paraId="1DA56037" w14:textId="77777777" w:rsidR="00F67927" w:rsidRPr="0000591E" w:rsidRDefault="00F67927" w:rsidP="00F67927">
            <w:pPr>
              <w:rPr>
                <w:rFonts w:ascii="Arial" w:hAnsi="Arial" w:cs="Arial"/>
                <w:b/>
                <w:bCs/>
                <w:sz w:val="20"/>
                <w:szCs w:val="20"/>
              </w:rPr>
            </w:pPr>
          </w:p>
          <w:p w14:paraId="6C68D666" w14:textId="77777777" w:rsidR="00F67927" w:rsidRPr="0000591E" w:rsidRDefault="00F67927" w:rsidP="00F67927">
            <w:pPr>
              <w:rPr>
                <w:rFonts w:ascii="Arial" w:hAnsi="Arial" w:cs="Arial"/>
                <w:b/>
                <w:bCs/>
                <w:sz w:val="20"/>
                <w:szCs w:val="20"/>
              </w:rPr>
            </w:pPr>
          </w:p>
          <w:p w14:paraId="0CF5FEA5" w14:textId="77777777" w:rsidR="00F67927" w:rsidRPr="0000591E" w:rsidRDefault="00F67927" w:rsidP="00F67927">
            <w:pPr>
              <w:rPr>
                <w:rFonts w:ascii="Arial" w:hAnsi="Arial" w:cs="Arial"/>
                <w:b/>
                <w:bCs/>
                <w:sz w:val="20"/>
                <w:szCs w:val="20"/>
              </w:rPr>
            </w:pPr>
          </w:p>
          <w:p w14:paraId="5436AF85"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50F86844" w14:textId="77777777" w:rsidR="00F67927" w:rsidRPr="0000591E" w:rsidRDefault="00F67927" w:rsidP="00F67927">
            <w:pPr>
              <w:pStyle w:val="Zkladntext"/>
              <w:overflowPunct w:val="0"/>
              <w:autoSpaceDE w:val="0"/>
              <w:autoSpaceDN w:val="0"/>
              <w:adjustRightInd w:val="0"/>
              <w:jc w:val="both"/>
              <w:textAlignment w:val="baseline"/>
            </w:pPr>
            <w:r w:rsidRPr="0000591E">
              <w:t>Hradená liečba sa môže indikovať u dospelých pacientov s diabetes mellitus 2. typu s nedostatočnou glykemickou kontrolou HbA1c ≥ 7,0% podľa DCCT :</w:t>
            </w:r>
          </w:p>
          <w:p w14:paraId="64C4E892" w14:textId="77777777" w:rsidR="00F67927" w:rsidRPr="0000591E" w:rsidRDefault="00F67927">
            <w:pPr>
              <w:pStyle w:val="Zkladntext"/>
              <w:numPr>
                <w:ilvl w:val="0"/>
                <w:numId w:val="69"/>
              </w:numPr>
              <w:overflowPunct w:val="0"/>
              <w:autoSpaceDE w:val="0"/>
              <w:autoSpaceDN w:val="0"/>
              <w:adjustRightInd w:val="0"/>
              <w:jc w:val="both"/>
              <w:textAlignment w:val="baseline"/>
            </w:pPr>
            <w:r w:rsidRPr="0000591E">
              <w:t>po najmenej trojmesačnej liečbe maximálnymi tolerovanými dávkami samotného metformínu s BMI &gt; 28 kg/m</w:t>
            </w:r>
            <w:r w:rsidRPr="0000591E">
              <w:rPr>
                <w:vertAlign w:val="superscript"/>
              </w:rPr>
              <w:t>2</w:t>
            </w:r>
          </w:p>
          <w:p w14:paraId="711B0A25" w14:textId="77777777" w:rsidR="00F67927" w:rsidRPr="0000591E" w:rsidRDefault="00F67927">
            <w:pPr>
              <w:pStyle w:val="Zkladntext"/>
              <w:numPr>
                <w:ilvl w:val="0"/>
                <w:numId w:val="69"/>
              </w:numPr>
              <w:overflowPunct w:val="0"/>
              <w:autoSpaceDE w:val="0"/>
              <w:autoSpaceDN w:val="0"/>
              <w:adjustRightInd w:val="0"/>
              <w:jc w:val="both"/>
              <w:textAlignment w:val="baseline"/>
            </w:pPr>
            <w:r w:rsidRPr="0000591E">
              <w:t>v kombinácii so sulfonylmočovinou (t.j. trojkombinačná liečba) ako doplnok k diéte a cvičeniu u pacientov nedostatočne kontrolovaných maximálnou tolerovanou dávkou metformínu a sulfonylmočoviny s BMI &gt; 28 kg/m</w:t>
            </w:r>
            <w:r w:rsidRPr="0000591E">
              <w:rPr>
                <w:vertAlign w:val="superscript"/>
              </w:rPr>
              <w:t>2</w:t>
            </w:r>
          </w:p>
          <w:p w14:paraId="68B70C00" w14:textId="37C9C0D1" w:rsidR="00F67927" w:rsidRPr="0000591E" w:rsidRDefault="00F67927">
            <w:pPr>
              <w:pStyle w:val="Zkladntext"/>
              <w:numPr>
                <w:ilvl w:val="0"/>
                <w:numId w:val="69"/>
              </w:numPr>
              <w:overflowPunct w:val="0"/>
              <w:autoSpaceDE w:val="0"/>
              <w:autoSpaceDN w:val="0"/>
              <w:adjustRightInd w:val="0"/>
              <w:jc w:val="both"/>
              <w:textAlignment w:val="baseline"/>
            </w:pPr>
            <w:r w:rsidRPr="0000591E">
              <w:t>v kombinácii s inzulínom (t.j. trojkombinačná liečba) ako doplnok k diéte a cvičeniu na zlepšenie kontroly glykémie u pacientov, u ktorých stabilná dávka inzulínu a metformínu samotná nezabezpečí dostatočnú kontrolu glykémie.</w:t>
            </w:r>
          </w:p>
        </w:tc>
      </w:tr>
      <w:tr w:rsidR="00F67927" w:rsidRPr="0000591E" w14:paraId="29E1A163" w14:textId="77777777" w:rsidTr="003F7925">
        <w:trPr>
          <w:gridAfter w:val="1"/>
          <w:wAfter w:w="109" w:type="dxa"/>
          <w:trHeight w:val="20"/>
        </w:trPr>
        <w:tc>
          <w:tcPr>
            <w:tcW w:w="1256" w:type="dxa"/>
            <w:tcBorders>
              <w:bottom w:val="single" w:sz="4" w:space="0" w:color="auto"/>
            </w:tcBorders>
            <w:noWrap/>
            <w:vAlign w:val="bottom"/>
          </w:tcPr>
          <w:p w14:paraId="2B623413"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lastRenderedPageBreak/>
              <w:t>A10BD13</w:t>
            </w:r>
          </w:p>
        </w:tc>
        <w:tc>
          <w:tcPr>
            <w:tcW w:w="9497" w:type="dxa"/>
            <w:gridSpan w:val="2"/>
            <w:tcBorders>
              <w:bottom w:val="single" w:sz="4" w:space="0" w:color="auto"/>
            </w:tcBorders>
            <w:noWrap/>
          </w:tcPr>
          <w:p w14:paraId="7174856E" w14:textId="77777777" w:rsidR="00F67927"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Metformín a alogliptín p.o. 12,5 mg/850 mg</w:t>
            </w:r>
          </w:p>
          <w:p w14:paraId="1E2FC692"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Metfor</w:t>
            </w:r>
            <w:r>
              <w:rPr>
                <w:b/>
                <w:bCs/>
                <w:lang w:val="sk-SK"/>
              </w:rPr>
              <w:t>mín a alogliptín p.o. 12,5 mg/100</w:t>
            </w:r>
            <w:r w:rsidRPr="0000591E">
              <w:rPr>
                <w:b/>
                <w:bCs/>
                <w:lang w:val="sk-SK"/>
              </w:rPr>
              <w:t xml:space="preserve">0 mg </w:t>
            </w:r>
          </w:p>
        </w:tc>
      </w:tr>
      <w:tr w:rsidR="00F67927" w:rsidRPr="0000591E" w14:paraId="0D54ADB7" w14:textId="77777777" w:rsidTr="003F7925">
        <w:trPr>
          <w:gridAfter w:val="1"/>
          <w:wAfter w:w="109" w:type="dxa"/>
          <w:trHeight w:val="20"/>
        </w:trPr>
        <w:tc>
          <w:tcPr>
            <w:tcW w:w="1256" w:type="dxa"/>
            <w:tcBorders>
              <w:top w:val="single" w:sz="4" w:space="0" w:color="auto"/>
            </w:tcBorders>
            <w:noWrap/>
            <w:vAlign w:val="bottom"/>
          </w:tcPr>
          <w:p w14:paraId="4FF91E58" w14:textId="77777777" w:rsidR="00F67927" w:rsidRPr="0000591E" w:rsidRDefault="00F67927" w:rsidP="00F67927">
            <w:pPr>
              <w:rPr>
                <w:rFonts w:ascii="Arial" w:hAnsi="Arial" w:cs="Arial"/>
                <w:b/>
                <w:bCs/>
                <w:sz w:val="20"/>
                <w:szCs w:val="20"/>
              </w:rPr>
            </w:pPr>
          </w:p>
          <w:p w14:paraId="230DE578" w14:textId="77777777" w:rsidR="00F67927" w:rsidRPr="0000591E" w:rsidRDefault="00F67927" w:rsidP="00F67927">
            <w:pPr>
              <w:rPr>
                <w:rFonts w:ascii="Arial" w:hAnsi="Arial" w:cs="Arial"/>
                <w:b/>
                <w:bCs/>
                <w:sz w:val="20"/>
                <w:szCs w:val="20"/>
              </w:rPr>
            </w:pPr>
          </w:p>
          <w:p w14:paraId="6728FBB7" w14:textId="77777777" w:rsidR="00F67927" w:rsidRPr="0000591E" w:rsidRDefault="00F67927" w:rsidP="00F67927">
            <w:pPr>
              <w:rPr>
                <w:rFonts w:ascii="Arial" w:hAnsi="Arial" w:cs="Arial"/>
                <w:b/>
                <w:bCs/>
                <w:sz w:val="20"/>
                <w:szCs w:val="20"/>
              </w:rPr>
            </w:pPr>
          </w:p>
          <w:p w14:paraId="2A4D947E" w14:textId="77777777" w:rsidR="00F67927" w:rsidRPr="0000591E" w:rsidRDefault="00F67927" w:rsidP="00F67927">
            <w:pPr>
              <w:rPr>
                <w:rFonts w:ascii="Arial" w:hAnsi="Arial" w:cs="Arial"/>
                <w:b/>
                <w:bCs/>
                <w:sz w:val="20"/>
                <w:szCs w:val="20"/>
              </w:rPr>
            </w:pPr>
          </w:p>
          <w:p w14:paraId="7D4666A8"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10DD46C7" w14:textId="77777777" w:rsidR="00F67927" w:rsidRPr="0000591E" w:rsidRDefault="00F67927" w:rsidP="00F67927">
            <w:pPr>
              <w:pStyle w:val="Zkladntext"/>
              <w:overflowPunct w:val="0"/>
              <w:autoSpaceDE w:val="0"/>
              <w:autoSpaceDN w:val="0"/>
              <w:adjustRightInd w:val="0"/>
              <w:jc w:val="both"/>
              <w:textAlignment w:val="baseline"/>
            </w:pPr>
            <w:r w:rsidRPr="0000591E">
              <w:t>Hradená liečba sa môže indikovať u dospelých pacientov s diabetes mellitus 2. typu s nedostatočnou glykemickou kontrolou HbA1c ≥ 7,0% podľa DCCT :</w:t>
            </w:r>
          </w:p>
          <w:p w14:paraId="13F0EAA1" w14:textId="77777777" w:rsidR="00F67927" w:rsidRPr="0000591E" w:rsidRDefault="00F67927">
            <w:pPr>
              <w:pStyle w:val="Zkladntext"/>
              <w:numPr>
                <w:ilvl w:val="0"/>
                <w:numId w:val="73"/>
              </w:numPr>
              <w:overflowPunct w:val="0"/>
              <w:autoSpaceDE w:val="0"/>
              <w:autoSpaceDN w:val="0"/>
              <w:adjustRightInd w:val="0"/>
              <w:jc w:val="both"/>
              <w:textAlignment w:val="baseline"/>
            </w:pPr>
            <w:r w:rsidRPr="0000591E">
              <w:t>po najmenej trojmesačnej liečbe maximálnymi tolerovanými dávkami samotného metformínu s BMI &gt; 28 kg/m</w:t>
            </w:r>
            <w:r w:rsidRPr="0000591E">
              <w:rPr>
                <w:vertAlign w:val="superscript"/>
              </w:rPr>
              <w:t>2</w:t>
            </w:r>
            <w:r w:rsidRPr="0000591E">
              <w:t>,</w:t>
            </w:r>
          </w:p>
          <w:p w14:paraId="1C65EE05" w14:textId="77777777" w:rsidR="00F67927" w:rsidRDefault="00F67927">
            <w:pPr>
              <w:pStyle w:val="Zkladntext"/>
              <w:numPr>
                <w:ilvl w:val="0"/>
                <w:numId w:val="73"/>
              </w:numPr>
              <w:overflowPunct w:val="0"/>
              <w:autoSpaceDE w:val="0"/>
              <w:autoSpaceDN w:val="0"/>
              <w:adjustRightInd w:val="0"/>
              <w:jc w:val="both"/>
              <w:textAlignment w:val="baseline"/>
            </w:pPr>
            <w:r w:rsidRPr="0000591E">
              <w:t>v kombinácii s inzulínom (t.j. trojkombinačná liečba) ako doplnok k diéte a cvičeniu na zlepšenie kontroly glykémie u pacientov, u ktorých stabilná dávka inzulínu a metformínu samotná nezabezpečí dostatočnú kontrolu glykémie.</w:t>
            </w:r>
          </w:p>
          <w:p w14:paraId="0D68ECE4" w14:textId="77777777" w:rsidR="00F67927" w:rsidRPr="0000591E" w:rsidRDefault="00F67927" w:rsidP="00F67927">
            <w:pPr>
              <w:pStyle w:val="Zkladntext"/>
              <w:overflowPunct w:val="0"/>
              <w:autoSpaceDE w:val="0"/>
              <w:autoSpaceDN w:val="0"/>
              <w:adjustRightInd w:val="0"/>
              <w:jc w:val="both"/>
              <w:textAlignment w:val="baseline"/>
            </w:pPr>
          </w:p>
        </w:tc>
      </w:tr>
      <w:tr w:rsidR="00F67927" w:rsidRPr="0000591E" w14:paraId="5DE053A3" w14:textId="77777777" w:rsidTr="003F7925">
        <w:trPr>
          <w:gridAfter w:val="1"/>
          <w:wAfter w:w="109" w:type="dxa"/>
          <w:trHeight w:val="20"/>
        </w:trPr>
        <w:tc>
          <w:tcPr>
            <w:tcW w:w="1256" w:type="dxa"/>
            <w:tcBorders>
              <w:bottom w:val="single" w:sz="4" w:space="0" w:color="auto"/>
            </w:tcBorders>
            <w:noWrap/>
            <w:vAlign w:val="bottom"/>
          </w:tcPr>
          <w:p w14:paraId="0498F284" w14:textId="77777777" w:rsidR="00F67927" w:rsidRPr="0000591E" w:rsidRDefault="00F67927" w:rsidP="00F67927">
            <w:pPr>
              <w:rPr>
                <w:rFonts w:ascii="Arial" w:hAnsi="Arial" w:cs="Arial"/>
                <w:b/>
                <w:bCs/>
                <w:sz w:val="20"/>
                <w:szCs w:val="20"/>
              </w:rPr>
            </w:pPr>
            <w:r>
              <w:rPr>
                <w:rFonts w:ascii="Arial" w:hAnsi="Arial" w:cs="Arial"/>
                <w:b/>
                <w:bCs/>
                <w:sz w:val="20"/>
                <w:szCs w:val="20"/>
              </w:rPr>
              <w:t>A10BD15</w:t>
            </w:r>
          </w:p>
        </w:tc>
        <w:tc>
          <w:tcPr>
            <w:tcW w:w="9497" w:type="dxa"/>
            <w:gridSpan w:val="2"/>
            <w:tcBorders>
              <w:bottom w:val="single" w:sz="4" w:space="0" w:color="auto"/>
            </w:tcBorders>
            <w:noWrap/>
          </w:tcPr>
          <w:p w14:paraId="7A9C6BCB"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706313">
              <w:rPr>
                <w:b/>
                <w:bCs/>
                <w:lang w:val="sk-SK"/>
              </w:rPr>
              <w:t>Metformín a dapagliflozín p.o. 5 mg/1000 mg</w:t>
            </w:r>
            <w:r w:rsidRPr="0000591E">
              <w:rPr>
                <w:b/>
                <w:bCs/>
                <w:lang w:val="sk-SK"/>
              </w:rPr>
              <w:t xml:space="preserve"> </w:t>
            </w:r>
          </w:p>
        </w:tc>
      </w:tr>
      <w:tr w:rsidR="00F67927" w:rsidRPr="0000591E" w14:paraId="553D1ACA" w14:textId="77777777" w:rsidTr="003F7925">
        <w:trPr>
          <w:gridAfter w:val="1"/>
          <w:wAfter w:w="109" w:type="dxa"/>
          <w:trHeight w:val="20"/>
        </w:trPr>
        <w:tc>
          <w:tcPr>
            <w:tcW w:w="1256" w:type="dxa"/>
            <w:tcBorders>
              <w:top w:val="single" w:sz="4" w:space="0" w:color="auto"/>
            </w:tcBorders>
            <w:noWrap/>
            <w:vAlign w:val="bottom"/>
          </w:tcPr>
          <w:p w14:paraId="01F58F07" w14:textId="77777777" w:rsidR="00F67927" w:rsidRPr="0000591E" w:rsidRDefault="00F67927" w:rsidP="00F67927">
            <w:pPr>
              <w:rPr>
                <w:rFonts w:ascii="Arial" w:hAnsi="Arial" w:cs="Arial"/>
                <w:b/>
                <w:bCs/>
                <w:sz w:val="20"/>
                <w:szCs w:val="20"/>
              </w:rPr>
            </w:pPr>
          </w:p>
          <w:p w14:paraId="447CA7DB" w14:textId="77777777" w:rsidR="00F67927" w:rsidRPr="0000591E" w:rsidRDefault="00F67927" w:rsidP="00F67927">
            <w:pPr>
              <w:rPr>
                <w:rFonts w:ascii="Arial" w:hAnsi="Arial" w:cs="Arial"/>
                <w:b/>
                <w:bCs/>
                <w:sz w:val="20"/>
                <w:szCs w:val="20"/>
              </w:rPr>
            </w:pPr>
          </w:p>
          <w:p w14:paraId="7D404BC2" w14:textId="77777777" w:rsidR="00F67927" w:rsidRPr="0000591E" w:rsidRDefault="00F67927" w:rsidP="00F67927">
            <w:pPr>
              <w:rPr>
                <w:rFonts w:ascii="Arial" w:hAnsi="Arial" w:cs="Arial"/>
                <w:b/>
                <w:bCs/>
                <w:sz w:val="20"/>
                <w:szCs w:val="20"/>
              </w:rPr>
            </w:pPr>
          </w:p>
          <w:p w14:paraId="26A74218" w14:textId="77777777" w:rsidR="00F67927" w:rsidRPr="0000591E" w:rsidRDefault="00F67927" w:rsidP="00F67927">
            <w:pPr>
              <w:rPr>
                <w:rFonts w:ascii="Arial" w:hAnsi="Arial" w:cs="Arial"/>
                <w:b/>
                <w:bCs/>
                <w:sz w:val="20"/>
                <w:szCs w:val="20"/>
              </w:rPr>
            </w:pPr>
          </w:p>
          <w:p w14:paraId="799F6CDB"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741FFB1A" w14:textId="77777777" w:rsidR="00F67927" w:rsidRDefault="00F67927" w:rsidP="00F67927">
            <w:pPr>
              <w:pStyle w:val="Zkladntext"/>
              <w:overflowPunct w:val="0"/>
              <w:autoSpaceDE w:val="0"/>
              <w:autoSpaceDN w:val="0"/>
              <w:adjustRightInd w:val="0"/>
              <w:jc w:val="both"/>
              <w:textAlignment w:val="baseline"/>
            </w:pPr>
            <w:r>
              <w:t xml:space="preserve">Hradená liečba sa môže indikovať u dospelých pacientov s diabetes mellitus 2. typu s nedostatočnou glykemickou kompenzáciou (HbA1c ≥ 7 % podľa štandardu DCCT): </w:t>
            </w:r>
          </w:p>
          <w:p w14:paraId="09F103DE" w14:textId="77777777" w:rsidR="00F67927" w:rsidRDefault="00F67927" w:rsidP="00F67927">
            <w:pPr>
              <w:pStyle w:val="Zkladntext"/>
              <w:overflowPunct w:val="0"/>
              <w:autoSpaceDE w:val="0"/>
              <w:autoSpaceDN w:val="0"/>
              <w:adjustRightInd w:val="0"/>
              <w:jc w:val="both"/>
              <w:textAlignment w:val="baseline"/>
            </w:pPr>
          </w:p>
          <w:p w14:paraId="7E2E1304" w14:textId="77777777" w:rsidR="00F67927" w:rsidRDefault="00F67927" w:rsidP="00F67927">
            <w:pPr>
              <w:pStyle w:val="Zkladntext"/>
              <w:overflowPunct w:val="0"/>
              <w:autoSpaceDE w:val="0"/>
              <w:autoSpaceDN w:val="0"/>
              <w:adjustRightInd w:val="0"/>
              <w:jc w:val="both"/>
              <w:textAlignment w:val="baseline"/>
            </w:pPr>
            <w:r>
              <w:t xml:space="preserve">a) ako doplnok k diéte a cvičeniu u pacientov nedostatočne kontrolovaných maximálnou tolerovanou dávkou metformínu (dvojkombinačná liečba) </w:t>
            </w:r>
          </w:p>
          <w:p w14:paraId="489C8992" w14:textId="77777777" w:rsidR="00F67927" w:rsidRDefault="00F67927" w:rsidP="00F67927">
            <w:pPr>
              <w:pStyle w:val="Zkladntext"/>
              <w:overflowPunct w:val="0"/>
              <w:autoSpaceDE w:val="0"/>
              <w:autoSpaceDN w:val="0"/>
              <w:adjustRightInd w:val="0"/>
              <w:jc w:val="both"/>
              <w:textAlignment w:val="baseline"/>
            </w:pPr>
            <w:r>
              <w:t xml:space="preserve">b) v kombinácii so sulfonylureou ako doplnok k diéte a cvičeniu u pacientov nedostatočne kontrolovaných maximálnou tolerovanou dávkou metformínu a sulfonylmočoviny (trojkombinačná liečba), </w:t>
            </w:r>
          </w:p>
          <w:p w14:paraId="38568F77" w14:textId="77777777" w:rsidR="00F67927" w:rsidRDefault="00F67927" w:rsidP="00F67927">
            <w:pPr>
              <w:pStyle w:val="Zkladntext"/>
              <w:overflowPunct w:val="0"/>
              <w:autoSpaceDE w:val="0"/>
              <w:autoSpaceDN w:val="0"/>
              <w:adjustRightInd w:val="0"/>
              <w:jc w:val="both"/>
              <w:textAlignment w:val="baseline"/>
            </w:pPr>
            <w:r>
              <w:t>c) v kombinácii s inzulínom ako doplnok k diéte a cvičeniu na zlepšenie kontroly glykémie u pacientov, u ktorých samotná stabilná dávka inzulínu a metformínu nezabezpečí dostatočnú kontrolu glykémie (trojkombinačná liečba).</w:t>
            </w:r>
          </w:p>
          <w:p w14:paraId="6BCA9182" w14:textId="77777777" w:rsidR="00F67927" w:rsidRPr="0000591E" w:rsidRDefault="00F67927" w:rsidP="00F67927">
            <w:pPr>
              <w:pStyle w:val="Zkladntext"/>
              <w:overflowPunct w:val="0"/>
              <w:autoSpaceDE w:val="0"/>
              <w:autoSpaceDN w:val="0"/>
              <w:adjustRightInd w:val="0"/>
              <w:jc w:val="both"/>
              <w:textAlignment w:val="baseline"/>
            </w:pPr>
          </w:p>
        </w:tc>
      </w:tr>
      <w:tr w:rsidR="00590C3E" w:rsidRPr="0000591E" w14:paraId="3F4864F6" w14:textId="77777777" w:rsidTr="003F7925">
        <w:trPr>
          <w:gridAfter w:val="1"/>
          <w:wAfter w:w="109" w:type="dxa"/>
          <w:trHeight w:val="20"/>
        </w:trPr>
        <w:tc>
          <w:tcPr>
            <w:tcW w:w="1256" w:type="dxa"/>
            <w:tcBorders>
              <w:bottom w:val="single" w:sz="4" w:space="0" w:color="auto"/>
            </w:tcBorders>
            <w:noWrap/>
            <w:vAlign w:val="bottom"/>
          </w:tcPr>
          <w:p w14:paraId="1877E7EE" w14:textId="224D6505" w:rsidR="00590C3E" w:rsidRPr="0000591E" w:rsidRDefault="00590C3E" w:rsidP="00F67927">
            <w:pPr>
              <w:rPr>
                <w:rFonts w:ascii="Arial" w:hAnsi="Arial" w:cs="Arial"/>
                <w:b/>
                <w:bCs/>
                <w:sz w:val="20"/>
                <w:szCs w:val="20"/>
              </w:rPr>
            </w:pPr>
            <w:r w:rsidRPr="00590C3E">
              <w:rPr>
                <w:rFonts w:ascii="Arial" w:hAnsi="Arial" w:cs="Arial"/>
                <w:b/>
                <w:bCs/>
                <w:sz w:val="20"/>
                <w:szCs w:val="20"/>
              </w:rPr>
              <w:t>A10BD16</w:t>
            </w:r>
          </w:p>
        </w:tc>
        <w:tc>
          <w:tcPr>
            <w:tcW w:w="9497" w:type="dxa"/>
            <w:gridSpan w:val="2"/>
            <w:tcBorders>
              <w:bottom w:val="single" w:sz="4" w:space="0" w:color="auto"/>
            </w:tcBorders>
            <w:noWrap/>
          </w:tcPr>
          <w:p w14:paraId="61A0F9C9" w14:textId="77777777" w:rsidR="00591A22" w:rsidRPr="00591A22" w:rsidRDefault="00591A22" w:rsidP="00591A22">
            <w:pPr>
              <w:pStyle w:val="Zkladntext"/>
              <w:overflowPunct w:val="0"/>
              <w:autoSpaceDE w:val="0"/>
              <w:autoSpaceDN w:val="0"/>
              <w:adjustRightInd w:val="0"/>
              <w:jc w:val="both"/>
              <w:textAlignment w:val="baseline"/>
              <w:rPr>
                <w:b/>
              </w:rPr>
            </w:pPr>
            <w:r w:rsidRPr="00591A22">
              <w:rPr>
                <w:b/>
              </w:rPr>
              <w:t>Metformín a kanagliflozín p.o. 50 mg/1000 mg</w:t>
            </w:r>
          </w:p>
          <w:p w14:paraId="4B094FD4" w14:textId="779B7F77" w:rsidR="00590C3E" w:rsidRDefault="00591A22" w:rsidP="00591A22">
            <w:pPr>
              <w:pStyle w:val="Zkladntext"/>
              <w:overflowPunct w:val="0"/>
              <w:autoSpaceDE w:val="0"/>
              <w:autoSpaceDN w:val="0"/>
              <w:adjustRightInd w:val="0"/>
              <w:jc w:val="both"/>
              <w:textAlignment w:val="baseline"/>
            </w:pPr>
            <w:r w:rsidRPr="00591A22">
              <w:rPr>
                <w:b/>
              </w:rPr>
              <w:t>Metformín a kanagliflozín p.o. 150 mg/1000 mg</w:t>
            </w:r>
          </w:p>
        </w:tc>
      </w:tr>
      <w:tr w:rsidR="00590C3E" w:rsidRPr="0000591E" w14:paraId="0FF6AD6D" w14:textId="77777777" w:rsidTr="003F7925">
        <w:trPr>
          <w:gridAfter w:val="1"/>
          <w:wAfter w:w="109" w:type="dxa"/>
          <w:trHeight w:val="20"/>
        </w:trPr>
        <w:tc>
          <w:tcPr>
            <w:tcW w:w="1256" w:type="dxa"/>
            <w:tcBorders>
              <w:top w:val="single" w:sz="4" w:space="0" w:color="auto"/>
            </w:tcBorders>
            <w:noWrap/>
            <w:vAlign w:val="bottom"/>
          </w:tcPr>
          <w:p w14:paraId="1583ED75" w14:textId="77777777" w:rsidR="00590C3E" w:rsidRPr="0000591E" w:rsidRDefault="00590C3E" w:rsidP="00F67927">
            <w:pPr>
              <w:rPr>
                <w:rFonts w:ascii="Arial" w:hAnsi="Arial" w:cs="Arial"/>
                <w:b/>
                <w:bCs/>
                <w:sz w:val="20"/>
                <w:szCs w:val="20"/>
              </w:rPr>
            </w:pPr>
          </w:p>
        </w:tc>
        <w:tc>
          <w:tcPr>
            <w:tcW w:w="9497" w:type="dxa"/>
            <w:gridSpan w:val="2"/>
            <w:tcBorders>
              <w:top w:val="single" w:sz="4" w:space="0" w:color="auto"/>
            </w:tcBorders>
            <w:noWrap/>
          </w:tcPr>
          <w:p w14:paraId="02054B27" w14:textId="77777777" w:rsidR="00591A22" w:rsidRDefault="00591A22" w:rsidP="00591A22">
            <w:pPr>
              <w:pStyle w:val="Zkladntext"/>
              <w:overflowPunct w:val="0"/>
              <w:autoSpaceDE w:val="0"/>
              <w:autoSpaceDN w:val="0"/>
              <w:adjustRightInd w:val="0"/>
              <w:jc w:val="both"/>
              <w:textAlignment w:val="baseline"/>
            </w:pPr>
            <w:r>
              <w:t xml:space="preserve">Hradená liečba sa môže indikovať u dospelých pacientov s diabetes mellitus 2. typu s nedostatočnou glykemickou kompenzáciou (HbA1c ≥ 7 % podľa štandardu DCCT): </w:t>
            </w:r>
          </w:p>
          <w:p w14:paraId="2020BCEF" w14:textId="77777777" w:rsidR="00591A22" w:rsidRDefault="00591A22" w:rsidP="00591A22">
            <w:pPr>
              <w:pStyle w:val="Zkladntext"/>
              <w:overflowPunct w:val="0"/>
              <w:autoSpaceDE w:val="0"/>
              <w:autoSpaceDN w:val="0"/>
              <w:adjustRightInd w:val="0"/>
              <w:jc w:val="both"/>
              <w:textAlignment w:val="baseline"/>
            </w:pPr>
          </w:p>
          <w:p w14:paraId="22FCE549" w14:textId="77777777" w:rsidR="00591A22" w:rsidRDefault="00591A22" w:rsidP="00591A22">
            <w:pPr>
              <w:pStyle w:val="Zkladntext"/>
              <w:overflowPunct w:val="0"/>
              <w:autoSpaceDE w:val="0"/>
              <w:autoSpaceDN w:val="0"/>
              <w:adjustRightInd w:val="0"/>
              <w:jc w:val="both"/>
              <w:textAlignment w:val="baseline"/>
            </w:pPr>
            <w:r>
              <w:t xml:space="preserve">a) ako doplnok k diéte a cvičeniu u pacientov nedostatočne kontrolovaných maximálnou tolerovanou dávkou metformínu (dvojkombinačná liečba) </w:t>
            </w:r>
          </w:p>
          <w:p w14:paraId="5AF4DE6F" w14:textId="77777777" w:rsidR="00591A22" w:rsidRDefault="00591A22" w:rsidP="00591A22">
            <w:pPr>
              <w:pStyle w:val="Zkladntext"/>
              <w:overflowPunct w:val="0"/>
              <w:autoSpaceDE w:val="0"/>
              <w:autoSpaceDN w:val="0"/>
              <w:adjustRightInd w:val="0"/>
              <w:jc w:val="both"/>
              <w:textAlignment w:val="baseline"/>
            </w:pPr>
            <w:r>
              <w:t xml:space="preserve">b) v kombinácii so sulfonylureou ako doplnok k diéte a cvičeniu u pacientov nedostatočne kontrolovaných maximálnou tolerovanou dávkou metformínu a sulfonylmočoviny (trojkombinačná liečba), </w:t>
            </w:r>
          </w:p>
          <w:p w14:paraId="7F063C03" w14:textId="77777777" w:rsidR="00591A22" w:rsidRDefault="00591A22" w:rsidP="00591A22">
            <w:pPr>
              <w:pStyle w:val="Zkladntext"/>
              <w:overflowPunct w:val="0"/>
              <w:autoSpaceDE w:val="0"/>
              <w:autoSpaceDN w:val="0"/>
              <w:adjustRightInd w:val="0"/>
              <w:jc w:val="both"/>
              <w:textAlignment w:val="baseline"/>
            </w:pPr>
            <w:r>
              <w:t>c) v kombinácii s inzulínom ako doplnok k diéte a cvičeniu na zlepšenie kontroly glykémie u pacientov, u ktorých samotná stabilná dávka inzulínu a metformínu nezabezpečí dostatočnú kontrolu glykémie (trojkombinačná liečba).</w:t>
            </w:r>
          </w:p>
          <w:p w14:paraId="01395821" w14:textId="77777777" w:rsidR="00590C3E" w:rsidRDefault="00590C3E" w:rsidP="00F67927">
            <w:pPr>
              <w:pStyle w:val="Zkladntext"/>
              <w:overflowPunct w:val="0"/>
              <w:autoSpaceDE w:val="0"/>
              <w:autoSpaceDN w:val="0"/>
              <w:adjustRightInd w:val="0"/>
              <w:jc w:val="both"/>
              <w:textAlignment w:val="baseline"/>
            </w:pPr>
          </w:p>
        </w:tc>
      </w:tr>
      <w:tr w:rsidR="008645BA" w:rsidRPr="0000591E" w14:paraId="5E454AF9" w14:textId="77777777" w:rsidTr="003F7925">
        <w:trPr>
          <w:gridAfter w:val="1"/>
          <w:wAfter w:w="109" w:type="dxa"/>
          <w:trHeight w:val="20"/>
        </w:trPr>
        <w:tc>
          <w:tcPr>
            <w:tcW w:w="1256" w:type="dxa"/>
            <w:tcBorders>
              <w:bottom w:val="single" w:sz="4" w:space="0" w:color="auto"/>
            </w:tcBorders>
            <w:noWrap/>
            <w:vAlign w:val="bottom"/>
          </w:tcPr>
          <w:p w14:paraId="18BD353E" w14:textId="48A35717" w:rsidR="008645BA" w:rsidRPr="0000591E" w:rsidRDefault="008645BA" w:rsidP="00F67927">
            <w:pPr>
              <w:rPr>
                <w:rFonts w:ascii="Arial" w:hAnsi="Arial" w:cs="Arial"/>
                <w:b/>
                <w:bCs/>
                <w:sz w:val="20"/>
                <w:szCs w:val="20"/>
              </w:rPr>
            </w:pPr>
            <w:r w:rsidRPr="008645BA">
              <w:rPr>
                <w:rFonts w:ascii="Arial" w:hAnsi="Arial" w:cs="Arial"/>
                <w:b/>
                <w:bCs/>
                <w:sz w:val="20"/>
                <w:szCs w:val="20"/>
              </w:rPr>
              <w:t>A10BD20</w:t>
            </w:r>
          </w:p>
        </w:tc>
        <w:tc>
          <w:tcPr>
            <w:tcW w:w="9497" w:type="dxa"/>
            <w:gridSpan w:val="2"/>
            <w:tcBorders>
              <w:bottom w:val="single" w:sz="4" w:space="0" w:color="auto"/>
            </w:tcBorders>
            <w:noWrap/>
          </w:tcPr>
          <w:p w14:paraId="72C47840" w14:textId="77777777" w:rsidR="008645BA" w:rsidRPr="008645BA" w:rsidRDefault="008645BA" w:rsidP="008645BA">
            <w:pPr>
              <w:pStyle w:val="Zkladntext"/>
              <w:overflowPunct w:val="0"/>
              <w:autoSpaceDE w:val="0"/>
              <w:autoSpaceDN w:val="0"/>
              <w:adjustRightInd w:val="0"/>
              <w:jc w:val="both"/>
              <w:textAlignment w:val="baseline"/>
              <w:rPr>
                <w:b/>
              </w:rPr>
            </w:pPr>
            <w:r w:rsidRPr="008645BA">
              <w:rPr>
                <w:b/>
              </w:rPr>
              <w:t>Metformín a empagliflozín p.o. 5 mg/850 mg</w:t>
            </w:r>
          </w:p>
          <w:p w14:paraId="764611B4" w14:textId="77777777" w:rsidR="008645BA" w:rsidRPr="008645BA" w:rsidRDefault="008645BA" w:rsidP="008645BA">
            <w:pPr>
              <w:pStyle w:val="Zkladntext"/>
              <w:overflowPunct w:val="0"/>
              <w:autoSpaceDE w:val="0"/>
              <w:autoSpaceDN w:val="0"/>
              <w:adjustRightInd w:val="0"/>
              <w:jc w:val="both"/>
              <w:textAlignment w:val="baseline"/>
              <w:rPr>
                <w:b/>
              </w:rPr>
            </w:pPr>
            <w:r w:rsidRPr="008645BA">
              <w:rPr>
                <w:b/>
              </w:rPr>
              <w:t>Metformín a empagliflozín p.o. 5 mg/1000 mg</w:t>
            </w:r>
          </w:p>
          <w:p w14:paraId="2DB0449F" w14:textId="792225B1" w:rsidR="008645BA" w:rsidRDefault="008645BA" w:rsidP="008645BA">
            <w:pPr>
              <w:pStyle w:val="Zkladntext"/>
              <w:overflowPunct w:val="0"/>
              <w:autoSpaceDE w:val="0"/>
              <w:autoSpaceDN w:val="0"/>
              <w:adjustRightInd w:val="0"/>
              <w:jc w:val="both"/>
              <w:textAlignment w:val="baseline"/>
            </w:pPr>
            <w:r w:rsidRPr="008645BA">
              <w:rPr>
                <w:b/>
              </w:rPr>
              <w:t>Metformín a empagliflozín p.o. 12,5 mg/1000 mg</w:t>
            </w:r>
          </w:p>
        </w:tc>
      </w:tr>
      <w:tr w:rsidR="008645BA" w:rsidRPr="0000591E" w14:paraId="10EAC226" w14:textId="77777777" w:rsidTr="003F7925">
        <w:trPr>
          <w:gridAfter w:val="1"/>
          <w:wAfter w:w="109" w:type="dxa"/>
          <w:trHeight w:val="20"/>
        </w:trPr>
        <w:tc>
          <w:tcPr>
            <w:tcW w:w="1256" w:type="dxa"/>
            <w:tcBorders>
              <w:top w:val="single" w:sz="4" w:space="0" w:color="auto"/>
            </w:tcBorders>
            <w:noWrap/>
            <w:vAlign w:val="bottom"/>
          </w:tcPr>
          <w:p w14:paraId="19F11658" w14:textId="77777777" w:rsidR="008645BA" w:rsidRPr="0000591E" w:rsidRDefault="008645BA" w:rsidP="00F67927">
            <w:pPr>
              <w:rPr>
                <w:rFonts w:ascii="Arial" w:hAnsi="Arial" w:cs="Arial"/>
                <w:b/>
                <w:bCs/>
                <w:sz w:val="20"/>
                <w:szCs w:val="20"/>
              </w:rPr>
            </w:pPr>
          </w:p>
        </w:tc>
        <w:tc>
          <w:tcPr>
            <w:tcW w:w="9497" w:type="dxa"/>
            <w:gridSpan w:val="2"/>
            <w:tcBorders>
              <w:top w:val="single" w:sz="4" w:space="0" w:color="auto"/>
            </w:tcBorders>
            <w:noWrap/>
          </w:tcPr>
          <w:p w14:paraId="5E067FA3" w14:textId="77777777" w:rsidR="008645BA" w:rsidRDefault="008645BA" w:rsidP="008645BA">
            <w:pPr>
              <w:pStyle w:val="Zkladntext"/>
              <w:overflowPunct w:val="0"/>
              <w:autoSpaceDE w:val="0"/>
              <w:autoSpaceDN w:val="0"/>
              <w:adjustRightInd w:val="0"/>
              <w:jc w:val="both"/>
              <w:textAlignment w:val="baseline"/>
            </w:pPr>
            <w:r>
              <w:t xml:space="preserve">Hradená liečba sa môže indikovať u dospelých pacientov s diabetes mellitus 2. typu s nedostatočnou glykemickou kompenzáciou (HbA1c ≥ 7 % podľa štandardu DCCT): </w:t>
            </w:r>
          </w:p>
          <w:p w14:paraId="3A5B84A7" w14:textId="77777777" w:rsidR="008645BA" w:rsidRDefault="008645BA" w:rsidP="008645BA">
            <w:pPr>
              <w:pStyle w:val="Zkladntext"/>
              <w:overflowPunct w:val="0"/>
              <w:autoSpaceDE w:val="0"/>
              <w:autoSpaceDN w:val="0"/>
              <w:adjustRightInd w:val="0"/>
              <w:jc w:val="both"/>
              <w:textAlignment w:val="baseline"/>
            </w:pPr>
            <w:r>
              <w:t>a) ako doplnok k diéte a cvičeniu u pacientov nedostatočne kontrolovaných maximálnou tolerovanou dávkou metformínu (dvojkombinačná liečba)</w:t>
            </w:r>
          </w:p>
          <w:p w14:paraId="63FCDED8" w14:textId="77777777" w:rsidR="008645BA" w:rsidRDefault="008645BA" w:rsidP="008645BA">
            <w:pPr>
              <w:pStyle w:val="Zkladntext"/>
              <w:overflowPunct w:val="0"/>
              <w:autoSpaceDE w:val="0"/>
              <w:autoSpaceDN w:val="0"/>
              <w:adjustRightInd w:val="0"/>
              <w:jc w:val="both"/>
              <w:textAlignment w:val="baseline"/>
            </w:pPr>
            <w:r>
              <w:t>b) v kombinácii so sulfonylureou ako doplnok k diéte a cvičeniu u pacientov nedostatočne kontrolovaných maximálnou tolerovanou dávkou metformínu a sulfonylmočoviny (trojkombinačná liečba),</w:t>
            </w:r>
          </w:p>
          <w:p w14:paraId="362632C1" w14:textId="77777777" w:rsidR="008645BA" w:rsidRDefault="008645BA" w:rsidP="008645BA">
            <w:pPr>
              <w:pStyle w:val="Zkladntext"/>
              <w:overflowPunct w:val="0"/>
              <w:autoSpaceDE w:val="0"/>
              <w:autoSpaceDN w:val="0"/>
              <w:adjustRightInd w:val="0"/>
              <w:jc w:val="both"/>
              <w:textAlignment w:val="baseline"/>
            </w:pPr>
            <w:r>
              <w:t xml:space="preserve"> c) v kombinácii s inzulínom ako doplnok k diéte a cvičeniu na zlepšenie kontroly glykémie u pacientov, u ktorých samotná stabilná dávka inzulínu a metformínu nezabezpečí dostatočnú kontrolu glykémie (trojkombinačná liečba).</w:t>
            </w:r>
          </w:p>
          <w:p w14:paraId="50F2E291" w14:textId="2D732A30" w:rsidR="008645BA" w:rsidRDefault="008645BA" w:rsidP="008645BA">
            <w:pPr>
              <w:pStyle w:val="Zkladntext"/>
              <w:overflowPunct w:val="0"/>
              <w:autoSpaceDE w:val="0"/>
              <w:autoSpaceDN w:val="0"/>
              <w:adjustRightInd w:val="0"/>
              <w:jc w:val="both"/>
              <w:textAlignment w:val="baseline"/>
            </w:pPr>
          </w:p>
        </w:tc>
      </w:tr>
      <w:tr w:rsidR="008645BA" w:rsidRPr="0000591E" w14:paraId="11EB669C" w14:textId="77777777" w:rsidTr="003F7925">
        <w:trPr>
          <w:gridAfter w:val="1"/>
          <w:wAfter w:w="109" w:type="dxa"/>
          <w:trHeight w:val="20"/>
        </w:trPr>
        <w:tc>
          <w:tcPr>
            <w:tcW w:w="1256" w:type="dxa"/>
            <w:tcBorders>
              <w:bottom w:val="single" w:sz="4" w:space="0" w:color="auto"/>
            </w:tcBorders>
            <w:noWrap/>
            <w:vAlign w:val="bottom"/>
          </w:tcPr>
          <w:p w14:paraId="2A2D4AB1" w14:textId="31783836" w:rsidR="008645BA" w:rsidRPr="0000591E" w:rsidRDefault="008645BA" w:rsidP="008645BA">
            <w:pPr>
              <w:rPr>
                <w:rFonts w:ascii="Arial" w:hAnsi="Arial" w:cs="Arial"/>
                <w:b/>
                <w:bCs/>
                <w:sz w:val="20"/>
                <w:szCs w:val="20"/>
              </w:rPr>
            </w:pPr>
            <w:r w:rsidRPr="008645BA">
              <w:rPr>
                <w:rFonts w:ascii="Arial" w:hAnsi="Arial" w:cs="Arial"/>
                <w:b/>
                <w:bCs/>
                <w:sz w:val="20"/>
                <w:szCs w:val="20"/>
              </w:rPr>
              <w:t>A10BG03</w:t>
            </w:r>
          </w:p>
        </w:tc>
        <w:tc>
          <w:tcPr>
            <w:tcW w:w="9497" w:type="dxa"/>
            <w:gridSpan w:val="2"/>
            <w:tcBorders>
              <w:bottom w:val="single" w:sz="4" w:space="0" w:color="auto"/>
            </w:tcBorders>
            <w:noWrap/>
          </w:tcPr>
          <w:p w14:paraId="4F5EC170"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Pioglitazón p.o. 30 mg,</w:t>
            </w:r>
          </w:p>
          <w:p w14:paraId="2697357B" w14:textId="012FBAF6" w:rsidR="008645BA" w:rsidRDefault="008645BA" w:rsidP="008645BA">
            <w:pPr>
              <w:pStyle w:val="Zkladntext"/>
              <w:overflowPunct w:val="0"/>
              <w:autoSpaceDE w:val="0"/>
              <w:autoSpaceDN w:val="0"/>
              <w:adjustRightInd w:val="0"/>
              <w:jc w:val="both"/>
              <w:textAlignment w:val="baseline"/>
            </w:pPr>
            <w:r w:rsidRPr="0000591E">
              <w:rPr>
                <w:b/>
                <w:bCs/>
              </w:rPr>
              <w:t>Pioglitazón p.o. 45 mg</w:t>
            </w:r>
          </w:p>
        </w:tc>
      </w:tr>
      <w:tr w:rsidR="008645BA" w:rsidRPr="0000591E" w14:paraId="6243377E" w14:textId="77777777" w:rsidTr="003F7925">
        <w:trPr>
          <w:gridAfter w:val="1"/>
          <w:wAfter w:w="109" w:type="dxa"/>
          <w:trHeight w:val="20"/>
        </w:trPr>
        <w:tc>
          <w:tcPr>
            <w:tcW w:w="1256" w:type="dxa"/>
            <w:tcBorders>
              <w:top w:val="single" w:sz="4" w:space="0" w:color="auto"/>
            </w:tcBorders>
            <w:noWrap/>
            <w:vAlign w:val="bottom"/>
          </w:tcPr>
          <w:p w14:paraId="46782512" w14:textId="77777777" w:rsidR="008645BA" w:rsidRPr="0000591E" w:rsidRDefault="008645BA" w:rsidP="008645BA">
            <w:pPr>
              <w:rPr>
                <w:rFonts w:ascii="Arial" w:hAnsi="Arial" w:cs="Arial"/>
                <w:b/>
                <w:bCs/>
                <w:sz w:val="20"/>
                <w:szCs w:val="20"/>
              </w:rPr>
            </w:pPr>
          </w:p>
        </w:tc>
        <w:tc>
          <w:tcPr>
            <w:tcW w:w="9497" w:type="dxa"/>
            <w:gridSpan w:val="2"/>
            <w:tcBorders>
              <w:top w:val="single" w:sz="4" w:space="0" w:color="auto"/>
            </w:tcBorders>
            <w:noWrap/>
          </w:tcPr>
          <w:p w14:paraId="00650C3F" w14:textId="77777777" w:rsidR="008645BA" w:rsidRDefault="008645BA" w:rsidP="008645BA">
            <w:pPr>
              <w:pStyle w:val="Zkladntext"/>
              <w:overflowPunct w:val="0"/>
              <w:autoSpaceDE w:val="0"/>
              <w:autoSpaceDN w:val="0"/>
              <w:adjustRightInd w:val="0"/>
              <w:jc w:val="both"/>
              <w:textAlignment w:val="baseline"/>
            </w:pPr>
            <w:r>
              <w:t>Hradená liečba sa môže indikovať pri liečbe diabetes mellitus 2. typu u motivovaného diabetika s HbA1c nad 7 % v</w:t>
            </w:r>
          </w:p>
          <w:p w14:paraId="3F93860F" w14:textId="77777777" w:rsidR="008645BA" w:rsidRDefault="008645BA" w:rsidP="008645BA">
            <w:pPr>
              <w:pStyle w:val="Zkladntext"/>
              <w:overflowPunct w:val="0"/>
              <w:autoSpaceDE w:val="0"/>
              <w:autoSpaceDN w:val="0"/>
              <w:adjustRightInd w:val="0"/>
              <w:jc w:val="both"/>
              <w:textAlignment w:val="baseline"/>
            </w:pPr>
            <w:r>
              <w:t>a)</w:t>
            </w:r>
            <w:r>
              <w:tab/>
              <w:t>monoterapii, ak liečba metformínom nie je tolerovaná alebo je kontraindikovaná,</w:t>
            </w:r>
          </w:p>
          <w:p w14:paraId="198AB7A2" w14:textId="77777777" w:rsidR="008645BA" w:rsidRDefault="008645BA" w:rsidP="008645BA">
            <w:pPr>
              <w:pStyle w:val="Zkladntext"/>
              <w:overflowPunct w:val="0"/>
              <w:autoSpaceDE w:val="0"/>
              <w:autoSpaceDN w:val="0"/>
              <w:adjustRightInd w:val="0"/>
              <w:jc w:val="both"/>
              <w:textAlignment w:val="baseline"/>
            </w:pPr>
            <w:r>
              <w:t>b)</w:t>
            </w:r>
            <w:r>
              <w:tab/>
              <w:t>kombinovanej terapii s metformínom po najmenej šesťmesačnej liečbe maximálnymi tolerovanými dávkami ak neviedla pri predchádzajúcej monoterapii k metabolickej kompenzácii,</w:t>
            </w:r>
          </w:p>
          <w:p w14:paraId="79B37CF7" w14:textId="77777777" w:rsidR="008645BA" w:rsidRDefault="008645BA" w:rsidP="008645BA">
            <w:pPr>
              <w:pStyle w:val="Zkladntext"/>
              <w:overflowPunct w:val="0"/>
              <w:autoSpaceDE w:val="0"/>
              <w:autoSpaceDN w:val="0"/>
              <w:adjustRightInd w:val="0"/>
              <w:jc w:val="both"/>
              <w:textAlignment w:val="baseline"/>
            </w:pPr>
            <w:r>
              <w:t>c)</w:t>
            </w:r>
            <w:r>
              <w:tab/>
              <w:t>kombinovanej terapii s derivátom sulfonylurey u pacientov, u ktorých liečba metformínom nie je tolerovaná alebo je kontraindikovaná, ak predchádzajúca monoterapia s derivátom sulfonylurey neviedla k metabolickej kompenzácii,</w:t>
            </w:r>
          </w:p>
          <w:p w14:paraId="75CE1BFE" w14:textId="77777777" w:rsidR="008645BA" w:rsidRDefault="008645BA" w:rsidP="008645BA">
            <w:pPr>
              <w:pStyle w:val="Zkladntext"/>
              <w:overflowPunct w:val="0"/>
              <w:autoSpaceDE w:val="0"/>
              <w:autoSpaceDN w:val="0"/>
              <w:adjustRightInd w:val="0"/>
              <w:jc w:val="both"/>
              <w:textAlignment w:val="baseline"/>
            </w:pPr>
            <w:r>
              <w:t>d)</w:t>
            </w:r>
            <w:r>
              <w:tab/>
              <w:t>trojkombinácii s metformínom a derivátom sulfonylurey, ak doterajšia kombinovaná liečba neviedla k metabolickej kompenzácii,</w:t>
            </w:r>
          </w:p>
          <w:p w14:paraId="7F14E0AC" w14:textId="77777777" w:rsidR="008645BA" w:rsidRDefault="008645BA" w:rsidP="008645BA">
            <w:pPr>
              <w:pStyle w:val="Zkladntext"/>
              <w:overflowPunct w:val="0"/>
              <w:autoSpaceDE w:val="0"/>
              <w:autoSpaceDN w:val="0"/>
              <w:adjustRightInd w:val="0"/>
              <w:jc w:val="both"/>
              <w:textAlignment w:val="baseline"/>
            </w:pPr>
            <w:r>
              <w:lastRenderedPageBreak/>
              <w:t>e)</w:t>
            </w:r>
            <w:r>
              <w:tab/>
              <w:t>kombinácii s inzulínom u pacientov, pre ktorých je metformín z dôvodu kontraindikácie alebo intolerancie nevhodný.</w:t>
            </w:r>
          </w:p>
          <w:p w14:paraId="5EFC1AFF" w14:textId="77777777" w:rsidR="008645BA" w:rsidRDefault="008645BA" w:rsidP="008645BA">
            <w:pPr>
              <w:pStyle w:val="Zkladntext"/>
              <w:overflowPunct w:val="0"/>
              <w:autoSpaceDE w:val="0"/>
              <w:autoSpaceDN w:val="0"/>
              <w:adjustRightInd w:val="0"/>
              <w:jc w:val="both"/>
              <w:textAlignment w:val="baseline"/>
            </w:pPr>
            <w:r>
              <w:t>Použitie je indikované u obéznych pacientov bez prejavov srdcového zlyhania.</w:t>
            </w:r>
          </w:p>
          <w:p w14:paraId="08A493DD" w14:textId="77777777" w:rsidR="008645BA" w:rsidRDefault="008645BA" w:rsidP="008645BA">
            <w:pPr>
              <w:pStyle w:val="Zkladntext"/>
              <w:overflowPunct w:val="0"/>
              <w:autoSpaceDE w:val="0"/>
              <w:autoSpaceDN w:val="0"/>
              <w:adjustRightInd w:val="0"/>
              <w:jc w:val="both"/>
              <w:textAlignment w:val="baseline"/>
            </w:pPr>
            <w:r>
              <w:t>Ak po šiestich mesiacoch liečby nedôjde k poklesu HbA1c o 0,5 %, ďalšia liečba nie je hradenou liečbou.</w:t>
            </w:r>
          </w:p>
          <w:p w14:paraId="2CC935FD" w14:textId="77777777" w:rsidR="008645BA" w:rsidRDefault="008645BA" w:rsidP="008645BA">
            <w:pPr>
              <w:pStyle w:val="Zkladntext"/>
              <w:overflowPunct w:val="0"/>
              <w:autoSpaceDE w:val="0"/>
              <w:autoSpaceDN w:val="0"/>
              <w:adjustRightInd w:val="0"/>
              <w:jc w:val="both"/>
              <w:textAlignment w:val="baseline"/>
            </w:pPr>
            <w:r>
              <w:t>Liečba nie je hradenou liečbou u pacientov, ktorí súčasne majú rakovinu močového mechúra alebo ktorí prekonali takéto ochorenie v minulosti.</w:t>
            </w:r>
          </w:p>
          <w:p w14:paraId="3E29074C" w14:textId="77777777" w:rsidR="008645BA" w:rsidRDefault="008645BA" w:rsidP="008645BA">
            <w:pPr>
              <w:pStyle w:val="Zkladntext"/>
              <w:overflowPunct w:val="0"/>
              <w:autoSpaceDE w:val="0"/>
              <w:autoSpaceDN w:val="0"/>
              <w:adjustRightInd w:val="0"/>
              <w:jc w:val="both"/>
              <w:textAlignment w:val="baseline"/>
            </w:pPr>
            <w:r>
              <w:t>Podmienkou hradenej liečby je pravidelné vyhodnocovanie hematúrie.</w:t>
            </w:r>
          </w:p>
          <w:p w14:paraId="0A330493" w14:textId="77777777" w:rsidR="008645BA" w:rsidRDefault="008645BA" w:rsidP="008645BA">
            <w:pPr>
              <w:pStyle w:val="Zkladntext"/>
              <w:overflowPunct w:val="0"/>
              <w:autoSpaceDE w:val="0"/>
              <w:autoSpaceDN w:val="0"/>
              <w:adjustRightInd w:val="0"/>
              <w:jc w:val="both"/>
              <w:textAlignment w:val="baseline"/>
            </w:pPr>
          </w:p>
        </w:tc>
      </w:tr>
      <w:tr w:rsidR="008645BA" w:rsidRPr="0000591E" w14:paraId="246B52D1" w14:textId="77777777" w:rsidTr="003F7925">
        <w:trPr>
          <w:gridAfter w:val="1"/>
          <w:wAfter w:w="109" w:type="dxa"/>
          <w:trHeight w:val="20"/>
        </w:trPr>
        <w:tc>
          <w:tcPr>
            <w:tcW w:w="1256" w:type="dxa"/>
            <w:tcBorders>
              <w:bottom w:val="single" w:sz="4" w:space="0" w:color="auto"/>
            </w:tcBorders>
            <w:noWrap/>
            <w:vAlign w:val="bottom"/>
          </w:tcPr>
          <w:p w14:paraId="148D501E" w14:textId="5EDBB0E6" w:rsidR="008645BA" w:rsidRPr="006472C6" w:rsidRDefault="008645BA" w:rsidP="008645BA">
            <w:pPr>
              <w:pStyle w:val="Nadpis3"/>
              <w:rPr>
                <w:rFonts w:cs="Times New Roman"/>
                <w:lang w:val="sk-SK" w:eastAsia="sk-SK"/>
              </w:rPr>
            </w:pPr>
            <w:r w:rsidRPr="006472C6">
              <w:rPr>
                <w:bCs w:val="0"/>
              </w:rPr>
              <w:lastRenderedPageBreak/>
              <w:t>A10BH01</w:t>
            </w:r>
          </w:p>
        </w:tc>
        <w:tc>
          <w:tcPr>
            <w:tcW w:w="9497" w:type="dxa"/>
            <w:gridSpan w:val="2"/>
            <w:tcBorders>
              <w:bottom w:val="single" w:sz="4" w:space="0" w:color="auto"/>
            </w:tcBorders>
          </w:tcPr>
          <w:p w14:paraId="0C473FE8" w14:textId="2D1E413F" w:rsidR="008645BA" w:rsidRPr="006472C6" w:rsidRDefault="008645BA" w:rsidP="008645BA">
            <w:pPr>
              <w:jc w:val="both"/>
              <w:rPr>
                <w:rFonts w:ascii="Arial" w:hAnsi="Arial" w:cs="Arial"/>
                <w:bCs/>
                <w:sz w:val="20"/>
                <w:szCs w:val="20"/>
              </w:rPr>
            </w:pPr>
            <w:r w:rsidRPr="0000591E">
              <w:rPr>
                <w:rFonts w:ascii="Arial" w:hAnsi="Arial" w:cs="Arial"/>
                <w:b/>
                <w:bCs/>
                <w:sz w:val="20"/>
                <w:szCs w:val="20"/>
              </w:rPr>
              <w:t>Sitagliptín p.o. 50 mg</w:t>
            </w:r>
          </w:p>
        </w:tc>
      </w:tr>
      <w:tr w:rsidR="008645BA" w:rsidRPr="0000591E" w14:paraId="5CB0E878" w14:textId="77777777" w:rsidTr="003F7925">
        <w:trPr>
          <w:gridAfter w:val="1"/>
          <w:wAfter w:w="109" w:type="dxa"/>
          <w:trHeight w:val="20"/>
        </w:trPr>
        <w:tc>
          <w:tcPr>
            <w:tcW w:w="1256" w:type="dxa"/>
            <w:tcBorders>
              <w:top w:val="single" w:sz="4" w:space="0" w:color="auto"/>
            </w:tcBorders>
            <w:noWrap/>
            <w:vAlign w:val="bottom"/>
          </w:tcPr>
          <w:p w14:paraId="22DC1E39" w14:textId="77777777" w:rsidR="008645BA" w:rsidRPr="0000591E" w:rsidRDefault="008645BA" w:rsidP="008645BA">
            <w:pPr>
              <w:pStyle w:val="Nadpis3"/>
              <w:rPr>
                <w:rFonts w:cs="Times New Roman"/>
                <w:lang w:val="sk-SK" w:eastAsia="sk-SK"/>
              </w:rPr>
            </w:pPr>
          </w:p>
        </w:tc>
        <w:tc>
          <w:tcPr>
            <w:tcW w:w="9497" w:type="dxa"/>
            <w:gridSpan w:val="2"/>
            <w:tcBorders>
              <w:top w:val="single" w:sz="4" w:space="0" w:color="auto"/>
            </w:tcBorders>
          </w:tcPr>
          <w:p w14:paraId="4D365D8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diabetes mellitus 2. typu a s nedostatočnou glykemickou kontrolou (HbA1c v intervale 7-11% podľa štandardu DCCT), ktorí majú súčasne potvrdené stredne ťažké poškodenie funkcie obličiek (CrCl ≥ 30 až &lt; 50 ml/min), a to:</w:t>
            </w:r>
          </w:p>
          <w:p w14:paraId="39AE9235" w14:textId="77777777" w:rsidR="008645BA" w:rsidRPr="0000591E" w:rsidRDefault="008645BA">
            <w:pPr>
              <w:numPr>
                <w:ilvl w:val="0"/>
                <w:numId w:val="66"/>
              </w:numPr>
              <w:tabs>
                <w:tab w:val="left" w:pos="300"/>
              </w:tabs>
              <w:ind w:left="717" w:hanging="712"/>
              <w:jc w:val="both"/>
              <w:rPr>
                <w:rFonts w:ascii="Arial" w:hAnsi="Arial" w:cs="Arial"/>
                <w:sz w:val="20"/>
                <w:szCs w:val="20"/>
              </w:rPr>
            </w:pPr>
            <w:r w:rsidRPr="0000591E">
              <w:rPr>
                <w:rFonts w:ascii="Arial" w:hAnsi="Arial" w:cs="Arial"/>
                <w:sz w:val="20"/>
                <w:szCs w:val="20"/>
              </w:rPr>
              <w:t xml:space="preserve">v monoterapii, </w:t>
            </w:r>
          </w:p>
          <w:p w14:paraId="792BBB64" w14:textId="77777777" w:rsidR="008645BA" w:rsidRPr="0000591E" w:rsidRDefault="008645BA">
            <w:pPr>
              <w:numPr>
                <w:ilvl w:val="0"/>
                <w:numId w:val="66"/>
              </w:numPr>
              <w:tabs>
                <w:tab w:val="left" w:pos="300"/>
              </w:tabs>
              <w:ind w:left="717" w:hanging="720"/>
              <w:jc w:val="both"/>
              <w:rPr>
                <w:rFonts w:ascii="Arial" w:hAnsi="Arial" w:cs="Arial"/>
                <w:sz w:val="20"/>
                <w:szCs w:val="20"/>
              </w:rPr>
            </w:pPr>
            <w:r w:rsidRPr="0000591E">
              <w:rPr>
                <w:rFonts w:ascii="Arial" w:hAnsi="Arial" w:cs="Arial"/>
                <w:sz w:val="20"/>
                <w:szCs w:val="20"/>
              </w:rPr>
              <w:t>v kombinovanej terapii so sulfonylureou,</w:t>
            </w:r>
          </w:p>
          <w:p w14:paraId="1DC0D7C0" w14:textId="77777777" w:rsidR="008645BA" w:rsidRPr="0000591E" w:rsidRDefault="008645BA">
            <w:pPr>
              <w:numPr>
                <w:ilvl w:val="0"/>
                <w:numId w:val="66"/>
              </w:numPr>
              <w:tabs>
                <w:tab w:val="left" w:pos="300"/>
              </w:tabs>
              <w:ind w:left="717" w:hanging="712"/>
              <w:jc w:val="both"/>
              <w:rPr>
                <w:rFonts w:ascii="Arial" w:hAnsi="Arial" w:cs="Arial"/>
                <w:sz w:val="20"/>
                <w:szCs w:val="20"/>
              </w:rPr>
            </w:pPr>
            <w:r w:rsidRPr="0000591E">
              <w:rPr>
                <w:rFonts w:ascii="Arial" w:hAnsi="Arial" w:cs="Arial"/>
                <w:sz w:val="20"/>
                <w:szCs w:val="20"/>
              </w:rPr>
              <w:t>v kombinovanej terapii s inzulínom.</w:t>
            </w:r>
          </w:p>
          <w:p w14:paraId="718028FA" w14:textId="77777777" w:rsidR="008645BA" w:rsidRPr="006472C6" w:rsidRDefault="008645BA" w:rsidP="008645BA">
            <w:pPr>
              <w:jc w:val="both"/>
              <w:rPr>
                <w:rFonts w:ascii="Arial" w:hAnsi="Arial" w:cs="Arial"/>
                <w:bCs/>
                <w:sz w:val="20"/>
                <w:szCs w:val="20"/>
              </w:rPr>
            </w:pPr>
          </w:p>
        </w:tc>
      </w:tr>
      <w:tr w:rsidR="008645BA" w:rsidRPr="0000591E" w14:paraId="65F989D7" w14:textId="77777777" w:rsidTr="003F7925">
        <w:trPr>
          <w:gridAfter w:val="1"/>
          <w:wAfter w:w="109" w:type="dxa"/>
          <w:trHeight w:val="20"/>
        </w:trPr>
        <w:tc>
          <w:tcPr>
            <w:tcW w:w="1256" w:type="dxa"/>
            <w:tcBorders>
              <w:bottom w:val="single" w:sz="4" w:space="0" w:color="auto"/>
            </w:tcBorders>
            <w:noWrap/>
            <w:vAlign w:val="bottom"/>
          </w:tcPr>
          <w:p w14:paraId="637D113F" w14:textId="439A46DA"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A10BH01</w:t>
            </w:r>
          </w:p>
        </w:tc>
        <w:tc>
          <w:tcPr>
            <w:tcW w:w="9497" w:type="dxa"/>
            <w:gridSpan w:val="2"/>
            <w:tcBorders>
              <w:bottom w:val="single" w:sz="4" w:space="0" w:color="auto"/>
            </w:tcBorders>
          </w:tcPr>
          <w:p w14:paraId="500B8BA8" w14:textId="109CE6C0"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Sitagliptín p.o. 100 mg</w:t>
            </w:r>
          </w:p>
        </w:tc>
      </w:tr>
      <w:tr w:rsidR="008645BA" w:rsidRPr="0000591E" w14:paraId="2B1190B8" w14:textId="77777777" w:rsidTr="003F7925">
        <w:trPr>
          <w:gridAfter w:val="1"/>
          <w:wAfter w:w="109" w:type="dxa"/>
          <w:trHeight w:val="20"/>
        </w:trPr>
        <w:tc>
          <w:tcPr>
            <w:tcW w:w="1256" w:type="dxa"/>
            <w:tcBorders>
              <w:top w:val="single" w:sz="4" w:space="0" w:color="auto"/>
            </w:tcBorders>
            <w:noWrap/>
            <w:vAlign w:val="bottom"/>
          </w:tcPr>
          <w:p w14:paraId="0B7CDDEA"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tcPr>
          <w:p w14:paraId="01D15C05" w14:textId="77777777" w:rsidR="008645BA" w:rsidRPr="006472C6" w:rsidRDefault="008645BA" w:rsidP="008645BA">
            <w:pPr>
              <w:jc w:val="both"/>
              <w:rPr>
                <w:rFonts w:ascii="Arial" w:hAnsi="Arial" w:cs="Arial"/>
                <w:bCs/>
                <w:sz w:val="20"/>
                <w:szCs w:val="20"/>
              </w:rPr>
            </w:pPr>
            <w:r w:rsidRPr="006472C6">
              <w:rPr>
                <w:rFonts w:ascii="Arial" w:hAnsi="Arial" w:cs="Arial"/>
                <w:bCs/>
                <w:sz w:val="20"/>
                <w:szCs w:val="20"/>
              </w:rPr>
              <w:t>Hradená liečba sa môže indikovať u dospelých pacientov s diabetes mellitus 2. typu a s nedostatočnou glykemickou kompenzáciou (HbA1c v intervale ˃ 7% podľa štandardu DCCT):</w:t>
            </w:r>
          </w:p>
          <w:p w14:paraId="57C3E091" w14:textId="77777777" w:rsidR="008645BA" w:rsidRPr="006472C6" w:rsidRDefault="008645BA" w:rsidP="008645BA">
            <w:pPr>
              <w:tabs>
                <w:tab w:val="left" w:pos="291"/>
              </w:tabs>
              <w:jc w:val="both"/>
              <w:rPr>
                <w:rFonts w:ascii="Arial" w:hAnsi="Arial" w:cs="Arial"/>
                <w:bCs/>
                <w:sz w:val="20"/>
                <w:szCs w:val="20"/>
              </w:rPr>
            </w:pPr>
            <w:r w:rsidRPr="006472C6">
              <w:rPr>
                <w:rFonts w:ascii="Arial" w:hAnsi="Arial" w:cs="Arial"/>
                <w:bCs/>
                <w:sz w:val="20"/>
                <w:szCs w:val="20"/>
              </w:rPr>
              <w:t>a)</w:t>
            </w:r>
            <w:r w:rsidRPr="006472C6">
              <w:rPr>
                <w:rFonts w:ascii="Arial" w:hAnsi="Arial" w:cs="Arial"/>
                <w:bCs/>
                <w:sz w:val="20"/>
                <w:szCs w:val="20"/>
              </w:rPr>
              <w:tab/>
              <w:t>v monoterapii, ak liečba metformínom nie je tolerovaná alebo je kontraindikovaná,</w:t>
            </w:r>
          </w:p>
          <w:p w14:paraId="108AEFBA" w14:textId="77777777" w:rsidR="008645BA" w:rsidRPr="006472C6" w:rsidRDefault="008645BA" w:rsidP="008645BA">
            <w:pPr>
              <w:tabs>
                <w:tab w:val="left" w:pos="291"/>
              </w:tabs>
              <w:jc w:val="both"/>
              <w:rPr>
                <w:rFonts w:ascii="Arial" w:hAnsi="Arial" w:cs="Arial"/>
                <w:bCs/>
                <w:sz w:val="20"/>
                <w:szCs w:val="20"/>
              </w:rPr>
            </w:pPr>
            <w:r w:rsidRPr="006472C6">
              <w:rPr>
                <w:rFonts w:ascii="Arial" w:hAnsi="Arial" w:cs="Arial"/>
                <w:bCs/>
                <w:sz w:val="20"/>
                <w:szCs w:val="20"/>
              </w:rPr>
              <w:t>b)</w:t>
            </w:r>
            <w:r w:rsidRPr="006472C6">
              <w:rPr>
                <w:rFonts w:ascii="Arial" w:hAnsi="Arial" w:cs="Arial"/>
                <w:bCs/>
                <w:sz w:val="20"/>
                <w:szCs w:val="20"/>
              </w:rPr>
              <w:tab/>
              <w:t>v kombinovanej terapii s metformínom po najmenej trojmesačnej liečbe maximálnymi tolerovanými dávkami u obéznych pacientov (BMI &gt; 28),</w:t>
            </w:r>
          </w:p>
          <w:p w14:paraId="3D1B5CE8" w14:textId="77777777" w:rsidR="008645BA" w:rsidRPr="006472C6" w:rsidRDefault="008645BA" w:rsidP="008645BA">
            <w:pPr>
              <w:tabs>
                <w:tab w:val="left" w:pos="322"/>
              </w:tabs>
              <w:jc w:val="both"/>
              <w:rPr>
                <w:rFonts w:ascii="Arial" w:hAnsi="Arial" w:cs="Arial"/>
                <w:bCs/>
                <w:sz w:val="20"/>
                <w:szCs w:val="20"/>
              </w:rPr>
            </w:pPr>
            <w:r w:rsidRPr="006472C6">
              <w:rPr>
                <w:rFonts w:ascii="Arial" w:hAnsi="Arial" w:cs="Arial"/>
                <w:bCs/>
                <w:sz w:val="20"/>
                <w:szCs w:val="20"/>
              </w:rPr>
              <w:t>c)</w:t>
            </w:r>
            <w:r w:rsidRPr="006472C6">
              <w:rPr>
                <w:rFonts w:ascii="Arial" w:hAnsi="Arial" w:cs="Arial"/>
                <w:bCs/>
                <w:sz w:val="20"/>
                <w:szCs w:val="20"/>
              </w:rPr>
              <w:tab/>
              <w:t>v kombinovanej terapii so sulfonylureou, ak je metformín kontraindikovaný alebo je po metformíne výskyt nežiadúcich účinkov,</w:t>
            </w:r>
          </w:p>
          <w:p w14:paraId="5DC7FBCF" w14:textId="77777777" w:rsidR="008645BA" w:rsidRPr="006472C6" w:rsidRDefault="008645BA" w:rsidP="008645BA">
            <w:pPr>
              <w:tabs>
                <w:tab w:val="left" w:pos="322"/>
              </w:tabs>
              <w:jc w:val="both"/>
              <w:rPr>
                <w:rFonts w:ascii="Arial" w:hAnsi="Arial" w:cs="Arial"/>
                <w:bCs/>
                <w:sz w:val="20"/>
                <w:szCs w:val="20"/>
              </w:rPr>
            </w:pPr>
            <w:r w:rsidRPr="006472C6">
              <w:rPr>
                <w:rFonts w:ascii="Arial" w:hAnsi="Arial" w:cs="Arial"/>
                <w:bCs/>
                <w:sz w:val="20"/>
                <w:szCs w:val="20"/>
              </w:rPr>
              <w:t>d)</w:t>
            </w:r>
            <w:r w:rsidRPr="006472C6">
              <w:rPr>
                <w:rFonts w:ascii="Arial" w:hAnsi="Arial" w:cs="Arial"/>
                <w:bCs/>
                <w:sz w:val="20"/>
                <w:szCs w:val="20"/>
              </w:rPr>
              <w:tab/>
              <w:t>v kombinovanej terapii so sulfonylureou a s metformínom (BMI &gt; 28),</w:t>
            </w:r>
          </w:p>
          <w:p w14:paraId="5C1411A2" w14:textId="77777777" w:rsidR="008645BA" w:rsidRPr="006472C6" w:rsidRDefault="008645BA" w:rsidP="008645BA">
            <w:pPr>
              <w:tabs>
                <w:tab w:val="left" w:pos="322"/>
              </w:tabs>
              <w:jc w:val="both"/>
              <w:rPr>
                <w:rFonts w:ascii="Arial" w:hAnsi="Arial" w:cs="Arial"/>
                <w:bCs/>
                <w:sz w:val="20"/>
                <w:szCs w:val="20"/>
              </w:rPr>
            </w:pPr>
            <w:r w:rsidRPr="006472C6">
              <w:rPr>
                <w:rFonts w:ascii="Arial" w:hAnsi="Arial" w:cs="Arial"/>
                <w:bCs/>
                <w:sz w:val="20"/>
                <w:szCs w:val="20"/>
              </w:rPr>
              <w:t>e)</w:t>
            </w:r>
            <w:r w:rsidRPr="006472C6">
              <w:rPr>
                <w:rFonts w:ascii="Arial" w:hAnsi="Arial" w:cs="Arial"/>
                <w:bCs/>
                <w:sz w:val="20"/>
                <w:szCs w:val="20"/>
              </w:rPr>
              <w:tab/>
              <w:t>v kombinovanej terapii s inzulínom (s metformínom alebo bez neho), keď sa diétou a telesnou aktivitou spolu so stabilnou dávkou inzulínu nedosiahne dostatočná glykemická kompenzácia.</w:t>
            </w:r>
          </w:p>
          <w:p w14:paraId="505A162D" w14:textId="77777777" w:rsidR="008645BA" w:rsidRPr="006472C6" w:rsidRDefault="008645BA" w:rsidP="008645BA">
            <w:pPr>
              <w:jc w:val="both"/>
              <w:rPr>
                <w:rFonts w:ascii="Arial" w:hAnsi="Arial" w:cs="Arial"/>
                <w:bCs/>
                <w:sz w:val="20"/>
                <w:szCs w:val="20"/>
              </w:rPr>
            </w:pPr>
          </w:p>
        </w:tc>
      </w:tr>
      <w:tr w:rsidR="008645BA" w:rsidRPr="0000591E" w14:paraId="6D1263B2" w14:textId="77777777" w:rsidTr="003F7925">
        <w:trPr>
          <w:gridAfter w:val="1"/>
          <w:wAfter w:w="109" w:type="dxa"/>
          <w:trHeight w:val="20"/>
        </w:trPr>
        <w:tc>
          <w:tcPr>
            <w:tcW w:w="1256" w:type="dxa"/>
            <w:tcBorders>
              <w:bottom w:val="single" w:sz="4" w:space="0" w:color="auto"/>
            </w:tcBorders>
            <w:noWrap/>
            <w:vAlign w:val="bottom"/>
          </w:tcPr>
          <w:p w14:paraId="79B2E4AB"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A10BH02</w:t>
            </w:r>
          </w:p>
        </w:tc>
        <w:tc>
          <w:tcPr>
            <w:tcW w:w="9497" w:type="dxa"/>
            <w:gridSpan w:val="2"/>
            <w:tcBorders>
              <w:bottom w:val="single" w:sz="4" w:space="0" w:color="auto"/>
            </w:tcBorders>
            <w:noWrap/>
            <w:vAlign w:val="bottom"/>
          </w:tcPr>
          <w:p w14:paraId="5EFB630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Vildagliptín p.o. 50 mg</w:t>
            </w:r>
          </w:p>
        </w:tc>
      </w:tr>
      <w:tr w:rsidR="008645BA" w:rsidRPr="0000591E" w14:paraId="61BDD671" w14:textId="77777777" w:rsidTr="003F7925">
        <w:trPr>
          <w:gridAfter w:val="1"/>
          <w:wAfter w:w="109" w:type="dxa"/>
          <w:trHeight w:val="20"/>
        </w:trPr>
        <w:tc>
          <w:tcPr>
            <w:tcW w:w="1256" w:type="dxa"/>
            <w:noWrap/>
            <w:vAlign w:val="bottom"/>
          </w:tcPr>
          <w:p w14:paraId="75879C4C" w14:textId="77777777" w:rsidR="008645BA" w:rsidRPr="0000591E" w:rsidRDefault="008645BA" w:rsidP="008645BA">
            <w:pPr>
              <w:jc w:val="both"/>
              <w:rPr>
                <w:rFonts w:ascii="Arial" w:hAnsi="Arial" w:cs="Arial"/>
                <w:b/>
                <w:bCs/>
                <w:sz w:val="20"/>
                <w:szCs w:val="20"/>
              </w:rPr>
            </w:pPr>
          </w:p>
        </w:tc>
        <w:tc>
          <w:tcPr>
            <w:tcW w:w="9497" w:type="dxa"/>
            <w:gridSpan w:val="2"/>
            <w:noWrap/>
            <w:vAlign w:val="bottom"/>
          </w:tcPr>
          <w:p w14:paraId="6E83FA88"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dospelých pacientov s diabetes mellitus 2. typu a s nedostatočnou glykemickou kompenzáciou (HbA1c v intervale </w:t>
            </w:r>
            <w:r w:rsidRPr="0000591E">
              <w:rPr>
                <w:rFonts w:ascii="Cambria Math" w:hAnsi="Cambria Math" w:cs="Cambria Math"/>
                <w:sz w:val="20"/>
                <w:szCs w:val="20"/>
              </w:rPr>
              <w:t>˃</w:t>
            </w:r>
            <w:r w:rsidRPr="0000591E">
              <w:rPr>
                <w:rFonts w:ascii="Arial" w:hAnsi="Arial" w:cs="Arial"/>
                <w:sz w:val="20"/>
                <w:szCs w:val="20"/>
              </w:rPr>
              <w:t xml:space="preserve"> 7% podľa štandardu DCCT):</w:t>
            </w:r>
          </w:p>
          <w:p w14:paraId="582F1509"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v monoterapii, ak liečba metformínom nie je tolerovaná alebo je kontraindikovaná,</w:t>
            </w:r>
          </w:p>
          <w:p w14:paraId="2146EE30"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v kombinovanej terapii s metformínom po najmenej trojmesačnej liečbe maximálnymi tolerovanými dávkami u obéznych pacientov (BMI &gt; 28),</w:t>
            </w:r>
          </w:p>
          <w:p w14:paraId="392C5AD7"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v kombinovanej terapii so sulfonylureou, ak je metformín kontraindikovaný alebo je po metformíne výskyt nežiadúcich účinkov,</w:t>
            </w:r>
          </w:p>
          <w:p w14:paraId="75A5B4CE"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v kombinovanej terapii so sulfonylureou a s metformínom (BMI &gt; 28),</w:t>
            </w:r>
          </w:p>
          <w:p w14:paraId="711646B5"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 xml:space="preserve">v kombinovanej terapii s inzulínom (s metformínom alebo bez neho), keď sa diétou a telesnou aktivitou spolu so stabilnou dávkou inzulínu nedosiahne dostatočná glykemická kompenzácia. </w:t>
            </w:r>
          </w:p>
          <w:p w14:paraId="7EA381F7" w14:textId="77777777" w:rsidR="008645BA" w:rsidRPr="0000591E" w:rsidRDefault="008645BA" w:rsidP="008645BA">
            <w:pPr>
              <w:ind w:left="525"/>
              <w:jc w:val="both"/>
              <w:rPr>
                <w:rFonts w:ascii="Arial" w:hAnsi="Arial" w:cs="Arial"/>
                <w:b/>
                <w:bCs/>
                <w:sz w:val="20"/>
                <w:szCs w:val="20"/>
              </w:rPr>
            </w:pPr>
          </w:p>
        </w:tc>
      </w:tr>
      <w:tr w:rsidR="008645BA" w:rsidRPr="0000591E" w14:paraId="5024E5C5" w14:textId="77777777" w:rsidTr="003F7925">
        <w:trPr>
          <w:gridAfter w:val="1"/>
          <w:wAfter w:w="109" w:type="dxa"/>
          <w:trHeight w:val="20"/>
        </w:trPr>
        <w:tc>
          <w:tcPr>
            <w:tcW w:w="1256" w:type="dxa"/>
            <w:tcBorders>
              <w:bottom w:val="single" w:sz="4" w:space="0" w:color="auto"/>
            </w:tcBorders>
            <w:noWrap/>
            <w:vAlign w:val="center"/>
          </w:tcPr>
          <w:p w14:paraId="4AD894AD"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A10BH04</w:t>
            </w:r>
          </w:p>
        </w:tc>
        <w:tc>
          <w:tcPr>
            <w:tcW w:w="9497" w:type="dxa"/>
            <w:gridSpan w:val="2"/>
            <w:tcBorders>
              <w:bottom w:val="single" w:sz="4" w:space="0" w:color="auto"/>
            </w:tcBorders>
            <w:noWrap/>
            <w:vAlign w:val="bottom"/>
          </w:tcPr>
          <w:p w14:paraId="71CC92B4"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Alogliptín p.o. 12,5 mg</w:t>
            </w:r>
          </w:p>
        </w:tc>
      </w:tr>
      <w:tr w:rsidR="008645BA" w:rsidRPr="0000591E" w14:paraId="5D96DD41" w14:textId="77777777" w:rsidTr="003F7925">
        <w:trPr>
          <w:gridAfter w:val="1"/>
          <w:wAfter w:w="109" w:type="dxa"/>
          <w:trHeight w:val="20"/>
        </w:trPr>
        <w:tc>
          <w:tcPr>
            <w:tcW w:w="1256" w:type="dxa"/>
            <w:tcBorders>
              <w:top w:val="single" w:sz="4" w:space="0" w:color="auto"/>
            </w:tcBorders>
            <w:noWrap/>
            <w:vAlign w:val="bottom"/>
          </w:tcPr>
          <w:p w14:paraId="328FA370" w14:textId="77777777" w:rsidR="008645BA" w:rsidRPr="0000591E" w:rsidRDefault="008645BA" w:rsidP="008645BA">
            <w:pPr>
              <w:jc w:val="both"/>
              <w:rPr>
                <w:rFonts w:ascii="Arial" w:hAnsi="Arial" w:cs="Arial"/>
                <w:b/>
                <w:bCs/>
                <w:sz w:val="20"/>
                <w:szCs w:val="20"/>
              </w:rPr>
            </w:pPr>
          </w:p>
          <w:p w14:paraId="4B7DD69B" w14:textId="77777777" w:rsidR="008645BA" w:rsidRPr="0000591E" w:rsidRDefault="008645BA" w:rsidP="008645BA">
            <w:pPr>
              <w:jc w:val="both"/>
              <w:rPr>
                <w:rFonts w:ascii="Arial" w:hAnsi="Arial" w:cs="Arial"/>
                <w:b/>
                <w:bCs/>
                <w:sz w:val="20"/>
                <w:szCs w:val="20"/>
              </w:rPr>
            </w:pPr>
          </w:p>
          <w:p w14:paraId="359EC6C2" w14:textId="77777777" w:rsidR="008645BA" w:rsidRPr="0000591E" w:rsidRDefault="008645BA" w:rsidP="008645BA">
            <w:pPr>
              <w:jc w:val="both"/>
              <w:rPr>
                <w:rFonts w:ascii="Arial" w:hAnsi="Arial" w:cs="Arial"/>
                <w:b/>
                <w:bCs/>
                <w:sz w:val="20"/>
                <w:szCs w:val="20"/>
              </w:rPr>
            </w:pPr>
          </w:p>
          <w:p w14:paraId="273BE123" w14:textId="77777777" w:rsidR="008645BA" w:rsidRPr="0000591E" w:rsidRDefault="008645BA" w:rsidP="008645BA">
            <w:pPr>
              <w:jc w:val="both"/>
              <w:rPr>
                <w:rFonts w:ascii="Arial" w:hAnsi="Arial" w:cs="Arial"/>
                <w:b/>
                <w:bCs/>
                <w:sz w:val="20"/>
                <w:szCs w:val="20"/>
              </w:rPr>
            </w:pPr>
          </w:p>
          <w:p w14:paraId="3F38BB54" w14:textId="77777777" w:rsidR="008645BA" w:rsidRPr="0000591E" w:rsidRDefault="008645BA" w:rsidP="008645BA">
            <w:pPr>
              <w:jc w:val="both"/>
              <w:rPr>
                <w:rFonts w:ascii="Arial" w:hAnsi="Arial" w:cs="Arial"/>
                <w:b/>
                <w:bCs/>
                <w:sz w:val="20"/>
                <w:szCs w:val="20"/>
              </w:rPr>
            </w:pPr>
          </w:p>
          <w:p w14:paraId="7E776785"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noWrap/>
            <w:vAlign w:val="bottom"/>
          </w:tcPr>
          <w:p w14:paraId="45CB49A2"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diabetes mellitus 2. typu s nedostatočnou glykemickou kontrolou (HbA1c &gt; 7 % podľa štandardu DCCT), ktorí majú súčasne potvrdené stredne ťažké poškodenie funkcie obličiek (CrCl ≥ 30 až &lt; 50 ml/min), a to:</w:t>
            </w:r>
          </w:p>
          <w:p w14:paraId="22D4B07B" w14:textId="77777777" w:rsidR="008645BA" w:rsidRPr="0000591E" w:rsidRDefault="008645BA">
            <w:pPr>
              <w:numPr>
                <w:ilvl w:val="0"/>
                <w:numId w:val="71"/>
              </w:numPr>
              <w:ind w:left="291" w:hanging="291"/>
              <w:rPr>
                <w:rFonts w:ascii="Arial" w:hAnsi="Arial" w:cs="Arial"/>
                <w:sz w:val="20"/>
                <w:szCs w:val="20"/>
              </w:rPr>
            </w:pPr>
            <w:r w:rsidRPr="0000591E">
              <w:rPr>
                <w:rFonts w:ascii="Arial" w:hAnsi="Arial" w:cs="Arial"/>
                <w:sz w:val="20"/>
                <w:szCs w:val="20"/>
              </w:rPr>
              <w:t>v kombinovanej terapii so sulfonylureou (podľa SPC príslušnej sulfonylurey),</w:t>
            </w:r>
          </w:p>
          <w:p w14:paraId="54833659" w14:textId="77777777" w:rsidR="008645BA" w:rsidRDefault="008645BA">
            <w:pPr>
              <w:numPr>
                <w:ilvl w:val="0"/>
                <w:numId w:val="71"/>
              </w:numPr>
              <w:ind w:left="291" w:hanging="291"/>
              <w:rPr>
                <w:rFonts w:ascii="Arial" w:hAnsi="Arial" w:cs="Arial"/>
                <w:sz w:val="20"/>
                <w:szCs w:val="20"/>
              </w:rPr>
            </w:pPr>
            <w:r w:rsidRPr="0000591E">
              <w:rPr>
                <w:rFonts w:ascii="Arial" w:hAnsi="Arial" w:cs="Arial"/>
                <w:sz w:val="20"/>
                <w:szCs w:val="20"/>
              </w:rPr>
              <w:t xml:space="preserve">v kombinovanej terapii s inzulínom. </w:t>
            </w:r>
          </w:p>
          <w:p w14:paraId="48C8E21A" w14:textId="77777777" w:rsidR="008645BA" w:rsidRPr="0000591E" w:rsidRDefault="008645BA" w:rsidP="008645BA">
            <w:pPr>
              <w:jc w:val="both"/>
              <w:rPr>
                <w:rFonts w:ascii="Arial" w:hAnsi="Arial" w:cs="Arial"/>
                <w:b/>
                <w:bCs/>
                <w:sz w:val="20"/>
                <w:szCs w:val="20"/>
              </w:rPr>
            </w:pPr>
          </w:p>
        </w:tc>
      </w:tr>
      <w:tr w:rsidR="008645BA" w:rsidRPr="0000591E" w14:paraId="35D81CEC" w14:textId="77777777" w:rsidTr="003F7925">
        <w:trPr>
          <w:gridAfter w:val="1"/>
          <w:wAfter w:w="109" w:type="dxa"/>
          <w:trHeight w:val="20"/>
        </w:trPr>
        <w:tc>
          <w:tcPr>
            <w:tcW w:w="1256" w:type="dxa"/>
            <w:tcBorders>
              <w:bottom w:val="single" w:sz="4" w:space="0" w:color="auto"/>
            </w:tcBorders>
            <w:noWrap/>
            <w:vAlign w:val="center"/>
          </w:tcPr>
          <w:p w14:paraId="7FB2F055"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A10BH04</w:t>
            </w:r>
          </w:p>
        </w:tc>
        <w:tc>
          <w:tcPr>
            <w:tcW w:w="9497" w:type="dxa"/>
            <w:gridSpan w:val="2"/>
            <w:tcBorders>
              <w:bottom w:val="single" w:sz="4" w:space="0" w:color="auto"/>
            </w:tcBorders>
            <w:noWrap/>
            <w:vAlign w:val="bottom"/>
          </w:tcPr>
          <w:p w14:paraId="0EBAF866"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Alogliptín p.o. 25 mg</w:t>
            </w:r>
          </w:p>
        </w:tc>
      </w:tr>
      <w:tr w:rsidR="008645BA" w:rsidRPr="0000591E" w14:paraId="781A2F99" w14:textId="77777777" w:rsidTr="003F7925">
        <w:trPr>
          <w:gridAfter w:val="1"/>
          <w:wAfter w:w="109" w:type="dxa"/>
          <w:trHeight w:val="20"/>
        </w:trPr>
        <w:tc>
          <w:tcPr>
            <w:tcW w:w="1256" w:type="dxa"/>
            <w:noWrap/>
            <w:vAlign w:val="bottom"/>
          </w:tcPr>
          <w:p w14:paraId="3EDA6898" w14:textId="77777777" w:rsidR="008645BA" w:rsidRPr="0000591E" w:rsidRDefault="008645BA" w:rsidP="008645BA">
            <w:pPr>
              <w:jc w:val="both"/>
              <w:rPr>
                <w:rFonts w:ascii="Arial" w:hAnsi="Arial" w:cs="Arial"/>
                <w:b/>
                <w:bCs/>
                <w:sz w:val="20"/>
                <w:szCs w:val="20"/>
              </w:rPr>
            </w:pPr>
          </w:p>
          <w:p w14:paraId="5BEB6768" w14:textId="77777777" w:rsidR="008645BA" w:rsidRPr="0000591E" w:rsidRDefault="008645BA" w:rsidP="008645BA">
            <w:pPr>
              <w:jc w:val="both"/>
              <w:rPr>
                <w:rFonts w:ascii="Arial" w:hAnsi="Arial" w:cs="Arial"/>
                <w:b/>
                <w:bCs/>
                <w:sz w:val="20"/>
                <w:szCs w:val="20"/>
              </w:rPr>
            </w:pPr>
          </w:p>
          <w:p w14:paraId="70EAF8F7" w14:textId="77777777" w:rsidR="008645BA" w:rsidRPr="0000591E" w:rsidRDefault="008645BA" w:rsidP="008645BA">
            <w:pPr>
              <w:jc w:val="both"/>
              <w:rPr>
                <w:rFonts w:ascii="Arial" w:hAnsi="Arial" w:cs="Arial"/>
                <w:b/>
                <w:bCs/>
                <w:sz w:val="20"/>
                <w:szCs w:val="20"/>
              </w:rPr>
            </w:pPr>
          </w:p>
          <w:p w14:paraId="015E0310" w14:textId="77777777" w:rsidR="008645BA" w:rsidRPr="0000591E" w:rsidRDefault="008645BA" w:rsidP="008645BA">
            <w:pPr>
              <w:jc w:val="both"/>
              <w:rPr>
                <w:rFonts w:ascii="Arial" w:hAnsi="Arial" w:cs="Arial"/>
                <w:b/>
                <w:bCs/>
                <w:sz w:val="20"/>
                <w:szCs w:val="20"/>
              </w:rPr>
            </w:pPr>
          </w:p>
          <w:p w14:paraId="0EA81C83" w14:textId="77777777" w:rsidR="008645BA" w:rsidRPr="0000591E" w:rsidRDefault="008645BA" w:rsidP="008645BA">
            <w:pPr>
              <w:jc w:val="both"/>
              <w:rPr>
                <w:rFonts w:ascii="Arial" w:hAnsi="Arial" w:cs="Arial"/>
                <w:b/>
                <w:bCs/>
                <w:sz w:val="20"/>
                <w:szCs w:val="20"/>
              </w:rPr>
            </w:pPr>
          </w:p>
          <w:p w14:paraId="625A7AB2"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noWrap/>
            <w:vAlign w:val="bottom"/>
          </w:tcPr>
          <w:p w14:paraId="4421F158" w14:textId="77777777" w:rsidR="008645BA" w:rsidRPr="0000591E" w:rsidRDefault="008645BA" w:rsidP="008645BA">
            <w:pPr>
              <w:rPr>
                <w:rFonts w:ascii="Arial" w:hAnsi="Arial" w:cs="Arial"/>
                <w:sz w:val="20"/>
                <w:szCs w:val="20"/>
              </w:rPr>
            </w:pPr>
            <w:r w:rsidRPr="0000591E">
              <w:rPr>
                <w:rFonts w:ascii="Arial" w:hAnsi="Arial" w:cs="Arial"/>
                <w:sz w:val="20"/>
                <w:szCs w:val="20"/>
              </w:rPr>
              <w:t xml:space="preserve">Hradená liečba sa môže indikovať u dospelých pacientov s diabetes mellitus 2. typu a s nedostatočnou glykemickou kompenzáciou (HbA1c v intervale </w:t>
            </w:r>
            <w:r w:rsidRPr="0000591E">
              <w:rPr>
                <w:rFonts w:ascii="Cambria Math" w:hAnsi="Cambria Math" w:cs="Cambria Math"/>
                <w:sz w:val="20"/>
                <w:szCs w:val="20"/>
              </w:rPr>
              <w:t>˃</w:t>
            </w:r>
            <w:r w:rsidRPr="0000591E">
              <w:rPr>
                <w:rFonts w:ascii="Arial" w:hAnsi="Arial" w:cs="Arial"/>
                <w:sz w:val="20"/>
                <w:szCs w:val="20"/>
              </w:rPr>
              <w:t xml:space="preserve"> 7% podľa štandardu DCCT):</w:t>
            </w:r>
          </w:p>
          <w:p w14:paraId="653483B3" w14:textId="77777777" w:rsidR="008645BA" w:rsidRPr="0000591E" w:rsidRDefault="008645BA">
            <w:pPr>
              <w:numPr>
                <w:ilvl w:val="0"/>
                <w:numId w:val="70"/>
              </w:numPr>
              <w:ind w:left="291" w:hanging="291"/>
              <w:jc w:val="both"/>
              <w:rPr>
                <w:rFonts w:ascii="Arial" w:hAnsi="Arial" w:cs="Arial"/>
                <w:sz w:val="20"/>
                <w:szCs w:val="20"/>
              </w:rPr>
            </w:pPr>
            <w:r w:rsidRPr="0000591E">
              <w:rPr>
                <w:rFonts w:ascii="Arial" w:hAnsi="Arial" w:cs="Arial"/>
                <w:sz w:val="20"/>
                <w:szCs w:val="20"/>
              </w:rPr>
              <w:t>v kombinovanej terapii s metformínom po najmenej trojmesačnej liečbe maximálnymi tolerovanými dávkami u obéznych pacientov (BMI &gt; 28),</w:t>
            </w:r>
          </w:p>
          <w:p w14:paraId="2AAD55DA" w14:textId="77777777" w:rsidR="008645BA" w:rsidRPr="0000591E" w:rsidRDefault="008645BA">
            <w:pPr>
              <w:numPr>
                <w:ilvl w:val="0"/>
                <w:numId w:val="70"/>
              </w:numPr>
              <w:ind w:left="291" w:hanging="291"/>
              <w:jc w:val="both"/>
              <w:rPr>
                <w:rFonts w:ascii="Arial" w:hAnsi="Arial" w:cs="Arial"/>
                <w:sz w:val="20"/>
                <w:szCs w:val="20"/>
              </w:rPr>
            </w:pPr>
            <w:r w:rsidRPr="0000591E">
              <w:rPr>
                <w:rFonts w:ascii="Arial" w:hAnsi="Arial" w:cs="Arial"/>
                <w:sz w:val="20"/>
                <w:szCs w:val="20"/>
              </w:rPr>
              <w:t>v kombinovanej terapii so sulfonylureou, ak je metformín kontraindikovaný alebo je po metformíne výskyt nežiadúcich účinkov,</w:t>
            </w:r>
          </w:p>
          <w:p w14:paraId="56C34E48" w14:textId="77777777" w:rsidR="008645BA" w:rsidRDefault="008645BA">
            <w:pPr>
              <w:numPr>
                <w:ilvl w:val="0"/>
                <w:numId w:val="70"/>
              </w:numPr>
              <w:ind w:left="291" w:hanging="291"/>
              <w:jc w:val="both"/>
              <w:rPr>
                <w:rFonts w:ascii="Arial" w:hAnsi="Arial" w:cs="Arial"/>
                <w:sz w:val="20"/>
                <w:szCs w:val="20"/>
              </w:rPr>
            </w:pPr>
            <w:r w:rsidRPr="0000591E">
              <w:rPr>
                <w:rFonts w:ascii="Arial" w:hAnsi="Arial" w:cs="Arial"/>
                <w:sz w:val="20"/>
                <w:szCs w:val="20"/>
              </w:rPr>
              <w:t>v kombinovanej terapii s inzulínom (s metformínom alebo bez neho), keď sa diétou a telesnou aktivitou spolu so stabilnou dávkou inzulínu nedosiahne dostatočná glykemická kompenzácia.</w:t>
            </w:r>
            <w:r w:rsidRPr="008F3A8A">
              <w:rPr>
                <w:rFonts w:ascii="Arial" w:hAnsi="Arial" w:cs="Arial"/>
                <w:sz w:val="20"/>
                <w:szCs w:val="20"/>
              </w:rPr>
              <w:t xml:space="preserve"> </w:t>
            </w:r>
          </w:p>
          <w:p w14:paraId="1D9F01F1" w14:textId="77777777" w:rsidR="008645BA" w:rsidRPr="008F3A8A" w:rsidRDefault="008645BA" w:rsidP="008645BA">
            <w:pPr>
              <w:ind w:left="1428"/>
              <w:jc w:val="both"/>
              <w:rPr>
                <w:rFonts w:ascii="Arial" w:hAnsi="Arial" w:cs="Arial"/>
                <w:sz w:val="20"/>
                <w:szCs w:val="20"/>
              </w:rPr>
            </w:pPr>
          </w:p>
        </w:tc>
      </w:tr>
      <w:tr w:rsidR="008645BA" w:rsidRPr="0000591E" w14:paraId="2BB00DDE" w14:textId="77777777" w:rsidTr="003F7925">
        <w:trPr>
          <w:gridAfter w:val="1"/>
          <w:wAfter w:w="109" w:type="dxa"/>
          <w:trHeight w:val="20"/>
        </w:trPr>
        <w:tc>
          <w:tcPr>
            <w:tcW w:w="1256" w:type="dxa"/>
            <w:tcBorders>
              <w:bottom w:val="single" w:sz="4" w:space="0" w:color="auto"/>
            </w:tcBorders>
            <w:noWrap/>
            <w:vAlign w:val="bottom"/>
          </w:tcPr>
          <w:p w14:paraId="1FA0F180" w14:textId="77777777" w:rsidR="008645BA" w:rsidRPr="0000591E" w:rsidRDefault="008645BA" w:rsidP="008645BA">
            <w:pPr>
              <w:jc w:val="both"/>
              <w:rPr>
                <w:rFonts w:ascii="Arial" w:hAnsi="Arial" w:cs="Arial"/>
                <w:b/>
                <w:bCs/>
                <w:sz w:val="20"/>
                <w:szCs w:val="20"/>
              </w:rPr>
            </w:pPr>
            <w:r w:rsidRPr="0000591E">
              <w:rPr>
                <w:rFonts w:ascii="Arial" w:hAnsi="Arial" w:cs="Arial"/>
                <w:b/>
                <w:sz w:val="20"/>
                <w:szCs w:val="20"/>
              </w:rPr>
              <w:t>A10BH05</w:t>
            </w:r>
          </w:p>
        </w:tc>
        <w:tc>
          <w:tcPr>
            <w:tcW w:w="9497" w:type="dxa"/>
            <w:gridSpan w:val="2"/>
            <w:tcBorders>
              <w:bottom w:val="single" w:sz="4" w:space="0" w:color="auto"/>
            </w:tcBorders>
            <w:noWrap/>
            <w:vAlign w:val="bottom"/>
          </w:tcPr>
          <w:p w14:paraId="7C5D8B25" w14:textId="77777777" w:rsidR="008645BA" w:rsidRPr="0000591E" w:rsidRDefault="008645BA" w:rsidP="008645BA">
            <w:pPr>
              <w:rPr>
                <w:rFonts w:ascii="Arial" w:hAnsi="Arial" w:cs="Arial"/>
                <w:b/>
                <w:sz w:val="20"/>
                <w:szCs w:val="20"/>
              </w:rPr>
            </w:pPr>
            <w:r w:rsidRPr="0000591E">
              <w:rPr>
                <w:rFonts w:ascii="Arial" w:hAnsi="Arial" w:cs="Arial"/>
                <w:b/>
                <w:sz w:val="20"/>
                <w:szCs w:val="20"/>
              </w:rPr>
              <w:t>Linagliptín p.o. 5 mg</w:t>
            </w:r>
          </w:p>
        </w:tc>
      </w:tr>
      <w:tr w:rsidR="008645BA" w:rsidRPr="0000591E" w14:paraId="4CD96116" w14:textId="77777777" w:rsidTr="003F7925">
        <w:trPr>
          <w:gridAfter w:val="1"/>
          <w:wAfter w:w="109" w:type="dxa"/>
          <w:trHeight w:val="20"/>
        </w:trPr>
        <w:tc>
          <w:tcPr>
            <w:tcW w:w="1256" w:type="dxa"/>
            <w:tcBorders>
              <w:top w:val="single" w:sz="4" w:space="0" w:color="auto"/>
            </w:tcBorders>
            <w:noWrap/>
            <w:vAlign w:val="bottom"/>
          </w:tcPr>
          <w:p w14:paraId="1C10C834"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noWrap/>
            <w:vAlign w:val="bottom"/>
          </w:tcPr>
          <w:p w14:paraId="4ADD4277"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dospelých pacientov s diabetes mellitus 2. typu a s nedostatočnou glykemickou kompenzáciou (HbA1c v intervale </w:t>
            </w:r>
            <w:r w:rsidRPr="0000591E">
              <w:rPr>
                <w:rFonts w:ascii="Cambria Math" w:hAnsi="Cambria Math" w:cs="Cambria Math"/>
                <w:sz w:val="20"/>
                <w:szCs w:val="20"/>
              </w:rPr>
              <w:t>˃</w:t>
            </w:r>
            <w:r w:rsidRPr="0000591E">
              <w:rPr>
                <w:rFonts w:ascii="Arial" w:hAnsi="Arial" w:cs="Arial"/>
                <w:sz w:val="20"/>
                <w:szCs w:val="20"/>
              </w:rPr>
              <w:t xml:space="preserve"> 7% podľa štandardu DCCT):</w:t>
            </w:r>
          </w:p>
          <w:p w14:paraId="254BA553"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lastRenderedPageBreak/>
              <w:t>v monoterapii, ak liečba metformínom nie je tolerovaná alebo je kontraindikovaná,</w:t>
            </w:r>
          </w:p>
          <w:p w14:paraId="62122FAD"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t>v kombinovanej terapii s metformínom po najmenej trojmesačnej liečbe maximálnymi tolerovanými dávkami u obéznych pacientov (BMI &gt; 28),</w:t>
            </w:r>
          </w:p>
          <w:p w14:paraId="6EBBE779"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t>v kombinovanej terapii so sulfonylureou a s metformínom (BMI &gt; 28),</w:t>
            </w:r>
          </w:p>
          <w:p w14:paraId="39ABEED0"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t>v kombinovanej terapii s inzulínom (s metformínom alebo bez neho), keď sa diétou a telesnou aktivitou spolu so stabilnou dávkou inzulínu nedosiahne dostatočná glykemická kompenzácia.</w:t>
            </w:r>
          </w:p>
          <w:p w14:paraId="13F58419" w14:textId="77777777" w:rsidR="008645BA" w:rsidRPr="006C2249" w:rsidRDefault="008645BA" w:rsidP="008645BA">
            <w:pPr>
              <w:rPr>
                <w:rFonts w:ascii="Arial" w:hAnsi="Arial" w:cs="Arial"/>
                <w:b/>
                <w:sz w:val="20"/>
                <w:szCs w:val="20"/>
              </w:rPr>
            </w:pPr>
          </w:p>
        </w:tc>
      </w:tr>
      <w:tr w:rsidR="008645BA" w:rsidRPr="0000591E" w14:paraId="650E6CA7" w14:textId="77777777" w:rsidTr="003F7925">
        <w:trPr>
          <w:gridAfter w:val="2"/>
          <w:wAfter w:w="154" w:type="dxa"/>
          <w:trHeight w:val="20"/>
        </w:trPr>
        <w:tc>
          <w:tcPr>
            <w:tcW w:w="1256" w:type="dxa"/>
            <w:tcBorders>
              <w:bottom w:val="single" w:sz="4" w:space="0" w:color="auto"/>
            </w:tcBorders>
            <w:noWrap/>
            <w:vAlign w:val="bottom"/>
          </w:tcPr>
          <w:p w14:paraId="1FB055E3" w14:textId="412C1C57" w:rsidR="008645BA" w:rsidRPr="0000591E" w:rsidRDefault="008645BA" w:rsidP="008645BA">
            <w:pPr>
              <w:jc w:val="both"/>
              <w:rPr>
                <w:rFonts w:ascii="Arial" w:hAnsi="Arial" w:cs="Arial"/>
                <w:b/>
                <w:bCs/>
                <w:sz w:val="20"/>
                <w:szCs w:val="20"/>
              </w:rPr>
            </w:pPr>
            <w:r w:rsidRPr="001C17A0">
              <w:rPr>
                <w:rFonts w:ascii="Arial" w:hAnsi="Arial" w:cs="Arial"/>
                <w:b/>
                <w:bCs/>
                <w:sz w:val="20"/>
                <w:szCs w:val="20"/>
              </w:rPr>
              <w:lastRenderedPageBreak/>
              <w:t>A10BJ05</w:t>
            </w:r>
          </w:p>
        </w:tc>
        <w:tc>
          <w:tcPr>
            <w:tcW w:w="9452" w:type="dxa"/>
            <w:tcBorders>
              <w:bottom w:val="single" w:sz="4" w:space="0" w:color="auto"/>
            </w:tcBorders>
            <w:noWrap/>
            <w:vAlign w:val="bottom"/>
          </w:tcPr>
          <w:p w14:paraId="4ADB95CB" w14:textId="50DE843E" w:rsidR="008645BA" w:rsidRPr="0000591E" w:rsidRDefault="008645BA" w:rsidP="008645BA">
            <w:pPr>
              <w:jc w:val="both"/>
              <w:rPr>
                <w:rFonts w:ascii="Arial" w:hAnsi="Arial" w:cs="Arial"/>
                <w:b/>
                <w:bCs/>
                <w:sz w:val="20"/>
                <w:szCs w:val="20"/>
              </w:rPr>
            </w:pPr>
            <w:r w:rsidRPr="001C17A0">
              <w:rPr>
                <w:rFonts w:ascii="Arial" w:hAnsi="Arial" w:cs="Arial"/>
                <w:b/>
                <w:bCs/>
                <w:sz w:val="20"/>
                <w:szCs w:val="20"/>
              </w:rPr>
              <w:t>Dulaglutid s.c. 1,5 mg</w:t>
            </w:r>
          </w:p>
        </w:tc>
      </w:tr>
      <w:tr w:rsidR="008645BA" w:rsidRPr="0000591E" w14:paraId="03A6CAA1" w14:textId="77777777" w:rsidTr="003F7925">
        <w:trPr>
          <w:gridAfter w:val="2"/>
          <w:wAfter w:w="154" w:type="dxa"/>
          <w:trHeight w:val="20"/>
        </w:trPr>
        <w:tc>
          <w:tcPr>
            <w:tcW w:w="1256" w:type="dxa"/>
            <w:tcBorders>
              <w:top w:val="single" w:sz="4" w:space="0" w:color="auto"/>
            </w:tcBorders>
            <w:noWrap/>
            <w:vAlign w:val="bottom"/>
          </w:tcPr>
          <w:p w14:paraId="79699E2B"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4B133617" w14:textId="77777777" w:rsidR="008645BA" w:rsidRDefault="008645BA" w:rsidP="008645BA">
            <w:pPr>
              <w:jc w:val="both"/>
              <w:rPr>
                <w:rFonts w:ascii="Arial" w:hAnsi="Arial" w:cs="Arial"/>
                <w:bCs/>
                <w:sz w:val="20"/>
                <w:szCs w:val="20"/>
              </w:rPr>
            </w:pPr>
            <w:r w:rsidRPr="001C17A0">
              <w:rPr>
                <w:rFonts w:ascii="Arial" w:hAnsi="Arial" w:cs="Arial"/>
                <w:bCs/>
                <w:sz w:val="20"/>
                <w:szCs w:val="20"/>
              </w:rPr>
              <w:t>Hradená liečba sa môže indikovať u pacientov s diabetes mellitus 2. typu v kombinácií s metformínom alebo v kombinácii s metformínom a sulfonylmočovinou alebo v kombinácii s inzulínom (±metformín a/alebo sulfonylurea), ak predchádzajúca minimálne polročná liečba maximálnymi tolerovanými dávkami orálnych antidiabetík alebo inzulínu neviedla k uspokojivej metabolickej kompenzácii (HbA1c &gt; 7 % podľa štandardu DCCT). Hradené je maximálne jedno balenie lieku na jeden mesiac liečby.</w:t>
            </w:r>
          </w:p>
          <w:p w14:paraId="63E5D845" w14:textId="6B237A2E" w:rsidR="008645BA" w:rsidRPr="001C17A0" w:rsidRDefault="008645BA" w:rsidP="008645BA">
            <w:pPr>
              <w:jc w:val="both"/>
              <w:rPr>
                <w:rFonts w:ascii="Arial" w:hAnsi="Arial" w:cs="Arial"/>
                <w:bCs/>
                <w:sz w:val="20"/>
                <w:szCs w:val="20"/>
              </w:rPr>
            </w:pPr>
          </w:p>
        </w:tc>
      </w:tr>
      <w:tr w:rsidR="008645BA" w:rsidRPr="0000591E" w14:paraId="78760162" w14:textId="77777777" w:rsidTr="003F7925">
        <w:trPr>
          <w:gridAfter w:val="2"/>
          <w:wAfter w:w="154" w:type="dxa"/>
          <w:trHeight w:val="20"/>
        </w:trPr>
        <w:tc>
          <w:tcPr>
            <w:tcW w:w="1256" w:type="dxa"/>
            <w:tcBorders>
              <w:bottom w:val="single" w:sz="4" w:space="0" w:color="auto"/>
            </w:tcBorders>
            <w:noWrap/>
            <w:vAlign w:val="bottom"/>
          </w:tcPr>
          <w:p w14:paraId="55946787" w14:textId="1573B075" w:rsidR="008645BA" w:rsidRPr="0000591E" w:rsidRDefault="008645BA" w:rsidP="008645BA">
            <w:pPr>
              <w:jc w:val="both"/>
              <w:rPr>
                <w:rFonts w:ascii="Arial" w:hAnsi="Arial" w:cs="Arial"/>
                <w:b/>
                <w:bCs/>
                <w:sz w:val="20"/>
                <w:szCs w:val="20"/>
              </w:rPr>
            </w:pPr>
            <w:r w:rsidRPr="00B90A69">
              <w:rPr>
                <w:rFonts w:ascii="Arial" w:hAnsi="Arial" w:cs="Arial"/>
                <w:b/>
                <w:bCs/>
                <w:sz w:val="20"/>
                <w:szCs w:val="20"/>
              </w:rPr>
              <w:t>A10BJ06</w:t>
            </w:r>
          </w:p>
        </w:tc>
        <w:tc>
          <w:tcPr>
            <w:tcW w:w="9452" w:type="dxa"/>
            <w:tcBorders>
              <w:bottom w:val="single" w:sz="4" w:space="0" w:color="auto"/>
            </w:tcBorders>
            <w:noWrap/>
            <w:vAlign w:val="bottom"/>
          </w:tcPr>
          <w:p w14:paraId="7804D6E1" w14:textId="77777777" w:rsidR="008645BA" w:rsidRPr="00B90A69" w:rsidRDefault="008645BA" w:rsidP="008645BA">
            <w:pPr>
              <w:jc w:val="both"/>
              <w:rPr>
                <w:rFonts w:ascii="Arial" w:hAnsi="Arial" w:cs="Arial"/>
                <w:b/>
                <w:bCs/>
                <w:sz w:val="20"/>
                <w:szCs w:val="20"/>
              </w:rPr>
            </w:pPr>
            <w:r w:rsidRPr="00B90A69">
              <w:rPr>
                <w:rFonts w:ascii="Arial" w:hAnsi="Arial" w:cs="Arial"/>
                <w:b/>
                <w:bCs/>
                <w:sz w:val="20"/>
                <w:szCs w:val="20"/>
              </w:rPr>
              <w:t xml:space="preserve">Semaglutid s.c. 1,34 mg/ml (0,5 mg), </w:t>
            </w:r>
          </w:p>
          <w:p w14:paraId="6CB46B69" w14:textId="77777777" w:rsidR="008645BA" w:rsidRPr="00B90A69" w:rsidRDefault="008645BA" w:rsidP="008645BA">
            <w:pPr>
              <w:jc w:val="both"/>
              <w:rPr>
                <w:rFonts w:ascii="Arial" w:hAnsi="Arial" w:cs="Arial"/>
                <w:b/>
                <w:bCs/>
                <w:sz w:val="20"/>
                <w:szCs w:val="20"/>
              </w:rPr>
            </w:pPr>
            <w:r w:rsidRPr="00B90A69">
              <w:rPr>
                <w:rFonts w:ascii="Arial" w:hAnsi="Arial" w:cs="Arial"/>
                <w:b/>
                <w:bCs/>
                <w:sz w:val="20"/>
                <w:szCs w:val="20"/>
              </w:rPr>
              <w:t>Semaglutid s.c. 1,34 mg/ml (0,25 mg)</w:t>
            </w:r>
          </w:p>
          <w:p w14:paraId="3954776A" w14:textId="60899281" w:rsidR="008645BA" w:rsidRPr="0000591E" w:rsidRDefault="008645BA" w:rsidP="008645BA">
            <w:pPr>
              <w:jc w:val="both"/>
              <w:rPr>
                <w:rFonts w:ascii="Arial" w:hAnsi="Arial" w:cs="Arial"/>
                <w:b/>
                <w:bCs/>
                <w:sz w:val="20"/>
                <w:szCs w:val="20"/>
              </w:rPr>
            </w:pPr>
            <w:r w:rsidRPr="00B90A69">
              <w:rPr>
                <w:rFonts w:ascii="Arial" w:hAnsi="Arial" w:cs="Arial"/>
                <w:b/>
                <w:bCs/>
                <w:sz w:val="20"/>
                <w:szCs w:val="20"/>
              </w:rPr>
              <w:t>Semaglutid s.c. 1,34 mg/ml (1 mg)</w:t>
            </w:r>
          </w:p>
        </w:tc>
      </w:tr>
      <w:tr w:rsidR="008645BA" w:rsidRPr="0000591E" w14:paraId="48B5EC50" w14:textId="77777777" w:rsidTr="003F7925">
        <w:trPr>
          <w:gridAfter w:val="2"/>
          <w:wAfter w:w="154" w:type="dxa"/>
          <w:trHeight w:val="20"/>
        </w:trPr>
        <w:tc>
          <w:tcPr>
            <w:tcW w:w="1256" w:type="dxa"/>
            <w:tcBorders>
              <w:top w:val="single" w:sz="4" w:space="0" w:color="auto"/>
            </w:tcBorders>
            <w:noWrap/>
            <w:vAlign w:val="bottom"/>
          </w:tcPr>
          <w:p w14:paraId="33EF61E2"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72FB65D0" w14:textId="77777777" w:rsidR="008645BA" w:rsidRDefault="008645BA" w:rsidP="008645BA">
            <w:pPr>
              <w:jc w:val="both"/>
              <w:rPr>
                <w:rFonts w:ascii="Arial" w:hAnsi="Arial" w:cs="Arial"/>
                <w:bCs/>
                <w:sz w:val="20"/>
                <w:szCs w:val="20"/>
              </w:rPr>
            </w:pPr>
            <w:r w:rsidRPr="00B90A69">
              <w:rPr>
                <w:rFonts w:ascii="Arial" w:hAnsi="Arial" w:cs="Arial"/>
                <w:bCs/>
                <w:sz w:val="20"/>
                <w:szCs w:val="20"/>
              </w:rPr>
              <w:t>Hradená liečba sa môže indikovať u pacientov s diabetes mellitus 2. typu v kombinácií s metformínom alebo v kombinácii s metformínom a sulfonylmočovinou alebo v kombinácii s inzulínom (±metformín a/alebo sulfonylurea), ak predchádzajúca minimálne polročná liečba maximálnymi tolerovanými dávkami orálnych antidiabetík alebo inzulínu neviedla k uspokojivej metabolickej kompenzácii (HbA1c &gt; 7 % podľa štandardu DCCT). Hradené je maximálne jedno balenie lieku na jeden mesiac liečby.</w:t>
            </w:r>
          </w:p>
          <w:p w14:paraId="018AE669" w14:textId="19DB656A" w:rsidR="000A6AF7" w:rsidRPr="00B90A69" w:rsidRDefault="000A6AF7" w:rsidP="008645BA">
            <w:pPr>
              <w:jc w:val="both"/>
              <w:rPr>
                <w:rFonts w:ascii="Arial" w:hAnsi="Arial" w:cs="Arial"/>
                <w:bCs/>
                <w:sz w:val="20"/>
                <w:szCs w:val="20"/>
              </w:rPr>
            </w:pPr>
          </w:p>
        </w:tc>
      </w:tr>
      <w:tr w:rsidR="008645BA" w:rsidRPr="0000591E" w14:paraId="7B92844D" w14:textId="77777777" w:rsidTr="003F7925">
        <w:trPr>
          <w:gridAfter w:val="2"/>
          <w:wAfter w:w="154" w:type="dxa"/>
          <w:trHeight w:val="20"/>
        </w:trPr>
        <w:tc>
          <w:tcPr>
            <w:tcW w:w="1256" w:type="dxa"/>
            <w:tcBorders>
              <w:bottom w:val="single" w:sz="4" w:space="0" w:color="auto"/>
            </w:tcBorders>
            <w:noWrap/>
            <w:vAlign w:val="bottom"/>
          </w:tcPr>
          <w:p w14:paraId="51B9B81A" w14:textId="14A48543" w:rsidR="008645BA" w:rsidRPr="0000591E" w:rsidRDefault="008645BA" w:rsidP="008645BA">
            <w:pPr>
              <w:jc w:val="both"/>
              <w:rPr>
                <w:rFonts w:ascii="Arial" w:hAnsi="Arial" w:cs="Arial"/>
                <w:b/>
                <w:bCs/>
                <w:sz w:val="20"/>
                <w:szCs w:val="20"/>
              </w:rPr>
            </w:pPr>
            <w:r w:rsidRPr="00B90A69">
              <w:rPr>
                <w:rFonts w:ascii="Arial" w:hAnsi="Arial" w:cs="Arial"/>
                <w:b/>
                <w:bCs/>
                <w:sz w:val="20"/>
                <w:szCs w:val="20"/>
              </w:rPr>
              <w:t>A10BJ06</w:t>
            </w:r>
          </w:p>
        </w:tc>
        <w:tc>
          <w:tcPr>
            <w:tcW w:w="9452" w:type="dxa"/>
            <w:tcBorders>
              <w:bottom w:val="single" w:sz="4" w:space="0" w:color="auto"/>
            </w:tcBorders>
            <w:noWrap/>
            <w:vAlign w:val="bottom"/>
          </w:tcPr>
          <w:p w14:paraId="242A7799" w14:textId="77777777" w:rsidR="008645BA" w:rsidRPr="00B90A69" w:rsidRDefault="008645BA" w:rsidP="008645BA">
            <w:pPr>
              <w:jc w:val="both"/>
              <w:rPr>
                <w:rFonts w:ascii="Arial" w:hAnsi="Arial" w:cs="Arial"/>
                <w:b/>
                <w:bCs/>
                <w:sz w:val="20"/>
                <w:szCs w:val="20"/>
              </w:rPr>
            </w:pPr>
            <w:r w:rsidRPr="00B90A69">
              <w:rPr>
                <w:rFonts w:ascii="Arial" w:hAnsi="Arial" w:cs="Arial"/>
                <w:b/>
                <w:bCs/>
                <w:sz w:val="20"/>
                <w:szCs w:val="20"/>
              </w:rPr>
              <w:t xml:space="preserve">Semaglutid p.o. 3 mg, </w:t>
            </w:r>
          </w:p>
          <w:p w14:paraId="0C3B0100" w14:textId="77777777" w:rsidR="008645BA" w:rsidRPr="00B90A69" w:rsidRDefault="008645BA" w:rsidP="008645BA">
            <w:pPr>
              <w:jc w:val="both"/>
              <w:rPr>
                <w:rFonts w:ascii="Arial" w:hAnsi="Arial" w:cs="Arial"/>
                <w:b/>
                <w:bCs/>
                <w:sz w:val="20"/>
                <w:szCs w:val="20"/>
              </w:rPr>
            </w:pPr>
            <w:r w:rsidRPr="00B90A69">
              <w:rPr>
                <w:rFonts w:ascii="Arial" w:hAnsi="Arial" w:cs="Arial"/>
                <w:b/>
                <w:bCs/>
                <w:sz w:val="20"/>
                <w:szCs w:val="20"/>
              </w:rPr>
              <w:t>Semaglutid p.o. 7 mg,</w:t>
            </w:r>
          </w:p>
          <w:p w14:paraId="5CD89329" w14:textId="4EA21D5D" w:rsidR="008645BA" w:rsidRPr="0000591E" w:rsidRDefault="008645BA" w:rsidP="008645BA">
            <w:pPr>
              <w:jc w:val="both"/>
              <w:rPr>
                <w:rFonts w:ascii="Arial" w:hAnsi="Arial" w:cs="Arial"/>
                <w:b/>
                <w:bCs/>
                <w:sz w:val="20"/>
                <w:szCs w:val="20"/>
              </w:rPr>
            </w:pPr>
            <w:r w:rsidRPr="00B90A69">
              <w:rPr>
                <w:rFonts w:ascii="Arial" w:hAnsi="Arial" w:cs="Arial"/>
                <w:b/>
                <w:bCs/>
                <w:sz w:val="20"/>
                <w:szCs w:val="20"/>
              </w:rPr>
              <w:t>Semaglutid p.o. 14 mg</w:t>
            </w:r>
          </w:p>
        </w:tc>
      </w:tr>
      <w:tr w:rsidR="008645BA" w:rsidRPr="0000591E" w14:paraId="51A6AB0D" w14:textId="77777777" w:rsidTr="003F7925">
        <w:trPr>
          <w:gridAfter w:val="2"/>
          <w:wAfter w:w="154" w:type="dxa"/>
          <w:trHeight w:val="20"/>
        </w:trPr>
        <w:tc>
          <w:tcPr>
            <w:tcW w:w="1256" w:type="dxa"/>
            <w:tcBorders>
              <w:top w:val="single" w:sz="4" w:space="0" w:color="auto"/>
            </w:tcBorders>
            <w:noWrap/>
            <w:vAlign w:val="bottom"/>
          </w:tcPr>
          <w:p w14:paraId="2487CE69"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13E4AD23"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Hradená liečba sa môže indikovať u pacientov s diabetes mellitus 2. typu od dovŕšenia veku 18. roku života v kombinácií s metformínom alebo v kombinácii s metformínom a sulfonylmočovinou, ak predchádzajúca minimálne polročná liečba maximálnymi tolerovanými dávkami orálnych antidiabetík neviedla k uspokojivej metabolickej kompenzácii (HbA1c &gt; 7 % podľa štandardu DCCT). </w:t>
            </w:r>
          </w:p>
          <w:p w14:paraId="46D2CFB0" w14:textId="77777777" w:rsidR="008645BA" w:rsidRPr="00B90A69" w:rsidRDefault="008645BA" w:rsidP="008645BA">
            <w:pPr>
              <w:jc w:val="both"/>
              <w:rPr>
                <w:rFonts w:ascii="Arial" w:hAnsi="Arial" w:cs="Arial"/>
                <w:bCs/>
                <w:sz w:val="20"/>
                <w:szCs w:val="20"/>
              </w:rPr>
            </w:pPr>
          </w:p>
          <w:p w14:paraId="207660B7"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Hradená liečba sa môže indikovať u pacientov s diabetes mellitus 2. typu, u ktorých nie je možná injekčná (subkutánna) liečba GLP-1RA aspoň z jedného nasledovných medicínskych dôvodov:</w:t>
            </w:r>
          </w:p>
          <w:p w14:paraId="786914C8"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 prítomné kožné ochorenie znemožňujúce subkutánne podávanie liekov, </w:t>
            </w:r>
          </w:p>
          <w:p w14:paraId="724F47B8"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 poruchy zrážania krvi, vrátane ochorení ciev, pri ktorých môže dôjsť ku krvácaniam, </w:t>
            </w:r>
          </w:p>
          <w:p w14:paraId="667F62D7"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 systémové zápalové ochorenia spojiva, znemožňujúce subkutánne podávanie liekov, </w:t>
            </w:r>
          </w:p>
          <w:p w14:paraId="3FFFBBD4"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závažná porucha vízu alebo motorické postihnutie horných končatín,</w:t>
            </w:r>
          </w:p>
          <w:p w14:paraId="62B0677E" w14:textId="6FBDF8AF" w:rsidR="008645BA" w:rsidRPr="00B90A69" w:rsidRDefault="008645BA" w:rsidP="008645BA">
            <w:pPr>
              <w:jc w:val="both"/>
              <w:rPr>
                <w:rFonts w:ascii="Arial" w:hAnsi="Arial" w:cs="Arial"/>
                <w:bCs/>
                <w:sz w:val="20"/>
                <w:szCs w:val="20"/>
              </w:rPr>
            </w:pPr>
            <w:r w:rsidRPr="00B90A69">
              <w:rPr>
                <w:rFonts w:ascii="Arial" w:hAnsi="Arial" w:cs="Arial"/>
                <w:bCs/>
                <w:sz w:val="20"/>
                <w:szCs w:val="20"/>
              </w:rPr>
              <w:t>• strach z ihly, objektivizovaný psychologickým alebo psychiatrickým vyšetrením.</w:t>
            </w:r>
          </w:p>
          <w:p w14:paraId="09064C38" w14:textId="77777777" w:rsidR="008645BA" w:rsidRPr="00B90A69" w:rsidRDefault="008645BA" w:rsidP="008645BA">
            <w:pPr>
              <w:jc w:val="both"/>
              <w:rPr>
                <w:rFonts w:ascii="Arial" w:hAnsi="Arial" w:cs="Arial"/>
                <w:bCs/>
                <w:sz w:val="20"/>
                <w:szCs w:val="20"/>
              </w:rPr>
            </w:pPr>
          </w:p>
        </w:tc>
      </w:tr>
      <w:tr w:rsidR="008645BA" w:rsidRPr="0000591E" w14:paraId="73972881" w14:textId="77777777" w:rsidTr="003F7925">
        <w:trPr>
          <w:gridAfter w:val="2"/>
          <w:wAfter w:w="154" w:type="dxa"/>
          <w:trHeight w:val="20"/>
        </w:trPr>
        <w:tc>
          <w:tcPr>
            <w:tcW w:w="1256" w:type="dxa"/>
            <w:tcBorders>
              <w:bottom w:val="single" w:sz="4" w:space="0" w:color="auto"/>
            </w:tcBorders>
            <w:noWrap/>
            <w:vAlign w:val="bottom"/>
          </w:tcPr>
          <w:p w14:paraId="0ADA742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A10B</w:t>
            </w:r>
            <w:r>
              <w:rPr>
                <w:rFonts w:ascii="Arial" w:hAnsi="Arial" w:cs="Arial"/>
                <w:b/>
                <w:bCs/>
                <w:sz w:val="20"/>
                <w:szCs w:val="20"/>
              </w:rPr>
              <w:t>K01</w:t>
            </w:r>
          </w:p>
        </w:tc>
        <w:tc>
          <w:tcPr>
            <w:tcW w:w="9452" w:type="dxa"/>
            <w:tcBorders>
              <w:bottom w:val="single" w:sz="4" w:space="0" w:color="auto"/>
            </w:tcBorders>
            <w:noWrap/>
            <w:vAlign w:val="bottom"/>
          </w:tcPr>
          <w:p w14:paraId="79A61597"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Dapagliflozín p.o. 10 mg</w:t>
            </w:r>
          </w:p>
        </w:tc>
      </w:tr>
      <w:tr w:rsidR="008645BA" w:rsidRPr="0000591E" w14:paraId="7B29DA2A" w14:textId="77777777" w:rsidTr="003F7925">
        <w:trPr>
          <w:gridAfter w:val="2"/>
          <w:wAfter w:w="154" w:type="dxa"/>
          <w:trHeight w:val="20"/>
        </w:trPr>
        <w:tc>
          <w:tcPr>
            <w:tcW w:w="1256" w:type="dxa"/>
            <w:tcBorders>
              <w:top w:val="single" w:sz="4" w:space="0" w:color="auto"/>
            </w:tcBorders>
            <w:noWrap/>
            <w:vAlign w:val="bottom"/>
          </w:tcPr>
          <w:p w14:paraId="08F9D760" w14:textId="77777777" w:rsidR="008645BA" w:rsidRPr="003E0B0A"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73C830C0"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Hradená liečba sa môže indikovať u dospelých pacientov s diabetes mellitus 2. typu s nedostatočnou glykemickou kompenzáciou (HbA1c ≥ 7 % podľa štandardu DCCT): </w:t>
            </w:r>
          </w:p>
          <w:p w14:paraId="62031C66" w14:textId="77777777" w:rsidR="008645BA" w:rsidRPr="003E0B0A" w:rsidRDefault="008645BA" w:rsidP="008645BA">
            <w:pPr>
              <w:jc w:val="both"/>
              <w:rPr>
                <w:rFonts w:ascii="Arial" w:hAnsi="Arial" w:cs="Arial"/>
                <w:sz w:val="20"/>
                <w:szCs w:val="20"/>
              </w:rPr>
            </w:pPr>
          </w:p>
          <w:p w14:paraId="2C656F90"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a) v kombinácii s metformínom (t.j. dvojkombinačná liečba) alebo v kombinácii s metformínom a sulfonylureou (t.j. trojkombinačná liečba), ako doplnok k diéte a cvičeniu u pacientov nedostatočne kontrolovaných maximálnou tolerovanou dávkou metformínu alebo metformínu a sulfonylmočoviny, </w:t>
            </w:r>
          </w:p>
          <w:p w14:paraId="4A75C07A"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b) v kombinácii s inzulínom (t.j. dvojkombinačná liečba) alebo v kombinácii s inzulínom a metformínom (t.j. trojkombinačná liečba) ako doplnok k diéte a cvičeniu na zlepšenie kontroly glykémie u pacientov, u ktorých samotná stabilná dávka inzulínu alebo inzulínu a metformínu nezabezpečí dostatočnú kontrolu glykémie </w:t>
            </w:r>
          </w:p>
          <w:p w14:paraId="2265E802"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c) pri kontraindikácii alebo intolerancii metforminu v monoterapii alebo v kombinácii so sulfonylureou (t.j. dvojkombinačná liečba) u pacientov nedostatočne glykemickou kompenzáciou. </w:t>
            </w:r>
          </w:p>
          <w:p w14:paraId="3A82467B" w14:textId="77777777" w:rsidR="008645BA" w:rsidRPr="003E0B0A" w:rsidRDefault="008645BA" w:rsidP="008645BA">
            <w:pPr>
              <w:jc w:val="both"/>
              <w:rPr>
                <w:rFonts w:ascii="Arial" w:hAnsi="Arial" w:cs="Arial"/>
                <w:sz w:val="20"/>
                <w:szCs w:val="20"/>
              </w:rPr>
            </w:pPr>
          </w:p>
          <w:p w14:paraId="32D6A78A"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Hradená liečba je indikovaná dospelým pacientom na liečbu chronickej choroby obličiek s eGFR ≥ 25 až ≤ 75 ml/min/1,73 m2 a albuminúriou (UACR ≥ 200 a ≤ 5 000 mg/g) podmienenej inou chorobou ako geneticky podmieneným polycystickým ochorením obličiek, systémovým lupusom, ANCA vaskulitídou alebo DM typu 1, liečených stabilnou dávkou RAAS inhibítora alebo pri kontraindikácii liečby RAAS inhibítormi </w:t>
            </w:r>
          </w:p>
          <w:p w14:paraId="6FE61E37" w14:textId="77777777" w:rsidR="008645BA" w:rsidRDefault="008645BA" w:rsidP="008645BA">
            <w:pPr>
              <w:jc w:val="both"/>
              <w:rPr>
                <w:rFonts w:ascii="Arial" w:hAnsi="Arial" w:cs="Arial"/>
                <w:sz w:val="20"/>
                <w:szCs w:val="20"/>
              </w:rPr>
            </w:pPr>
          </w:p>
          <w:p w14:paraId="36979E34" w14:textId="77777777" w:rsidR="000A6AF7" w:rsidRDefault="000A6AF7" w:rsidP="008645BA">
            <w:pPr>
              <w:jc w:val="both"/>
              <w:rPr>
                <w:rFonts w:ascii="Arial" w:hAnsi="Arial" w:cs="Arial"/>
                <w:sz w:val="20"/>
                <w:szCs w:val="20"/>
              </w:rPr>
            </w:pPr>
          </w:p>
          <w:p w14:paraId="3038BF0A" w14:textId="77777777" w:rsidR="000A6AF7" w:rsidRPr="003E0B0A" w:rsidRDefault="000A6AF7" w:rsidP="008645BA">
            <w:pPr>
              <w:jc w:val="both"/>
              <w:rPr>
                <w:rFonts w:ascii="Arial" w:hAnsi="Arial" w:cs="Arial"/>
                <w:sz w:val="20"/>
                <w:szCs w:val="20"/>
              </w:rPr>
            </w:pPr>
          </w:p>
          <w:p w14:paraId="7299CF4E" w14:textId="77777777" w:rsidR="000A6AF7" w:rsidRPr="000A6AF7" w:rsidRDefault="000A6AF7" w:rsidP="000A6AF7">
            <w:pPr>
              <w:jc w:val="both"/>
              <w:rPr>
                <w:rFonts w:ascii="Arial" w:hAnsi="Arial" w:cs="Arial"/>
                <w:sz w:val="20"/>
                <w:szCs w:val="20"/>
              </w:rPr>
            </w:pPr>
            <w:r w:rsidRPr="000A6AF7">
              <w:rPr>
                <w:rFonts w:ascii="Arial" w:hAnsi="Arial" w:cs="Arial"/>
                <w:sz w:val="20"/>
                <w:szCs w:val="20"/>
              </w:rPr>
              <w:lastRenderedPageBreak/>
              <w:t>Hradená liečba sa môže indikovať:</w:t>
            </w:r>
          </w:p>
          <w:p w14:paraId="11B2D89A" w14:textId="698842C2" w:rsidR="000A6AF7" w:rsidRPr="000A6AF7" w:rsidRDefault="000A6AF7">
            <w:pPr>
              <w:pStyle w:val="Odsekzoznamu"/>
              <w:numPr>
                <w:ilvl w:val="0"/>
                <w:numId w:val="143"/>
              </w:numPr>
              <w:spacing w:after="0" w:line="20" w:lineRule="atLeast"/>
              <w:ind w:left="351" w:hanging="370"/>
              <w:rPr>
                <w:rFonts w:ascii="Arial" w:hAnsi="Arial" w:cs="Arial"/>
                <w:sz w:val="20"/>
                <w:szCs w:val="20"/>
              </w:rPr>
            </w:pPr>
            <w:r w:rsidRPr="000A6AF7">
              <w:rPr>
                <w:rFonts w:ascii="Arial" w:hAnsi="Arial" w:cs="Arial"/>
                <w:sz w:val="20"/>
                <w:szCs w:val="20"/>
              </w:rPr>
              <w:t>u dospelých pacientov so symptomatickým chronickým srdcovým zlyhávaním pri splnení nasledujúcich kritérií:</w:t>
            </w:r>
          </w:p>
          <w:p w14:paraId="152C49C4" w14:textId="77777777" w:rsidR="000A6AF7" w:rsidRPr="000A6AF7" w:rsidRDefault="000A6AF7" w:rsidP="000A6AF7">
            <w:pPr>
              <w:spacing w:line="20" w:lineRule="atLeast"/>
              <w:jc w:val="both"/>
              <w:rPr>
                <w:rFonts w:ascii="Arial" w:hAnsi="Arial" w:cs="Arial"/>
                <w:sz w:val="20"/>
                <w:szCs w:val="20"/>
              </w:rPr>
            </w:pPr>
            <w:r w:rsidRPr="000A6AF7">
              <w:rPr>
                <w:rFonts w:ascii="Arial" w:hAnsi="Arial" w:cs="Arial"/>
                <w:sz w:val="20"/>
                <w:szCs w:val="20"/>
              </w:rPr>
              <w:t>a) ejekčná frakcia ľavej komory ≤ 50 % a zároveň,</w:t>
            </w:r>
          </w:p>
          <w:p w14:paraId="5F16920F" w14:textId="77777777" w:rsidR="000A6AF7" w:rsidRPr="000A6AF7" w:rsidRDefault="000A6AF7" w:rsidP="000A6AF7">
            <w:pPr>
              <w:jc w:val="both"/>
              <w:rPr>
                <w:rFonts w:ascii="Arial" w:hAnsi="Arial" w:cs="Arial"/>
                <w:sz w:val="20"/>
                <w:szCs w:val="20"/>
              </w:rPr>
            </w:pPr>
            <w:r w:rsidRPr="000A6AF7">
              <w:rPr>
                <w:rFonts w:ascii="Arial" w:hAnsi="Arial" w:cs="Arial"/>
                <w:sz w:val="20"/>
                <w:szCs w:val="20"/>
              </w:rPr>
              <w:t>b) napriek liečbe pretrvávajúce symptomatické srdcové zlyhávanie funkčnej triedy II až IV podľa NYHA</w:t>
            </w:r>
          </w:p>
          <w:p w14:paraId="46732E71" w14:textId="77777777" w:rsidR="000A6AF7" w:rsidRDefault="000A6AF7" w:rsidP="000A6AF7">
            <w:pPr>
              <w:jc w:val="both"/>
              <w:rPr>
                <w:rFonts w:ascii="Arial" w:hAnsi="Arial" w:cs="Arial"/>
                <w:sz w:val="20"/>
                <w:szCs w:val="20"/>
              </w:rPr>
            </w:pPr>
          </w:p>
          <w:p w14:paraId="39C6CF27" w14:textId="77777777" w:rsidR="000A6AF7" w:rsidRDefault="000A6AF7">
            <w:pPr>
              <w:pStyle w:val="Odsekzoznamu"/>
              <w:numPr>
                <w:ilvl w:val="0"/>
                <w:numId w:val="143"/>
              </w:numPr>
              <w:spacing w:after="0" w:line="20" w:lineRule="atLeast"/>
              <w:ind w:left="351" w:hanging="351"/>
              <w:rPr>
                <w:rFonts w:ascii="Arial" w:hAnsi="Arial" w:cs="Arial"/>
                <w:sz w:val="20"/>
                <w:szCs w:val="20"/>
              </w:rPr>
            </w:pPr>
            <w:r w:rsidRPr="000A6AF7">
              <w:rPr>
                <w:rFonts w:ascii="Arial" w:hAnsi="Arial" w:cs="Arial"/>
                <w:sz w:val="20"/>
                <w:szCs w:val="20"/>
              </w:rPr>
              <w:t>u dospelých pacientov so symptomatickým chronickým srdcovým zlyhávaním funkčnej triedy II až IV podľa NYHA a s ejekčnou frakciou ľavej komory &gt; 50 % (HFpEF – srdcové zlyhávanie so zachovanou funkciou ľavej komory). Pre indikáciu hradenej liečby je potrebné, aby koncentrácia biomarkera NT-proBNP dosiahla:</w:t>
            </w:r>
          </w:p>
          <w:p w14:paraId="3AE3D276" w14:textId="77777777" w:rsidR="000A6AF7" w:rsidRDefault="000A6AF7">
            <w:pPr>
              <w:pStyle w:val="Odsekzoznamu"/>
              <w:numPr>
                <w:ilvl w:val="0"/>
                <w:numId w:val="144"/>
              </w:numPr>
              <w:spacing w:line="20" w:lineRule="atLeast"/>
              <w:rPr>
                <w:rFonts w:ascii="Arial" w:hAnsi="Arial" w:cs="Arial"/>
                <w:sz w:val="20"/>
                <w:szCs w:val="20"/>
              </w:rPr>
            </w:pPr>
            <w:r w:rsidRPr="000A6AF7">
              <w:rPr>
                <w:rFonts w:ascii="Arial" w:hAnsi="Arial" w:cs="Arial"/>
                <w:sz w:val="20"/>
                <w:szCs w:val="20"/>
              </w:rPr>
              <w:t>≥ 400 pg/ml pre pacientov vo veku &lt; 65 rokov, alebo</w:t>
            </w:r>
          </w:p>
          <w:p w14:paraId="621E5227" w14:textId="77777777" w:rsidR="000A6AF7" w:rsidRDefault="000A6AF7">
            <w:pPr>
              <w:pStyle w:val="Odsekzoznamu"/>
              <w:numPr>
                <w:ilvl w:val="0"/>
                <w:numId w:val="144"/>
              </w:numPr>
              <w:spacing w:after="0" w:line="20" w:lineRule="atLeast"/>
              <w:rPr>
                <w:rFonts w:ascii="Arial" w:hAnsi="Arial" w:cs="Arial"/>
                <w:sz w:val="20"/>
                <w:szCs w:val="20"/>
              </w:rPr>
            </w:pPr>
            <w:r w:rsidRPr="000A6AF7">
              <w:rPr>
                <w:rFonts w:ascii="Arial" w:hAnsi="Arial" w:cs="Arial"/>
                <w:sz w:val="20"/>
                <w:szCs w:val="20"/>
              </w:rPr>
              <w:t>≥ 900 pg/ml  pre pacientov vo veku ≥ 65 rokov, alebo</w:t>
            </w:r>
          </w:p>
          <w:p w14:paraId="54B1C224" w14:textId="40429A81" w:rsidR="008645BA" w:rsidRPr="000A6AF7" w:rsidRDefault="000A6AF7" w:rsidP="000A6AF7">
            <w:pPr>
              <w:spacing w:line="20" w:lineRule="atLeast"/>
              <w:ind w:left="1070"/>
              <w:rPr>
                <w:rFonts w:ascii="Arial" w:hAnsi="Arial" w:cs="Arial"/>
                <w:sz w:val="20"/>
                <w:szCs w:val="20"/>
              </w:rPr>
            </w:pPr>
            <w:r w:rsidRPr="000A6AF7">
              <w:rPr>
                <w:rFonts w:ascii="Arial" w:hAnsi="Arial" w:cs="Arial"/>
                <w:sz w:val="20"/>
                <w:szCs w:val="20"/>
              </w:rPr>
              <w:t>prítomnosť štrukturálnych a funkčných abnormalít srdca dokumentujúcich zvýšené plniace tlaky ľavej komory.</w:t>
            </w:r>
          </w:p>
          <w:p w14:paraId="37CAD3BD" w14:textId="0473CCE6" w:rsidR="000A6AF7" w:rsidRPr="003E0B0A" w:rsidRDefault="000A6AF7" w:rsidP="000A6AF7">
            <w:pPr>
              <w:jc w:val="both"/>
              <w:rPr>
                <w:rFonts w:ascii="Arial" w:hAnsi="Arial" w:cs="Arial"/>
                <w:bCs/>
                <w:sz w:val="20"/>
                <w:szCs w:val="20"/>
              </w:rPr>
            </w:pPr>
          </w:p>
        </w:tc>
      </w:tr>
      <w:tr w:rsidR="008645BA" w:rsidRPr="0000591E" w14:paraId="6DC3C3ED" w14:textId="77777777" w:rsidTr="003F7925">
        <w:trPr>
          <w:gridAfter w:val="2"/>
          <w:wAfter w:w="154" w:type="dxa"/>
          <w:trHeight w:val="20"/>
        </w:trPr>
        <w:tc>
          <w:tcPr>
            <w:tcW w:w="1256" w:type="dxa"/>
            <w:tcBorders>
              <w:bottom w:val="single" w:sz="4" w:space="0" w:color="auto"/>
            </w:tcBorders>
            <w:noWrap/>
            <w:vAlign w:val="bottom"/>
          </w:tcPr>
          <w:p w14:paraId="0DCBECB9" w14:textId="3C1AB7CF" w:rsidR="008645BA" w:rsidRPr="0000591E" w:rsidRDefault="008645BA" w:rsidP="008645BA">
            <w:pPr>
              <w:jc w:val="both"/>
              <w:rPr>
                <w:rFonts w:ascii="Arial" w:hAnsi="Arial" w:cs="Arial"/>
                <w:b/>
                <w:bCs/>
                <w:sz w:val="20"/>
                <w:szCs w:val="20"/>
              </w:rPr>
            </w:pPr>
            <w:r>
              <w:rPr>
                <w:rFonts w:ascii="Arial" w:hAnsi="Arial" w:cs="Arial"/>
                <w:b/>
                <w:bCs/>
                <w:sz w:val="20"/>
                <w:szCs w:val="20"/>
              </w:rPr>
              <w:lastRenderedPageBreak/>
              <w:t>A10BK02</w:t>
            </w:r>
          </w:p>
        </w:tc>
        <w:tc>
          <w:tcPr>
            <w:tcW w:w="9452" w:type="dxa"/>
            <w:tcBorders>
              <w:bottom w:val="single" w:sz="4" w:space="0" w:color="auto"/>
            </w:tcBorders>
            <w:noWrap/>
            <w:vAlign w:val="bottom"/>
          </w:tcPr>
          <w:p w14:paraId="683D42C6" w14:textId="77777777" w:rsidR="008645BA" w:rsidRDefault="008645BA" w:rsidP="008645BA">
            <w:pPr>
              <w:jc w:val="both"/>
              <w:rPr>
                <w:rFonts w:ascii="Arial" w:hAnsi="Arial" w:cs="Arial"/>
                <w:b/>
                <w:bCs/>
                <w:sz w:val="20"/>
                <w:szCs w:val="20"/>
              </w:rPr>
            </w:pPr>
            <w:r w:rsidRPr="00164A93">
              <w:rPr>
                <w:rFonts w:ascii="Arial" w:hAnsi="Arial" w:cs="Arial"/>
                <w:b/>
                <w:bCs/>
                <w:sz w:val="20"/>
                <w:szCs w:val="20"/>
              </w:rPr>
              <w:t>Kanagliflozín p.o. 100 mg</w:t>
            </w:r>
            <w:r>
              <w:rPr>
                <w:rFonts w:ascii="Arial" w:hAnsi="Arial" w:cs="Arial"/>
                <w:b/>
                <w:bCs/>
                <w:sz w:val="20"/>
                <w:szCs w:val="20"/>
              </w:rPr>
              <w:t>,</w:t>
            </w:r>
          </w:p>
          <w:p w14:paraId="63451F04" w14:textId="6F535FA5" w:rsidR="008645BA" w:rsidRPr="0000591E" w:rsidRDefault="008645BA" w:rsidP="008645BA">
            <w:pPr>
              <w:jc w:val="both"/>
              <w:rPr>
                <w:rFonts w:ascii="Arial" w:hAnsi="Arial" w:cs="Arial"/>
                <w:b/>
                <w:bCs/>
                <w:sz w:val="20"/>
                <w:szCs w:val="20"/>
              </w:rPr>
            </w:pPr>
            <w:r w:rsidRPr="002D3AFA">
              <w:rPr>
                <w:rFonts w:ascii="Arial" w:hAnsi="Arial" w:cs="Arial"/>
                <w:b/>
                <w:bCs/>
                <w:sz w:val="20"/>
                <w:szCs w:val="20"/>
              </w:rPr>
              <w:t>Kanagliflozín p.o. 300 mg</w:t>
            </w:r>
          </w:p>
        </w:tc>
      </w:tr>
      <w:tr w:rsidR="008645BA" w:rsidRPr="0000591E" w14:paraId="3B7EBB2E" w14:textId="77777777" w:rsidTr="003F7925">
        <w:trPr>
          <w:gridAfter w:val="2"/>
          <w:wAfter w:w="154" w:type="dxa"/>
          <w:trHeight w:val="20"/>
        </w:trPr>
        <w:tc>
          <w:tcPr>
            <w:tcW w:w="1256" w:type="dxa"/>
            <w:tcBorders>
              <w:top w:val="single" w:sz="4" w:space="0" w:color="auto"/>
            </w:tcBorders>
            <w:noWrap/>
            <w:vAlign w:val="bottom"/>
          </w:tcPr>
          <w:p w14:paraId="44E18FF9" w14:textId="77777777" w:rsidR="008645BA"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11B42A85"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Hradená liečba sa môže indikovať u dospelých pacientov s diabetes mellitus 2. typu s nedostatočnou glykemickou kompenzáciou (HbA1c ≥ 7 % podľa štandardu DCCT): </w:t>
            </w:r>
          </w:p>
          <w:p w14:paraId="0FAD1A0A"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 v kombinácii s metformínom (t.j. dvojkombinačná liečba) alebo v kombinácii s metformínom </w:t>
            </w:r>
            <w:r>
              <w:rPr>
                <w:rFonts w:ascii="Arial" w:hAnsi="Arial" w:cs="Arial"/>
                <w:sz w:val="20"/>
                <w:szCs w:val="20"/>
              </w:rPr>
              <w:t xml:space="preserve">                                          </w:t>
            </w:r>
            <w:r w:rsidRPr="003E0B0A">
              <w:rPr>
                <w:rFonts w:ascii="Arial" w:hAnsi="Arial" w:cs="Arial"/>
                <w:sz w:val="20"/>
                <w:szCs w:val="20"/>
              </w:rPr>
              <w:t xml:space="preserve">a sulfonylureou (t.j. trojkombinačná liečba), ako doplnok k diéte a cvičeniu u pacientov nedostatočne kontrolovaných maximálnou tolerovanou dávkou metformínu alebo metformínu a sulfonylmočoviny, </w:t>
            </w:r>
          </w:p>
          <w:p w14:paraId="7ECCA7F4"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 v kombinácii s inzulínom (t.j. dvojkombinačná liečba) alebo v kombinácii s inzulínom a metformínom </w:t>
            </w:r>
            <w:r>
              <w:rPr>
                <w:rFonts w:ascii="Arial" w:hAnsi="Arial" w:cs="Arial"/>
                <w:sz w:val="20"/>
                <w:szCs w:val="20"/>
              </w:rPr>
              <w:t xml:space="preserve">                   </w:t>
            </w:r>
            <w:r w:rsidRPr="003E0B0A">
              <w:rPr>
                <w:rFonts w:ascii="Arial" w:hAnsi="Arial" w:cs="Arial"/>
                <w:sz w:val="20"/>
                <w:szCs w:val="20"/>
              </w:rPr>
              <w:t xml:space="preserve">(t.j. trojkombinačná liečba) ako doplnok k diéte a cvičeniu na zlepšenie kontroly glykémie u pacientov, </w:t>
            </w:r>
            <w:r>
              <w:rPr>
                <w:rFonts w:ascii="Arial" w:hAnsi="Arial" w:cs="Arial"/>
                <w:sz w:val="20"/>
                <w:szCs w:val="20"/>
              </w:rPr>
              <w:t xml:space="preserve">                    </w:t>
            </w:r>
            <w:r w:rsidRPr="003E0B0A">
              <w:rPr>
                <w:rFonts w:ascii="Arial" w:hAnsi="Arial" w:cs="Arial"/>
                <w:sz w:val="20"/>
                <w:szCs w:val="20"/>
              </w:rPr>
              <w:t xml:space="preserve">u ktorých samotná stabilná dávka inzulínu alebo inzulínu a metformínu nezabezpečí dostatočnú kontrolu glykémie. </w:t>
            </w:r>
          </w:p>
          <w:p w14:paraId="0C542FEF"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 pri kontraindikácii alebo intolerancii metforminu v monoterapii alebo v kombinácii so sulfonylureou </w:t>
            </w:r>
            <w:r>
              <w:rPr>
                <w:rFonts w:ascii="Arial" w:hAnsi="Arial" w:cs="Arial"/>
                <w:sz w:val="20"/>
                <w:szCs w:val="20"/>
              </w:rPr>
              <w:t xml:space="preserve">                       </w:t>
            </w:r>
            <w:r w:rsidRPr="003E0B0A">
              <w:rPr>
                <w:rFonts w:ascii="Arial" w:hAnsi="Arial" w:cs="Arial"/>
                <w:sz w:val="20"/>
                <w:szCs w:val="20"/>
              </w:rPr>
              <w:t>(t.j. dvojkombinačná liečba) u pacientov nedostatočne glykemickou kompenzáciou</w:t>
            </w:r>
          </w:p>
          <w:p w14:paraId="1C5D1F19" w14:textId="77777777" w:rsidR="008645BA" w:rsidRPr="003E0B0A" w:rsidRDefault="008645BA" w:rsidP="008645BA">
            <w:pPr>
              <w:jc w:val="both"/>
              <w:rPr>
                <w:rFonts w:ascii="Arial" w:hAnsi="Arial" w:cs="Arial"/>
                <w:sz w:val="20"/>
                <w:szCs w:val="20"/>
              </w:rPr>
            </w:pPr>
          </w:p>
        </w:tc>
      </w:tr>
      <w:tr w:rsidR="008645BA" w:rsidRPr="0000591E" w14:paraId="6C24DDD9" w14:textId="77777777" w:rsidTr="003F7925">
        <w:trPr>
          <w:gridAfter w:val="2"/>
          <w:wAfter w:w="154" w:type="dxa"/>
          <w:trHeight w:val="20"/>
        </w:trPr>
        <w:tc>
          <w:tcPr>
            <w:tcW w:w="1256" w:type="dxa"/>
            <w:tcBorders>
              <w:bottom w:val="single" w:sz="4" w:space="0" w:color="auto"/>
            </w:tcBorders>
            <w:noWrap/>
            <w:vAlign w:val="bottom"/>
          </w:tcPr>
          <w:p w14:paraId="69F22F5A" w14:textId="77777777" w:rsidR="008645BA" w:rsidRPr="00F1092B" w:rsidRDefault="008645BA" w:rsidP="008645BA">
            <w:pPr>
              <w:jc w:val="both"/>
              <w:rPr>
                <w:rFonts w:ascii="Arial" w:hAnsi="Arial" w:cs="Arial"/>
                <w:b/>
                <w:bCs/>
                <w:sz w:val="20"/>
                <w:szCs w:val="20"/>
              </w:rPr>
            </w:pPr>
            <w:r w:rsidRPr="00F1092B">
              <w:rPr>
                <w:rFonts w:ascii="Arial" w:hAnsi="Arial" w:cs="Arial"/>
                <w:b/>
                <w:bCs/>
                <w:sz w:val="20"/>
                <w:szCs w:val="20"/>
              </w:rPr>
              <w:t>A10BK03</w:t>
            </w:r>
          </w:p>
        </w:tc>
        <w:tc>
          <w:tcPr>
            <w:tcW w:w="9452" w:type="dxa"/>
            <w:tcBorders>
              <w:bottom w:val="single" w:sz="4" w:space="0" w:color="auto"/>
            </w:tcBorders>
            <w:noWrap/>
            <w:vAlign w:val="bottom"/>
          </w:tcPr>
          <w:p w14:paraId="0B0F7C6B" w14:textId="77777777" w:rsidR="008645BA" w:rsidRPr="00F1092B" w:rsidRDefault="008645BA" w:rsidP="008645BA">
            <w:pPr>
              <w:jc w:val="both"/>
              <w:rPr>
                <w:rFonts w:ascii="Arial" w:hAnsi="Arial" w:cs="Arial"/>
                <w:b/>
                <w:bCs/>
                <w:sz w:val="20"/>
                <w:szCs w:val="20"/>
              </w:rPr>
            </w:pPr>
            <w:r w:rsidRPr="00F1092B">
              <w:rPr>
                <w:rFonts w:ascii="Arial" w:hAnsi="Arial" w:cs="Arial"/>
                <w:b/>
                <w:bCs/>
                <w:sz w:val="20"/>
                <w:szCs w:val="20"/>
              </w:rPr>
              <w:t>Empagliflozín  p.o. 10 mg</w:t>
            </w:r>
          </w:p>
        </w:tc>
      </w:tr>
      <w:tr w:rsidR="008645BA" w:rsidRPr="0000591E" w14:paraId="40D5140D" w14:textId="77777777" w:rsidTr="003F7925">
        <w:trPr>
          <w:gridAfter w:val="2"/>
          <w:wAfter w:w="154" w:type="dxa"/>
          <w:trHeight w:val="20"/>
        </w:trPr>
        <w:tc>
          <w:tcPr>
            <w:tcW w:w="1256" w:type="dxa"/>
            <w:noWrap/>
            <w:vAlign w:val="bottom"/>
          </w:tcPr>
          <w:p w14:paraId="5D5FCAE3" w14:textId="77777777" w:rsidR="008645BA" w:rsidRPr="0000591E" w:rsidRDefault="008645BA" w:rsidP="008645BA">
            <w:pPr>
              <w:jc w:val="both"/>
              <w:rPr>
                <w:rFonts w:ascii="Arial" w:hAnsi="Arial" w:cs="Arial"/>
                <w:b/>
                <w:bCs/>
                <w:sz w:val="20"/>
                <w:szCs w:val="20"/>
              </w:rPr>
            </w:pPr>
          </w:p>
        </w:tc>
        <w:tc>
          <w:tcPr>
            <w:tcW w:w="9452" w:type="dxa"/>
            <w:noWrap/>
            <w:vAlign w:val="bottom"/>
          </w:tcPr>
          <w:p w14:paraId="3EF74673"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Hradená liečba sa môže indikovať:</w:t>
            </w:r>
          </w:p>
          <w:p w14:paraId="2F567768"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1. u dospelých pacientov s diabetes mellitus 2. typu s nedostatočnou glykemickou kompenzáciou</w:t>
            </w:r>
            <w:r>
              <w:rPr>
                <w:rFonts w:ascii="Arial" w:hAnsi="Arial" w:cs="Arial"/>
                <w:bCs/>
                <w:sz w:val="20"/>
                <w:szCs w:val="20"/>
              </w:rPr>
              <w:t xml:space="preserve"> </w:t>
            </w:r>
            <w:r w:rsidRPr="00D4454F">
              <w:rPr>
                <w:rFonts w:ascii="Arial" w:hAnsi="Arial" w:cs="Arial"/>
                <w:bCs/>
                <w:sz w:val="20"/>
                <w:szCs w:val="20"/>
              </w:rPr>
              <w:t>(HbA1c ≥ 7 % podľa štandardu DCCT):</w:t>
            </w:r>
          </w:p>
          <w:p w14:paraId="232F8B27"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 v kombinácii s metformínom (t.j. dvojkombinačná liečba) alebo v kombinácii s metformínom a</w:t>
            </w:r>
            <w:r>
              <w:rPr>
                <w:rFonts w:ascii="Arial" w:hAnsi="Arial" w:cs="Arial"/>
                <w:bCs/>
                <w:sz w:val="20"/>
                <w:szCs w:val="20"/>
              </w:rPr>
              <w:t xml:space="preserve"> </w:t>
            </w:r>
            <w:r w:rsidRPr="00D4454F">
              <w:rPr>
                <w:rFonts w:ascii="Arial" w:hAnsi="Arial" w:cs="Arial"/>
                <w:bCs/>
                <w:sz w:val="20"/>
                <w:szCs w:val="20"/>
              </w:rPr>
              <w:t>sulfonylureou (t.j. trojkombinačná liečba), ako doplnok k diéte a cvičeniu u pacientov nedostatočne</w:t>
            </w:r>
            <w:r>
              <w:rPr>
                <w:rFonts w:ascii="Arial" w:hAnsi="Arial" w:cs="Arial"/>
                <w:bCs/>
                <w:sz w:val="20"/>
                <w:szCs w:val="20"/>
              </w:rPr>
              <w:t xml:space="preserve"> </w:t>
            </w:r>
            <w:r w:rsidRPr="00D4454F">
              <w:rPr>
                <w:rFonts w:ascii="Arial" w:hAnsi="Arial" w:cs="Arial"/>
                <w:bCs/>
                <w:sz w:val="20"/>
                <w:szCs w:val="20"/>
              </w:rPr>
              <w:t>kontrolovaných maximálnou tolerovanou dávkou metformínu alebo metformínu a</w:t>
            </w:r>
            <w:r>
              <w:rPr>
                <w:rFonts w:ascii="Arial" w:hAnsi="Arial" w:cs="Arial"/>
                <w:bCs/>
                <w:sz w:val="20"/>
                <w:szCs w:val="20"/>
              </w:rPr>
              <w:t xml:space="preserve"> </w:t>
            </w:r>
            <w:r w:rsidRPr="00D4454F">
              <w:rPr>
                <w:rFonts w:ascii="Arial" w:hAnsi="Arial" w:cs="Arial"/>
                <w:bCs/>
                <w:sz w:val="20"/>
                <w:szCs w:val="20"/>
              </w:rPr>
              <w:t>sulfonylmočoviny,</w:t>
            </w:r>
            <w:r>
              <w:rPr>
                <w:rFonts w:ascii="Arial" w:hAnsi="Arial" w:cs="Arial"/>
                <w:bCs/>
                <w:sz w:val="20"/>
                <w:szCs w:val="20"/>
              </w:rPr>
              <w:t xml:space="preserve">               </w:t>
            </w:r>
            <w:r w:rsidRPr="00D4454F">
              <w:rPr>
                <w:rFonts w:ascii="Arial" w:hAnsi="Arial" w:cs="Arial"/>
                <w:bCs/>
                <w:sz w:val="20"/>
                <w:szCs w:val="20"/>
              </w:rPr>
              <w:t>- v kombinácii s inzulínom (t.j. dvojkombinačná liečba) alebo v kombinácii s</w:t>
            </w:r>
            <w:r>
              <w:rPr>
                <w:rFonts w:ascii="Arial" w:hAnsi="Arial" w:cs="Arial"/>
                <w:bCs/>
                <w:sz w:val="20"/>
                <w:szCs w:val="20"/>
              </w:rPr>
              <w:t> </w:t>
            </w:r>
            <w:r w:rsidRPr="00D4454F">
              <w:rPr>
                <w:rFonts w:ascii="Arial" w:hAnsi="Arial" w:cs="Arial"/>
                <w:bCs/>
                <w:sz w:val="20"/>
                <w:szCs w:val="20"/>
              </w:rPr>
              <w:t>inzulínom</w:t>
            </w:r>
            <w:r>
              <w:rPr>
                <w:rFonts w:ascii="Arial" w:hAnsi="Arial" w:cs="Arial"/>
                <w:bCs/>
                <w:sz w:val="20"/>
                <w:szCs w:val="20"/>
              </w:rPr>
              <w:t xml:space="preserve"> </w:t>
            </w:r>
            <w:r w:rsidRPr="00D4454F">
              <w:rPr>
                <w:rFonts w:ascii="Arial" w:hAnsi="Arial" w:cs="Arial"/>
                <w:bCs/>
                <w:sz w:val="20"/>
                <w:szCs w:val="20"/>
              </w:rPr>
              <w:t>a metformínom (t.j. trojkombinačná liečba) ako doplnok k diéte a cvičeniu na zlepšenie kontroly</w:t>
            </w:r>
            <w:r>
              <w:rPr>
                <w:rFonts w:ascii="Arial" w:hAnsi="Arial" w:cs="Arial"/>
                <w:bCs/>
                <w:sz w:val="20"/>
                <w:szCs w:val="20"/>
              </w:rPr>
              <w:t xml:space="preserve"> </w:t>
            </w:r>
            <w:r w:rsidRPr="00D4454F">
              <w:rPr>
                <w:rFonts w:ascii="Arial" w:hAnsi="Arial" w:cs="Arial"/>
                <w:bCs/>
                <w:sz w:val="20"/>
                <w:szCs w:val="20"/>
              </w:rPr>
              <w:t>glykémie u pacientov, u ktorých samotná stabilná dávka inzulínu alebo inzulínu a</w:t>
            </w:r>
            <w:r>
              <w:rPr>
                <w:rFonts w:ascii="Arial" w:hAnsi="Arial" w:cs="Arial"/>
                <w:bCs/>
                <w:sz w:val="20"/>
                <w:szCs w:val="20"/>
              </w:rPr>
              <w:t> </w:t>
            </w:r>
            <w:r w:rsidRPr="00D4454F">
              <w:rPr>
                <w:rFonts w:ascii="Arial" w:hAnsi="Arial" w:cs="Arial"/>
                <w:bCs/>
                <w:sz w:val="20"/>
                <w:szCs w:val="20"/>
              </w:rPr>
              <w:t>metformínu</w:t>
            </w:r>
            <w:r>
              <w:rPr>
                <w:rFonts w:ascii="Arial" w:hAnsi="Arial" w:cs="Arial"/>
                <w:bCs/>
                <w:sz w:val="20"/>
                <w:szCs w:val="20"/>
              </w:rPr>
              <w:t xml:space="preserve"> </w:t>
            </w:r>
            <w:r w:rsidRPr="00D4454F">
              <w:rPr>
                <w:rFonts w:ascii="Arial" w:hAnsi="Arial" w:cs="Arial"/>
                <w:bCs/>
                <w:sz w:val="20"/>
                <w:szCs w:val="20"/>
              </w:rPr>
              <w:t>nezabezpečí dostatočnú kontrolu glykémie,</w:t>
            </w:r>
          </w:p>
          <w:p w14:paraId="71FA1DBF"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 pri kontraindikácii alebo intolerancii metforminu v monoterapii alebo v kombinácii so</w:t>
            </w:r>
            <w:r>
              <w:rPr>
                <w:rFonts w:ascii="Arial" w:hAnsi="Arial" w:cs="Arial"/>
                <w:bCs/>
                <w:sz w:val="20"/>
                <w:szCs w:val="20"/>
              </w:rPr>
              <w:t xml:space="preserve"> </w:t>
            </w:r>
            <w:r w:rsidRPr="00D4454F">
              <w:rPr>
                <w:rFonts w:ascii="Arial" w:hAnsi="Arial" w:cs="Arial"/>
                <w:bCs/>
                <w:sz w:val="20"/>
                <w:szCs w:val="20"/>
              </w:rPr>
              <w:t>sulfonylureou (t.j. dvojkombinačná liečba) u pacientov nedostatočne glykemickou kompenzáciou.</w:t>
            </w:r>
          </w:p>
          <w:p w14:paraId="23542CA3" w14:textId="77777777" w:rsidR="008645BA" w:rsidRDefault="008645BA" w:rsidP="008645BA">
            <w:pPr>
              <w:jc w:val="both"/>
              <w:rPr>
                <w:rFonts w:ascii="Arial" w:hAnsi="Arial" w:cs="Arial"/>
                <w:bCs/>
                <w:sz w:val="20"/>
                <w:szCs w:val="20"/>
              </w:rPr>
            </w:pPr>
          </w:p>
          <w:p w14:paraId="730161C4"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2. u dospelých pacientov so symptomatickým chronickým srdcovým zlyhávaním pri splnení nasledujúcich kritérií:</w:t>
            </w:r>
          </w:p>
          <w:p w14:paraId="17107EA9"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a) ejekčná frakcia ľavej komory ≤ 50 % a zároveň,</w:t>
            </w:r>
          </w:p>
          <w:p w14:paraId="6ED7E6F1"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b) napriek liečbe pretrvávajúce symptomatické srdcové zlyhávanie funkčnej triedy II až IV podľa NYHA</w:t>
            </w:r>
          </w:p>
          <w:p w14:paraId="6C544D5C" w14:textId="77777777" w:rsidR="00521592" w:rsidRDefault="00521592" w:rsidP="00521592">
            <w:pPr>
              <w:jc w:val="both"/>
              <w:rPr>
                <w:rFonts w:ascii="Arial" w:hAnsi="Arial" w:cs="Arial"/>
                <w:bCs/>
                <w:sz w:val="20"/>
                <w:szCs w:val="20"/>
              </w:rPr>
            </w:pPr>
          </w:p>
          <w:p w14:paraId="6BC3ABAD" w14:textId="639BD557" w:rsidR="00521592" w:rsidRPr="00521592" w:rsidRDefault="00521592" w:rsidP="00521592">
            <w:pPr>
              <w:jc w:val="both"/>
              <w:rPr>
                <w:rFonts w:ascii="Arial" w:hAnsi="Arial" w:cs="Arial"/>
                <w:bCs/>
                <w:sz w:val="20"/>
                <w:szCs w:val="20"/>
              </w:rPr>
            </w:pPr>
            <w:r w:rsidRPr="00521592">
              <w:rPr>
                <w:rFonts w:ascii="Arial" w:hAnsi="Arial" w:cs="Arial"/>
                <w:bCs/>
                <w:sz w:val="20"/>
                <w:szCs w:val="20"/>
              </w:rPr>
              <w:t>3. u dospelých pacientov so symptomatickým chronickým srdcovým zlyhávaním funkčnej triedy II až IV podľa NYHA a s ejekčnou frakciou ľavej komory &gt; 50 % (HFpEF – srdcové zlyhávanie so zachovanou funkciou ľavej komory). Pre indikáciu hradenej liečby je potrebné, aby koncentrácia biomarkera NT-proBNP dosiahla:</w:t>
            </w:r>
          </w:p>
          <w:p w14:paraId="4C9DFD10"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 ≥ 400 pg/ml pre pacientov vo veku &lt; 65 rokov, alebo</w:t>
            </w:r>
          </w:p>
          <w:p w14:paraId="64023A55"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 ≥ 900 pg/ml  pre pacientov vo veku ≥ 65 rokov, alebo</w:t>
            </w:r>
          </w:p>
          <w:p w14:paraId="294539FB" w14:textId="4484C1D2" w:rsidR="008645BA" w:rsidRDefault="00521592" w:rsidP="00521592">
            <w:pPr>
              <w:jc w:val="both"/>
              <w:rPr>
                <w:rFonts w:ascii="Arial" w:hAnsi="Arial" w:cs="Arial"/>
                <w:bCs/>
                <w:sz w:val="20"/>
                <w:szCs w:val="20"/>
              </w:rPr>
            </w:pPr>
            <w:r w:rsidRPr="00521592">
              <w:rPr>
                <w:rFonts w:ascii="Arial" w:hAnsi="Arial" w:cs="Arial"/>
                <w:bCs/>
                <w:sz w:val="20"/>
                <w:szCs w:val="20"/>
              </w:rPr>
              <w:t>- prítomnosť štrukturálnych a funkčných abnormalít srdca dokumentujúcich zvýšené plniace tlaky ľavej komory.</w:t>
            </w:r>
          </w:p>
          <w:p w14:paraId="284FAD72" w14:textId="77777777" w:rsidR="00521592" w:rsidRDefault="00521592" w:rsidP="008645BA">
            <w:pPr>
              <w:jc w:val="both"/>
              <w:rPr>
                <w:rFonts w:ascii="Arial" w:hAnsi="Arial" w:cs="Arial"/>
                <w:bCs/>
                <w:sz w:val="20"/>
                <w:szCs w:val="20"/>
              </w:rPr>
            </w:pPr>
          </w:p>
          <w:p w14:paraId="5FCE2893" w14:textId="7928ABB1" w:rsidR="008645BA" w:rsidRPr="00D4454F" w:rsidRDefault="008645BA" w:rsidP="008645BA">
            <w:pPr>
              <w:jc w:val="both"/>
              <w:rPr>
                <w:rFonts w:ascii="Arial" w:hAnsi="Arial" w:cs="Arial"/>
                <w:bCs/>
                <w:sz w:val="20"/>
                <w:szCs w:val="20"/>
              </w:rPr>
            </w:pPr>
            <w:r w:rsidRPr="00D4454F">
              <w:rPr>
                <w:rFonts w:ascii="Arial" w:hAnsi="Arial" w:cs="Arial"/>
                <w:bCs/>
                <w:sz w:val="20"/>
                <w:szCs w:val="20"/>
              </w:rPr>
              <w:t>4. u dospelých pacientov na liečbu chronickej choroby</w:t>
            </w:r>
            <w:r>
              <w:rPr>
                <w:rFonts w:ascii="Arial" w:hAnsi="Arial" w:cs="Arial"/>
                <w:bCs/>
                <w:sz w:val="20"/>
                <w:szCs w:val="20"/>
              </w:rPr>
              <w:t xml:space="preserve"> </w:t>
            </w:r>
            <w:r w:rsidRPr="00D4454F">
              <w:rPr>
                <w:rFonts w:ascii="Arial" w:hAnsi="Arial" w:cs="Arial"/>
                <w:bCs/>
                <w:sz w:val="20"/>
                <w:szCs w:val="20"/>
              </w:rPr>
              <w:t>obličiek s</w:t>
            </w:r>
          </w:p>
          <w:p w14:paraId="02F779CE"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a) eGFR ≥ 20 až &lt; 45 ml/min/1,73 m2 (0,33 – 0,75 ml/s) alebo s</w:t>
            </w:r>
          </w:p>
          <w:p w14:paraId="6B08849D" w14:textId="77777777" w:rsidR="008645BA" w:rsidRDefault="008645BA" w:rsidP="008645BA">
            <w:pPr>
              <w:jc w:val="both"/>
              <w:rPr>
                <w:rFonts w:ascii="Arial" w:hAnsi="Arial" w:cs="Arial"/>
                <w:bCs/>
                <w:sz w:val="20"/>
                <w:szCs w:val="20"/>
              </w:rPr>
            </w:pPr>
            <w:r w:rsidRPr="00D4454F">
              <w:rPr>
                <w:rFonts w:ascii="Arial" w:hAnsi="Arial" w:cs="Arial"/>
                <w:bCs/>
                <w:sz w:val="20"/>
                <w:szCs w:val="20"/>
              </w:rPr>
              <w:lastRenderedPageBreak/>
              <w:t>b) eGFR ≥ 45 až &lt; 90 ml/min/1,73 m2 (0,75 – 1,5 ml/s) a zároveň albuminúriou uACR ≥ 200 mg/g (uACR ≥20 mg/mmol),</w:t>
            </w:r>
            <w:r>
              <w:rPr>
                <w:rFonts w:ascii="Arial" w:hAnsi="Arial" w:cs="Arial"/>
                <w:bCs/>
                <w:sz w:val="20"/>
                <w:szCs w:val="20"/>
              </w:rPr>
              <w:t xml:space="preserve"> </w:t>
            </w:r>
            <w:r w:rsidRPr="00D4454F">
              <w:rPr>
                <w:rFonts w:ascii="Arial" w:hAnsi="Arial" w:cs="Arial"/>
                <w:bCs/>
                <w:sz w:val="20"/>
                <w:szCs w:val="20"/>
              </w:rPr>
              <w:t>ak sú zároveň liečení primeranou dávkou RAAS inhibítora, alebo majú kontraindikovanú</w:t>
            </w:r>
            <w:r>
              <w:rPr>
                <w:rFonts w:ascii="Arial" w:hAnsi="Arial" w:cs="Arial"/>
                <w:bCs/>
                <w:sz w:val="20"/>
                <w:szCs w:val="20"/>
              </w:rPr>
              <w:t xml:space="preserve"> </w:t>
            </w:r>
            <w:r w:rsidRPr="00D4454F">
              <w:rPr>
                <w:rFonts w:ascii="Arial" w:hAnsi="Arial" w:cs="Arial"/>
                <w:bCs/>
                <w:sz w:val="20"/>
                <w:szCs w:val="20"/>
              </w:rPr>
              <w:t>liečbu RAAS inhibítorom, či liečbu RAAS inhibítorom netolerujú.</w:t>
            </w:r>
          </w:p>
          <w:p w14:paraId="2E360DB4" w14:textId="77777777" w:rsidR="008645BA" w:rsidRDefault="008645BA" w:rsidP="008645BA">
            <w:pPr>
              <w:jc w:val="both"/>
              <w:rPr>
                <w:rFonts w:ascii="Arial" w:hAnsi="Arial" w:cs="Arial"/>
                <w:bCs/>
                <w:sz w:val="20"/>
                <w:szCs w:val="20"/>
              </w:rPr>
            </w:pPr>
            <w:r w:rsidRPr="00D4454F">
              <w:rPr>
                <w:rFonts w:ascii="Arial" w:hAnsi="Arial" w:cs="Arial"/>
                <w:bCs/>
                <w:sz w:val="20"/>
                <w:szCs w:val="20"/>
              </w:rPr>
              <w:t>Liečba nie je hradená pre pacientov s geneticky podmienenou polycystickou chorobou obličiek alebo s diabetes mellitus 1. typu.</w:t>
            </w:r>
          </w:p>
          <w:p w14:paraId="6AB87107" w14:textId="77777777" w:rsidR="008645BA" w:rsidRPr="00D4454F" w:rsidRDefault="008645BA" w:rsidP="008645BA">
            <w:pPr>
              <w:jc w:val="both"/>
              <w:rPr>
                <w:rFonts w:ascii="Arial" w:hAnsi="Arial" w:cs="Arial"/>
                <w:bCs/>
                <w:sz w:val="20"/>
                <w:szCs w:val="20"/>
              </w:rPr>
            </w:pPr>
          </w:p>
        </w:tc>
      </w:tr>
      <w:tr w:rsidR="008645BA" w:rsidRPr="0000591E" w14:paraId="483924EC" w14:textId="77777777" w:rsidTr="003F7925">
        <w:trPr>
          <w:gridAfter w:val="2"/>
          <w:wAfter w:w="154" w:type="dxa"/>
          <w:trHeight w:val="20"/>
        </w:trPr>
        <w:tc>
          <w:tcPr>
            <w:tcW w:w="1256" w:type="dxa"/>
            <w:tcBorders>
              <w:bottom w:val="single" w:sz="4" w:space="0" w:color="auto"/>
            </w:tcBorders>
            <w:noWrap/>
            <w:vAlign w:val="bottom"/>
          </w:tcPr>
          <w:p w14:paraId="496F0FE3" w14:textId="77777777" w:rsidR="008645BA" w:rsidRPr="0000591E" w:rsidRDefault="008645BA" w:rsidP="008645BA">
            <w:pPr>
              <w:jc w:val="both"/>
              <w:rPr>
                <w:rFonts w:ascii="Arial" w:hAnsi="Arial" w:cs="Arial"/>
                <w:b/>
                <w:bCs/>
                <w:sz w:val="20"/>
                <w:szCs w:val="20"/>
              </w:rPr>
            </w:pPr>
            <w:r w:rsidRPr="0089047B">
              <w:rPr>
                <w:rFonts w:ascii="Arial" w:hAnsi="Arial" w:cs="Arial"/>
                <w:b/>
                <w:bCs/>
                <w:sz w:val="20"/>
                <w:szCs w:val="20"/>
              </w:rPr>
              <w:lastRenderedPageBreak/>
              <w:t>A10BK03</w:t>
            </w:r>
          </w:p>
        </w:tc>
        <w:tc>
          <w:tcPr>
            <w:tcW w:w="9452" w:type="dxa"/>
            <w:tcBorders>
              <w:bottom w:val="single" w:sz="4" w:space="0" w:color="auto"/>
            </w:tcBorders>
            <w:noWrap/>
            <w:vAlign w:val="bottom"/>
          </w:tcPr>
          <w:p w14:paraId="44C15726" w14:textId="77777777" w:rsidR="008645BA" w:rsidRPr="002D33AB" w:rsidRDefault="008645BA" w:rsidP="008645BA">
            <w:pPr>
              <w:jc w:val="both"/>
              <w:rPr>
                <w:rFonts w:ascii="Arial" w:hAnsi="Arial" w:cs="Arial"/>
                <w:b/>
                <w:bCs/>
                <w:sz w:val="20"/>
                <w:szCs w:val="20"/>
              </w:rPr>
            </w:pPr>
            <w:r>
              <w:rPr>
                <w:rFonts w:ascii="Arial" w:hAnsi="Arial" w:cs="Arial"/>
                <w:b/>
                <w:bCs/>
                <w:sz w:val="20"/>
                <w:szCs w:val="20"/>
              </w:rPr>
              <w:t>Empagliflozín  p.o. 25</w:t>
            </w:r>
            <w:r w:rsidRPr="002D33AB">
              <w:rPr>
                <w:rFonts w:ascii="Arial" w:hAnsi="Arial" w:cs="Arial"/>
                <w:b/>
                <w:bCs/>
                <w:sz w:val="20"/>
                <w:szCs w:val="20"/>
              </w:rPr>
              <w:t xml:space="preserve"> mg</w:t>
            </w:r>
          </w:p>
        </w:tc>
      </w:tr>
      <w:tr w:rsidR="008645BA" w:rsidRPr="0000591E" w14:paraId="600349E6" w14:textId="77777777" w:rsidTr="003F7925">
        <w:trPr>
          <w:gridAfter w:val="2"/>
          <w:wAfter w:w="154" w:type="dxa"/>
          <w:trHeight w:val="20"/>
        </w:trPr>
        <w:tc>
          <w:tcPr>
            <w:tcW w:w="1256" w:type="dxa"/>
            <w:tcBorders>
              <w:top w:val="single" w:sz="4" w:space="0" w:color="auto"/>
            </w:tcBorders>
            <w:noWrap/>
            <w:vAlign w:val="bottom"/>
          </w:tcPr>
          <w:p w14:paraId="534A3C96" w14:textId="77777777" w:rsidR="008645BA" w:rsidRDefault="008645BA" w:rsidP="008645BA">
            <w:pPr>
              <w:jc w:val="both"/>
              <w:rPr>
                <w:rFonts w:ascii="Arial" w:hAnsi="Arial" w:cs="Arial"/>
                <w:sz w:val="20"/>
                <w:szCs w:val="20"/>
              </w:rPr>
            </w:pPr>
          </w:p>
          <w:p w14:paraId="620331F0" w14:textId="77777777" w:rsidR="008645BA" w:rsidRDefault="008645BA" w:rsidP="008645BA">
            <w:pPr>
              <w:jc w:val="both"/>
              <w:rPr>
                <w:rFonts w:ascii="Arial" w:hAnsi="Arial" w:cs="Arial"/>
                <w:sz w:val="20"/>
                <w:szCs w:val="20"/>
              </w:rPr>
            </w:pPr>
          </w:p>
          <w:p w14:paraId="2F9FB029" w14:textId="77777777" w:rsidR="008645BA" w:rsidRDefault="008645BA" w:rsidP="008645BA">
            <w:pPr>
              <w:jc w:val="both"/>
              <w:rPr>
                <w:rFonts w:ascii="Arial" w:hAnsi="Arial" w:cs="Arial"/>
                <w:sz w:val="20"/>
                <w:szCs w:val="20"/>
              </w:rPr>
            </w:pPr>
          </w:p>
          <w:p w14:paraId="1C35E4EC" w14:textId="77777777" w:rsidR="008645BA" w:rsidRDefault="008645BA" w:rsidP="008645BA">
            <w:pPr>
              <w:jc w:val="both"/>
              <w:rPr>
                <w:rFonts w:ascii="Arial" w:hAnsi="Arial" w:cs="Arial"/>
                <w:sz w:val="20"/>
                <w:szCs w:val="20"/>
              </w:rPr>
            </w:pPr>
          </w:p>
          <w:p w14:paraId="5A9BE4E9"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29A99ACF"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Hradená liečba sa môže indikovať </w:t>
            </w:r>
          </w:p>
          <w:p w14:paraId="6AA4BAB5"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1. u dospelých pacientov s diabetes mellitus 2. typu s nedostatočnou glykemickou kompenzáciou (HbA1c ≥ 7 % podľa štandardu DCCT): </w:t>
            </w:r>
          </w:p>
          <w:p w14:paraId="4C9BA4D8"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 v kombinácii s metformínom (t.j. dvojkombinačná liečba) alebo v kombinácii s metformínom a sulfonylureou (t.j. trojkombinačná liečba), ako doplnok k diéte a cvičeniu u pacientov nedostatočne kontrolovaných maximálnou tolerovanou dávkou metformínu alebo metformínu a sulfonylmočoviny, </w:t>
            </w:r>
          </w:p>
          <w:p w14:paraId="0A0FCC50"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 v kombinácii s inzulínom (t.j. dvojkombinačná liečba) alebo v kombinácii s inzulínom a metformínom (t.j. trojkombinačná liečba) ako doplnok k diéte a cvičeniu na zlepšenie kontroly glykémie u pacientov, u ktorých samotná stabilná dávka inzulínu alebo inzulínu a metformínu nezabezpečí dostatočnú kontrolu glykémie. </w:t>
            </w:r>
          </w:p>
          <w:p w14:paraId="1B1DC460" w14:textId="77777777" w:rsidR="008645BA" w:rsidRPr="00C40B9C" w:rsidRDefault="008645BA" w:rsidP="008645BA">
            <w:pPr>
              <w:autoSpaceDE w:val="0"/>
              <w:autoSpaceDN w:val="0"/>
              <w:adjustRightInd w:val="0"/>
              <w:spacing w:after="180"/>
              <w:jc w:val="both"/>
              <w:rPr>
                <w:rFonts w:ascii="Arial" w:hAnsi="Arial" w:cs="Arial"/>
                <w:sz w:val="20"/>
                <w:szCs w:val="20"/>
              </w:rPr>
            </w:pPr>
            <w:r w:rsidRPr="00DC057E">
              <w:rPr>
                <w:rFonts w:ascii="Arial" w:hAnsi="Arial" w:cs="Arial"/>
                <w:sz w:val="20"/>
                <w:szCs w:val="20"/>
              </w:rPr>
              <w:t xml:space="preserve">- pri kontraindikácii alebo intolerancii metforminu v monoterapii alebo v kombinácii so sulfonylureou (t.j. dvojkombinačná liečba) u pacientov nedostatočne glykemickou kompenzáciou. </w:t>
            </w:r>
          </w:p>
        </w:tc>
      </w:tr>
      <w:tr w:rsidR="008645BA" w:rsidRPr="0000591E" w14:paraId="425094DA" w14:textId="77777777" w:rsidTr="003F7925">
        <w:trPr>
          <w:gridAfter w:val="2"/>
          <w:wAfter w:w="154" w:type="dxa"/>
          <w:trHeight w:val="20"/>
        </w:trPr>
        <w:tc>
          <w:tcPr>
            <w:tcW w:w="1256" w:type="dxa"/>
            <w:tcBorders>
              <w:bottom w:val="single" w:sz="4" w:space="0" w:color="auto"/>
            </w:tcBorders>
            <w:noWrap/>
            <w:vAlign w:val="bottom"/>
          </w:tcPr>
          <w:p w14:paraId="1AFD8664"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A11CC01</w:t>
            </w:r>
          </w:p>
          <w:p w14:paraId="2B4E66C2"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A11CC03</w:t>
            </w:r>
          </w:p>
          <w:p w14:paraId="68588849"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A11DA01</w:t>
            </w:r>
          </w:p>
          <w:p w14:paraId="637A124E" w14:textId="17A1BEA1" w:rsidR="008645BA" w:rsidRPr="0000591E" w:rsidRDefault="008645BA" w:rsidP="008645BA">
            <w:pPr>
              <w:jc w:val="both"/>
              <w:rPr>
                <w:rFonts w:ascii="Arial" w:hAnsi="Arial" w:cs="Arial"/>
                <w:b/>
                <w:bCs/>
                <w:sz w:val="20"/>
                <w:szCs w:val="20"/>
              </w:rPr>
            </w:pPr>
            <w:r w:rsidRPr="00664BF8">
              <w:rPr>
                <w:rFonts w:ascii="Arial" w:hAnsi="Arial" w:cs="Arial"/>
                <w:b/>
                <w:bCs/>
                <w:sz w:val="20"/>
                <w:szCs w:val="20"/>
              </w:rPr>
              <w:t>A11DB</w:t>
            </w:r>
          </w:p>
        </w:tc>
        <w:tc>
          <w:tcPr>
            <w:tcW w:w="9452" w:type="dxa"/>
            <w:tcBorders>
              <w:bottom w:val="single" w:sz="4" w:space="0" w:color="auto"/>
            </w:tcBorders>
            <w:noWrap/>
            <w:vAlign w:val="bottom"/>
          </w:tcPr>
          <w:p w14:paraId="67734F09"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Ergokalciferol</w:t>
            </w:r>
            <w:r>
              <w:rPr>
                <w:rFonts w:ascii="Arial" w:hAnsi="Arial" w:cs="Arial"/>
                <w:b/>
                <w:bCs/>
                <w:sz w:val="20"/>
                <w:szCs w:val="20"/>
              </w:rPr>
              <w:t xml:space="preserve"> parent. 7,5 mg,</w:t>
            </w:r>
          </w:p>
          <w:p w14:paraId="05398332"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Alfakalcidol</w:t>
            </w:r>
            <w:r>
              <w:rPr>
                <w:rFonts w:ascii="Arial" w:hAnsi="Arial" w:cs="Arial"/>
                <w:b/>
                <w:bCs/>
                <w:sz w:val="20"/>
                <w:szCs w:val="20"/>
              </w:rPr>
              <w:t xml:space="preserve"> p.o. 1 mcg,</w:t>
            </w:r>
          </w:p>
          <w:p w14:paraId="24B96B43"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Thiamín (vit.B1)</w:t>
            </w:r>
            <w:r>
              <w:rPr>
                <w:rFonts w:ascii="Arial" w:hAnsi="Arial" w:cs="Arial"/>
                <w:b/>
                <w:bCs/>
                <w:sz w:val="20"/>
                <w:szCs w:val="20"/>
              </w:rPr>
              <w:t xml:space="preserve"> </w:t>
            </w:r>
            <w:r w:rsidRPr="00664BF8">
              <w:rPr>
                <w:rFonts w:ascii="Arial" w:hAnsi="Arial" w:cs="Arial"/>
                <w:b/>
                <w:bCs/>
                <w:sz w:val="20"/>
                <w:szCs w:val="20"/>
              </w:rPr>
              <w:t>parent. 100 mg</w:t>
            </w:r>
            <w:r>
              <w:rPr>
                <w:rFonts w:ascii="Arial" w:hAnsi="Arial" w:cs="Arial"/>
                <w:b/>
                <w:bCs/>
                <w:sz w:val="20"/>
                <w:szCs w:val="20"/>
              </w:rPr>
              <w:t>,</w:t>
            </w:r>
          </w:p>
          <w:p w14:paraId="5D1D263B" w14:textId="3258AF1A" w:rsidR="008645BA" w:rsidRPr="0000591E" w:rsidRDefault="008645BA" w:rsidP="008645BA">
            <w:pPr>
              <w:jc w:val="both"/>
              <w:rPr>
                <w:rFonts w:ascii="Arial" w:hAnsi="Arial" w:cs="Arial"/>
                <w:b/>
                <w:bCs/>
                <w:sz w:val="20"/>
                <w:szCs w:val="20"/>
              </w:rPr>
            </w:pPr>
            <w:r w:rsidRPr="00664BF8">
              <w:rPr>
                <w:rFonts w:ascii="Arial" w:hAnsi="Arial" w:cs="Arial"/>
                <w:b/>
                <w:bCs/>
                <w:sz w:val="20"/>
                <w:szCs w:val="20"/>
              </w:rPr>
              <w:t>Vitamín B1 v kombinácii s vitamínom B6 alebo s vitamínom B12</w:t>
            </w:r>
            <w:r>
              <w:rPr>
                <w:rFonts w:ascii="Arial" w:hAnsi="Arial" w:cs="Arial"/>
                <w:b/>
                <w:bCs/>
                <w:sz w:val="20"/>
                <w:szCs w:val="20"/>
              </w:rPr>
              <w:t xml:space="preserve"> </w:t>
            </w:r>
            <w:r w:rsidRPr="00664BF8">
              <w:rPr>
                <w:rFonts w:ascii="Arial" w:hAnsi="Arial" w:cs="Arial"/>
                <w:b/>
                <w:bCs/>
                <w:sz w:val="20"/>
                <w:szCs w:val="20"/>
              </w:rPr>
              <w:t>parent. 100 mg/50 mg/ml</w:t>
            </w:r>
          </w:p>
        </w:tc>
      </w:tr>
      <w:tr w:rsidR="008645BA" w:rsidRPr="0000591E" w14:paraId="6BCE8290" w14:textId="77777777" w:rsidTr="003F7925">
        <w:trPr>
          <w:gridAfter w:val="2"/>
          <w:wAfter w:w="154" w:type="dxa"/>
          <w:trHeight w:val="781"/>
        </w:trPr>
        <w:tc>
          <w:tcPr>
            <w:tcW w:w="1256" w:type="dxa"/>
            <w:tcBorders>
              <w:top w:val="single" w:sz="4" w:space="0" w:color="auto"/>
            </w:tcBorders>
            <w:noWrap/>
            <w:vAlign w:val="bottom"/>
          </w:tcPr>
          <w:p w14:paraId="286B4CDC"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37704959"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sa môže indikovať u detí do dovŕšenia 18. roku veku s onkologickým ochorením (diagnózy od C00 do D48 podľa Medzinárodnej klasifikácie chorôb 10) a u týchto diagnóz je hradená plne.</w:t>
            </w:r>
          </w:p>
          <w:p w14:paraId="69BAA25D" w14:textId="77777777" w:rsidR="008645BA" w:rsidRPr="0000591E" w:rsidRDefault="008645BA" w:rsidP="008645BA">
            <w:pPr>
              <w:jc w:val="both"/>
              <w:rPr>
                <w:rFonts w:ascii="Arial" w:hAnsi="Arial" w:cs="Arial"/>
                <w:sz w:val="20"/>
                <w:szCs w:val="20"/>
              </w:rPr>
            </w:pPr>
          </w:p>
          <w:p w14:paraId="37F3AB1E" w14:textId="47C3E397" w:rsidR="008645BA" w:rsidRDefault="008645BA" w:rsidP="008645BA">
            <w:pPr>
              <w:jc w:val="both"/>
              <w:rPr>
                <w:rFonts w:ascii="Arial" w:hAnsi="Arial" w:cs="Arial"/>
                <w:sz w:val="20"/>
                <w:szCs w:val="20"/>
              </w:rPr>
            </w:pPr>
            <w:r>
              <w:rPr>
                <w:rFonts w:ascii="Arial" w:hAnsi="Arial" w:cs="Arial"/>
                <w:sz w:val="20"/>
                <w:szCs w:val="20"/>
              </w:rPr>
              <w:t>Liečba je hradená v indikáciách uvedených v platnom súhrne charakteristických vlastností lieku (SPC).</w:t>
            </w:r>
          </w:p>
          <w:p w14:paraId="19F875DE" w14:textId="3C2F92D4" w:rsidR="008645BA" w:rsidRPr="0000591E" w:rsidRDefault="008645BA" w:rsidP="008645BA">
            <w:pPr>
              <w:jc w:val="both"/>
              <w:rPr>
                <w:rFonts w:ascii="Arial" w:hAnsi="Arial" w:cs="Arial"/>
                <w:sz w:val="20"/>
                <w:szCs w:val="20"/>
              </w:rPr>
            </w:pPr>
          </w:p>
        </w:tc>
      </w:tr>
      <w:tr w:rsidR="00FD1A7C" w:rsidRPr="00E4248D" w14:paraId="429125FD" w14:textId="77777777" w:rsidTr="003F7925">
        <w:trPr>
          <w:gridAfter w:val="2"/>
          <w:wAfter w:w="154" w:type="dxa"/>
          <w:trHeight w:val="394"/>
        </w:trPr>
        <w:tc>
          <w:tcPr>
            <w:tcW w:w="1256" w:type="dxa"/>
            <w:tcBorders>
              <w:bottom w:val="single" w:sz="4" w:space="0" w:color="auto"/>
            </w:tcBorders>
            <w:noWrap/>
            <w:vAlign w:val="bottom"/>
          </w:tcPr>
          <w:p w14:paraId="74BB89FD" w14:textId="77777777" w:rsidR="00FD1A7C" w:rsidRDefault="00FD1A7C" w:rsidP="00FD1A7C">
            <w:pPr>
              <w:jc w:val="both"/>
              <w:rPr>
                <w:rFonts w:ascii="Arial" w:hAnsi="Arial" w:cs="Arial"/>
                <w:b/>
                <w:sz w:val="20"/>
                <w:szCs w:val="20"/>
              </w:rPr>
            </w:pPr>
          </w:p>
          <w:p w14:paraId="7AB0A5E1" w14:textId="52BE96C9" w:rsidR="00FD1A7C" w:rsidRDefault="00FD1A7C" w:rsidP="00FD1A7C">
            <w:pPr>
              <w:jc w:val="both"/>
              <w:rPr>
                <w:rFonts w:ascii="Arial" w:hAnsi="Arial" w:cs="Arial"/>
                <w:b/>
                <w:sz w:val="20"/>
                <w:szCs w:val="20"/>
              </w:rPr>
            </w:pPr>
            <w:r w:rsidRPr="00E4248D">
              <w:rPr>
                <w:rFonts w:ascii="Arial" w:hAnsi="Arial" w:cs="Arial"/>
                <w:b/>
                <w:sz w:val="20"/>
                <w:szCs w:val="20"/>
              </w:rPr>
              <w:t>A12BA30</w:t>
            </w:r>
          </w:p>
        </w:tc>
        <w:tc>
          <w:tcPr>
            <w:tcW w:w="9452" w:type="dxa"/>
            <w:tcBorders>
              <w:bottom w:val="single" w:sz="4" w:space="0" w:color="auto"/>
            </w:tcBorders>
            <w:noWrap/>
            <w:vAlign w:val="bottom"/>
          </w:tcPr>
          <w:p w14:paraId="1BB6DB4B" w14:textId="77777777" w:rsidR="00FD1A7C" w:rsidRDefault="00FD1A7C" w:rsidP="00FD1A7C">
            <w:pPr>
              <w:jc w:val="both"/>
              <w:rPr>
                <w:rFonts w:ascii="Arial" w:hAnsi="Arial" w:cs="Arial"/>
                <w:b/>
                <w:sz w:val="20"/>
                <w:szCs w:val="20"/>
              </w:rPr>
            </w:pPr>
            <w:r w:rsidRPr="00E4248D">
              <w:rPr>
                <w:rFonts w:ascii="Arial" w:hAnsi="Arial" w:cs="Arial"/>
                <w:b/>
                <w:sz w:val="20"/>
                <w:szCs w:val="20"/>
              </w:rPr>
              <w:t xml:space="preserve">Draslík, kombinácie p.o. predĺžené uvoľňovanie 8 mEq </w:t>
            </w:r>
          </w:p>
          <w:p w14:paraId="65D8A079" w14:textId="5107869D" w:rsidR="00FD1A7C" w:rsidRPr="00E4248D" w:rsidRDefault="00FD1A7C" w:rsidP="00FD1A7C">
            <w:pPr>
              <w:jc w:val="both"/>
              <w:rPr>
                <w:rFonts w:ascii="Arial" w:hAnsi="Arial" w:cs="Arial"/>
                <w:b/>
                <w:sz w:val="20"/>
                <w:szCs w:val="20"/>
              </w:rPr>
            </w:pPr>
            <w:r w:rsidRPr="00453663">
              <w:rPr>
                <w:rFonts w:ascii="Arial" w:hAnsi="Arial" w:cs="Arial"/>
                <w:b/>
                <w:sz w:val="20"/>
                <w:szCs w:val="20"/>
              </w:rPr>
              <w:t>Draslík, kombinácie</w:t>
            </w:r>
            <w:r>
              <w:rPr>
                <w:rFonts w:ascii="Arial" w:hAnsi="Arial" w:cs="Arial"/>
                <w:b/>
                <w:sz w:val="20"/>
                <w:szCs w:val="20"/>
              </w:rPr>
              <w:t xml:space="preserve"> </w:t>
            </w:r>
            <w:r w:rsidRPr="00453663">
              <w:rPr>
                <w:rFonts w:ascii="Arial" w:hAnsi="Arial" w:cs="Arial"/>
                <w:b/>
                <w:sz w:val="20"/>
                <w:szCs w:val="20"/>
              </w:rPr>
              <w:t>p.o. pre</w:t>
            </w:r>
            <w:r>
              <w:rPr>
                <w:rFonts w:ascii="Arial" w:hAnsi="Arial" w:cs="Arial"/>
                <w:b/>
                <w:sz w:val="20"/>
                <w:szCs w:val="20"/>
              </w:rPr>
              <w:t>dĺžené uvoľňovanie 24 mEq</w:t>
            </w:r>
          </w:p>
        </w:tc>
      </w:tr>
      <w:tr w:rsidR="008645BA" w:rsidRPr="00E4248D" w14:paraId="3780BD3A" w14:textId="77777777" w:rsidTr="003F7925">
        <w:trPr>
          <w:gridAfter w:val="2"/>
          <w:wAfter w:w="154" w:type="dxa"/>
          <w:trHeight w:val="394"/>
        </w:trPr>
        <w:tc>
          <w:tcPr>
            <w:tcW w:w="1256" w:type="dxa"/>
            <w:tcBorders>
              <w:top w:val="single" w:sz="4" w:space="0" w:color="auto"/>
            </w:tcBorders>
            <w:noWrap/>
            <w:vAlign w:val="bottom"/>
          </w:tcPr>
          <w:p w14:paraId="7A89C008" w14:textId="77777777" w:rsidR="008645BA" w:rsidRPr="00E4248D" w:rsidRDefault="008645BA" w:rsidP="008645BA">
            <w:pPr>
              <w:jc w:val="both"/>
              <w:rPr>
                <w:rFonts w:ascii="Arial" w:hAnsi="Arial" w:cs="Arial"/>
                <w:b/>
                <w:sz w:val="20"/>
                <w:szCs w:val="20"/>
              </w:rPr>
            </w:pPr>
          </w:p>
        </w:tc>
        <w:tc>
          <w:tcPr>
            <w:tcW w:w="9452" w:type="dxa"/>
            <w:tcBorders>
              <w:top w:val="single" w:sz="4" w:space="0" w:color="auto"/>
            </w:tcBorders>
            <w:noWrap/>
            <w:vAlign w:val="bottom"/>
          </w:tcPr>
          <w:p w14:paraId="1198F0B7" w14:textId="77777777" w:rsidR="008645BA" w:rsidRDefault="008645BA" w:rsidP="008645BA">
            <w:pPr>
              <w:jc w:val="both"/>
              <w:rPr>
                <w:rFonts w:ascii="Arial" w:hAnsi="Arial" w:cs="Arial"/>
                <w:sz w:val="20"/>
                <w:szCs w:val="20"/>
              </w:rPr>
            </w:pPr>
            <w:r w:rsidRPr="00453663">
              <w:rPr>
                <w:rFonts w:ascii="Arial" w:hAnsi="Arial" w:cs="Arial"/>
                <w:sz w:val="20"/>
                <w:szCs w:val="20"/>
              </w:rPr>
              <w:t>Fixná kombinácia citrátu draselného a bikarbonátu draselného je hradená na liečbu distálnej renálnej tubulárnej acidózy (dRTA) u dospelých, dospievajúcich a detí vo veku od jedného roka.</w:t>
            </w:r>
          </w:p>
          <w:p w14:paraId="33574F0F" w14:textId="77777777" w:rsidR="008645BA" w:rsidRPr="00453663" w:rsidRDefault="008645BA" w:rsidP="008645BA">
            <w:pPr>
              <w:jc w:val="both"/>
              <w:rPr>
                <w:rFonts w:ascii="Arial" w:hAnsi="Arial" w:cs="Arial"/>
                <w:sz w:val="20"/>
                <w:szCs w:val="20"/>
              </w:rPr>
            </w:pPr>
          </w:p>
        </w:tc>
      </w:tr>
      <w:tr w:rsidR="008645BA" w:rsidRPr="0000591E" w14:paraId="4D5E104A" w14:textId="77777777" w:rsidTr="003F7925">
        <w:trPr>
          <w:gridAfter w:val="2"/>
          <w:wAfter w:w="154" w:type="dxa"/>
          <w:trHeight w:val="20"/>
        </w:trPr>
        <w:tc>
          <w:tcPr>
            <w:tcW w:w="1256" w:type="dxa"/>
            <w:tcBorders>
              <w:bottom w:val="single" w:sz="4" w:space="0" w:color="auto"/>
            </w:tcBorders>
            <w:noWrap/>
            <w:vAlign w:val="bottom"/>
          </w:tcPr>
          <w:p w14:paraId="60E83E8C"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A16AA05</w:t>
            </w:r>
          </w:p>
        </w:tc>
        <w:tc>
          <w:tcPr>
            <w:tcW w:w="9452" w:type="dxa"/>
            <w:tcBorders>
              <w:bottom w:val="single" w:sz="4" w:space="0" w:color="auto"/>
            </w:tcBorders>
            <w:noWrap/>
            <w:vAlign w:val="bottom"/>
          </w:tcPr>
          <w:p w14:paraId="48B470F4"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Kyselina karglumová p.o. 200 mg</w:t>
            </w:r>
          </w:p>
        </w:tc>
      </w:tr>
      <w:tr w:rsidR="008645BA" w:rsidRPr="0000591E" w14:paraId="188386E4" w14:textId="77777777" w:rsidTr="003F7925">
        <w:trPr>
          <w:gridAfter w:val="2"/>
          <w:wAfter w:w="154" w:type="dxa"/>
          <w:trHeight w:val="20"/>
        </w:trPr>
        <w:tc>
          <w:tcPr>
            <w:tcW w:w="1256" w:type="dxa"/>
            <w:tcBorders>
              <w:top w:val="single" w:sz="4" w:space="0" w:color="auto"/>
            </w:tcBorders>
            <w:noWrap/>
            <w:vAlign w:val="bottom"/>
          </w:tcPr>
          <w:p w14:paraId="2CA3C3F2"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21A0E552" w14:textId="77777777" w:rsidR="008645BA" w:rsidRDefault="008645BA" w:rsidP="008645BA">
            <w:pPr>
              <w:jc w:val="both"/>
              <w:rPr>
                <w:rFonts w:ascii="Arial" w:hAnsi="Arial" w:cs="Arial"/>
                <w:bCs/>
                <w:sz w:val="20"/>
                <w:szCs w:val="20"/>
              </w:rPr>
            </w:pPr>
            <w:r w:rsidRPr="006A0BA5">
              <w:rPr>
                <w:rFonts w:ascii="Arial" w:hAnsi="Arial" w:cs="Arial"/>
                <w:bCs/>
                <w:sz w:val="20"/>
                <w:szCs w:val="20"/>
              </w:rPr>
              <w:t xml:space="preserve">Hradená liečba sa môže indikovať u pacientov s hyperamonémiou spôsobenou </w:t>
            </w:r>
          </w:p>
          <w:p w14:paraId="363CFFEF" w14:textId="77777777" w:rsidR="008645BA" w:rsidRPr="006A0BA5" w:rsidRDefault="008645BA" w:rsidP="008645BA">
            <w:pPr>
              <w:jc w:val="both"/>
              <w:rPr>
                <w:rFonts w:ascii="Arial" w:hAnsi="Arial" w:cs="Arial"/>
                <w:bCs/>
                <w:sz w:val="20"/>
                <w:szCs w:val="20"/>
              </w:rPr>
            </w:pPr>
            <w:r>
              <w:rPr>
                <w:rFonts w:ascii="Arial" w:hAnsi="Arial" w:cs="Arial"/>
                <w:bCs/>
                <w:sz w:val="20"/>
                <w:szCs w:val="20"/>
              </w:rPr>
              <w:t xml:space="preserve">a) </w:t>
            </w:r>
            <w:r w:rsidRPr="006A0BA5">
              <w:rPr>
                <w:rFonts w:ascii="Arial" w:hAnsi="Arial" w:cs="Arial"/>
                <w:bCs/>
                <w:sz w:val="20"/>
                <w:szCs w:val="20"/>
              </w:rPr>
              <w:t>primárnym deficitom syntázy N-acetylglutamátu,</w:t>
            </w:r>
          </w:p>
          <w:p w14:paraId="5D334199" w14:textId="77777777" w:rsidR="008645BA" w:rsidRPr="006A0BA5" w:rsidRDefault="008645BA" w:rsidP="008645BA">
            <w:pPr>
              <w:jc w:val="both"/>
              <w:rPr>
                <w:rFonts w:ascii="Arial" w:hAnsi="Arial" w:cs="Arial"/>
                <w:bCs/>
                <w:sz w:val="20"/>
                <w:szCs w:val="20"/>
              </w:rPr>
            </w:pPr>
            <w:r>
              <w:rPr>
                <w:rFonts w:ascii="Arial" w:hAnsi="Arial" w:cs="Arial"/>
                <w:bCs/>
                <w:sz w:val="20"/>
                <w:szCs w:val="20"/>
              </w:rPr>
              <w:t>b )</w:t>
            </w:r>
            <w:r w:rsidRPr="006A0BA5">
              <w:rPr>
                <w:rFonts w:ascii="Arial" w:hAnsi="Arial" w:cs="Arial"/>
                <w:bCs/>
                <w:sz w:val="20"/>
                <w:szCs w:val="20"/>
              </w:rPr>
              <w:t>acidémiou kyselinou izovalérovou,</w:t>
            </w:r>
          </w:p>
          <w:p w14:paraId="12687941" w14:textId="77777777" w:rsidR="008645BA" w:rsidRPr="006A0BA5" w:rsidRDefault="008645BA" w:rsidP="008645BA">
            <w:pPr>
              <w:jc w:val="both"/>
              <w:rPr>
                <w:rFonts w:ascii="Arial" w:hAnsi="Arial" w:cs="Arial"/>
                <w:bCs/>
                <w:sz w:val="20"/>
                <w:szCs w:val="20"/>
              </w:rPr>
            </w:pPr>
            <w:r>
              <w:rPr>
                <w:rFonts w:ascii="Arial" w:hAnsi="Arial" w:cs="Arial"/>
                <w:bCs/>
                <w:sz w:val="20"/>
                <w:szCs w:val="20"/>
              </w:rPr>
              <w:t xml:space="preserve">c) </w:t>
            </w:r>
            <w:r w:rsidRPr="006A0BA5">
              <w:rPr>
                <w:rFonts w:ascii="Arial" w:hAnsi="Arial" w:cs="Arial"/>
                <w:bCs/>
                <w:sz w:val="20"/>
                <w:szCs w:val="20"/>
              </w:rPr>
              <w:t>acidémiou kyselinou metylmalónovou alebo</w:t>
            </w:r>
          </w:p>
          <w:p w14:paraId="4D0070F4" w14:textId="77777777" w:rsidR="008645BA" w:rsidRDefault="008645BA" w:rsidP="008645BA">
            <w:pPr>
              <w:jc w:val="both"/>
              <w:rPr>
                <w:rFonts w:ascii="Arial" w:hAnsi="Arial" w:cs="Arial"/>
                <w:bCs/>
                <w:sz w:val="20"/>
                <w:szCs w:val="20"/>
              </w:rPr>
            </w:pPr>
            <w:r>
              <w:rPr>
                <w:rFonts w:ascii="Arial" w:hAnsi="Arial" w:cs="Arial"/>
                <w:bCs/>
                <w:sz w:val="20"/>
                <w:szCs w:val="20"/>
              </w:rPr>
              <w:t xml:space="preserve">d) </w:t>
            </w:r>
            <w:r w:rsidRPr="006A0BA5">
              <w:rPr>
                <w:rFonts w:ascii="Arial" w:hAnsi="Arial" w:cs="Arial"/>
                <w:bCs/>
                <w:sz w:val="20"/>
                <w:szCs w:val="20"/>
              </w:rPr>
              <w:t>acidémiou kyselinou propiónovou.</w:t>
            </w:r>
          </w:p>
          <w:p w14:paraId="2A8EAA15" w14:textId="77777777" w:rsidR="008645BA" w:rsidRDefault="008645BA" w:rsidP="008645BA">
            <w:pPr>
              <w:jc w:val="both"/>
              <w:rPr>
                <w:rFonts w:ascii="Arial" w:hAnsi="Arial" w:cs="Arial"/>
                <w:bCs/>
                <w:sz w:val="20"/>
                <w:szCs w:val="20"/>
              </w:rPr>
            </w:pPr>
            <w:r w:rsidRPr="006A0BA5">
              <w:rPr>
                <w:rFonts w:ascii="Arial" w:hAnsi="Arial" w:cs="Arial"/>
                <w:bCs/>
                <w:sz w:val="20"/>
                <w:szCs w:val="20"/>
              </w:rPr>
              <w:t>Hradená liečba sa môže indikovať v Centre dedičných metabolických porúch Národného ústavu detských chorôb v Bratislave.</w:t>
            </w:r>
          </w:p>
          <w:p w14:paraId="5E34E4FA" w14:textId="77777777" w:rsidR="008645BA" w:rsidRDefault="008645BA" w:rsidP="008645BA">
            <w:pPr>
              <w:jc w:val="both"/>
              <w:rPr>
                <w:rFonts w:ascii="Arial" w:hAnsi="Arial" w:cs="Arial"/>
                <w:bCs/>
                <w:sz w:val="20"/>
                <w:szCs w:val="20"/>
              </w:rPr>
            </w:pPr>
            <w:r w:rsidRPr="006A0BA5">
              <w:rPr>
                <w:rFonts w:ascii="Arial" w:hAnsi="Arial" w:cs="Arial"/>
                <w:bCs/>
                <w:sz w:val="20"/>
                <w:szCs w:val="20"/>
              </w:rPr>
              <w:t>Hradená liečba podlieha predchádzajúcemu súhlasu zdravotnej poisťovne.</w:t>
            </w:r>
          </w:p>
          <w:p w14:paraId="2E4141BC" w14:textId="77777777" w:rsidR="008645BA" w:rsidRPr="006A0BA5" w:rsidRDefault="008645BA" w:rsidP="008645BA">
            <w:pPr>
              <w:jc w:val="both"/>
              <w:rPr>
                <w:rFonts w:ascii="Arial" w:hAnsi="Arial" w:cs="Arial"/>
                <w:bCs/>
                <w:sz w:val="20"/>
                <w:szCs w:val="20"/>
              </w:rPr>
            </w:pPr>
          </w:p>
        </w:tc>
      </w:tr>
      <w:tr w:rsidR="008645BA" w:rsidRPr="0000591E" w14:paraId="66A9A6D7" w14:textId="77777777" w:rsidTr="003F7925">
        <w:trPr>
          <w:gridAfter w:val="2"/>
          <w:wAfter w:w="154" w:type="dxa"/>
          <w:trHeight w:val="20"/>
        </w:trPr>
        <w:tc>
          <w:tcPr>
            <w:tcW w:w="1256" w:type="dxa"/>
            <w:tcBorders>
              <w:bottom w:val="single" w:sz="4" w:space="0" w:color="auto"/>
            </w:tcBorders>
            <w:noWrap/>
            <w:vAlign w:val="bottom"/>
          </w:tcPr>
          <w:p w14:paraId="08DA9825"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A16AB02</w:t>
            </w:r>
          </w:p>
        </w:tc>
        <w:tc>
          <w:tcPr>
            <w:tcW w:w="9452" w:type="dxa"/>
            <w:tcBorders>
              <w:bottom w:val="single" w:sz="4" w:space="0" w:color="auto"/>
            </w:tcBorders>
            <w:noWrap/>
            <w:vAlign w:val="bottom"/>
          </w:tcPr>
          <w:p w14:paraId="450B899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Imigluceráza parent. 40</w:t>
            </w:r>
            <w:r>
              <w:rPr>
                <w:rFonts w:ascii="Arial" w:hAnsi="Arial" w:cs="Arial"/>
                <w:b/>
                <w:bCs/>
                <w:sz w:val="20"/>
                <w:szCs w:val="20"/>
              </w:rPr>
              <w:t>0</w:t>
            </w:r>
            <w:r w:rsidRPr="0000591E">
              <w:rPr>
                <w:rFonts w:ascii="Arial" w:hAnsi="Arial" w:cs="Arial"/>
                <w:b/>
                <w:bCs/>
                <w:sz w:val="20"/>
                <w:szCs w:val="20"/>
              </w:rPr>
              <w:t xml:space="preserve"> IU</w:t>
            </w:r>
          </w:p>
        </w:tc>
      </w:tr>
      <w:tr w:rsidR="008645BA" w:rsidRPr="0000591E" w14:paraId="7DD67BA7" w14:textId="77777777" w:rsidTr="003F7925">
        <w:trPr>
          <w:gridBefore w:val="1"/>
          <w:gridAfter w:val="2"/>
          <w:wBefore w:w="1256" w:type="dxa"/>
          <w:wAfter w:w="154" w:type="dxa"/>
          <w:trHeight w:val="20"/>
        </w:trPr>
        <w:tc>
          <w:tcPr>
            <w:tcW w:w="9452" w:type="dxa"/>
            <w:noWrap/>
            <w:vAlign w:val="bottom"/>
          </w:tcPr>
          <w:p w14:paraId="1572692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diagnózou Gaucherovej choroby typu I. potvrdenou enzymologickým vyšetrením.</w:t>
            </w:r>
          </w:p>
          <w:p w14:paraId="613928AD"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68DA6C6E"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1E7EB445" w14:textId="77777777" w:rsidR="008645BA" w:rsidRPr="0000591E" w:rsidRDefault="008645BA" w:rsidP="008645BA">
            <w:pPr>
              <w:jc w:val="both"/>
              <w:rPr>
                <w:rFonts w:ascii="Arial" w:hAnsi="Arial" w:cs="Arial"/>
                <w:b/>
                <w:bCs/>
                <w:sz w:val="20"/>
                <w:szCs w:val="20"/>
              </w:rPr>
            </w:pPr>
          </w:p>
        </w:tc>
      </w:tr>
      <w:tr w:rsidR="008645BA" w:rsidRPr="0000591E" w14:paraId="3378AFAC" w14:textId="77777777" w:rsidTr="003F7925">
        <w:trPr>
          <w:gridAfter w:val="2"/>
          <w:wAfter w:w="154" w:type="dxa"/>
          <w:trHeight w:val="20"/>
        </w:trPr>
        <w:tc>
          <w:tcPr>
            <w:tcW w:w="1256" w:type="dxa"/>
            <w:tcBorders>
              <w:bottom w:val="single" w:sz="4" w:space="0" w:color="auto"/>
            </w:tcBorders>
            <w:noWrap/>
            <w:vAlign w:val="bottom"/>
          </w:tcPr>
          <w:p w14:paraId="2852A58A"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A16AB03</w:t>
            </w:r>
          </w:p>
        </w:tc>
        <w:tc>
          <w:tcPr>
            <w:tcW w:w="9452" w:type="dxa"/>
            <w:tcBorders>
              <w:bottom w:val="single" w:sz="4" w:space="0" w:color="auto"/>
            </w:tcBorders>
            <w:noWrap/>
            <w:vAlign w:val="bottom"/>
          </w:tcPr>
          <w:p w14:paraId="05A559F5"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Agalzidáza alfa parent. </w:t>
            </w:r>
            <w:r>
              <w:rPr>
                <w:rFonts w:ascii="Arial" w:hAnsi="Arial" w:cs="Arial"/>
                <w:b/>
                <w:bCs/>
                <w:sz w:val="20"/>
                <w:szCs w:val="20"/>
              </w:rPr>
              <w:t>3,5</w:t>
            </w:r>
            <w:r w:rsidRPr="0000591E">
              <w:rPr>
                <w:rFonts w:ascii="Arial" w:hAnsi="Arial" w:cs="Arial"/>
                <w:b/>
                <w:bCs/>
                <w:sz w:val="20"/>
                <w:szCs w:val="20"/>
              </w:rPr>
              <w:t xml:space="preserve"> mg</w:t>
            </w:r>
          </w:p>
        </w:tc>
      </w:tr>
      <w:tr w:rsidR="008645BA" w:rsidRPr="0000591E" w14:paraId="6514689D" w14:textId="77777777" w:rsidTr="003F7925">
        <w:trPr>
          <w:gridBefore w:val="1"/>
          <w:gridAfter w:val="2"/>
          <w:wBefore w:w="1256" w:type="dxa"/>
          <w:wAfter w:w="154" w:type="dxa"/>
          <w:trHeight w:val="20"/>
        </w:trPr>
        <w:tc>
          <w:tcPr>
            <w:tcW w:w="9452" w:type="dxa"/>
            <w:noWrap/>
            <w:vAlign w:val="bottom"/>
          </w:tcPr>
          <w:p w14:paraId="37F81EA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diagnózou Fabryho choroby potvrdenou enzymologickým vyšetrením s veľmi nízkou enzymatickou aktivitou alebo s nízkou enzymatickou aktivitou a zároveň orgánovou symptomatológiou.</w:t>
            </w:r>
          </w:p>
          <w:p w14:paraId="44BC6C8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0B9BF639"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79419C41" w14:textId="77777777" w:rsidR="008645BA" w:rsidRPr="0000591E" w:rsidRDefault="008645BA" w:rsidP="008645BA">
            <w:pPr>
              <w:jc w:val="both"/>
              <w:rPr>
                <w:rFonts w:ascii="Arial" w:hAnsi="Arial" w:cs="Arial"/>
                <w:sz w:val="20"/>
                <w:szCs w:val="20"/>
              </w:rPr>
            </w:pPr>
          </w:p>
        </w:tc>
      </w:tr>
      <w:tr w:rsidR="008645BA" w:rsidRPr="0000591E" w14:paraId="7F02FB53" w14:textId="77777777" w:rsidTr="003F7925">
        <w:trPr>
          <w:gridAfter w:val="2"/>
          <w:wAfter w:w="154" w:type="dxa"/>
          <w:trHeight w:val="20"/>
        </w:trPr>
        <w:tc>
          <w:tcPr>
            <w:tcW w:w="1256" w:type="dxa"/>
            <w:tcBorders>
              <w:bottom w:val="single" w:sz="4" w:space="0" w:color="auto"/>
            </w:tcBorders>
            <w:noWrap/>
            <w:vAlign w:val="bottom"/>
          </w:tcPr>
          <w:p w14:paraId="5AFE4AB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lastRenderedPageBreak/>
              <w:t>A16AB04</w:t>
            </w:r>
          </w:p>
        </w:tc>
        <w:tc>
          <w:tcPr>
            <w:tcW w:w="9452" w:type="dxa"/>
            <w:tcBorders>
              <w:bottom w:val="single" w:sz="4" w:space="0" w:color="auto"/>
            </w:tcBorders>
            <w:noWrap/>
            <w:vAlign w:val="bottom"/>
          </w:tcPr>
          <w:p w14:paraId="68863097"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Agalzidáza beta parent. </w:t>
            </w:r>
            <w:r>
              <w:rPr>
                <w:rFonts w:ascii="Arial" w:hAnsi="Arial" w:cs="Arial"/>
                <w:b/>
                <w:bCs/>
                <w:sz w:val="20"/>
                <w:szCs w:val="20"/>
              </w:rPr>
              <w:t>3</w:t>
            </w:r>
            <w:r w:rsidRPr="0000591E">
              <w:rPr>
                <w:rFonts w:ascii="Arial" w:hAnsi="Arial" w:cs="Arial"/>
                <w:b/>
                <w:bCs/>
                <w:sz w:val="20"/>
                <w:szCs w:val="20"/>
              </w:rPr>
              <w:t>5 mg</w:t>
            </w:r>
          </w:p>
        </w:tc>
      </w:tr>
      <w:tr w:rsidR="008645BA" w:rsidRPr="0000591E" w14:paraId="50D209B3" w14:textId="77777777" w:rsidTr="003F7925">
        <w:trPr>
          <w:gridBefore w:val="1"/>
          <w:gridAfter w:val="2"/>
          <w:wBefore w:w="1256" w:type="dxa"/>
          <w:wAfter w:w="154" w:type="dxa"/>
          <w:trHeight w:val="20"/>
        </w:trPr>
        <w:tc>
          <w:tcPr>
            <w:tcW w:w="9452" w:type="dxa"/>
            <w:noWrap/>
            <w:vAlign w:val="bottom"/>
          </w:tcPr>
          <w:p w14:paraId="3070A3A0"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diagnózou Fabryho choroby potvrdenou enzymologickým vyšetrením s veľmi nízkou enzymatickou aktivitou alebo s nízkou enzymatickou aktivitou a zároveň orgánovou symptomatológiou.</w:t>
            </w:r>
          </w:p>
          <w:p w14:paraId="6C42105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3D7A6E17"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1719B8C5" w14:textId="16FF1706" w:rsidR="00FD52F3" w:rsidRPr="0000591E" w:rsidRDefault="00FD52F3" w:rsidP="008645BA">
            <w:pPr>
              <w:jc w:val="both"/>
              <w:rPr>
                <w:rFonts w:ascii="Arial" w:hAnsi="Arial" w:cs="Arial"/>
                <w:b/>
                <w:bCs/>
                <w:sz w:val="20"/>
                <w:szCs w:val="20"/>
              </w:rPr>
            </w:pPr>
          </w:p>
        </w:tc>
      </w:tr>
      <w:tr w:rsidR="008645BA" w:rsidRPr="0000591E" w14:paraId="547274F1" w14:textId="77777777" w:rsidTr="003F7925">
        <w:trPr>
          <w:gridAfter w:val="2"/>
          <w:wAfter w:w="154" w:type="dxa"/>
          <w:trHeight w:val="20"/>
        </w:trPr>
        <w:tc>
          <w:tcPr>
            <w:tcW w:w="1256" w:type="dxa"/>
            <w:tcBorders>
              <w:bottom w:val="single" w:sz="4" w:space="0" w:color="auto"/>
            </w:tcBorders>
            <w:noWrap/>
            <w:vAlign w:val="bottom"/>
          </w:tcPr>
          <w:p w14:paraId="24CAF15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A16AB05</w:t>
            </w:r>
          </w:p>
        </w:tc>
        <w:tc>
          <w:tcPr>
            <w:tcW w:w="9452" w:type="dxa"/>
            <w:tcBorders>
              <w:bottom w:val="single" w:sz="4" w:space="0" w:color="auto"/>
            </w:tcBorders>
            <w:noWrap/>
            <w:vAlign w:val="bottom"/>
          </w:tcPr>
          <w:p w14:paraId="1899843A"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Laronidáza parent. </w:t>
            </w:r>
            <w:r>
              <w:rPr>
                <w:rFonts w:ascii="Arial" w:hAnsi="Arial" w:cs="Arial"/>
                <w:b/>
                <w:bCs/>
                <w:sz w:val="20"/>
                <w:szCs w:val="20"/>
              </w:rPr>
              <w:t>5</w:t>
            </w:r>
            <w:r w:rsidRPr="0000591E">
              <w:rPr>
                <w:rFonts w:ascii="Arial" w:hAnsi="Arial" w:cs="Arial"/>
                <w:b/>
                <w:bCs/>
                <w:sz w:val="20"/>
                <w:szCs w:val="20"/>
              </w:rPr>
              <w:t>00 IU</w:t>
            </w:r>
          </w:p>
        </w:tc>
      </w:tr>
      <w:tr w:rsidR="008645BA" w:rsidRPr="0000591E" w14:paraId="6ECBCC27" w14:textId="77777777" w:rsidTr="003F7925">
        <w:trPr>
          <w:gridBefore w:val="1"/>
          <w:gridAfter w:val="2"/>
          <w:wBefore w:w="1256" w:type="dxa"/>
          <w:wAfter w:w="154" w:type="dxa"/>
          <w:trHeight w:val="20"/>
        </w:trPr>
        <w:tc>
          <w:tcPr>
            <w:tcW w:w="9452" w:type="dxa"/>
            <w:noWrap/>
            <w:vAlign w:val="bottom"/>
          </w:tcPr>
          <w:p w14:paraId="45FD3384"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potvrdenou diagnózou mukopolysacharidózy (MPS) I (deficiencia α-L-iduronidázy) bez poškodenia centrálnej nervovej sústavy (CNS).</w:t>
            </w:r>
          </w:p>
          <w:p w14:paraId="1DAE335C"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5AEDC5D8" w14:textId="73DE74FD" w:rsidR="008645BA" w:rsidRPr="0000591E" w:rsidRDefault="008645BA" w:rsidP="001369A5">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tc>
      </w:tr>
      <w:tr w:rsidR="008645BA" w:rsidRPr="0000591E" w14:paraId="52DEC9D9" w14:textId="77777777" w:rsidTr="003F7925">
        <w:trPr>
          <w:gridAfter w:val="2"/>
          <w:wAfter w:w="154" w:type="dxa"/>
          <w:trHeight w:val="20"/>
        </w:trPr>
        <w:tc>
          <w:tcPr>
            <w:tcW w:w="1256" w:type="dxa"/>
            <w:tcBorders>
              <w:bottom w:val="single" w:sz="4" w:space="0" w:color="auto"/>
            </w:tcBorders>
            <w:noWrap/>
            <w:vAlign w:val="bottom"/>
          </w:tcPr>
          <w:p w14:paraId="1B63E876"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A16AB07</w:t>
            </w:r>
          </w:p>
        </w:tc>
        <w:tc>
          <w:tcPr>
            <w:tcW w:w="9452" w:type="dxa"/>
            <w:tcBorders>
              <w:bottom w:val="single" w:sz="4" w:space="0" w:color="auto"/>
            </w:tcBorders>
            <w:noWrap/>
            <w:vAlign w:val="bottom"/>
          </w:tcPr>
          <w:p w14:paraId="62D9A6BF"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Aglukozidáza parent. 50 mg</w:t>
            </w:r>
          </w:p>
        </w:tc>
      </w:tr>
      <w:tr w:rsidR="008645BA" w:rsidRPr="0000591E" w14:paraId="3950236D" w14:textId="77777777" w:rsidTr="003F7925">
        <w:trPr>
          <w:gridBefore w:val="1"/>
          <w:gridAfter w:val="2"/>
          <w:wBefore w:w="1256" w:type="dxa"/>
          <w:wAfter w:w="154" w:type="dxa"/>
          <w:trHeight w:val="20"/>
        </w:trPr>
        <w:tc>
          <w:tcPr>
            <w:tcW w:w="9452" w:type="dxa"/>
            <w:noWrap/>
            <w:vAlign w:val="bottom"/>
          </w:tcPr>
          <w:p w14:paraId="47F26937"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potvrdenou diagnózou Pompeho choroby (deficit kyslej glukozidázy) potvrdenou enzymologickým vyšetrením. </w:t>
            </w:r>
          </w:p>
          <w:p w14:paraId="39BB4596"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606966D4"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469ABCF7" w14:textId="77777777" w:rsidR="008645BA" w:rsidRPr="0000591E" w:rsidRDefault="008645BA" w:rsidP="008645BA">
            <w:pPr>
              <w:jc w:val="both"/>
              <w:rPr>
                <w:rFonts w:ascii="Arial" w:hAnsi="Arial" w:cs="Arial"/>
                <w:sz w:val="20"/>
                <w:szCs w:val="20"/>
              </w:rPr>
            </w:pPr>
          </w:p>
        </w:tc>
      </w:tr>
      <w:tr w:rsidR="008645BA" w:rsidRPr="0000591E" w14:paraId="221C6AD4" w14:textId="77777777" w:rsidTr="003F7925">
        <w:trPr>
          <w:gridAfter w:val="2"/>
          <w:wAfter w:w="154" w:type="dxa"/>
          <w:trHeight w:val="20"/>
        </w:trPr>
        <w:tc>
          <w:tcPr>
            <w:tcW w:w="1256" w:type="dxa"/>
            <w:tcBorders>
              <w:bottom w:val="single" w:sz="4" w:space="0" w:color="auto"/>
            </w:tcBorders>
            <w:noWrap/>
            <w:vAlign w:val="bottom"/>
          </w:tcPr>
          <w:p w14:paraId="526BE251"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A16AB09</w:t>
            </w:r>
          </w:p>
        </w:tc>
        <w:tc>
          <w:tcPr>
            <w:tcW w:w="9452" w:type="dxa"/>
            <w:tcBorders>
              <w:bottom w:val="single" w:sz="4" w:space="0" w:color="auto"/>
            </w:tcBorders>
            <w:noWrap/>
            <w:vAlign w:val="bottom"/>
          </w:tcPr>
          <w:p w14:paraId="0FD60F7A" w14:textId="5194E6D1" w:rsidR="008645BA" w:rsidRPr="0000591E" w:rsidRDefault="008645BA" w:rsidP="008645BA">
            <w:pPr>
              <w:rPr>
                <w:rFonts w:ascii="Arial" w:hAnsi="Arial" w:cs="Arial"/>
                <w:b/>
                <w:bCs/>
                <w:sz w:val="20"/>
                <w:szCs w:val="20"/>
              </w:rPr>
            </w:pPr>
            <w:r w:rsidRPr="001E2E1C">
              <w:rPr>
                <w:rFonts w:ascii="Arial" w:hAnsi="Arial" w:cs="Arial"/>
                <w:b/>
                <w:bCs/>
                <w:sz w:val="20"/>
                <w:szCs w:val="20"/>
              </w:rPr>
              <w:t>Idursulfáza</w:t>
            </w:r>
            <w:r>
              <w:rPr>
                <w:rFonts w:ascii="Arial" w:hAnsi="Arial" w:cs="Arial"/>
                <w:b/>
                <w:bCs/>
                <w:sz w:val="20"/>
                <w:szCs w:val="20"/>
              </w:rPr>
              <w:t xml:space="preserve"> </w:t>
            </w:r>
            <w:r w:rsidRPr="001E2E1C">
              <w:rPr>
                <w:rFonts w:ascii="Arial" w:hAnsi="Arial" w:cs="Arial"/>
                <w:b/>
                <w:bCs/>
                <w:sz w:val="20"/>
                <w:szCs w:val="20"/>
              </w:rPr>
              <w:t>parent</w:t>
            </w:r>
            <w:r>
              <w:rPr>
                <w:rFonts w:ascii="Arial" w:hAnsi="Arial" w:cs="Arial"/>
                <w:b/>
                <w:bCs/>
                <w:sz w:val="20"/>
                <w:szCs w:val="20"/>
              </w:rPr>
              <w:t>.</w:t>
            </w:r>
            <w:r w:rsidRPr="001E2E1C">
              <w:rPr>
                <w:rFonts w:ascii="Arial" w:hAnsi="Arial" w:cs="Arial"/>
                <w:b/>
                <w:bCs/>
                <w:sz w:val="20"/>
                <w:szCs w:val="20"/>
              </w:rPr>
              <w:t xml:space="preserve"> </w:t>
            </w:r>
            <w:r>
              <w:rPr>
                <w:rFonts w:ascii="Arial" w:hAnsi="Arial" w:cs="Arial"/>
                <w:b/>
                <w:bCs/>
                <w:sz w:val="20"/>
                <w:szCs w:val="20"/>
              </w:rPr>
              <w:t>6</w:t>
            </w:r>
            <w:r w:rsidRPr="001E2E1C">
              <w:rPr>
                <w:rFonts w:ascii="Arial" w:hAnsi="Arial" w:cs="Arial"/>
                <w:b/>
                <w:bCs/>
                <w:sz w:val="20"/>
                <w:szCs w:val="20"/>
              </w:rPr>
              <w:t xml:space="preserve"> mg </w:t>
            </w:r>
          </w:p>
        </w:tc>
      </w:tr>
      <w:tr w:rsidR="008645BA" w:rsidRPr="0000591E" w14:paraId="2D963BE0" w14:textId="77777777" w:rsidTr="003F7925">
        <w:trPr>
          <w:gridAfter w:val="2"/>
          <w:wAfter w:w="154" w:type="dxa"/>
          <w:trHeight w:val="20"/>
        </w:trPr>
        <w:tc>
          <w:tcPr>
            <w:tcW w:w="1256" w:type="dxa"/>
            <w:noWrap/>
            <w:vAlign w:val="bottom"/>
          </w:tcPr>
          <w:p w14:paraId="373B00A3" w14:textId="77777777" w:rsidR="008645BA" w:rsidRPr="0000591E" w:rsidRDefault="008645BA" w:rsidP="008645BA">
            <w:pPr>
              <w:jc w:val="both"/>
              <w:rPr>
                <w:rFonts w:ascii="Arial" w:hAnsi="Arial" w:cs="Arial"/>
                <w:b/>
                <w:bCs/>
                <w:sz w:val="20"/>
                <w:szCs w:val="20"/>
              </w:rPr>
            </w:pPr>
          </w:p>
        </w:tc>
        <w:tc>
          <w:tcPr>
            <w:tcW w:w="9452" w:type="dxa"/>
            <w:noWrap/>
            <w:vAlign w:val="bottom"/>
          </w:tcPr>
          <w:p w14:paraId="6D943AD7" w14:textId="77777777" w:rsidR="008645BA" w:rsidRPr="001E2E1C" w:rsidRDefault="008645BA" w:rsidP="008645BA">
            <w:pPr>
              <w:jc w:val="both"/>
              <w:rPr>
                <w:rFonts w:ascii="Arial" w:hAnsi="Arial" w:cs="Arial"/>
                <w:bCs/>
                <w:sz w:val="20"/>
                <w:szCs w:val="20"/>
              </w:rPr>
            </w:pPr>
            <w:r w:rsidRPr="001E2E1C">
              <w:rPr>
                <w:rFonts w:ascii="Arial" w:hAnsi="Arial" w:cs="Arial"/>
                <w:bCs/>
                <w:sz w:val="20"/>
                <w:szCs w:val="20"/>
              </w:rPr>
              <w:t xml:space="preserve">Hradená liečba sa môže indikovať pre dlhodobú terapiu u pacientov s Hunterovým syndrómom (mukopolysacharidóza II, MPS II). </w:t>
            </w:r>
          </w:p>
          <w:p w14:paraId="6AA22AD6" w14:textId="77777777" w:rsidR="008645BA" w:rsidRPr="001E2E1C" w:rsidRDefault="008645BA" w:rsidP="008645BA">
            <w:pPr>
              <w:jc w:val="both"/>
              <w:rPr>
                <w:rFonts w:ascii="Arial" w:hAnsi="Arial" w:cs="Arial"/>
                <w:bCs/>
                <w:sz w:val="20"/>
                <w:szCs w:val="20"/>
              </w:rPr>
            </w:pPr>
            <w:r w:rsidRPr="001E2E1C">
              <w:rPr>
                <w:rFonts w:ascii="Arial" w:hAnsi="Arial" w:cs="Arial"/>
                <w:bCs/>
                <w:sz w:val="20"/>
                <w:szCs w:val="20"/>
              </w:rPr>
              <w:t xml:space="preserve">Hradená liečba sa môže indikovať v Centre dedičných metabolických porúch Národného ústavu detských chorôb v Bratislave. </w:t>
            </w:r>
          </w:p>
          <w:p w14:paraId="708B5DB1" w14:textId="04EEBD1B" w:rsidR="008645BA" w:rsidRPr="0000591E" w:rsidRDefault="008645BA" w:rsidP="008645BA">
            <w:pPr>
              <w:jc w:val="both"/>
              <w:rPr>
                <w:rFonts w:ascii="Arial" w:hAnsi="Arial" w:cs="Arial"/>
                <w:b/>
                <w:bCs/>
                <w:sz w:val="20"/>
                <w:szCs w:val="20"/>
              </w:rPr>
            </w:pPr>
            <w:r w:rsidRPr="001E2E1C">
              <w:rPr>
                <w:rFonts w:ascii="Arial" w:hAnsi="Arial" w:cs="Arial"/>
                <w:bCs/>
                <w:sz w:val="20"/>
                <w:szCs w:val="20"/>
              </w:rPr>
              <w:t>Hradená liečba podlieha predchádzajúcemu súhlasu zdravotnej poisťovne</w:t>
            </w:r>
            <w:r w:rsidRPr="00241D7C">
              <w:rPr>
                <w:rFonts w:ascii="Arial" w:hAnsi="Arial" w:cs="Arial"/>
                <w:bCs/>
                <w:sz w:val="20"/>
                <w:szCs w:val="20"/>
              </w:rPr>
              <w:t>.</w:t>
            </w:r>
          </w:p>
        </w:tc>
      </w:tr>
      <w:tr w:rsidR="008645BA" w:rsidRPr="0000591E" w14:paraId="49B8E5E3" w14:textId="77777777" w:rsidTr="003F7925">
        <w:trPr>
          <w:gridAfter w:val="2"/>
          <w:wAfter w:w="154" w:type="dxa"/>
          <w:trHeight w:val="20"/>
        </w:trPr>
        <w:tc>
          <w:tcPr>
            <w:tcW w:w="1256" w:type="dxa"/>
            <w:tcBorders>
              <w:bottom w:val="single" w:sz="4" w:space="0" w:color="auto"/>
            </w:tcBorders>
            <w:noWrap/>
            <w:vAlign w:val="bottom"/>
          </w:tcPr>
          <w:p w14:paraId="7783BB7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A16AB10</w:t>
            </w:r>
          </w:p>
        </w:tc>
        <w:tc>
          <w:tcPr>
            <w:tcW w:w="9452" w:type="dxa"/>
            <w:tcBorders>
              <w:bottom w:val="single" w:sz="4" w:space="0" w:color="auto"/>
            </w:tcBorders>
            <w:noWrap/>
            <w:vAlign w:val="bottom"/>
          </w:tcPr>
          <w:p w14:paraId="13BCB6AE"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 xml:space="preserve">Velagluceráza alfa parent. </w:t>
            </w:r>
            <w:r>
              <w:rPr>
                <w:rFonts w:ascii="Arial" w:hAnsi="Arial" w:cs="Arial"/>
                <w:b/>
                <w:bCs/>
                <w:sz w:val="20"/>
                <w:szCs w:val="20"/>
              </w:rPr>
              <w:t>4</w:t>
            </w:r>
            <w:r w:rsidRPr="0000591E">
              <w:rPr>
                <w:rFonts w:ascii="Arial" w:hAnsi="Arial" w:cs="Arial"/>
                <w:b/>
                <w:bCs/>
                <w:sz w:val="20"/>
                <w:szCs w:val="20"/>
              </w:rPr>
              <w:t>00 IU</w:t>
            </w:r>
          </w:p>
        </w:tc>
      </w:tr>
      <w:tr w:rsidR="008645BA" w:rsidRPr="0000591E" w14:paraId="0B7D1A73" w14:textId="77777777" w:rsidTr="003F7925">
        <w:trPr>
          <w:gridBefore w:val="1"/>
          <w:gridAfter w:val="2"/>
          <w:wBefore w:w="1256" w:type="dxa"/>
          <w:wAfter w:w="154" w:type="dxa"/>
          <w:trHeight w:val="20"/>
        </w:trPr>
        <w:tc>
          <w:tcPr>
            <w:tcW w:w="9452" w:type="dxa"/>
            <w:noWrap/>
            <w:vAlign w:val="bottom"/>
          </w:tcPr>
          <w:p w14:paraId="5558038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diagnózou Gaucherovej choroby typu I. potvrdenou enzymologickým vyšetrením.</w:t>
            </w:r>
          </w:p>
          <w:p w14:paraId="2C8CA950"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2B483649"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0C57484B" w14:textId="77777777" w:rsidR="008645BA" w:rsidRPr="0000591E" w:rsidRDefault="008645BA" w:rsidP="008645BA">
            <w:pPr>
              <w:jc w:val="both"/>
              <w:rPr>
                <w:rFonts w:ascii="Arial" w:hAnsi="Arial" w:cs="Arial"/>
                <w:sz w:val="20"/>
                <w:szCs w:val="20"/>
              </w:rPr>
            </w:pPr>
          </w:p>
        </w:tc>
      </w:tr>
      <w:tr w:rsidR="008645BA" w:rsidRPr="0000591E" w14:paraId="234573E1" w14:textId="77777777" w:rsidTr="003F7925">
        <w:trPr>
          <w:gridAfter w:val="2"/>
          <w:wAfter w:w="154" w:type="dxa"/>
          <w:trHeight w:val="20"/>
        </w:trPr>
        <w:tc>
          <w:tcPr>
            <w:tcW w:w="1256" w:type="dxa"/>
            <w:tcBorders>
              <w:bottom w:val="single" w:sz="4" w:space="0" w:color="auto"/>
            </w:tcBorders>
            <w:noWrap/>
            <w:vAlign w:val="center"/>
          </w:tcPr>
          <w:p w14:paraId="596C5FE7" w14:textId="77777777" w:rsidR="008645BA" w:rsidRPr="0000591E" w:rsidRDefault="008645BA" w:rsidP="008645BA">
            <w:pPr>
              <w:rPr>
                <w:rFonts w:ascii="Arial" w:hAnsi="Arial" w:cs="Arial"/>
                <w:b/>
                <w:bCs/>
                <w:sz w:val="20"/>
                <w:szCs w:val="20"/>
              </w:rPr>
            </w:pPr>
            <w:r>
              <w:rPr>
                <w:rFonts w:ascii="Arial" w:hAnsi="Arial" w:cs="Arial"/>
                <w:b/>
                <w:bCs/>
                <w:sz w:val="20"/>
                <w:szCs w:val="20"/>
              </w:rPr>
              <w:t>A16AB15</w:t>
            </w:r>
          </w:p>
        </w:tc>
        <w:tc>
          <w:tcPr>
            <w:tcW w:w="9452" w:type="dxa"/>
            <w:tcBorders>
              <w:bottom w:val="single" w:sz="4" w:space="0" w:color="auto"/>
            </w:tcBorders>
            <w:noWrap/>
            <w:vAlign w:val="bottom"/>
          </w:tcPr>
          <w:p w14:paraId="2DA80E9D"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Velmanáza alfa parent. 10 mg</w:t>
            </w:r>
          </w:p>
        </w:tc>
      </w:tr>
      <w:tr w:rsidR="008645BA" w:rsidRPr="0000591E" w14:paraId="15539DF2" w14:textId="77777777" w:rsidTr="003F7925">
        <w:trPr>
          <w:gridAfter w:val="2"/>
          <w:wAfter w:w="154" w:type="dxa"/>
          <w:trHeight w:val="20"/>
        </w:trPr>
        <w:tc>
          <w:tcPr>
            <w:tcW w:w="1256" w:type="dxa"/>
            <w:tcBorders>
              <w:bottom w:val="single" w:sz="4" w:space="0" w:color="auto"/>
            </w:tcBorders>
            <w:noWrap/>
            <w:vAlign w:val="center"/>
          </w:tcPr>
          <w:p w14:paraId="3A7B4638" w14:textId="77777777" w:rsidR="008645BA" w:rsidRPr="0000591E" w:rsidRDefault="008645BA" w:rsidP="008645BA">
            <w:pPr>
              <w:rPr>
                <w:rFonts w:ascii="Arial" w:hAnsi="Arial" w:cs="Arial"/>
                <w:b/>
                <w:bCs/>
                <w:sz w:val="20"/>
                <w:szCs w:val="20"/>
              </w:rPr>
            </w:pPr>
          </w:p>
        </w:tc>
        <w:tc>
          <w:tcPr>
            <w:tcW w:w="9452" w:type="dxa"/>
            <w:tcBorders>
              <w:bottom w:val="single" w:sz="4" w:space="0" w:color="auto"/>
            </w:tcBorders>
            <w:noWrap/>
            <w:vAlign w:val="bottom"/>
          </w:tcPr>
          <w:p w14:paraId="2641B720" w14:textId="77777777" w:rsidR="008645BA" w:rsidRDefault="008645BA" w:rsidP="008645BA">
            <w:pPr>
              <w:jc w:val="both"/>
              <w:rPr>
                <w:rFonts w:ascii="Arial" w:hAnsi="Arial" w:cs="Arial"/>
                <w:sz w:val="20"/>
                <w:szCs w:val="20"/>
              </w:rPr>
            </w:pPr>
            <w:r w:rsidRPr="00A5533B">
              <w:rPr>
                <w:rFonts w:ascii="Arial" w:hAnsi="Arial" w:cs="Arial"/>
                <w:sz w:val="20"/>
                <w:szCs w:val="20"/>
              </w:rPr>
              <w:t xml:space="preserve">Hradenú liečbu môže indikovať a liek predpisovať pediater a endokrinológ u pacientov s miernou až stredne závažnou alfa manozidózou pre liečbu iných ako neurologických prejavov. Liečba sa môže indikovať v týchto centrách: Centrum dedičných metabolických porúch NÚDCH v Bratislave; Ambulancia pediatrickej endokrinológie a diabetológie porúch látkovej premeny a výživy DFNsP banská Bystrica a Metabolická ambulancia DFN Košice. </w:t>
            </w:r>
          </w:p>
          <w:p w14:paraId="21BCD4D1" w14:textId="77777777" w:rsidR="008645BA" w:rsidRDefault="008645BA" w:rsidP="008645BA">
            <w:pPr>
              <w:jc w:val="both"/>
              <w:rPr>
                <w:rFonts w:ascii="Arial" w:hAnsi="Arial" w:cs="Arial"/>
                <w:sz w:val="20"/>
                <w:szCs w:val="20"/>
              </w:rPr>
            </w:pPr>
            <w:r w:rsidRPr="00A5533B">
              <w:rPr>
                <w:rFonts w:ascii="Arial" w:hAnsi="Arial" w:cs="Arial"/>
                <w:sz w:val="20"/>
                <w:szCs w:val="20"/>
              </w:rPr>
              <w:t>Hradená liečba podlieha predchádzajúcemu súhlasu zdravotnej poisťovne.</w:t>
            </w:r>
          </w:p>
          <w:p w14:paraId="643D0E1F" w14:textId="77777777" w:rsidR="008645BA" w:rsidRPr="00A5533B" w:rsidRDefault="008645BA" w:rsidP="008645BA">
            <w:pPr>
              <w:jc w:val="both"/>
              <w:rPr>
                <w:rFonts w:ascii="Arial" w:hAnsi="Arial" w:cs="Arial"/>
                <w:b/>
                <w:bCs/>
                <w:sz w:val="20"/>
                <w:szCs w:val="20"/>
              </w:rPr>
            </w:pPr>
          </w:p>
        </w:tc>
      </w:tr>
      <w:tr w:rsidR="008645BA" w:rsidRPr="0000591E" w14:paraId="5F18AF9D" w14:textId="77777777" w:rsidTr="00D33C92">
        <w:trPr>
          <w:gridAfter w:val="2"/>
          <w:wAfter w:w="154" w:type="dxa"/>
          <w:trHeight w:val="20"/>
        </w:trPr>
        <w:tc>
          <w:tcPr>
            <w:tcW w:w="1256" w:type="dxa"/>
            <w:tcBorders>
              <w:bottom w:val="single" w:sz="4" w:space="0" w:color="auto"/>
            </w:tcBorders>
            <w:noWrap/>
            <w:vAlign w:val="center"/>
          </w:tcPr>
          <w:p w14:paraId="18CF9E3F" w14:textId="401E5DC0" w:rsidR="008645BA" w:rsidRPr="0000591E" w:rsidRDefault="008645BA" w:rsidP="008645BA">
            <w:pPr>
              <w:rPr>
                <w:rFonts w:ascii="Arial" w:hAnsi="Arial" w:cs="Arial"/>
                <w:b/>
                <w:bCs/>
                <w:sz w:val="20"/>
                <w:szCs w:val="20"/>
              </w:rPr>
            </w:pPr>
            <w:r>
              <w:rPr>
                <w:rFonts w:ascii="Arial" w:hAnsi="Arial" w:cs="Arial"/>
                <w:b/>
                <w:bCs/>
                <w:sz w:val="20"/>
                <w:szCs w:val="20"/>
              </w:rPr>
              <w:t>A16AB20</w:t>
            </w:r>
          </w:p>
        </w:tc>
        <w:tc>
          <w:tcPr>
            <w:tcW w:w="9452" w:type="dxa"/>
            <w:tcBorders>
              <w:bottom w:val="single" w:sz="4" w:space="0" w:color="auto"/>
            </w:tcBorders>
            <w:noWrap/>
            <w:vAlign w:val="bottom"/>
          </w:tcPr>
          <w:p w14:paraId="6FF68351" w14:textId="1B232F02" w:rsidR="008645BA" w:rsidRPr="0000591E" w:rsidRDefault="008645BA" w:rsidP="008645BA">
            <w:pPr>
              <w:jc w:val="both"/>
              <w:rPr>
                <w:rFonts w:ascii="Arial" w:hAnsi="Arial" w:cs="Arial"/>
                <w:b/>
                <w:bCs/>
                <w:sz w:val="20"/>
                <w:szCs w:val="20"/>
              </w:rPr>
            </w:pPr>
            <w:r w:rsidRPr="009C5B58">
              <w:rPr>
                <w:rFonts w:ascii="Arial" w:hAnsi="Arial" w:cs="Arial"/>
                <w:b/>
                <w:bCs/>
                <w:sz w:val="20"/>
                <w:szCs w:val="20"/>
              </w:rPr>
              <w:t>Pegunigalzidáza alfa</w:t>
            </w:r>
            <w:r>
              <w:rPr>
                <w:rFonts w:ascii="Arial" w:hAnsi="Arial" w:cs="Arial"/>
                <w:b/>
                <w:bCs/>
                <w:sz w:val="20"/>
                <w:szCs w:val="20"/>
              </w:rPr>
              <w:t xml:space="preserve"> </w:t>
            </w:r>
            <w:r w:rsidRPr="009C5B58">
              <w:rPr>
                <w:rFonts w:ascii="Arial" w:hAnsi="Arial" w:cs="Arial"/>
                <w:b/>
                <w:bCs/>
                <w:sz w:val="20"/>
                <w:szCs w:val="20"/>
              </w:rPr>
              <w:t>parent. 20 mg</w:t>
            </w:r>
          </w:p>
        </w:tc>
      </w:tr>
      <w:tr w:rsidR="008645BA" w:rsidRPr="0000591E" w14:paraId="284D5B1C" w14:textId="77777777" w:rsidTr="00D33C92">
        <w:trPr>
          <w:gridAfter w:val="2"/>
          <w:wAfter w:w="154" w:type="dxa"/>
          <w:trHeight w:val="20"/>
        </w:trPr>
        <w:tc>
          <w:tcPr>
            <w:tcW w:w="1256" w:type="dxa"/>
            <w:tcBorders>
              <w:top w:val="single" w:sz="4" w:space="0" w:color="auto"/>
            </w:tcBorders>
            <w:noWrap/>
            <w:vAlign w:val="center"/>
          </w:tcPr>
          <w:p w14:paraId="51099AE8" w14:textId="77777777" w:rsidR="008645BA" w:rsidRPr="0000591E" w:rsidRDefault="008645BA" w:rsidP="008645BA">
            <w:pPr>
              <w:rPr>
                <w:rFonts w:ascii="Arial" w:hAnsi="Arial" w:cs="Arial"/>
                <w:b/>
                <w:bCs/>
                <w:sz w:val="20"/>
                <w:szCs w:val="20"/>
              </w:rPr>
            </w:pPr>
          </w:p>
        </w:tc>
        <w:tc>
          <w:tcPr>
            <w:tcW w:w="9452" w:type="dxa"/>
            <w:tcBorders>
              <w:top w:val="single" w:sz="4" w:space="0" w:color="auto"/>
            </w:tcBorders>
            <w:noWrap/>
            <w:vAlign w:val="bottom"/>
          </w:tcPr>
          <w:p w14:paraId="7B1B7B5E" w14:textId="77777777" w:rsidR="008645BA" w:rsidRPr="009C5B58" w:rsidRDefault="008645BA" w:rsidP="008645BA">
            <w:pPr>
              <w:jc w:val="both"/>
              <w:rPr>
                <w:rFonts w:ascii="Arial" w:hAnsi="Arial" w:cs="Arial"/>
                <w:bCs/>
                <w:sz w:val="20"/>
                <w:szCs w:val="20"/>
              </w:rPr>
            </w:pPr>
            <w:r w:rsidRPr="009C5B58">
              <w:rPr>
                <w:rFonts w:ascii="Arial" w:hAnsi="Arial" w:cs="Arial"/>
                <w:bCs/>
                <w:sz w:val="20"/>
                <w:szCs w:val="20"/>
              </w:rPr>
              <w:t>Hradená liečba sa môže indikovať u dospelých pacientov s diagnózou Fabryho choroby potvrdenou enzymologickým vyšetrením s veľmi nízkou enzymatickou aktivitou (&lt; 3 % aktivity enzýmu α-galaktozidáza A) alebo s nízkou enzymatickou aktivitou (3 – 35 % aktivity enzýmu α-galaktozidáza A) a potvrdenou genetickou mutáciou a zároveň orgánovou symptomatológiou.</w:t>
            </w:r>
          </w:p>
          <w:p w14:paraId="3058A24A" w14:textId="77777777" w:rsidR="008645BA" w:rsidRPr="009C5B58" w:rsidRDefault="008645BA" w:rsidP="008645BA">
            <w:pPr>
              <w:jc w:val="both"/>
              <w:rPr>
                <w:rFonts w:ascii="Arial" w:hAnsi="Arial" w:cs="Arial"/>
                <w:bCs/>
                <w:sz w:val="20"/>
                <w:szCs w:val="20"/>
              </w:rPr>
            </w:pPr>
            <w:r w:rsidRPr="009C5B58">
              <w:rPr>
                <w:rFonts w:ascii="Arial" w:hAnsi="Arial" w:cs="Arial"/>
                <w:bCs/>
                <w:sz w:val="20"/>
                <w:szCs w:val="20"/>
              </w:rPr>
              <w:t>Hradená liečba sa môže indikovať v Centre dedičných metabolických porúch Národného ústavu detských chorôb (NÚDCH).</w:t>
            </w:r>
          </w:p>
          <w:p w14:paraId="50F2BDB9" w14:textId="40FCEBCA" w:rsidR="008645BA" w:rsidRPr="009C5B58" w:rsidRDefault="008645BA" w:rsidP="008645BA">
            <w:pPr>
              <w:jc w:val="both"/>
              <w:rPr>
                <w:rFonts w:ascii="Arial" w:hAnsi="Arial" w:cs="Arial"/>
                <w:bCs/>
                <w:sz w:val="20"/>
                <w:szCs w:val="20"/>
              </w:rPr>
            </w:pPr>
            <w:r w:rsidRPr="009C5B58">
              <w:rPr>
                <w:rFonts w:ascii="Arial" w:hAnsi="Arial" w:cs="Arial"/>
                <w:bCs/>
                <w:sz w:val="20"/>
                <w:szCs w:val="20"/>
              </w:rPr>
              <w:t>Hradená liečba podlieha predchádzajúcemu súhlasu zdravotnej poisťovne.</w:t>
            </w:r>
          </w:p>
          <w:p w14:paraId="7888846E" w14:textId="68D510CF" w:rsidR="008645BA" w:rsidRPr="0000591E" w:rsidRDefault="008645BA" w:rsidP="008645BA">
            <w:pPr>
              <w:jc w:val="both"/>
              <w:rPr>
                <w:rFonts w:ascii="Arial" w:hAnsi="Arial" w:cs="Arial"/>
                <w:b/>
                <w:bCs/>
                <w:sz w:val="20"/>
                <w:szCs w:val="20"/>
              </w:rPr>
            </w:pPr>
          </w:p>
        </w:tc>
      </w:tr>
      <w:tr w:rsidR="00D33C92" w:rsidRPr="0000591E" w14:paraId="2C4B6DFE" w14:textId="77777777" w:rsidTr="00D33C92">
        <w:trPr>
          <w:gridAfter w:val="2"/>
          <w:wAfter w:w="154" w:type="dxa"/>
          <w:trHeight w:val="20"/>
        </w:trPr>
        <w:tc>
          <w:tcPr>
            <w:tcW w:w="1256" w:type="dxa"/>
            <w:tcBorders>
              <w:bottom w:val="single" w:sz="4" w:space="0" w:color="auto"/>
            </w:tcBorders>
            <w:noWrap/>
            <w:vAlign w:val="bottom"/>
          </w:tcPr>
          <w:p w14:paraId="62FC7913" w14:textId="4177C35E" w:rsidR="00D33C92" w:rsidRPr="0000591E" w:rsidRDefault="00D33C92" w:rsidP="008645BA">
            <w:pPr>
              <w:jc w:val="both"/>
              <w:rPr>
                <w:rFonts w:ascii="Arial" w:hAnsi="Arial" w:cs="Arial"/>
                <w:b/>
                <w:bCs/>
                <w:sz w:val="20"/>
                <w:szCs w:val="20"/>
              </w:rPr>
            </w:pPr>
            <w:r w:rsidRPr="0000591E">
              <w:rPr>
                <w:rFonts w:ascii="Arial" w:hAnsi="Arial" w:cs="Arial"/>
                <w:b/>
                <w:bCs/>
                <w:sz w:val="20"/>
                <w:szCs w:val="20"/>
              </w:rPr>
              <w:t>A16AX01</w:t>
            </w:r>
          </w:p>
        </w:tc>
        <w:tc>
          <w:tcPr>
            <w:tcW w:w="9452" w:type="dxa"/>
            <w:tcBorders>
              <w:bottom w:val="single" w:sz="4" w:space="0" w:color="auto"/>
            </w:tcBorders>
            <w:noWrap/>
            <w:vAlign w:val="bottom"/>
          </w:tcPr>
          <w:p w14:paraId="687546B0" w14:textId="77777777" w:rsidR="00D33C92" w:rsidRPr="0000591E" w:rsidRDefault="00D33C92" w:rsidP="00D33C92">
            <w:pPr>
              <w:jc w:val="both"/>
              <w:rPr>
                <w:rFonts w:ascii="Arial" w:hAnsi="Arial" w:cs="Arial"/>
                <w:b/>
                <w:bCs/>
                <w:sz w:val="20"/>
                <w:szCs w:val="20"/>
              </w:rPr>
            </w:pPr>
            <w:r w:rsidRPr="0000591E">
              <w:rPr>
                <w:rFonts w:ascii="Arial" w:hAnsi="Arial" w:cs="Arial"/>
                <w:b/>
                <w:bCs/>
                <w:sz w:val="20"/>
                <w:szCs w:val="20"/>
              </w:rPr>
              <w:t>Kyselina tioktová p.o. 600 mg,</w:t>
            </w:r>
          </w:p>
          <w:p w14:paraId="0ABDBEBF" w14:textId="7625BF4D" w:rsidR="00D33C92" w:rsidRPr="0000591E" w:rsidRDefault="00D33C92" w:rsidP="00D33C92">
            <w:pPr>
              <w:jc w:val="both"/>
              <w:rPr>
                <w:rFonts w:ascii="Arial" w:hAnsi="Arial" w:cs="Arial"/>
                <w:sz w:val="20"/>
                <w:szCs w:val="20"/>
              </w:rPr>
            </w:pPr>
            <w:r w:rsidRPr="0000591E">
              <w:rPr>
                <w:rFonts w:ascii="Arial" w:hAnsi="Arial" w:cs="Arial"/>
                <w:b/>
                <w:bCs/>
                <w:sz w:val="20"/>
                <w:szCs w:val="20"/>
              </w:rPr>
              <w:t xml:space="preserve">Kyselina tioktová parent. </w:t>
            </w:r>
            <w:r>
              <w:rPr>
                <w:rFonts w:ascii="Arial" w:hAnsi="Arial" w:cs="Arial"/>
                <w:b/>
                <w:bCs/>
                <w:sz w:val="20"/>
                <w:szCs w:val="20"/>
              </w:rPr>
              <w:t>600</w:t>
            </w:r>
            <w:r w:rsidRPr="0000591E">
              <w:rPr>
                <w:rFonts w:ascii="Arial" w:hAnsi="Arial" w:cs="Arial"/>
                <w:b/>
                <w:bCs/>
                <w:sz w:val="20"/>
                <w:szCs w:val="20"/>
              </w:rPr>
              <w:t xml:space="preserve"> mg</w:t>
            </w:r>
          </w:p>
        </w:tc>
      </w:tr>
      <w:tr w:rsidR="008645BA" w:rsidRPr="0000591E" w14:paraId="144565EC" w14:textId="77777777" w:rsidTr="00D33C92">
        <w:trPr>
          <w:gridAfter w:val="2"/>
          <w:wAfter w:w="154" w:type="dxa"/>
          <w:trHeight w:val="20"/>
        </w:trPr>
        <w:tc>
          <w:tcPr>
            <w:tcW w:w="1256" w:type="dxa"/>
            <w:tcBorders>
              <w:top w:val="single" w:sz="4" w:space="0" w:color="auto"/>
            </w:tcBorders>
            <w:noWrap/>
            <w:vAlign w:val="bottom"/>
          </w:tcPr>
          <w:p w14:paraId="4E0AED09"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14344A03"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laboratórne alebo klinicky dokumentovanej diabetickej polyneuropatii.</w:t>
            </w:r>
          </w:p>
          <w:p w14:paraId="35082377" w14:textId="77777777" w:rsidR="008645BA" w:rsidRPr="0000591E" w:rsidRDefault="008645BA" w:rsidP="008645BA">
            <w:pPr>
              <w:jc w:val="both"/>
              <w:rPr>
                <w:rFonts w:ascii="Arial" w:hAnsi="Arial" w:cs="Arial"/>
                <w:sz w:val="20"/>
                <w:szCs w:val="20"/>
              </w:rPr>
            </w:pPr>
          </w:p>
        </w:tc>
      </w:tr>
      <w:tr w:rsidR="008645BA" w:rsidRPr="0000591E" w14:paraId="72B91FB1" w14:textId="77777777" w:rsidTr="003F7925">
        <w:trPr>
          <w:gridAfter w:val="2"/>
          <w:wAfter w:w="154" w:type="dxa"/>
          <w:trHeight w:val="20"/>
        </w:trPr>
        <w:tc>
          <w:tcPr>
            <w:tcW w:w="1256" w:type="dxa"/>
            <w:tcBorders>
              <w:bottom w:val="single" w:sz="4" w:space="0" w:color="auto"/>
            </w:tcBorders>
            <w:noWrap/>
            <w:vAlign w:val="bottom"/>
          </w:tcPr>
          <w:p w14:paraId="4563D278" w14:textId="77777777" w:rsidR="008645BA" w:rsidRPr="0026515B" w:rsidRDefault="008645BA" w:rsidP="008645BA">
            <w:pPr>
              <w:jc w:val="both"/>
              <w:rPr>
                <w:rFonts w:ascii="Arial" w:hAnsi="Arial" w:cs="Arial"/>
                <w:b/>
                <w:bCs/>
                <w:sz w:val="20"/>
                <w:szCs w:val="20"/>
              </w:rPr>
            </w:pPr>
            <w:r w:rsidRPr="0026515B">
              <w:rPr>
                <w:rFonts w:ascii="Arial" w:hAnsi="Arial" w:cs="Arial"/>
                <w:b/>
                <w:bCs/>
                <w:sz w:val="20"/>
                <w:szCs w:val="20"/>
              </w:rPr>
              <w:t>A16AX04</w:t>
            </w:r>
          </w:p>
        </w:tc>
        <w:tc>
          <w:tcPr>
            <w:tcW w:w="9452" w:type="dxa"/>
            <w:tcBorders>
              <w:bottom w:val="single" w:sz="4" w:space="0" w:color="auto"/>
            </w:tcBorders>
            <w:noWrap/>
            <w:vAlign w:val="bottom"/>
          </w:tcPr>
          <w:p w14:paraId="218E273A" w14:textId="77777777" w:rsidR="008645BA" w:rsidRPr="0026515B" w:rsidRDefault="008645BA" w:rsidP="008645BA">
            <w:pPr>
              <w:jc w:val="both"/>
              <w:rPr>
                <w:rFonts w:ascii="Arial" w:hAnsi="Arial" w:cs="Arial"/>
                <w:b/>
                <w:sz w:val="20"/>
                <w:szCs w:val="20"/>
              </w:rPr>
            </w:pPr>
            <w:r w:rsidRPr="0026515B">
              <w:rPr>
                <w:rFonts w:ascii="Arial" w:hAnsi="Arial" w:cs="Arial"/>
                <w:b/>
                <w:sz w:val="20"/>
                <w:szCs w:val="20"/>
              </w:rPr>
              <w:t>Nitizinón p.o. 2 mg</w:t>
            </w:r>
          </w:p>
          <w:p w14:paraId="6583A98B" w14:textId="77777777" w:rsidR="008645BA" w:rsidRPr="0026515B" w:rsidRDefault="008645BA" w:rsidP="008645BA">
            <w:pPr>
              <w:jc w:val="both"/>
              <w:rPr>
                <w:rFonts w:ascii="Arial" w:hAnsi="Arial" w:cs="Arial"/>
                <w:b/>
                <w:sz w:val="20"/>
                <w:szCs w:val="20"/>
              </w:rPr>
            </w:pPr>
            <w:r w:rsidRPr="0026515B">
              <w:rPr>
                <w:rFonts w:ascii="Arial" w:hAnsi="Arial" w:cs="Arial"/>
                <w:b/>
                <w:sz w:val="20"/>
                <w:szCs w:val="20"/>
              </w:rPr>
              <w:t>Nitizinón p.o. 5 mg</w:t>
            </w:r>
          </w:p>
          <w:p w14:paraId="070C32A9" w14:textId="77777777" w:rsidR="008645BA" w:rsidRPr="0026515B" w:rsidRDefault="008645BA" w:rsidP="008645BA">
            <w:pPr>
              <w:jc w:val="both"/>
              <w:rPr>
                <w:rFonts w:ascii="Arial" w:hAnsi="Arial" w:cs="Arial"/>
                <w:b/>
                <w:sz w:val="20"/>
                <w:szCs w:val="20"/>
              </w:rPr>
            </w:pPr>
            <w:r w:rsidRPr="0026515B">
              <w:rPr>
                <w:rFonts w:ascii="Arial" w:hAnsi="Arial" w:cs="Arial"/>
                <w:b/>
                <w:sz w:val="20"/>
                <w:szCs w:val="20"/>
              </w:rPr>
              <w:t>Nitizinón p.o. 20 mg</w:t>
            </w:r>
          </w:p>
          <w:p w14:paraId="7A0025DA" w14:textId="77777777" w:rsidR="008645BA" w:rsidRPr="0026515B" w:rsidRDefault="008645BA" w:rsidP="008645BA">
            <w:pPr>
              <w:jc w:val="both"/>
              <w:rPr>
                <w:rFonts w:ascii="Arial" w:hAnsi="Arial" w:cs="Arial"/>
                <w:b/>
                <w:sz w:val="20"/>
                <w:szCs w:val="20"/>
              </w:rPr>
            </w:pPr>
            <w:r w:rsidRPr="0026515B">
              <w:rPr>
                <w:rFonts w:ascii="Arial" w:hAnsi="Arial" w:cs="Arial"/>
                <w:b/>
                <w:sz w:val="20"/>
                <w:szCs w:val="20"/>
              </w:rPr>
              <w:t>Nitizinón p.o. 4 mg/ml</w:t>
            </w:r>
          </w:p>
        </w:tc>
      </w:tr>
      <w:tr w:rsidR="008645BA" w:rsidRPr="0000591E" w14:paraId="468FCF47" w14:textId="77777777" w:rsidTr="003F7925">
        <w:trPr>
          <w:gridAfter w:val="2"/>
          <w:wAfter w:w="154" w:type="dxa"/>
          <w:trHeight w:val="20"/>
        </w:trPr>
        <w:tc>
          <w:tcPr>
            <w:tcW w:w="1256" w:type="dxa"/>
            <w:tcBorders>
              <w:top w:val="single" w:sz="4" w:space="0" w:color="auto"/>
            </w:tcBorders>
            <w:noWrap/>
            <w:vAlign w:val="bottom"/>
          </w:tcPr>
          <w:p w14:paraId="4301C11C" w14:textId="77777777" w:rsidR="008645BA" w:rsidRPr="00593054" w:rsidRDefault="008645BA" w:rsidP="008645BA">
            <w:pPr>
              <w:jc w:val="both"/>
              <w:rPr>
                <w:rFonts w:ascii="Arial" w:hAnsi="Arial" w:cs="Arial"/>
                <w:b/>
                <w:bCs/>
                <w:color w:val="FF0000"/>
                <w:sz w:val="20"/>
                <w:szCs w:val="20"/>
              </w:rPr>
            </w:pPr>
          </w:p>
        </w:tc>
        <w:tc>
          <w:tcPr>
            <w:tcW w:w="9452" w:type="dxa"/>
            <w:tcBorders>
              <w:top w:val="single" w:sz="4" w:space="0" w:color="auto"/>
            </w:tcBorders>
            <w:noWrap/>
            <w:vAlign w:val="bottom"/>
          </w:tcPr>
          <w:p w14:paraId="355A3A18" w14:textId="77777777" w:rsidR="008645BA" w:rsidRPr="0026515B" w:rsidRDefault="008645BA" w:rsidP="008645BA">
            <w:pPr>
              <w:jc w:val="both"/>
              <w:rPr>
                <w:rFonts w:ascii="Arial" w:hAnsi="Arial" w:cs="Arial"/>
                <w:sz w:val="20"/>
                <w:szCs w:val="20"/>
              </w:rPr>
            </w:pPr>
            <w:r w:rsidRPr="0026515B">
              <w:rPr>
                <w:rFonts w:ascii="Arial" w:hAnsi="Arial" w:cs="Arial"/>
                <w:sz w:val="20"/>
                <w:szCs w:val="20"/>
              </w:rPr>
              <w:t xml:space="preserve">Hradená liečba sa môže indikovať u dospelých a pediatrických (v každom veku) pacientov s potvrdenou diagnózou hereditárnej tyrozinémie typu 1 (HT-1) v kombinácii s obmedzením tyrozínu a fenylalanínu v diéte. </w:t>
            </w:r>
          </w:p>
          <w:p w14:paraId="61738C46" w14:textId="77777777" w:rsidR="008645BA" w:rsidRPr="0026515B" w:rsidRDefault="008645BA" w:rsidP="008645BA">
            <w:pPr>
              <w:jc w:val="both"/>
              <w:rPr>
                <w:rFonts w:ascii="Arial" w:hAnsi="Arial" w:cs="Arial"/>
                <w:sz w:val="20"/>
                <w:szCs w:val="20"/>
              </w:rPr>
            </w:pPr>
            <w:r w:rsidRPr="0026515B">
              <w:rPr>
                <w:rFonts w:ascii="Arial" w:hAnsi="Arial" w:cs="Arial"/>
                <w:sz w:val="20"/>
                <w:szCs w:val="20"/>
              </w:rPr>
              <w:t>Hradená liečba sa môže indikovať a liek predpisovať v Centre dedičných metabolických porúch Národného ústavu detských chorôb v Bratislave, v Metabolickej ambulancii Detskej fakultnej nemocnice s poliklinikou Banská Bystrica, v Metabolickej ambulancii Detskej fakultnej nemocnice Košice.</w:t>
            </w:r>
          </w:p>
          <w:p w14:paraId="326ACEE4" w14:textId="76C67ADA" w:rsidR="008645BA" w:rsidRPr="0026515B" w:rsidRDefault="008645BA" w:rsidP="00FD52F3">
            <w:pPr>
              <w:jc w:val="both"/>
              <w:rPr>
                <w:rFonts w:ascii="Arial" w:hAnsi="Arial" w:cs="Arial"/>
                <w:sz w:val="20"/>
                <w:szCs w:val="20"/>
              </w:rPr>
            </w:pPr>
            <w:r w:rsidRPr="0026515B">
              <w:rPr>
                <w:rFonts w:ascii="Arial" w:hAnsi="Arial" w:cs="Arial"/>
                <w:sz w:val="20"/>
                <w:szCs w:val="20"/>
              </w:rPr>
              <w:t>Hradená liečba podlieha predchádzajúcemu súhlasu zdravotnej poisťovne.</w:t>
            </w:r>
          </w:p>
        </w:tc>
      </w:tr>
      <w:tr w:rsidR="008645BA" w:rsidRPr="0000591E" w14:paraId="63737A1E" w14:textId="77777777" w:rsidTr="003F7925">
        <w:trPr>
          <w:gridAfter w:val="2"/>
          <w:wAfter w:w="154" w:type="dxa"/>
          <w:trHeight w:val="20"/>
        </w:trPr>
        <w:tc>
          <w:tcPr>
            <w:tcW w:w="1256" w:type="dxa"/>
            <w:tcBorders>
              <w:bottom w:val="single" w:sz="4" w:space="0" w:color="auto"/>
            </w:tcBorders>
            <w:noWrap/>
            <w:vAlign w:val="bottom"/>
          </w:tcPr>
          <w:p w14:paraId="160FB774" w14:textId="77777777" w:rsidR="008645BA" w:rsidRPr="00697D22" w:rsidRDefault="008645BA" w:rsidP="008645BA">
            <w:pPr>
              <w:jc w:val="both"/>
              <w:rPr>
                <w:rFonts w:ascii="Arial" w:hAnsi="Arial" w:cs="Arial"/>
                <w:b/>
                <w:bCs/>
                <w:sz w:val="20"/>
                <w:szCs w:val="20"/>
              </w:rPr>
            </w:pPr>
            <w:r w:rsidRPr="00697D22">
              <w:rPr>
                <w:rFonts w:ascii="Arial" w:hAnsi="Arial" w:cs="Arial"/>
                <w:b/>
                <w:bCs/>
                <w:sz w:val="20"/>
                <w:szCs w:val="20"/>
              </w:rPr>
              <w:t>A16AX04</w:t>
            </w:r>
          </w:p>
        </w:tc>
        <w:tc>
          <w:tcPr>
            <w:tcW w:w="9452" w:type="dxa"/>
            <w:tcBorders>
              <w:bottom w:val="single" w:sz="4" w:space="0" w:color="auto"/>
            </w:tcBorders>
            <w:noWrap/>
            <w:vAlign w:val="bottom"/>
          </w:tcPr>
          <w:p w14:paraId="73FD9CC0" w14:textId="77777777" w:rsidR="008645BA" w:rsidRPr="00697D22" w:rsidRDefault="008645BA" w:rsidP="008645BA">
            <w:pPr>
              <w:jc w:val="both"/>
              <w:rPr>
                <w:rFonts w:ascii="Arial" w:hAnsi="Arial" w:cs="Arial"/>
                <w:b/>
                <w:sz w:val="20"/>
                <w:szCs w:val="20"/>
              </w:rPr>
            </w:pPr>
            <w:r w:rsidRPr="00697D22">
              <w:rPr>
                <w:rFonts w:ascii="Arial" w:hAnsi="Arial" w:cs="Arial"/>
                <w:b/>
                <w:sz w:val="20"/>
                <w:szCs w:val="20"/>
              </w:rPr>
              <w:t>Nitizinón p.o. 10 mg</w:t>
            </w:r>
          </w:p>
        </w:tc>
      </w:tr>
      <w:tr w:rsidR="008645BA" w:rsidRPr="0000591E" w14:paraId="1AC4BC6C" w14:textId="77777777" w:rsidTr="003F7925">
        <w:trPr>
          <w:gridAfter w:val="2"/>
          <w:wAfter w:w="154" w:type="dxa"/>
          <w:trHeight w:val="20"/>
        </w:trPr>
        <w:tc>
          <w:tcPr>
            <w:tcW w:w="1256" w:type="dxa"/>
            <w:tcBorders>
              <w:top w:val="single" w:sz="4" w:space="0" w:color="auto"/>
            </w:tcBorders>
            <w:noWrap/>
            <w:vAlign w:val="bottom"/>
          </w:tcPr>
          <w:p w14:paraId="6020C137"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63A13F88" w14:textId="77777777" w:rsidR="008645BA" w:rsidRPr="00697D22" w:rsidRDefault="008645BA" w:rsidP="008645BA">
            <w:pPr>
              <w:autoSpaceDE w:val="0"/>
              <w:autoSpaceDN w:val="0"/>
              <w:adjustRightInd w:val="0"/>
              <w:spacing w:after="200" w:line="276" w:lineRule="auto"/>
              <w:jc w:val="both"/>
              <w:rPr>
                <w:rFonts w:ascii="Calibri" w:hAnsi="Calibri"/>
                <w:color w:val="000000"/>
                <w:sz w:val="20"/>
                <w:u w:color="000000"/>
              </w:rPr>
            </w:pPr>
            <w:r w:rsidRPr="00697D22">
              <w:rPr>
                <w:rFonts w:ascii="Arial" w:hAnsi="Arial"/>
                <w:color w:val="000000"/>
                <w:sz w:val="20"/>
                <w:u w:color="000000"/>
              </w:rPr>
              <w:t xml:space="preserve">Hradená liečba sa môže indikovať u dospelých a pediatrických (v každom veku) pacientov s potvrdenou diagnózou hereditárnej tyrozinémie typu 1 (HT-1) v kombinácii s obmedzením tyrozínu a fenylalanínu v diéte. </w:t>
            </w:r>
          </w:p>
          <w:p w14:paraId="3C0F3B78" w14:textId="77777777" w:rsidR="008645BA" w:rsidRPr="00697D22" w:rsidRDefault="008645BA" w:rsidP="008645BA">
            <w:pPr>
              <w:autoSpaceDE w:val="0"/>
              <w:autoSpaceDN w:val="0"/>
              <w:adjustRightInd w:val="0"/>
              <w:spacing w:after="200"/>
              <w:jc w:val="both"/>
              <w:rPr>
                <w:rFonts w:ascii="Calibri" w:hAnsi="Calibri"/>
                <w:color w:val="000000"/>
                <w:sz w:val="20"/>
                <w:u w:color="000000"/>
              </w:rPr>
            </w:pPr>
            <w:r w:rsidRPr="00697D22">
              <w:rPr>
                <w:rFonts w:ascii="Arial" w:hAnsi="Arial"/>
                <w:color w:val="000000"/>
                <w:sz w:val="20"/>
                <w:u w:color="000000"/>
              </w:rPr>
              <w:t xml:space="preserve">Hradená liečba sa môže indikovať a liek predpisovať v Centre dedičných metabolických porúch Národného ústavu detských chorôb v Bratislave, v Metabolickej ambulancii Detskej fakultnej nemocnice s poliklinikou Banská Bystrica, v Metabolickej ambulancii Detskej fakultnej nemocnice Košice. </w:t>
            </w:r>
          </w:p>
          <w:p w14:paraId="3A4939E9" w14:textId="4622F48C" w:rsidR="008645BA" w:rsidRPr="00697D22" w:rsidRDefault="008645BA" w:rsidP="008645BA">
            <w:pPr>
              <w:autoSpaceDE w:val="0"/>
              <w:autoSpaceDN w:val="0"/>
              <w:adjustRightInd w:val="0"/>
              <w:spacing w:after="200"/>
              <w:jc w:val="both"/>
              <w:rPr>
                <w:rFonts w:ascii="Calibri" w:hAnsi="Calibri"/>
                <w:color w:val="000000"/>
                <w:sz w:val="20"/>
                <w:u w:color="000000"/>
              </w:rPr>
            </w:pPr>
            <w:r w:rsidRPr="00697D22">
              <w:rPr>
                <w:rFonts w:ascii="Arial" w:hAnsi="Arial"/>
                <w:color w:val="000000"/>
                <w:sz w:val="20"/>
                <w:u w:color="000000"/>
              </w:rPr>
              <w:t>Hradená liečba sa môže indikovať u dospelých pacientov s alkaptonúriou (AKU).</w:t>
            </w:r>
            <w:r>
              <w:rPr>
                <w:rFonts w:ascii="Arial" w:hAnsi="Arial"/>
                <w:color w:val="000000"/>
                <w:sz w:val="20"/>
                <w:u w:color="000000"/>
              </w:rPr>
              <w:t xml:space="preserve"> </w:t>
            </w:r>
            <w:r w:rsidRPr="00697D22">
              <w:rPr>
                <w:rFonts w:ascii="Arial" w:hAnsi="Arial"/>
                <w:color w:val="000000"/>
                <w:sz w:val="20"/>
                <w:u w:color="000000"/>
              </w:rPr>
              <w:t>Hradená liečba sa môže indikovať a liek predpisovať v Národnom ústave reumatických chorôb v Piešťanoch.</w:t>
            </w:r>
          </w:p>
          <w:p w14:paraId="6B32E694" w14:textId="496976BC" w:rsidR="008645BA" w:rsidRPr="004A2FEF" w:rsidRDefault="008645BA" w:rsidP="008645BA">
            <w:pPr>
              <w:autoSpaceDE w:val="0"/>
              <w:autoSpaceDN w:val="0"/>
              <w:adjustRightInd w:val="0"/>
              <w:spacing w:after="200"/>
              <w:jc w:val="both"/>
              <w:rPr>
                <w:rFonts w:ascii="Arial" w:hAnsi="Arial"/>
                <w:color w:val="000000"/>
                <w:sz w:val="20"/>
                <w:u w:color="000000"/>
              </w:rPr>
            </w:pPr>
            <w:r w:rsidRPr="00697D22">
              <w:rPr>
                <w:rFonts w:ascii="Arial" w:hAnsi="Arial"/>
                <w:color w:val="000000"/>
                <w:sz w:val="20"/>
                <w:u w:color="000000"/>
              </w:rPr>
              <w:t>Hradená liečba podlieha predchádzajúcemu súhlasu zdravotnej poisťovne.</w:t>
            </w:r>
          </w:p>
        </w:tc>
      </w:tr>
      <w:tr w:rsidR="008645BA" w:rsidRPr="0000591E" w14:paraId="1E56F28E" w14:textId="77777777" w:rsidTr="003F7925">
        <w:trPr>
          <w:gridAfter w:val="2"/>
          <w:wAfter w:w="154" w:type="dxa"/>
          <w:trHeight w:val="20"/>
        </w:trPr>
        <w:tc>
          <w:tcPr>
            <w:tcW w:w="1256" w:type="dxa"/>
            <w:tcBorders>
              <w:bottom w:val="single" w:sz="4" w:space="0" w:color="auto"/>
            </w:tcBorders>
            <w:noWrap/>
            <w:vAlign w:val="bottom"/>
          </w:tcPr>
          <w:p w14:paraId="087D2A1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A16AX06</w:t>
            </w:r>
          </w:p>
        </w:tc>
        <w:tc>
          <w:tcPr>
            <w:tcW w:w="9452" w:type="dxa"/>
            <w:tcBorders>
              <w:bottom w:val="single" w:sz="4" w:space="0" w:color="auto"/>
            </w:tcBorders>
            <w:vAlign w:val="bottom"/>
          </w:tcPr>
          <w:p w14:paraId="44C395CF"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Miglustat p.o. 100 mg</w:t>
            </w:r>
          </w:p>
        </w:tc>
      </w:tr>
      <w:tr w:rsidR="008645BA" w:rsidRPr="0000591E" w14:paraId="02F2B293" w14:textId="77777777" w:rsidTr="003F7925">
        <w:trPr>
          <w:gridAfter w:val="2"/>
          <w:wAfter w:w="154" w:type="dxa"/>
          <w:trHeight w:val="20"/>
        </w:trPr>
        <w:tc>
          <w:tcPr>
            <w:tcW w:w="1256" w:type="dxa"/>
            <w:tcBorders>
              <w:top w:val="single" w:sz="4" w:space="0" w:color="auto"/>
            </w:tcBorders>
            <w:noWrap/>
            <w:vAlign w:val="bottom"/>
          </w:tcPr>
          <w:p w14:paraId="08A3E896" w14:textId="77777777" w:rsidR="008645BA" w:rsidRPr="0000591E" w:rsidRDefault="008645BA" w:rsidP="008645BA">
            <w:pPr>
              <w:jc w:val="both"/>
              <w:rPr>
                <w:rFonts w:ascii="Arial" w:hAnsi="Arial" w:cs="Arial"/>
                <w:sz w:val="20"/>
                <w:szCs w:val="20"/>
              </w:rPr>
            </w:pPr>
          </w:p>
          <w:p w14:paraId="131E8269" w14:textId="77777777" w:rsidR="008645BA" w:rsidRPr="0000591E" w:rsidRDefault="008645BA" w:rsidP="008645BA">
            <w:pPr>
              <w:jc w:val="both"/>
              <w:rPr>
                <w:rFonts w:ascii="Arial" w:hAnsi="Arial" w:cs="Arial"/>
                <w:sz w:val="20"/>
                <w:szCs w:val="20"/>
              </w:rPr>
            </w:pPr>
          </w:p>
          <w:p w14:paraId="147DA74D"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3387EE72"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Gaucherovou chorobou typu I. potvrdenou enzymologickým vyšetrením, kde nie je vhodná enzymatická substitučná terapia.</w:t>
            </w:r>
          </w:p>
          <w:p w14:paraId="00D34B1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44F50D6B"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0810AE13" w14:textId="77777777" w:rsidR="008645BA" w:rsidRPr="0000591E" w:rsidRDefault="008645BA" w:rsidP="008645BA">
            <w:pPr>
              <w:jc w:val="both"/>
              <w:rPr>
                <w:rFonts w:ascii="Arial" w:hAnsi="Arial" w:cs="Arial"/>
                <w:sz w:val="20"/>
                <w:szCs w:val="20"/>
              </w:rPr>
            </w:pPr>
          </w:p>
        </w:tc>
      </w:tr>
      <w:tr w:rsidR="008645BA" w:rsidRPr="0000591E" w14:paraId="32DBD52D" w14:textId="77777777" w:rsidTr="003F7925">
        <w:trPr>
          <w:gridAfter w:val="2"/>
          <w:wAfter w:w="154" w:type="dxa"/>
          <w:trHeight w:val="20"/>
        </w:trPr>
        <w:tc>
          <w:tcPr>
            <w:tcW w:w="1256" w:type="dxa"/>
            <w:tcBorders>
              <w:bottom w:val="single" w:sz="4" w:space="0" w:color="auto"/>
            </w:tcBorders>
            <w:noWrap/>
            <w:vAlign w:val="bottom"/>
          </w:tcPr>
          <w:p w14:paraId="613FBD99" w14:textId="5954DE8F" w:rsidR="008645BA" w:rsidRDefault="008645BA" w:rsidP="008645BA">
            <w:pPr>
              <w:pStyle w:val="Nadpis3"/>
              <w:rPr>
                <w:bCs w:val="0"/>
                <w:lang w:val="sk-SK"/>
              </w:rPr>
            </w:pPr>
            <w:r w:rsidRPr="00446581">
              <w:t>A16AX07</w:t>
            </w:r>
          </w:p>
        </w:tc>
        <w:tc>
          <w:tcPr>
            <w:tcW w:w="9452" w:type="dxa"/>
            <w:tcBorders>
              <w:bottom w:val="single" w:sz="4" w:space="0" w:color="auto"/>
            </w:tcBorders>
            <w:noWrap/>
            <w:vAlign w:val="bottom"/>
          </w:tcPr>
          <w:p w14:paraId="65596DF2" w14:textId="27EAF2BC" w:rsidR="008645BA" w:rsidRDefault="008645BA" w:rsidP="008645BA">
            <w:pPr>
              <w:jc w:val="both"/>
              <w:rPr>
                <w:rFonts w:ascii="Arial" w:hAnsi="Arial" w:cs="Arial"/>
                <w:b/>
                <w:bCs/>
                <w:sz w:val="20"/>
                <w:szCs w:val="20"/>
              </w:rPr>
            </w:pPr>
            <w:r w:rsidRPr="00446581">
              <w:rPr>
                <w:rFonts w:ascii="Arial" w:hAnsi="Arial" w:cs="Arial"/>
                <w:b/>
                <w:sz w:val="20"/>
                <w:szCs w:val="20"/>
              </w:rPr>
              <w:t>Sapropterin p.o. 100 mg</w:t>
            </w:r>
          </w:p>
        </w:tc>
      </w:tr>
      <w:tr w:rsidR="008645BA" w:rsidRPr="0000591E" w14:paraId="1B4C5790" w14:textId="77777777" w:rsidTr="003F7925">
        <w:trPr>
          <w:gridAfter w:val="2"/>
          <w:wAfter w:w="154" w:type="dxa"/>
          <w:trHeight w:val="20"/>
        </w:trPr>
        <w:tc>
          <w:tcPr>
            <w:tcW w:w="1256" w:type="dxa"/>
            <w:tcBorders>
              <w:top w:val="single" w:sz="4" w:space="0" w:color="auto"/>
            </w:tcBorders>
            <w:noWrap/>
            <w:vAlign w:val="bottom"/>
          </w:tcPr>
          <w:p w14:paraId="57F6ACD4" w14:textId="77777777" w:rsidR="008645BA" w:rsidRDefault="008645BA" w:rsidP="008645BA">
            <w:pPr>
              <w:pStyle w:val="Nadpis3"/>
              <w:rPr>
                <w:bCs w:val="0"/>
                <w:lang w:val="sk-SK"/>
              </w:rPr>
            </w:pPr>
          </w:p>
        </w:tc>
        <w:tc>
          <w:tcPr>
            <w:tcW w:w="9452" w:type="dxa"/>
            <w:tcBorders>
              <w:top w:val="single" w:sz="4" w:space="0" w:color="auto"/>
            </w:tcBorders>
            <w:noWrap/>
            <w:vAlign w:val="bottom"/>
          </w:tcPr>
          <w:p w14:paraId="2C090CC6" w14:textId="77777777" w:rsidR="008645BA" w:rsidRPr="00A92736" w:rsidRDefault="008645BA" w:rsidP="008645BA">
            <w:pPr>
              <w:jc w:val="both"/>
              <w:rPr>
                <w:rFonts w:ascii="Arial" w:hAnsi="Arial" w:cs="Arial"/>
                <w:bCs/>
                <w:sz w:val="20"/>
                <w:szCs w:val="20"/>
              </w:rPr>
            </w:pPr>
            <w:r w:rsidRPr="00A92736">
              <w:rPr>
                <w:rFonts w:ascii="Arial" w:hAnsi="Arial" w:cs="Arial"/>
                <w:bCs/>
                <w:sz w:val="20"/>
                <w:szCs w:val="20"/>
              </w:rPr>
              <w:t>Hradená liečba sa môže indikovať na liečbu hyperfenylalaninémie (HPA) u dospelých a pediatrických pacientov</w:t>
            </w:r>
          </w:p>
          <w:p w14:paraId="723BE344" w14:textId="77777777" w:rsidR="008645BA" w:rsidRPr="00A92736" w:rsidRDefault="008645BA" w:rsidP="008645BA">
            <w:pPr>
              <w:tabs>
                <w:tab w:val="left" w:pos="291"/>
              </w:tabs>
              <w:jc w:val="both"/>
              <w:rPr>
                <w:rFonts w:ascii="Arial" w:hAnsi="Arial" w:cs="Arial"/>
                <w:bCs/>
                <w:sz w:val="20"/>
                <w:szCs w:val="20"/>
              </w:rPr>
            </w:pPr>
            <w:r w:rsidRPr="00A92736">
              <w:rPr>
                <w:rFonts w:ascii="Arial" w:hAnsi="Arial" w:cs="Arial"/>
                <w:bCs/>
                <w:sz w:val="20"/>
                <w:szCs w:val="20"/>
              </w:rPr>
              <w:t>a)</w:t>
            </w:r>
            <w:r w:rsidRPr="00A92736">
              <w:rPr>
                <w:rFonts w:ascii="Arial" w:hAnsi="Arial" w:cs="Arial"/>
                <w:bCs/>
                <w:sz w:val="20"/>
                <w:szCs w:val="20"/>
              </w:rPr>
              <w:tab/>
              <w:t>od dovŕšenia štvrtého roku veku s fenylketonúriou (FKU), u ktorých sa preukázala odpoveď na túto liečbu,</w:t>
            </w:r>
          </w:p>
          <w:p w14:paraId="7E8A91A6" w14:textId="77777777" w:rsidR="008645BA" w:rsidRPr="00A92736" w:rsidRDefault="008645BA" w:rsidP="008645BA">
            <w:pPr>
              <w:tabs>
                <w:tab w:val="left" w:pos="291"/>
              </w:tabs>
              <w:jc w:val="both"/>
              <w:rPr>
                <w:rFonts w:ascii="Arial" w:hAnsi="Arial" w:cs="Arial"/>
                <w:bCs/>
                <w:sz w:val="20"/>
                <w:szCs w:val="20"/>
              </w:rPr>
            </w:pPr>
            <w:r w:rsidRPr="00A92736">
              <w:rPr>
                <w:rFonts w:ascii="Arial" w:hAnsi="Arial" w:cs="Arial"/>
                <w:bCs/>
                <w:sz w:val="20"/>
                <w:szCs w:val="20"/>
              </w:rPr>
              <w:t>b)</w:t>
            </w:r>
            <w:r w:rsidRPr="00A92736">
              <w:rPr>
                <w:rFonts w:ascii="Arial" w:hAnsi="Arial" w:cs="Arial"/>
                <w:bCs/>
                <w:sz w:val="20"/>
                <w:szCs w:val="20"/>
              </w:rPr>
              <w:tab/>
              <w:t>s nedostatkom tetrahydrobiopterínu (BH4), u ktorých sa preukázala odpoveď na túto liečbu.</w:t>
            </w:r>
          </w:p>
          <w:p w14:paraId="25028784" w14:textId="77777777" w:rsidR="008645BA" w:rsidRPr="00A92736" w:rsidRDefault="008645BA" w:rsidP="008645BA">
            <w:pPr>
              <w:jc w:val="both"/>
              <w:rPr>
                <w:rFonts w:ascii="Arial" w:hAnsi="Arial" w:cs="Arial"/>
                <w:bCs/>
                <w:sz w:val="20"/>
                <w:szCs w:val="20"/>
              </w:rPr>
            </w:pPr>
          </w:p>
          <w:p w14:paraId="6D159051" w14:textId="77777777" w:rsidR="008645BA" w:rsidRPr="00A92736" w:rsidRDefault="008645BA" w:rsidP="008645BA">
            <w:pPr>
              <w:jc w:val="both"/>
              <w:rPr>
                <w:rFonts w:ascii="Arial" w:hAnsi="Arial" w:cs="Arial"/>
                <w:bCs/>
                <w:sz w:val="20"/>
                <w:szCs w:val="20"/>
              </w:rPr>
            </w:pPr>
            <w:r w:rsidRPr="00A92736">
              <w:rPr>
                <w:rFonts w:ascii="Arial" w:hAnsi="Arial" w:cs="Arial"/>
                <w:bCs/>
                <w:sz w:val="20"/>
                <w:szCs w:val="20"/>
              </w:rPr>
              <w:t>Hradenú liečbu môže indikovať lekár centra pre metabolické poruchy alebo po jeho odporúčaní pediater, diabetológ alebo endokrinológ u pacientov s fenylketonúriou a hyperfenylalaninémiou.</w:t>
            </w:r>
          </w:p>
          <w:p w14:paraId="6F4E6A8F" w14:textId="77777777" w:rsidR="008645BA" w:rsidRPr="00A92736" w:rsidRDefault="008645BA" w:rsidP="008645BA">
            <w:pPr>
              <w:jc w:val="both"/>
              <w:rPr>
                <w:rFonts w:ascii="Arial" w:hAnsi="Arial" w:cs="Arial"/>
                <w:bCs/>
                <w:sz w:val="20"/>
                <w:szCs w:val="20"/>
              </w:rPr>
            </w:pPr>
            <w:r w:rsidRPr="00A92736">
              <w:rPr>
                <w:rFonts w:ascii="Arial" w:hAnsi="Arial" w:cs="Arial"/>
                <w:bCs/>
                <w:sz w:val="20"/>
                <w:szCs w:val="20"/>
              </w:rPr>
              <w:t>Hradená liečba sa môže indikovať a liek predpisovať na Klinike pre deti a dorast A. Getlíka Univerzitnej nemocnice Bratislava - nemocnica sv. Cyrila a Metoda, v Metabolickej ambulancii Detskej fakultnej nemocnice s poliklinikou Banská Bystrica, vo Fenylketonurickej ambulancii Detskej fakultnej nemocnice Košice.</w:t>
            </w:r>
          </w:p>
          <w:p w14:paraId="25A48E52" w14:textId="77777777" w:rsidR="008645BA" w:rsidRDefault="008645BA" w:rsidP="008645BA">
            <w:pPr>
              <w:jc w:val="both"/>
              <w:rPr>
                <w:rFonts w:ascii="Arial" w:hAnsi="Arial" w:cs="Arial"/>
                <w:bCs/>
                <w:sz w:val="20"/>
                <w:szCs w:val="20"/>
              </w:rPr>
            </w:pPr>
            <w:r w:rsidRPr="00A92736">
              <w:rPr>
                <w:rFonts w:ascii="Arial" w:hAnsi="Arial" w:cs="Arial"/>
                <w:bCs/>
                <w:sz w:val="20"/>
                <w:szCs w:val="20"/>
              </w:rPr>
              <w:t>Hradená liečba podlieha predchádzajúcemu súhlasu zdravotnej poisťovne.</w:t>
            </w:r>
          </w:p>
          <w:p w14:paraId="2D511982" w14:textId="2EFC71C0" w:rsidR="008645BA" w:rsidRPr="00A92736" w:rsidRDefault="008645BA" w:rsidP="008645BA">
            <w:pPr>
              <w:jc w:val="both"/>
              <w:rPr>
                <w:rFonts w:ascii="Arial" w:hAnsi="Arial" w:cs="Arial"/>
                <w:bCs/>
                <w:sz w:val="20"/>
                <w:szCs w:val="20"/>
              </w:rPr>
            </w:pPr>
          </w:p>
        </w:tc>
      </w:tr>
      <w:tr w:rsidR="008645BA" w:rsidRPr="0000591E" w14:paraId="563AFC54" w14:textId="77777777" w:rsidTr="003F7925">
        <w:trPr>
          <w:gridAfter w:val="2"/>
          <w:wAfter w:w="154" w:type="dxa"/>
          <w:trHeight w:val="20"/>
        </w:trPr>
        <w:tc>
          <w:tcPr>
            <w:tcW w:w="1256" w:type="dxa"/>
            <w:noWrap/>
            <w:vAlign w:val="bottom"/>
          </w:tcPr>
          <w:p w14:paraId="33B95033" w14:textId="77777777" w:rsidR="008645BA" w:rsidRPr="0000591E" w:rsidRDefault="008645BA" w:rsidP="008645BA">
            <w:pPr>
              <w:pStyle w:val="Nadpis3"/>
              <w:rPr>
                <w:bCs w:val="0"/>
                <w:lang w:val="sk-SK"/>
              </w:rPr>
            </w:pPr>
            <w:r>
              <w:rPr>
                <w:bCs w:val="0"/>
                <w:lang w:val="sk-SK"/>
              </w:rPr>
              <w:t>A16AX08</w:t>
            </w:r>
          </w:p>
        </w:tc>
        <w:tc>
          <w:tcPr>
            <w:tcW w:w="9452" w:type="dxa"/>
            <w:noWrap/>
            <w:vAlign w:val="bottom"/>
          </w:tcPr>
          <w:p w14:paraId="6746811B" w14:textId="77777777" w:rsidR="008645BA" w:rsidRDefault="008645BA" w:rsidP="008645BA">
            <w:pPr>
              <w:jc w:val="both"/>
              <w:rPr>
                <w:rFonts w:ascii="Arial" w:hAnsi="Arial" w:cs="Arial"/>
                <w:b/>
                <w:bCs/>
                <w:sz w:val="20"/>
                <w:szCs w:val="20"/>
              </w:rPr>
            </w:pPr>
            <w:r>
              <w:rPr>
                <w:rFonts w:ascii="Arial" w:hAnsi="Arial" w:cs="Arial"/>
                <w:b/>
                <w:bCs/>
                <w:sz w:val="20"/>
                <w:szCs w:val="20"/>
              </w:rPr>
              <w:t>Teduglutid s.c. 1,25 mg</w:t>
            </w:r>
          </w:p>
          <w:p w14:paraId="16D3CBB7"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Teduglutid s.c. 5 mg</w:t>
            </w:r>
          </w:p>
        </w:tc>
      </w:tr>
      <w:tr w:rsidR="008645BA" w:rsidRPr="0000591E" w14:paraId="7F16C4A9" w14:textId="77777777" w:rsidTr="003F7925">
        <w:trPr>
          <w:gridAfter w:val="2"/>
          <w:wAfter w:w="154" w:type="dxa"/>
          <w:trHeight w:val="20"/>
        </w:trPr>
        <w:tc>
          <w:tcPr>
            <w:tcW w:w="1256" w:type="dxa"/>
            <w:tcBorders>
              <w:top w:val="single" w:sz="4" w:space="0" w:color="auto"/>
            </w:tcBorders>
            <w:noWrap/>
            <w:vAlign w:val="bottom"/>
          </w:tcPr>
          <w:p w14:paraId="2FEEFBFB"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7E45A160" w14:textId="77777777" w:rsidR="008645BA" w:rsidRPr="006C0A8E" w:rsidRDefault="008645BA" w:rsidP="008645BA">
            <w:pPr>
              <w:jc w:val="both"/>
              <w:rPr>
                <w:rFonts w:ascii="Arial" w:hAnsi="Arial" w:cs="Arial"/>
                <w:sz w:val="20"/>
                <w:szCs w:val="20"/>
              </w:rPr>
            </w:pPr>
            <w:r w:rsidRPr="006C0A8E">
              <w:rPr>
                <w:rFonts w:ascii="Arial" w:hAnsi="Arial" w:cs="Arial"/>
                <w:sz w:val="20"/>
                <w:szCs w:val="20"/>
              </w:rPr>
              <w:t>Hradená liečba sa môže indikovať na liečbu pacientov vo veku 1 rok a viac so syndrómom krátkeho čreva. Pacient musí byť stabilizovaný na domácej parenterálnej výžive s perorálnym príjmom, po období črevnej adaptácie v trvaní minimálne 6 mesiacov.</w:t>
            </w:r>
          </w:p>
          <w:p w14:paraId="504CCDDE" w14:textId="77777777" w:rsidR="008645BA" w:rsidRPr="006C0A8E" w:rsidRDefault="008645BA" w:rsidP="008645BA">
            <w:pPr>
              <w:jc w:val="both"/>
              <w:rPr>
                <w:rFonts w:ascii="Arial" w:hAnsi="Arial" w:cs="Arial"/>
                <w:sz w:val="20"/>
                <w:szCs w:val="20"/>
              </w:rPr>
            </w:pPr>
            <w:r w:rsidRPr="006C0A8E">
              <w:rPr>
                <w:rFonts w:ascii="Arial" w:hAnsi="Arial" w:cs="Arial"/>
                <w:sz w:val="20"/>
                <w:szCs w:val="20"/>
              </w:rPr>
              <w:t>Účinnosť liečby má byť u dospelých pacientov prehodnotená každých 6 mesiacov od prvého podania, u detí každých 6 mesiacov od prvého podania a u detí mladších ako 2 roky sa má liečba vyhodnotiť každých 12 týždňov od prvého podania do veku dvoch rokov života dieťaťa.</w:t>
            </w:r>
          </w:p>
          <w:p w14:paraId="2D82B05D" w14:textId="77777777" w:rsidR="008645BA" w:rsidRDefault="008645BA" w:rsidP="008645BA">
            <w:pPr>
              <w:jc w:val="both"/>
              <w:rPr>
                <w:rFonts w:ascii="Arial" w:hAnsi="Arial" w:cs="Arial"/>
                <w:sz w:val="20"/>
                <w:szCs w:val="20"/>
              </w:rPr>
            </w:pPr>
            <w:r w:rsidRPr="006C0A8E">
              <w:rPr>
                <w:rFonts w:ascii="Arial" w:hAnsi="Arial" w:cs="Arial"/>
                <w:sz w:val="20"/>
                <w:szCs w:val="20"/>
              </w:rPr>
              <w:t>Kritérium účinnosti liečby je minimálne 20% redukcia objemu parenterálnej substitúcie z týždenného objemu pred liečbou teduglutidom. V prípade, že k uvedenej redukcii nedôjde, liečba prestáva byť hradenou. Liečba musí byť ukončená v prípade výskytu stavu kontraindikujúceho liečbu.</w:t>
            </w:r>
          </w:p>
          <w:p w14:paraId="09B4BD26" w14:textId="77777777" w:rsidR="008645BA" w:rsidRPr="006C0A8E" w:rsidRDefault="008645BA" w:rsidP="008645BA">
            <w:pPr>
              <w:jc w:val="both"/>
              <w:rPr>
                <w:rFonts w:ascii="Arial" w:hAnsi="Arial" w:cs="Arial"/>
                <w:sz w:val="20"/>
                <w:szCs w:val="20"/>
              </w:rPr>
            </w:pPr>
          </w:p>
          <w:p w14:paraId="75C91AB7" w14:textId="77777777" w:rsidR="008645BA" w:rsidRDefault="008645BA" w:rsidP="008645BA">
            <w:pPr>
              <w:jc w:val="both"/>
              <w:rPr>
                <w:rFonts w:ascii="Arial" w:hAnsi="Arial" w:cs="Arial"/>
                <w:sz w:val="20"/>
                <w:szCs w:val="20"/>
              </w:rPr>
            </w:pPr>
            <w:r w:rsidRPr="006631E7">
              <w:rPr>
                <w:rFonts w:ascii="Arial" w:hAnsi="Arial" w:cs="Arial"/>
                <w:sz w:val="20"/>
                <w:szCs w:val="20"/>
              </w:rPr>
              <w:t xml:space="preserve">Hradenú liečbu môže indikovať a preskribovať len lekár na pracovisku Centra pre parenterálnu výživu: Národný onkologický ústav, Bratislava Gastroenterologická klinika SZU a UNB, Nemocnica svätého Cyrila a Metoda, Bratislava II.Interná klinika SZU, FNsP F.D.R. Banská Bystrica I.Interná klinika, Univerzitná nemocnica Martin Interné oddelenie, Všeobecná nemocnica Rimavská Sobota I. Interná klinika, Univerzitná nemocnica L. Pasteura Košice, Stredisko pre domácu parenterálnu výživu, Interná klinika SZU, </w:t>
            </w:r>
            <w:r w:rsidRPr="006631E7">
              <w:rPr>
                <w:rFonts w:ascii="Arial" w:hAnsi="Arial" w:cs="Arial"/>
                <w:sz w:val="20"/>
                <w:szCs w:val="20"/>
              </w:rPr>
              <w:lastRenderedPageBreak/>
              <w:t xml:space="preserve">Univerzitná nemocnica - Nemocnica svätého Michala, a.s., Bratislava a u detí na pracoviskách: Národný ústav detských chorôb, Bratislava Klinika pediatrie a neonatológie, Fakultná nemocnica, Trenčín II. Detská klinika SZU, Detská fakultná nemocnica s poliklinikou, Banská Bystrica. Klinika detí a dorastu, Detská fakultná nemocnica, Košice. Klinika pediatrickej anestéziológie a intenzívnej medicíny LF UPJŠ a DFN, Košice. </w:t>
            </w:r>
          </w:p>
          <w:p w14:paraId="7BD04CE8" w14:textId="77777777" w:rsidR="004A2FEF" w:rsidRDefault="008645BA" w:rsidP="004A2FEF">
            <w:pPr>
              <w:jc w:val="both"/>
              <w:rPr>
                <w:rFonts w:ascii="Arial" w:hAnsi="Arial" w:cs="Arial"/>
                <w:sz w:val="20"/>
                <w:szCs w:val="20"/>
              </w:rPr>
            </w:pPr>
            <w:r w:rsidRPr="006631E7">
              <w:rPr>
                <w:rFonts w:ascii="Arial" w:hAnsi="Arial" w:cs="Arial"/>
                <w:sz w:val="20"/>
                <w:szCs w:val="20"/>
              </w:rPr>
              <w:t>Hradená liečba podlieha predchádzajúcemu súhlasu zdravotnej poisťovne.</w:t>
            </w:r>
          </w:p>
          <w:p w14:paraId="519C9541" w14:textId="6B963085" w:rsidR="008645BA" w:rsidRPr="0000591E" w:rsidRDefault="008645BA" w:rsidP="004A2FEF">
            <w:pPr>
              <w:jc w:val="both"/>
              <w:rPr>
                <w:rFonts w:ascii="Arial" w:hAnsi="Arial" w:cs="Arial"/>
                <w:sz w:val="20"/>
                <w:szCs w:val="20"/>
              </w:rPr>
            </w:pPr>
            <w:r>
              <w:rPr>
                <w:rFonts w:ascii="Arial" w:hAnsi="Arial" w:cs="Arial"/>
                <w:sz w:val="20"/>
                <w:szCs w:val="20"/>
              </w:rPr>
              <w:tab/>
            </w:r>
            <w:r>
              <w:rPr>
                <w:rFonts w:ascii="Arial" w:hAnsi="Arial" w:cs="Arial"/>
                <w:sz w:val="20"/>
                <w:szCs w:val="20"/>
              </w:rPr>
              <w:tab/>
            </w:r>
          </w:p>
        </w:tc>
      </w:tr>
      <w:tr w:rsidR="008645BA" w:rsidRPr="0000591E" w14:paraId="2274E1D8" w14:textId="77777777" w:rsidTr="002277E9">
        <w:trPr>
          <w:gridAfter w:val="2"/>
          <w:wAfter w:w="154" w:type="dxa"/>
          <w:trHeight w:val="20"/>
        </w:trPr>
        <w:tc>
          <w:tcPr>
            <w:tcW w:w="1256" w:type="dxa"/>
            <w:tcBorders>
              <w:bottom w:val="single" w:sz="4" w:space="0" w:color="auto"/>
            </w:tcBorders>
            <w:noWrap/>
            <w:vAlign w:val="bottom"/>
          </w:tcPr>
          <w:p w14:paraId="35F8611E" w14:textId="77777777" w:rsidR="008645BA" w:rsidRPr="00446581" w:rsidRDefault="008645BA" w:rsidP="008645BA">
            <w:pPr>
              <w:jc w:val="both"/>
              <w:rPr>
                <w:rFonts w:ascii="Arial" w:hAnsi="Arial" w:cs="Arial"/>
                <w:b/>
                <w:sz w:val="20"/>
                <w:szCs w:val="20"/>
              </w:rPr>
            </w:pPr>
            <w:r w:rsidRPr="00446581">
              <w:rPr>
                <w:rFonts w:ascii="Arial" w:hAnsi="Arial" w:cs="Arial"/>
                <w:b/>
                <w:sz w:val="20"/>
                <w:szCs w:val="20"/>
              </w:rPr>
              <w:lastRenderedPageBreak/>
              <w:t>A16AX09</w:t>
            </w:r>
          </w:p>
        </w:tc>
        <w:tc>
          <w:tcPr>
            <w:tcW w:w="9452" w:type="dxa"/>
            <w:tcBorders>
              <w:bottom w:val="single" w:sz="4" w:space="0" w:color="auto"/>
            </w:tcBorders>
            <w:noWrap/>
            <w:vAlign w:val="bottom"/>
          </w:tcPr>
          <w:p w14:paraId="14B297C3" w14:textId="77777777" w:rsidR="008645BA" w:rsidRPr="00446581" w:rsidRDefault="008645BA" w:rsidP="008645BA">
            <w:pPr>
              <w:jc w:val="both"/>
              <w:rPr>
                <w:rFonts w:ascii="Arial" w:hAnsi="Arial" w:cs="Arial"/>
                <w:sz w:val="20"/>
                <w:szCs w:val="20"/>
              </w:rPr>
            </w:pPr>
            <w:r w:rsidRPr="00EB149E">
              <w:rPr>
                <w:rFonts w:ascii="Arial" w:hAnsi="Arial" w:cs="Arial"/>
                <w:b/>
                <w:sz w:val="20"/>
                <w:szCs w:val="20"/>
                <w:lang w:eastAsia="cs-CZ"/>
              </w:rPr>
              <w:t>Glycerolfenylbutyrát</w:t>
            </w:r>
            <w:r w:rsidRPr="00EB149E">
              <w:rPr>
                <w:rFonts w:ascii="Arial" w:hAnsi="Arial" w:cs="Arial"/>
                <w:b/>
                <w:sz w:val="20"/>
                <w:szCs w:val="20"/>
                <w:lang w:eastAsia="cs-CZ"/>
              </w:rPr>
              <w:tab/>
              <w:t>p.o. 1,1 g/ml</w:t>
            </w:r>
          </w:p>
        </w:tc>
      </w:tr>
      <w:tr w:rsidR="008645BA" w:rsidRPr="0000591E" w14:paraId="7EBC3FAC" w14:textId="77777777" w:rsidTr="002277E9">
        <w:trPr>
          <w:gridAfter w:val="2"/>
          <w:wAfter w:w="154" w:type="dxa"/>
          <w:trHeight w:val="20"/>
        </w:trPr>
        <w:tc>
          <w:tcPr>
            <w:tcW w:w="1256" w:type="dxa"/>
            <w:tcBorders>
              <w:top w:val="single" w:sz="4" w:space="0" w:color="auto"/>
              <w:bottom w:val="single" w:sz="4" w:space="0" w:color="auto"/>
            </w:tcBorders>
            <w:noWrap/>
            <w:vAlign w:val="bottom"/>
          </w:tcPr>
          <w:p w14:paraId="7908D250" w14:textId="77777777" w:rsidR="008645BA" w:rsidRPr="0000591E" w:rsidRDefault="008645BA" w:rsidP="008645BA">
            <w:pPr>
              <w:jc w:val="both"/>
              <w:rPr>
                <w:rFonts w:ascii="Arial" w:hAnsi="Arial" w:cs="Arial"/>
                <w:sz w:val="20"/>
                <w:szCs w:val="20"/>
              </w:rPr>
            </w:pPr>
          </w:p>
        </w:tc>
        <w:tc>
          <w:tcPr>
            <w:tcW w:w="9452" w:type="dxa"/>
            <w:tcBorders>
              <w:top w:val="single" w:sz="4" w:space="0" w:color="auto"/>
              <w:bottom w:val="single" w:sz="4" w:space="0" w:color="auto"/>
            </w:tcBorders>
            <w:noWrap/>
            <w:vAlign w:val="bottom"/>
          </w:tcPr>
          <w:p w14:paraId="627945C4" w14:textId="77777777" w:rsidR="008645BA" w:rsidRPr="00EB149E" w:rsidRDefault="008645BA" w:rsidP="008645BA">
            <w:pPr>
              <w:jc w:val="both"/>
              <w:rPr>
                <w:rFonts w:ascii="Arial" w:hAnsi="Arial" w:cs="Arial"/>
                <w:sz w:val="20"/>
                <w:szCs w:val="20"/>
              </w:rPr>
            </w:pPr>
            <w:r w:rsidRPr="00EB149E">
              <w:rPr>
                <w:rFonts w:ascii="Arial" w:hAnsi="Arial" w:cs="Arial"/>
                <w:sz w:val="20"/>
                <w:szCs w:val="20"/>
              </w:rPr>
              <w:t>Hradená liečba sa môže indikovať ako prídavná terapia na chronickú liečbu dospelých i pediatrických pacientov vo veku ≥ 2 mesiacov s poruchami močovinového cyklu (urea cycle disorder, UCD) vrátane nedostatočnosti karbamoylfosfátsyntetázy (CPS) I, ornitín karbamoyltransferázy (OTC), argininosukcinát syntetázy (ASS), argininosukcinát lyázy (ASL), arginázy (ARG) I, a nedostatku ornitíntranslokázy, hyperornitínémia-hyperamonémia-homocitrulínúria syndróm (HHH), ktoré sa nedajú liečiť obmedzením príjmu bielkovín a/alebo samotným doplnením aminokyseliny.</w:t>
            </w:r>
          </w:p>
          <w:p w14:paraId="61765009" w14:textId="77777777" w:rsidR="008645BA" w:rsidRPr="00EB149E" w:rsidRDefault="008645BA" w:rsidP="008645BA">
            <w:pPr>
              <w:jc w:val="both"/>
              <w:rPr>
                <w:rFonts w:ascii="Arial" w:hAnsi="Arial" w:cs="Arial"/>
                <w:sz w:val="20"/>
                <w:szCs w:val="20"/>
              </w:rPr>
            </w:pPr>
            <w:r w:rsidRPr="00EB149E">
              <w:rPr>
                <w:rFonts w:ascii="Arial" w:hAnsi="Arial" w:cs="Arial"/>
                <w:sz w:val="20"/>
                <w:szCs w:val="20"/>
              </w:rPr>
              <w:t xml:space="preserve">Liek sa musí užívať s obmedzením príjmu bielkovín a v niektorých prípadoch s potravinovými doplnkami (napr. esenciálne aminokyseliny, arginín, citrulín, kalorické doplnky neobsahujúce bielkoviny). </w:t>
            </w:r>
          </w:p>
          <w:p w14:paraId="1B94E5C4" w14:textId="77777777" w:rsidR="008645BA" w:rsidRDefault="008645BA" w:rsidP="008645BA">
            <w:pPr>
              <w:jc w:val="both"/>
              <w:rPr>
                <w:rFonts w:ascii="Arial" w:hAnsi="Arial" w:cs="Arial"/>
                <w:sz w:val="20"/>
                <w:szCs w:val="20"/>
              </w:rPr>
            </w:pPr>
            <w:r w:rsidRPr="00EB149E">
              <w:rPr>
                <w:rFonts w:ascii="Arial" w:hAnsi="Arial" w:cs="Arial"/>
                <w:sz w:val="20"/>
                <w:szCs w:val="20"/>
              </w:rPr>
              <w:t>Hradená liečba sa môže indikovať a liek predpisovať v Centre dedičných metabolických porúch Národného ústavu detských chorôb v Bratislave, v Metabolickej ambulancii Detskej fakultnej nemocnice s poliklinikou Banská Bystrica, v Metabolickej ambulancii Detskej fakultnej nemocnice Košice.</w:t>
            </w:r>
          </w:p>
          <w:p w14:paraId="3A3F5609" w14:textId="77777777" w:rsidR="008645BA" w:rsidRPr="00EB149E" w:rsidRDefault="008645BA" w:rsidP="008645BA">
            <w:pPr>
              <w:jc w:val="both"/>
              <w:rPr>
                <w:rFonts w:ascii="Arial" w:hAnsi="Arial" w:cs="Arial"/>
                <w:sz w:val="20"/>
                <w:szCs w:val="20"/>
              </w:rPr>
            </w:pPr>
          </w:p>
          <w:p w14:paraId="562DD8C4" w14:textId="77777777" w:rsidR="008645BA" w:rsidRDefault="008645BA" w:rsidP="008645BA">
            <w:pPr>
              <w:jc w:val="both"/>
              <w:rPr>
                <w:rFonts w:ascii="Arial" w:hAnsi="Arial" w:cs="Arial"/>
                <w:sz w:val="20"/>
                <w:szCs w:val="20"/>
              </w:rPr>
            </w:pPr>
            <w:r w:rsidRPr="00EB149E">
              <w:rPr>
                <w:rFonts w:ascii="Arial" w:hAnsi="Arial" w:cs="Arial"/>
                <w:sz w:val="20"/>
                <w:szCs w:val="20"/>
              </w:rPr>
              <w:t>Hradená liečba podlieha predchádzajúcemu súhlasu zdravotnej poisťovne.</w:t>
            </w:r>
          </w:p>
          <w:p w14:paraId="34AD7DB4" w14:textId="6F2E16CE" w:rsidR="004A2FEF" w:rsidRPr="00446581" w:rsidRDefault="004A2FEF" w:rsidP="008645BA">
            <w:pPr>
              <w:jc w:val="both"/>
              <w:rPr>
                <w:rFonts w:ascii="Arial" w:hAnsi="Arial" w:cs="Arial"/>
                <w:sz w:val="20"/>
                <w:szCs w:val="20"/>
              </w:rPr>
            </w:pPr>
          </w:p>
        </w:tc>
      </w:tr>
      <w:tr w:rsidR="002277E9" w:rsidRPr="0000591E" w14:paraId="0D576376" w14:textId="77777777" w:rsidTr="002277E9">
        <w:trPr>
          <w:gridAfter w:val="2"/>
          <w:wAfter w:w="154" w:type="dxa"/>
          <w:trHeight w:val="20"/>
        </w:trPr>
        <w:tc>
          <w:tcPr>
            <w:tcW w:w="1256" w:type="dxa"/>
            <w:tcBorders>
              <w:top w:val="single" w:sz="4" w:space="0" w:color="auto"/>
              <w:bottom w:val="single" w:sz="4" w:space="0" w:color="auto"/>
            </w:tcBorders>
            <w:noWrap/>
            <w:vAlign w:val="bottom"/>
          </w:tcPr>
          <w:p w14:paraId="053C7735" w14:textId="1FB5B580" w:rsidR="002277E9" w:rsidRPr="002277E9" w:rsidRDefault="002277E9" w:rsidP="008645BA">
            <w:pPr>
              <w:jc w:val="both"/>
              <w:rPr>
                <w:rFonts w:ascii="Arial" w:hAnsi="Arial" w:cs="Arial"/>
                <w:b/>
                <w:bCs/>
                <w:sz w:val="20"/>
                <w:szCs w:val="20"/>
              </w:rPr>
            </w:pPr>
            <w:r w:rsidRPr="002277E9">
              <w:rPr>
                <w:rFonts w:ascii="Arial" w:hAnsi="Arial" w:cs="Arial"/>
                <w:b/>
                <w:bCs/>
                <w:sz w:val="20"/>
                <w:szCs w:val="20"/>
              </w:rPr>
              <w:t>A16AX10</w:t>
            </w:r>
          </w:p>
        </w:tc>
        <w:tc>
          <w:tcPr>
            <w:tcW w:w="9452" w:type="dxa"/>
            <w:tcBorders>
              <w:top w:val="single" w:sz="4" w:space="0" w:color="auto"/>
              <w:bottom w:val="single" w:sz="4" w:space="0" w:color="auto"/>
            </w:tcBorders>
            <w:noWrap/>
            <w:vAlign w:val="bottom"/>
          </w:tcPr>
          <w:p w14:paraId="7BB5ED23" w14:textId="20E4C34D" w:rsidR="002277E9" w:rsidRPr="002277E9" w:rsidRDefault="002277E9" w:rsidP="008645BA">
            <w:pPr>
              <w:jc w:val="both"/>
              <w:rPr>
                <w:rFonts w:ascii="Arial" w:hAnsi="Arial" w:cs="Arial"/>
                <w:b/>
                <w:bCs/>
                <w:sz w:val="20"/>
                <w:szCs w:val="20"/>
              </w:rPr>
            </w:pPr>
            <w:r w:rsidRPr="002277E9">
              <w:rPr>
                <w:rFonts w:ascii="Arial" w:hAnsi="Arial" w:cs="Arial"/>
                <w:b/>
                <w:bCs/>
                <w:sz w:val="20"/>
                <w:szCs w:val="20"/>
              </w:rPr>
              <w:t>Eliglustat p.o. 84 mg</w:t>
            </w:r>
          </w:p>
        </w:tc>
      </w:tr>
      <w:tr w:rsidR="002277E9" w:rsidRPr="0000591E" w14:paraId="42EC396D" w14:textId="77777777" w:rsidTr="00E838DE">
        <w:trPr>
          <w:gridAfter w:val="2"/>
          <w:wAfter w:w="154" w:type="dxa"/>
          <w:trHeight w:val="20"/>
        </w:trPr>
        <w:tc>
          <w:tcPr>
            <w:tcW w:w="1256" w:type="dxa"/>
            <w:tcBorders>
              <w:top w:val="single" w:sz="4" w:space="0" w:color="auto"/>
            </w:tcBorders>
            <w:noWrap/>
            <w:vAlign w:val="bottom"/>
          </w:tcPr>
          <w:p w14:paraId="78F921AC" w14:textId="77777777" w:rsidR="002277E9" w:rsidRPr="0000591E" w:rsidRDefault="002277E9" w:rsidP="008645BA">
            <w:pPr>
              <w:jc w:val="both"/>
              <w:rPr>
                <w:rFonts w:ascii="Arial" w:hAnsi="Arial" w:cs="Arial"/>
                <w:sz w:val="20"/>
                <w:szCs w:val="20"/>
              </w:rPr>
            </w:pPr>
          </w:p>
        </w:tc>
        <w:tc>
          <w:tcPr>
            <w:tcW w:w="9452" w:type="dxa"/>
            <w:tcBorders>
              <w:top w:val="single" w:sz="4" w:space="0" w:color="auto"/>
            </w:tcBorders>
            <w:noWrap/>
            <w:vAlign w:val="bottom"/>
          </w:tcPr>
          <w:p w14:paraId="595400DF"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u dospelých pacientov s diagnózou Gaucherovej choroby typu I. potvrdenou enzymologickým vyšetrením, ktorí sú pomalí metabolizéri (poor metabolisers, PMs), strední metabolizéri (intermediate metabolisers, IMs) alebo extenzívni metabolizéri (extensive metabolisers, EMs) CYP2D6: </w:t>
            </w:r>
          </w:p>
          <w:p w14:paraId="06B24B73"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a) ako liek prvej alebo ďalšej voľby, pokiaľ sú pre pacienta vhodné oba spôsoby liečby (enzymatická substitučná aj substrát redukujúca), alebo </w:t>
            </w:r>
          </w:p>
          <w:p w14:paraId="0105257E"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b) ako ďalšia voľba pri nedostatočnej účinnosti alebo výskyte nežiadúcich účinkov po predchádzajúcej liečbe miglustatom.   </w:t>
            </w:r>
          </w:p>
          <w:p w14:paraId="3D7BF46B"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v Centre dedičných metabolických porúch Detskej fakultnej nemocnice s poliklinikou v Bratislave.  </w:t>
            </w:r>
          </w:p>
          <w:p w14:paraId="060096CF" w14:textId="77777777" w:rsidR="002277E9" w:rsidRDefault="002277E9" w:rsidP="002277E9">
            <w:pPr>
              <w:jc w:val="both"/>
              <w:rPr>
                <w:rFonts w:ascii="Arial" w:hAnsi="Arial" w:cs="Arial"/>
                <w:sz w:val="20"/>
                <w:szCs w:val="20"/>
              </w:rPr>
            </w:pPr>
            <w:r w:rsidRPr="002277E9">
              <w:rPr>
                <w:rFonts w:ascii="Arial" w:hAnsi="Arial" w:cs="Arial"/>
                <w:sz w:val="20"/>
                <w:szCs w:val="20"/>
              </w:rPr>
              <w:t>Hradená liečba podlieha predchádzajúcemu súhlasu zdravotnej poisťovne.</w:t>
            </w:r>
          </w:p>
          <w:p w14:paraId="088DCC88" w14:textId="575C75B4" w:rsidR="002277E9" w:rsidRPr="00EB149E" w:rsidRDefault="002277E9" w:rsidP="002277E9">
            <w:pPr>
              <w:jc w:val="both"/>
              <w:rPr>
                <w:rFonts w:ascii="Arial" w:hAnsi="Arial" w:cs="Arial"/>
                <w:sz w:val="20"/>
                <w:szCs w:val="20"/>
              </w:rPr>
            </w:pPr>
          </w:p>
        </w:tc>
      </w:tr>
      <w:tr w:rsidR="002277E9" w:rsidRPr="0000591E" w14:paraId="4A10F4BC" w14:textId="77777777" w:rsidTr="00E838DE">
        <w:trPr>
          <w:gridAfter w:val="2"/>
          <w:wAfter w:w="154" w:type="dxa"/>
          <w:trHeight w:val="20"/>
        </w:trPr>
        <w:tc>
          <w:tcPr>
            <w:tcW w:w="1256" w:type="dxa"/>
            <w:tcBorders>
              <w:bottom w:val="single" w:sz="4" w:space="0" w:color="auto"/>
            </w:tcBorders>
            <w:noWrap/>
            <w:vAlign w:val="bottom"/>
          </w:tcPr>
          <w:p w14:paraId="38B16410" w14:textId="77770C28" w:rsidR="002277E9" w:rsidRPr="002277E9" w:rsidRDefault="002277E9" w:rsidP="008645BA">
            <w:pPr>
              <w:jc w:val="both"/>
              <w:rPr>
                <w:rFonts w:ascii="Arial" w:hAnsi="Arial" w:cs="Arial"/>
                <w:b/>
                <w:bCs/>
                <w:sz w:val="20"/>
                <w:szCs w:val="20"/>
              </w:rPr>
            </w:pPr>
            <w:r w:rsidRPr="002277E9">
              <w:rPr>
                <w:rFonts w:ascii="Arial" w:hAnsi="Arial" w:cs="Arial"/>
                <w:b/>
                <w:bCs/>
                <w:sz w:val="20"/>
                <w:szCs w:val="20"/>
              </w:rPr>
              <w:t>A16AX14</w:t>
            </w:r>
          </w:p>
        </w:tc>
        <w:tc>
          <w:tcPr>
            <w:tcW w:w="9452" w:type="dxa"/>
            <w:tcBorders>
              <w:bottom w:val="single" w:sz="4" w:space="0" w:color="auto"/>
            </w:tcBorders>
            <w:noWrap/>
            <w:vAlign w:val="bottom"/>
          </w:tcPr>
          <w:p w14:paraId="085899CD" w14:textId="0900336C" w:rsidR="002277E9" w:rsidRPr="002277E9" w:rsidRDefault="002277E9" w:rsidP="002277E9">
            <w:pPr>
              <w:jc w:val="both"/>
              <w:rPr>
                <w:rFonts w:ascii="Arial" w:hAnsi="Arial" w:cs="Arial"/>
                <w:b/>
                <w:bCs/>
                <w:sz w:val="20"/>
                <w:szCs w:val="20"/>
              </w:rPr>
            </w:pPr>
            <w:r w:rsidRPr="002277E9">
              <w:rPr>
                <w:rFonts w:ascii="Arial" w:hAnsi="Arial" w:cs="Arial"/>
                <w:b/>
                <w:bCs/>
                <w:sz w:val="20"/>
                <w:szCs w:val="20"/>
              </w:rPr>
              <w:t>Migalastát p.o. 123 mg</w:t>
            </w:r>
          </w:p>
        </w:tc>
      </w:tr>
      <w:tr w:rsidR="002277E9" w:rsidRPr="0000591E" w14:paraId="1399E66D" w14:textId="77777777" w:rsidTr="00E838DE">
        <w:trPr>
          <w:gridAfter w:val="2"/>
          <w:wAfter w:w="154" w:type="dxa"/>
          <w:trHeight w:val="20"/>
        </w:trPr>
        <w:tc>
          <w:tcPr>
            <w:tcW w:w="1256" w:type="dxa"/>
            <w:tcBorders>
              <w:top w:val="single" w:sz="4" w:space="0" w:color="auto"/>
            </w:tcBorders>
            <w:noWrap/>
            <w:vAlign w:val="bottom"/>
          </w:tcPr>
          <w:p w14:paraId="3A19B731" w14:textId="77777777" w:rsidR="002277E9" w:rsidRPr="0000591E" w:rsidRDefault="002277E9" w:rsidP="008645BA">
            <w:pPr>
              <w:jc w:val="both"/>
              <w:rPr>
                <w:rFonts w:ascii="Arial" w:hAnsi="Arial" w:cs="Arial"/>
                <w:sz w:val="20"/>
                <w:szCs w:val="20"/>
              </w:rPr>
            </w:pPr>
          </w:p>
        </w:tc>
        <w:tc>
          <w:tcPr>
            <w:tcW w:w="9452" w:type="dxa"/>
            <w:tcBorders>
              <w:top w:val="single" w:sz="4" w:space="0" w:color="auto"/>
            </w:tcBorders>
            <w:noWrap/>
            <w:vAlign w:val="bottom"/>
          </w:tcPr>
          <w:p w14:paraId="340CB4BE"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u pacientov vo veku 16 rokov a viac s diagnózou Fabryho choroba so senzibilnou mutáciou na liečbu migalastátom a s potvrdenou orgánovou symptomatológiou. Zoznam senzibilných mutácií je uvedený v SPC lieku. </w:t>
            </w:r>
          </w:p>
          <w:p w14:paraId="667EB463"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v Centre dedičných metabolických porúch Národného ústavu detských chorôb v Bratislave.  </w:t>
            </w:r>
          </w:p>
          <w:p w14:paraId="25DB323A"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Hradená liečba podlieha predchádzajúcemu súhlasu zdravotnej poisťovne.</w:t>
            </w:r>
          </w:p>
          <w:p w14:paraId="0795A9A5" w14:textId="77777777" w:rsidR="002277E9" w:rsidRPr="002277E9" w:rsidRDefault="002277E9" w:rsidP="002277E9">
            <w:pPr>
              <w:jc w:val="both"/>
              <w:rPr>
                <w:rFonts w:ascii="Arial" w:hAnsi="Arial" w:cs="Arial"/>
                <w:sz w:val="20"/>
                <w:szCs w:val="20"/>
              </w:rPr>
            </w:pPr>
          </w:p>
        </w:tc>
      </w:tr>
      <w:tr w:rsidR="00E838DE" w:rsidRPr="0000591E" w14:paraId="6A67DBD8" w14:textId="77777777" w:rsidTr="00E838DE">
        <w:trPr>
          <w:gridAfter w:val="2"/>
          <w:wAfter w:w="154" w:type="dxa"/>
          <w:trHeight w:val="20"/>
        </w:trPr>
        <w:tc>
          <w:tcPr>
            <w:tcW w:w="1256" w:type="dxa"/>
            <w:tcBorders>
              <w:bottom w:val="single" w:sz="4" w:space="0" w:color="auto"/>
            </w:tcBorders>
            <w:noWrap/>
            <w:vAlign w:val="bottom"/>
          </w:tcPr>
          <w:p w14:paraId="6771B447" w14:textId="08A4C100" w:rsidR="00E838DE" w:rsidRPr="00E838DE" w:rsidRDefault="00E838DE" w:rsidP="008645BA">
            <w:pPr>
              <w:jc w:val="both"/>
              <w:rPr>
                <w:rFonts w:ascii="Arial" w:hAnsi="Arial" w:cs="Arial"/>
                <w:b/>
                <w:bCs/>
                <w:sz w:val="20"/>
                <w:szCs w:val="20"/>
              </w:rPr>
            </w:pPr>
            <w:r w:rsidRPr="00E838DE">
              <w:rPr>
                <w:rFonts w:ascii="Arial" w:hAnsi="Arial" w:cs="Arial"/>
                <w:b/>
                <w:bCs/>
                <w:sz w:val="20"/>
                <w:szCs w:val="20"/>
              </w:rPr>
              <w:t>A16AX15</w:t>
            </w:r>
          </w:p>
        </w:tc>
        <w:tc>
          <w:tcPr>
            <w:tcW w:w="9452" w:type="dxa"/>
            <w:tcBorders>
              <w:bottom w:val="single" w:sz="4" w:space="0" w:color="auto"/>
            </w:tcBorders>
            <w:noWrap/>
            <w:vAlign w:val="bottom"/>
          </w:tcPr>
          <w:p w14:paraId="101E030E" w14:textId="53C7A9BE" w:rsidR="00E838DE" w:rsidRPr="00E838DE" w:rsidRDefault="00E838DE" w:rsidP="002277E9">
            <w:pPr>
              <w:jc w:val="both"/>
              <w:rPr>
                <w:rFonts w:ascii="Arial" w:hAnsi="Arial" w:cs="Arial"/>
                <w:b/>
                <w:bCs/>
                <w:sz w:val="20"/>
                <w:szCs w:val="20"/>
              </w:rPr>
            </w:pPr>
            <w:r w:rsidRPr="00E838DE">
              <w:rPr>
                <w:rFonts w:ascii="Arial" w:hAnsi="Arial" w:cs="Arial"/>
                <w:b/>
                <w:bCs/>
                <w:sz w:val="20"/>
                <w:szCs w:val="20"/>
              </w:rPr>
              <w:t>Telotristát p.o. 250 mg</w:t>
            </w:r>
          </w:p>
        </w:tc>
      </w:tr>
      <w:tr w:rsidR="00E838DE" w:rsidRPr="0000591E" w14:paraId="6FE3873A" w14:textId="77777777" w:rsidTr="00E838DE">
        <w:trPr>
          <w:gridAfter w:val="2"/>
          <w:wAfter w:w="154" w:type="dxa"/>
          <w:trHeight w:val="20"/>
        </w:trPr>
        <w:tc>
          <w:tcPr>
            <w:tcW w:w="1256" w:type="dxa"/>
            <w:tcBorders>
              <w:top w:val="single" w:sz="4" w:space="0" w:color="auto"/>
              <w:bottom w:val="single" w:sz="4" w:space="0" w:color="auto"/>
            </w:tcBorders>
            <w:noWrap/>
            <w:vAlign w:val="bottom"/>
          </w:tcPr>
          <w:p w14:paraId="3DAC8A3B" w14:textId="77777777" w:rsidR="00E838DE" w:rsidRPr="0000591E" w:rsidRDefault="00E838DE" w:rsidP="008645BA">
            <w:pPr>
              <w:jc w:val="both"/>
              <w:rPr>
                <w:rFonts w:ascii="Arial" w:hAnsi="Arial" w:cs="Arial"/>
                <w:sz w:val="20"/>
                <w:szCs w:val="20"/>
              </w:rPr>
            </w:pPr>
          </w:p>
        </w:tc>
        <w:tc>
          <w:tcPr>
            <w:tcW w:w="9452" w:type="dxa"/>
            <w:tcBorders>
              <w:top w:val="single" w:sz="4" w:space="0" w:color="auto"/>
              <w:bottom w:val="single" w:sz="4" w:space="0" w:color="auto"/>
            </w:tcBorders>
            <w:noWrap/>
            <w:vAlign w:val="bottom"/>
          </w:tcPr>
          <w:p w14:paraId="697B8E0F"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 xml:space="preserve">Hradenú liečbu môže indikovať na liečbu hnačky pri karcinoidovom syndróme v kombinácii s liečbou somatostatínovými analógmi (SSA) u dospelých nedostatočne kontrolovaných liečbou SSA </w:t>
            </w:r>
          </w:p>
          <w:p w14:paraId="4405B4C2"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1.</w:t>
            </w:r>
            <w:r w:rsidRPr="00E838DE">
              <w:rPr>
                <w:rFonts w:ascii="Arial" w:hAnsi="Arial" w:cs="Arial"/>
                <w:sz w:val="20"/>
                <w:szCs w:val="20"/>
              </w:rPr>
              <w:tab/>
              <w:t xml:space="preserve">onkológ, </w:t>
            </w:r>
          </w:p>
          <w:p w14:paraId="29F4521E"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2.</w:t>
            </w:r>
            <w:r w:rsidRPr="00E838DE">
              <w:rPr>
                <w:rFonts w:ascii="Arial" w:hAnsi="Arial" w:cs="Arial"/>
                <w:sz w:val="20"/>
                <w:szCs w:val="20"/>
              </w:rPr>
              <w:tab/>
              <w:t xml:space="preserve">gastroenetrológ na pracovisku I. Internej kliniky LF UK a UN Bratislava a Internej kliniky gastroenterologickej UN Martin. </w:t>
            </w:r>
          </w:p>
          <w:p w14:paraId="1CFF01FF"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 xml:space="preserve">Ak sa po troch mesiacoch liečby nedosiahne klinická odpoveď, ďalšia liečba nie je hradenou liečbou. </w:t>
            </w:r>
          </w:p>
          <w:p w14:paraId="16CEA8AF" w14:textId="77777777" w:rsidR="00E838DE" w:rsidRDefault="00E838DE" w:rsidP="00E838DE">
            <w:pPr>
              <w:jc w:val="both"/>
              <w:rPr>
                <w:rFonts w:ascii="Arial" w:hAnsi="Arial" w:cs="Arial"/>
                <w:sz w:val="20"/>
                <w:szCs w:val="20"/>
              </w:rPr>
            </w:pPr>
            <w:r w:rsidRPr="00E838DE">
              <w:rPr>
                <w:rFonts w:ascii="Arial" w:hAnsi="Arial" w:cs="Arial"/>
                <w:sz w:val="20"/>
                <w:szCs w:val="20"/>
              </w:rPr>
              <w:t>Hradená liečba podlieha predchádzajúcemu súhlasu zdravotnej poisťovne.</w:t>
            </w:r>
          </w:p>
          <w:p w14:paraId="1F3FDBE4" w14:textId="7DFC56D8" w:rsidR="00E838DE" w:rsidRPr="002277E9" w:rsidRDefault="00E838DE" w:rsidP="00E838DE">
            <w:pPr>
              <w:jc w:val="both"/>
              <w:rPr>
                <w:rFonts w:ascii="Arial" w:hAnsi="Arial" w:cs="Arial"/>
                <w:sz w:val="20"/>
                <w:szCs w:val="20"/>
              </w:rPr>
            </w:pPr>
          </w:p>
        </w:tc>
      </w:tr>
      <w:tr w:rsidR="00E838DE" w:rsidRPr="0000591E" w14:paraId="62824CD8" w14:textId="77777777" w:rsidTr="003F7925">
        <w:trPr>
          <w:gridAfter w:val="2"/>
          <w:wAfter w:w="154" w:type="dxa"/>
          <w:trHeight w:val="20"/>
        </w:trPr>
        <w:tc>
          <w:tcPr>
            <w:tcW w:w="1256" w:type="dxa"/>
            <w:tcBorders>
              <w:top w:val="single" w:sz="4" w:space="0" w:color="auto"/>
            </w:tcBorders>
            <w:noWrap/>
            <w:vAlign w:val="bottom"/>
          </w:tcPr>
          <w:p w14:paraId="7980D3CD" w14:textId="02DF9073" w:rsidR="00E838DE" w:rsidRPr="00E838DE" w:rsidRDefault="00E838DE" w:rsidP="008645BA">
            <w:pPr>
              <w:jc w:val="both"/>
              <w:rPr>
                <w:rFonts w:ascii="Arial" w:hAnsi="Arial" w:cs="Arial"/>
                <w:b/>
                <w:bCs/>
                <w:sz w:val="20"/>
                <w:szCs w:val="20"/>
              </w:rPr>
            </w:pPr>
            <w:r w:rsidRPr="00E838DE">
              <w:rPr>
                <w:rFonts w:ascii="Arial" w:hAnsi="Arial" w:cs="Arial"/>
                <w:b/>
                <w:bCs/>
                <w:sz w:val="20"/>
                <w:szCs w:val="20"/>
              </w:rPr>
              <w:t>A16AX1</w:t>
            </w:r>
            <w:r>
              <w:rPr>
                <w:rFonts w:ascii="Arial" w:hAnsi="Arial" w:cs="Arial"/>
                <w:b/>
                <w:bCs/>
                <w:sz w:val="20"/>
                <w:szCs w:val="20"/>
              </w:rPr>
              <w:t>6</w:t>
            </w:r>
          </w:p>
        </w:tc>
        <w:tc>
          <w:tcPr>
            <w:tcW w:w="9452" w:type="dxa"/>
            <w:tcBorders>
              <w:top w:val="single" w:sz="4" w:space="0" w:color="auto"/>
            </w:tcBorders>
            <w:noWrap/>
            <w:vAlign w:val="bottom"/>
          </w:tcPr>
          <w:p w14:paraId="5E4A4693" w14:textId="53E6761D" w:rsidR="00E838DE" w:rsidRPr="00E838DE" w:rsidRDefault="00E838DE" w:rsidP="00E838DE">
            <w:pPr>
              <w:jc w:val="both"/>
              <w:rPr>
                <w:rFonts w:ascii="Arial" w:hAnsi="Arial" w:cs="Arial"/>
                <w:b/>
                <w:bCs/>
                <w:sz w:val="20"/>
                <w:szCs w:val="20"/>
              </w:rPr>
            </w:pPr>
            <w:r w:rsidRPr="00E838DE">
              <w:rPr>
                <w:rFonts w:ascii="Arial" w:hAnsi="Arial" w:cs="Arial"/>
                <w:b/>
                <w:bCs/>
                <w:sz w:val="20"/>
                <w:szCs w:val="20"/>
              </w:rPr>
              <w:t>Givosiran</w:t>
            </w:r>
            <w:r>
              <w:rPr>
                <w:rFonts w:ascii="Arial" w:hAnsi="Arial" w:cs="Arial"/>
                <w:b/>
                <w:bCs/>
                <w:sz w:val="20"/>
                <w:szCs w:val="20"/>
              </w:rPr>
              <w:t xml:space="preserve"> </w:t>
            </w:r>
            <w:r w:rsidRPr="00E838DE">
              <w:rPr>
                <w:rFonts w:ascii="Arial" w:hAnsi="Arial" w:cs="Arial"/>
                <w:b/>
                <w:bCs/>
                <w:sz w:val="20"/>
                <w:szCs w:val="20"/>
              </w:rPr>
              <w:t>s.c. 189 mg/ml</w:t>
            </w:r>
          </w:p>
        </w:tc>
      </w:tr>
      <w:tr w:rsidR="00E838DE" w:rsidRPr="0000591E" w14:paraId="4FEFCFA3" w14:textId="77777777" w:rsidTr="003F7925">
        <w:trPr>
          <w:gridAfter w:val="2"/>
          <w:wAfter w:w="154" w:type="dxa"/>
          <w:trHeight w:val="20"/>
        </w:trPr>
        <w:tc>
          <w:tcPr>
            <w:tcW w:w="1256" w:type="dxa"/>
            <w:tcBorders>
              <w:top w:val="single" w:sz="4" w:space="0" w:color="auto"/>
            </w:tcBorders>
            <w:noWrap/>
            <w:vAlign w:val="bottom"/>
          </w:tcPr>
          <w:p w14:paraId="5ABBF934" w14:textId="77777777" w:rsidR="00E838DE" w:rsidRPr="0000591E" w:rsidRDefault="00E838DE" w:rsidP="008645BA">
            <w:pPr>
              <w:jc w:val="both"/>
              <w:rPr>
                <w:rFonts w:ascii="Arial" w:hAnsi="Arial" w:cs="Arial"/>
                <w:sz w:val="20"/>
                <w:szCs w:val="20"/>
              </w:rPr>
            </w:pPr>
          </w:p>
        </w:tc>
        <w:tc>
          <w:tcPr>
            <w:tcW w:w="9452" w:type="dxa"/>
            <w:tcBorders>
              <w:top w:val="single" w:sz="4" w:space="0" w:color="auto"/>
            </w:tcBorders>
            <w:noWrap/>
            <w:vAlign w:val="bottom"/>
          </w:tcPr>
          <w:p w14:paraId="35CD2EAA"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Hradená liečba sa môže indikovať ako monoterapia na liečbu dospelých a dospievajúcich pacientov vo veku 12 rokov a starších s akútnou hepatálnou porfýriou (AHP) s minimálne 2 atakmi v priebehu posledných 6 mesiacov.</w:t>
            </w:r>
          </w:p>
          <w:p w14:paraId="78542A83" w14:textId="1B83EF3A" w:rsidR="00E838DE" w:rsidRPr="00E838DE" w:rsidRDefault="00E838DE" w:rsidP="00E838DE">
            <w:pPr>
              <w:jc w:val="both"/>
              <w:rPr>
                <w:rFonts w:ascii="Arial" w:hAnsi="Arial" w:cs="Arial"/>
                <w:sz w:val="20"/>
                <w:szCs w:val="20"/>
              </w:rPr>
            </w:pPr>
            <w:r w:rsidRPr="00E838DE">
              <w:rPr>
                <w:rFonts w:ascii="Arial" w:hAnsi="Arial" w:cs="Arial"/>
                <w:sz w:val="20"/>
                <w:szCs w:val="20"/>
              </w:rPr>
              <w:t>Hradená liečba podlieha predchádzajúcemu súhlasu zdravotnej poisťovne.</w:t>
            </w:r>
          </w:p>
        </w:tc>
      </w:tr>
      <w:tr w:rsidR="008645BA" w:rsidRPr="0000591E" w14:paraId="2BFC5D6C" w14:textId="77777777" w:rsidTr="003F7925">
        <w:trPr>
          <w:gridAfter w:val="2"/>
          <w:wAfter w:w="154" w:type="dxa"/>
          <w:trHeight w:val="205"/>
        </w:trPr>
        <w:tc>
          <w:tcPr>
            <w:tcW w:w="1256" w:type="dxa"/>
            <w:tcBorders>
              <w:bottom w:val="single" w:sz="4" w:space="0" w:color="auto"/>
            </w:tcBorders>
            <w:noWrap/>
            <w:vAlign w:val="bottom"/>
          </w:tcPr>
          <w:p w14:paraId="1A1D833B" w14:textId="77777777" w:rsidR="008645BA" w:rsidRPr="0000591E" w:rsidRDefault="008645BA" w:rsidP="008645BA">
            <w:pPr>
              <w:pStyle w:val="Nadpis3"/>
              <w:rPr>
                <w:rFonts w:cs="Times New Roman"/>
                <w:lang w:val="sk-SK" w:eastAsia="sk-SK"/>
              </w:rPr>
            </w:pPr>
            <w:r w:rsidRPr="0000591E">
              <w:rPr>
                <w:rFonts w:cs="Times New Roman"/>
                <w:lang w:val="sk-SK" w:eastAsia="sk-SK"/>
              </w:rPr>
              <w:lastRenderedPageBreak/>
              <w:t>B01AB04</w:t>
            </w:r>
          </w:p>
        </w:tc>
        <w:tc>
          <w:tcPr>
            <w:tcW w:w="9452" w:type="dxa"/>
            <w:tcBorders>
              <w:bottom w:val="single" w:sz="4" w:space="0" w:color="auto"/>
            </w:tcBorders>
            <w:noWrap/>
            <w:vAlign w:val="bottom"/>
          </w:tcPr>
          <w:p w14:paraId="79403E14"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Dalteparín parent. 25</w:t>
            </w:r>
            <w:r>
              <w:rPr>
                <w:rFonts w:ascii="Arial" w:hAnsi="Arial" w:cs="Arial"/>
                <w:b/>
                <w:bCs/>
                <w:sz w:val="20"/>
                <w:szCs w:val="20"/>
              </w:rPr>
              <w:t>00 IU</w:t>
            </w:r>
            <w:r w:rsidRPr="0000591E">
              <w:rPr>
                <w:rFonts w:ascii="Arial" w:hAnsi="Arial" w:cs="Arial"/>
                <w:b/>
                <w:bCs/>
                <w:sz w:val="20"/>
                <w:szCs w:val="20"/>
              </w:rPr>
              <w:t>,</w:t>
            </w:r>
          </w:p>
          <w:p w14:paraId="309A88B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Dalteparín parent. </w:t>
            </w:r>
            <w:r>
              <w:rPr>
                <w:rFonts w:ascii="Arial" w:hAnsi="Arial" w:cs="Arial"/>
                <w:b/>
                <w:bCs/>
                <w:sz w:val="20"/>
                <w:szCs w:val="20"/>
              </w:rPr>
              <w:t>5000 IU,</w:t>
            </w:r>
          </w:p>
          <w:p w14:paraId="337AB8DB"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Dalteparín parent. </w:t>
            </w:r>
            <w:r>
              <w:rPr>
                <w:rFonts w:ascii="Arial" w:hAnsi="Arial" w:cs="Arial"/>
                <w:b/>
                <w:bCs/>
                <w:sz w:val="20"/>
                <w:szCs w:val="20"/>
              </w:rPr>
              <w:t>7500 IU,</w:t>
            </w:r>
          </w:p>
          <w:p w14:paraId="06127923"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Dalteparín parent. </w:t>
            </w:r>
            <w:r>
              <w:rPr>
                <w:rFonts w:ascii="Arial" w:hAnsi="Arial" w:cs="Arial"/>
                <w:b/>
                <w:bCs/>
                <w:sz w:val="20"/>
                <w:szCs w:val="20"/>
              </w:rPr>
              <w:t>10000 IU,</w:t>
            </w:r>
          </w:p>
          <w:p w14:paraId="0DBDE373"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Dalteparín parent. </w:t>
            </w:r>
            <w:r>
              <w:rPr>
                <w:rFonts w:ascii="Arial" w:hAnsi="Arial" w:cs="Arial"/>
                <w:b/>
                <w:bCs/>
                <w:sz w:val="20"/>
                <w:szCs w:val="20"/>
              </w:rPr>
              <w:t>12500 IU,</w:t>
            </w:r>
          </w:p>
          <w:p w14:paraId="48CB5AF0" w14:textId="77777777" w:rsidR="008645BA" w:rsidRDefault="008645BA" w:rsidP="008645BA">
            <w:pPr>
              <w:jc w:val="both"/>
              <w:rPr>
                <w:rFonts w:ascii="Arial" w:hAnsi="Arial" w:cs="Arial"/>
                <w:b/>
                <w:bCs/>
                <w:sz w:val="20"/>
                <w:szCs w:val="20"/>
              </w:rPr>
            </w:pPr>
            <w:r>
              <w:rPr>
                <w:rFonts w:ascii="Arial" w:hAnsi="Arial" w:cs="Arial"/>
                <w:b/>
                <w:bCs/>
                <w:sz w:val="20"/>
                <w:szCs w:val="20"/>
              </w:rPr>
              <w:t>Dalteparín parent. 15000 IU,</w:t>
            </w:r>
          </w:p>
          <w:p w14:paraId="3C6C90D0" w14:textId="77777777" w:rsidR="008645BA" w:rsidRPr="0000591E" w:rsidRDefault="008645BA" w:rsidP="008645BA">
            <w:pPr>
              <w:jc w:val="both"/>
              <w:rPr>
                <w:rFonts w:ascii="Arial" w:hAnsi="Arial" w:cs="Arial"/>
                <w:b/>
                <w:bCs/>
                <w:strike/>
                <w:sz w:val="20"/>
                <w:szCs w:val="20"/>
              </w:rPr>
            </w:pPr>
            <w:r>
              <w:rPr>
                <w:rFonts w:ascii="Arial" w:hAnsi="Arial" w:cs="Arial"/>
                <w:b/>
                <w:bCs/>
                <w:sz w:val="20"/>
                <w:szCs w:val="20"/>
              </w:rPr>
              <w:t>Dalteparín parent. 18000 IU</w:t>
            </w:r>
          </w:p>
        </w:tc>
      </w:tr>
      <w:tr w:rsidR="008645BA" w:rsidRPr="0000591E" w14:paraId="684C4DCC" w14:textId="77777777" w:rsidTr="003F7925">
        <w:trPr>
          <w:gridAfter w:val="2"/>
          <w:wAfter w:w="154" w:type="dxa"/>
          <w:trHeight w:val="20"/>
        </w:trPr>
        <w:tc>
          <w:tcPr>
            <w:tcW w:w="1256" w:type="dxa"/>
            <w:tcBorders>
              <w:top w:val="single" w:sz="4" w:space="0" w:color="auto"/>
            </w:tcBorders>
            <w:noWrap/>
            <w:vAlign w:val="bottom"/>
          </w:tcPr>
          <w:p w14:paraId="0B98B441"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7C47E80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6D9DE44E"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akútnom koronárnom syndróme bez elevácie ST segmentu,</w:t>
            </w:r>
          </w:p>
          <w:p w14:paraId="5D4C7D58"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predoperačnej a pooperačnej prevencii tromboembolickej choroby,</w:t>
            </w:r>
          </w:p>
          <w:p w14:paraId="5A71804B"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 xml:space="preserve">liečbe hlbokej žilovej trombózy, arteriálnej trombózy a trombo-embólie, </w:t>
            </w:r>
          </w:p>
          <w:p w14:paraId="4F53A997"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prevencii zrážania krvi počas hemodialýzy a hemofiltrácie,</w:t>
            </w:r>
          </w:p>
          <w:p w14:paraId="579DF8B8"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 xml:space="preserve">prevencii trombózy A-V fistuly alebo kaválneho katétra, </w:t>
            </w:r>
          </w:p>
          <w:p w14:paraId="70EB717D" w14:textId="77777777" w:rsidR="008645BA" w:rsidRDefault="008645BA">
            <w:pPr>
              <w:numPr>
                <w:ilvl w:val="0"/>
                <w:numId w:val="3"/>
              </w:numPr>
              <w:jc w:val="both"/>
              <w:rPr>
                <w:rFonts w:ascii="Arial" w:hAnsi="Arial" w:cs="Arial"/>
                <w:sz w:val="20"/>
                <w:szCs w:val="20"/>
              </w:rPr>
            </w:pPr>
            <w:r w:rsidRPr="0000591E">
              <w:rPr>
                <w:rFonts w:ascii="Arial" w:hAnsi="Arial" w:cs="Arial"/>
                <w:sz w:val="20"/>
                <w:szCs w:val="20"/>
              </w:rPr>
              <w:t>prevencii tromboembolickej choroby u pacientov s pretrvávajúcimi rizikovými faktormi pri nevhodnosti kumarínovej liečby.</w:t>
            </w:r>
          </w:p>
          <w:p w14:paraId="6E9BC11C" w14:textId="6F46A0B2" w:rsidR="00E838DE" w:rsidRPr="0000591E" w:rsidRDefault="00E838DE" w:rsidP="00E838DE">
            <w:pPr>
              <w:ind w:left="720"/>
              <w:jc w:val="both"/>
              <w:rPr>
                <w:rFonts w:ascii="Arial" w:hAnsi="Arial" w:cs="Arial"/>
                <w:sz w:val="20"/>
                <w:szCs w:val="20"/>
              </w:rPr>
            </w:pPr>
          </w:p>
        </w:tc>
      </w:tr>
      <w:tr w:rsidR="008645BA" w:rsidRPr="0000591E" w14:paraId="7E72FE57" w14:textId="77777777" w:rsidTr="003F7925">
        <w:trPr>
          <w:gridAfter w:val="2"/>
          <w:wAfter w:w="154" w:type="dxa"/>
          <w:trHeight w:val="20"/>
        </w:trPr>
        <w:tc>
          <w:tcPr>
            <w:tcW w:w="1256" w:type="dxa"/>
            <w:tcBorders>
              <w:bottom w:val="single" w:sz="4" w:space="0" w:color="auto"/>
            </w:tcBorders>
            <w:noWrap/>
            <w:vAlign w:val="center"/>
          </w:tcPr>
          <w:p w14:paraId="52518A69"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B01AB05</w:t>
            </w:r>
          </w:p>
        </w:tc>
        <w:tc>
          <w:tcPr>
            <w:tcW w:w="9452" w:type="dxa"/>
            <w:tcBorders>
              <w:bottom w:val="single" w:sz="4" w:space="0" w:color="auto"/>
            </w:tcBorders>
            <w:noWrap/>
            <w:vAlign w:val="bottom"/>
          </w:tcPr>
          <w:p w14:paraId="1D37CF4A"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Enoxaparín parent. </w:t>
            </w:r>
            <w:r>
              <w:rPr>
                <w:rFonts w:ascii="Arial" w:hAnsi="Arial" w:cs="Arial"/>
                <w:b/>
                <w:bCs/>
                <w:sz w:val="20"/>
                <w:szCs w:val="20"/>
              </w:rPr>
              <w:t>2000 IU</w:t>
            </w:r>
            <w:r w:rsidRPr="0000591E">
              <w:rPr>
                <w:rFonts w:ascii="Arial" w:hAnsi="Arial" w:cs="Arial"/>
                <w:b/>
                <w:bCs/>
                <w:sz w:val="20"/>
                <w:szCs w:val="20"/>
              </w:rPr>
              <w:t>,</w:t>
            </w:r>
          </w:p>
          <w:p w14:paraId="01180801"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Enoxaparín parent. </w:t>
            </w:r>
            <w:r>
              <w:rPr>
                <w:rFonts w:ascii="Arial" w:hAnsi="Arial" w:cs="Arial"/>
                <w:b/>
                <w:bCs/>
                <w:sz w:val="20"/>
                <w:szCs w:val="20"/>
              </w:rPr>
              <w:t>4000 IU,</w:t>
            </w:r>
          </w:p>
          <w:p w14:paraId="11F7B1BC"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Enoxaparín parent. </w:t>
            </w:r>
            <w:r>
              <w:rPr>
                <w:rFonts w:ascii="Arial" w:hAnsi="Arial" w:cs="Arial"/>
                <w:b/>
                <w:bCs/>
                <w:sz w:val="20"/>
                <w:szCs w:val="20"/>
              </w:rPr>
              <w:t>6000 IU,</w:t>
            </w:r>
          </w:p>
          <w:p w14:paraId="666A2295"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Enoxaparín parent. </w:t>
            </w:r>
            <w:r>
              <w:rPr>
                <w:rFonts w:ascii="Arial" w:hAnsi="Arial" w:cs="Arial"/>
                <w:b/>
                <w:bCs/>
                <w:sz w:val="20"/>
                <w:szCs w:val="20"/>
              </w:rPr>
              <w:t>8000 IU,</w:t>
            </w:r>
          </w:p>
          <w:p w14:paraId="10BD96B2"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Enoxaparín parent. </w:t>
            </w:r>
            <w:r>
              <w:rPr>
                <w:rFonts w:ascii="Arial" w:hAnsi="Arial" w:cs="Arial"/>
                <w:b/>
                <w:bCs/>
                <w:sz w:val="20"/>
                <w:szCs w:val="20"/>
              </w:rPr>
              <w:t>10000 IU,</w:t>
            </w:r>
          </w:p>
          <w:p w14:paraId="544ADD51"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Enoxaparín parent. 1</w:t>
            </w:r>
            <w:r>
              <w:rPr>
                <w:rFonts w:ascii="Arial" w:hAnsi="Arial" w:cs="Arial"/>
                <w:b/>
                <w:bCs/>
                <w:sz w:val="20"/>
                <w:szCs w:val="20"/>
              </w:rPr>
              <w:t>2000 IU,</w:t>
            </w:r>
          </w:p>
          <w:p w14:paraId="57193E2C" w14:textId="77777777" w:rsidR="008645BA" w:rsidRPr="0000591E" w:rsidRDefault="008645BA" w:rsidP="008645BA">
            <w:pPr>
              <w:jc w:val="both"/>
              <w:rPr>
                <w:rFonts w:ascii="Arial" w:hAnsi="Arial" w:cs="Arial"/>
                <w:b/>
                <w:bCs/>
                <w:strike/>
                <w:sz w:val="20"/>
                <w:szCs w:val="20"/>
              </w:rPr>
            </w:pPr>
            <w:r w:rsidRPr="0000591E">
              <w:rPr>
                <w:rFonts w:ascii="Arial" w:hAnsi="Arial" w:cs="Arial"/>
                <w:b/>
                <w:bCs/>
                <w:sz w:val="20"/>
                <w:szCs w:val="20"/>
              </w:rPr>
              <w:t>Enoxaparín parent. 150</w:t>
            </w:r>
            <w:r>
              <w:rPr>
                <w:rFonts w:ascii="Arial" w:hAnsi="Arial" w:cs="Arial"/>
                <w:b/>
                <w:bCs/>
                <w:sz w:val="20"/>
                <w:szCs w:val="20"/>
              </w:rPr>
              <w:t>00 IU</w:t>
            </w:r>
          </w:p>
        </w:tc>
      </w:tr>
      <w:tr w:rsidR="008645BA" w:rsidRPr="0000591E" w14:paraId="4C4BAA1B" w14:textId="77777777" w:rsidTr="003F7925">
        <w:trPr>
          <w:gridAfter w:val="2"/>
          <w:wAfter w:w="154" w:type="dxa"/>
          <w:trHeight w:val="20"/>
        </w:trPr>
        <w:tc>
          <w:tcPr>
            <w:tcW w:w="1256" w:type="dxa"/>
            <w:tcBorders>
              <w:top w:val="single" w:sz="4" w:space="0" w:color="auto"/>
            </w:tcBorders>
            <w:noWrap/>
            <w:vAlign w:val="bottom"/>
          </w:tcPr>
          <w:p w14:paraId="1C944013"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7E6AE51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65E40C3B"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akútnom koronárnom syndróme bez elevácie ST segmentu,</w:t>
            </w:r>
          </w:p>
          <w:p w14:paraId="78B621F3"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predoperačnej a pooperačnej prevencii tromboembolickej choroby,</w:t>
            </w:r>
          </w:p>
          <w:p w14:paraId="7E416467"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 xml:space="preserve">liečbe hlbokej žilovej trombózy, arteriálnej trombózy a trombo-embólie, </w:t>
            </w:r>
          </w:p>
          <w:p w14:paraId="2DB5D0CF"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prevencii zrážania krvi počas hemodialýzy a hemofiltrácie,</w:t>
            </w:r>
          </w:p>
          <w:p w14:paraId="331865C0"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 xml:space="preserve">prevencii trombózy A -V fistuly alebo kaválneho katétra, </w:t>
            </w:r>
          </w:p>
          <w:p w14:paraId="4A043457" w14:textId="77777777" w:rsidR="008645BA" w:rsidRDefault="008645BA">
            <w:pPr>
              <w:numPr>
                <w:ilvl w:val="0"/>
                <w:numId w:val="4"/>
              </w:numPr>
              <w:jc w:val="both"/>
              <w:rPr>
                <w:rFonts w:ascii="Arial" w:hAnsi="Arial" w:cs="Arial"/>
                <w:sz w:val="20"/>
                <w:szCs w:val="20"/>
              </w:rPr>
            </w:pPr>
            <w:r w:rsidRPr="0000591E">
              <w:rPr>
                <w:rFonts w:ascii="Arial" w:hAnsi="Arial" w:cs="Arial"/>
                <w:sz w:val="20"/>
                <w:szCs w:val="20"/>
              </w:rPr>
              <w:t>prevencii tromboembolickej choroby u pacientov s pretrvávajúcimi rizikovými faktormi pri nevhodnosti kumarínovej liečby.</w:t>
            </w:r>
          </w:p>
          <w:p w14:paraId="50AE5DA7" w14:textId="77777777" w:rsidR="008645BA" w:rsidRPr="0000591E" w:rsidRDefault="008645BA" w:rsidP="008645BA">
            <w:pPr>
              <w:jc w:val="both"/>
              <w:rPr>
                <w:rFonts w:ascii="Arial" w:hAnsi="Arial" w:cs="Arial"/>
                <w:sz w:val="20"/>
                <w:szCs w:val="20"/>
              </w:rPr>
            </w:pPr>
          </w:p>
        </w:tc>
      </w:tr>
      <w:tr w:rsidR="008645BA" w:rsidRPr="0000591E" w14:paraId="56A9ACF4" w14:textId="77777777" w:rsidTr="003F7925">
        <w:trPr>
          <w:gridAfter w:val="2"/>
          <w:wAfter w:w="154" w:type="dxa"/>
          <w:trHeight w:val="20"/>
        </w:trPr>
        <w:tc>
          <w:tcPr>
            <w:tcW w:w="1256" w:type="dxa"/>
            <w:tcBorders>
              <w:bottom w:val="single" w:sz="4" w:space="0" w:color="auto"/>
            </w:tcBorders>
            <w:noWrap/>
            <w:vAlign w:val="bottom"/>
          </w:tcPr>
          <w:p w14:paraId="0DC9B0D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B01AB06</w:t>
            </w:r>
          </w:p>
        </w:tc>
        <w:tc>
          <w:tcPr>
            <w:tcW w:w="9452" w:type="dxa"/>
            <w:tcBorders>
              <w:bottom w:val="single" w:sz="4" w:space="0" w:color="auto"/>
            </w:tcBorders>
            <w:noWrap/>
            <w:vAlign w:val="bottom"/>
          </w:tcPr>
          <w:p w14:paraId="0D92ED1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w:t>
            </w:r>
            <w:r>
              <w:rPr>
                <w:rFonts w:ascii="Arial" w:hAnsi="Arial" w:cs="Arial"/>
                <w:b/>
                <w:bCs/>
                <w:sz w:val="20"/>
                <w:szCs w:val="20"/>
              </w:rPr>
              <w:t>2,85</w:t>
            </w:r>
            <w:r w:rsidRPr="0000591E">
              <w:rPr>
                <w:rFonts w:ascii="Arial" w:hAnsi="Arial" w:cs="Arial"/>
                <w:b/>
                <w:bCs/>
                <w:sz w:val="20"/>
                <w:szCs w:val="20"/>
              </w:rPr>
              <w:t xml:space="preserve"> KU,</w:t>
            </w:r>
          </w:p>
          <w:p w14:paraId="589D9CC3"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w:t>
            </w:r>
            <w:r>
              <w:rPr>
                <w:rFonts w:ascii="Arial" w:hAnsi="Arial" w:cs="Arial"/>
                <w:b/>
                <w:bCs/>
                <w:sz w:val="20"/>
                <w:szCs w:val="20"/>
              </w:rPr>
              <w:t>3,8</w:t>
            </w:r>
            <w:r w:rsidRPr="0000591E">
              <w:rPr>
                <w:rFonts w:ascii="Arial" w:hAnsi="Arial" w:cs="Arial"/>
                <w:b/>
                <w:bCs/>
                <w:sz w:val="20"/>
                <w:szCs w:val="20"/>
              </w:rPr>
              <w:t xml:space="preserve"> KU</w:t>
            </w:r>
            <w:r>
              <w:rPr>
                <w:rFonts w:ascii="Arial" w:hAnsi="Arial" w:cs="Arial"/>
                <w:b/>
                <w:bCs/>
                <w:sz w:val="20"/>
                <w:szCs w:val="20"/>
              </w:rPr>
              <w:t>,</w:t>
            </w:r>
          </w:p>
          <w:p w14:paraId="3193BAC9"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w:t>
            </w:r>
            <w:r>
              <w:rPr>
                <w:rFonts w:ascii="Arial" w:hAnsi="Arial" w:cs="Arial"/>
                <w:b/>
                <w:bCs/>
                <w:sz w:val="20"/>
                <w:szCs w:val="20"/>
              </w:rPr>
              <w:t>5,7</w:t>
            </w:r>
            <w:r w:rsidRPr="0000591E">
              <w:rPr>
                <w:rFonts w:ascii="Arial" w:hAnsi="Arial" w:cs="Arial"/>
                <w:b/>
                <w:bCs/>
                <w:sz w:val="20"/>
                <w:szCs w:val="20"/>
              </w:rPr>
              <w:t xml:space="preserve"> KU,</w:t>
            </w:r>
          </w:p>
          <w:p w14:paraId="0B71719C"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w:t>
            </w:r>
            <w:r>
              <w:rPr>
                <w:rFonts w:ascii="Arial" w:hAnsi="Arial" w:cs="Arial"/>
                <w:b/>
                <w:bCs/>
                <w:sz w:val="20"/>
                <w:szCs w:val="20"/>
              </w:rPr>
              <w:t>7,6</w:t>
            </w:r>
            <w:r w:rsidRPr="0000591E">
              <w:rPr>
                <w:rFonts w:ascii="Arial" w:hAnsi="Arial" w:cs="Arial"/>
                <w:b/>
                <w:bCs/>
                <w:sz w:val="20"/>
                <w:szCs w:val="20"/>
              </w:rPr>
              <w:t xml:space="preserve"> KU,</w:t>
            </w:r>
          </w:p>
          <w:p w14:paraId="1A20372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Nadroparín parent. 9,5 KU,</w:t>
            </w:r>
          </w:p>
          <w:p w14:paraId="60F19A74"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w:t>
            </w:r>
            <w:r>
              <w:rPr>
                <w:rFonts w:ascii="Arial" w:hAnsi="Arial" w:cs="Arial"/>
                <w:b/>
                <w:bCs/>
                <w:sz w:val="20"/>
                <w:szCs w:val="20"/>
              </w:rPr>
              <w:t>11,4</w:t>
            </w:r>
            <w:r w:rsidRPr="0000591E">
              <w:rPr>
                <w:rFonts w:ascii="Arial" w:hAnsi="Arial" w:cs="Arial"/>
                <w:b/>
                <w:bCs/>
                <w:sz w:val="20"/>
                <w:szCs w:val="20"/>
              </w:rPr>
              <w:t xml:space="preserve"> KU,</w:t>
            </w:r>
          </w:p>
          <w:p w14:paraId="2FBF3D9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w:t>
            </w:r>
            <w:r>
              <w:rPr>
                <w:rFonts w:ascii="Arial" w:hAnsi="Arial" w:cs="Arial"/>
                <w:b/>
                <w:bCs/>
                <w:sz w:val="20"/>
                <w:szCs w:val="20"/>
              </w:rPr>
              <w:t>15,2</w:t>
            </w:r>
            <w:r w:rsidRPr="0000591E">
              <w:rPr>
                <w:rFonts w:ascii="Arial" w:hAnsi="Arial" w:cs="Arial"/>
                <w:b/>
                <w:bCs/>
                <w:sz w:val="20"/>
                <w:szCs w:val="20"/>
              </w:rPr>
              <w:t xml:space="preserve"> KU</w:t>
            </w:r>
          </w:p>
        </w:tc>
      </w:tr>
      <w:tr w:rsidR="008645BA" w:rsidRPr="0000591E" w14:paraId="0D4A1BA6" w14:textId="77777777" w:rsidTr="003F7925">
        <w:trPr>
          <w:gridAfter w:val="2"/>
          <w:wAfter w:w="154" w:type="dxa"/>
          <w:trHeight w:val="20"/>
        </w:trPr>
        <w:tc>
          <w:tcPr>
            <w:tcW w:w="1256" w:type="dxa"/>
            <w:tcBorders>
              <w:top w:val="single" w:sz="4" w:space="0" w:color="auto"/>
            </w:tcBorders>
            <w:noWrap/>
            <w:vAlign w:val="bottom"/>
          </w:tcPr>
          <w:p w14:paraId="465CFF35"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78B763AD"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2E77D25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akútnom koronárnom syndróme bez elevácie ST segmentu,</w:t>
            </w:r>
          </w:p>
          <w:p w14:paraId="45CE36F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predoperačnej a pooperačnej prevencii tromboembolickej choroby,</w:t>
            </w:r>
          </w:p>
          <w:p w14:paraId="132075C2"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liečbe hlbokej žilovej trombózy, arteriálnej trombózy a trombo-embólie, </w:t>
            </w:r>
          </w:p>
          <w:p w14:paraId="5F5251E4"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prevencii zrážania krvi počas hemodialýzy a hemofiltrácie,</w:t>
            </w:r>
          </w:p>
          <w:p w14:paraId="741C7D6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prevencii trombózy A -V fistuly alebo kaválneho katétra, </w:t>
            </w:r>
          </w:p>
          <w:p w14:paraId="0404CA7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prevencii tromboembolickej choroby u pacientov s pretrvávajúcimi rizikovými faktormi pri nevhodnosti kumarínovej liečby.</w:t>
            </w:r>
          </w:p>
          <w:p w14:paraId="46D8FC0B" w14:textId="77777777" w:rsidR="008645BA" w:rsidRPr="0000591E" w:rsidRDefault="008645BA" w:rsidP="008645BA">
            <w:pPr>
              <w:jc w:val="both"/>
              <w:rPr>
                <w:rFonts w:ascii="Arial" w:hAnsi="Arial" w:cs="Arial"/>
                <w:sz w:val="20"/>
                <w:szCs w:val="20"/>
              </w:rPr>
            </w:pPr>
          </w:p>
        </w:tc>
      </w:tr>
      <w:tr w:rsidR="008645BA" w:rsidRPr="0000591E" w14:paraId="7326C190" w14:textId="77777777" w:rsidTr="003F7925">
        <w:trPr>
          <w:gridAfter w:val="2"/>
          <w:wAfter w:w="154" w:type="dxa"/>
          <w:trHeight w:val="20"/>
        </w:trPr>
        <w:tc>
          <w:tcPr>
            <w:tcW w:w="1256" w:type="dxa"/>
            <w:tcBorders>
              <w:bottom w:val="single" w:sz="4" w:space="0" w:color="auto"/>
            </w:tcBorders>
            <w:noWrap/>
            <w:vAlign w:val="center"/>
          </w:tcPr>
          <w:p w14:paraId="6F136720"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B01AB06</w:t>
            </w:r>
          </w:p>
        </w:tc>
        <w:tc>
          <w:tcPr>
            <w:tcW w:w="9452" w:type="dxa"/>
            <w:tcBorders>
              <w:bottom w:val="single" w:sz="4" w:space="0" w:color="auto"/>
            </w:tcBorders>
            <w:noWrap/>
            <w:vAlign w:val="bottom"/>
          </w:tcPr>
          <w:p w14:paraId="56681CD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Nadroparín parent. 19 KU </w:t>
            </w:r>
          </w:p>
        </w:tc>
      </w:tr>
      <w:tr w:rsidR="008645BA" w:rsidRPr="0000591E" w14:paraId="36228A84" w14:textId="77777777" w:rsidTr="003F7925">
        <w:trPr>
          <w:gridAfter w:val="2"/>
          <w:wAfter w:w="154" w:type="dxa"/>
          <w:trHeight w:val="20"/>
        </w:trPr>
        <w:tc>
          <w:tcPr>
            <w:tcW w:w="1256" w:type="dxa"/>
            <w:tcBorders>
              <w:top w:val="single" w:sz="4" w:space="0" w:color="auto"/>
            </w:tcBorders>
            <w:noWrap/>
            <w:vAlign w:val="bottom"/>
          </w:tcPr>
          <w:p w14:paraId="30DC9545"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19573789"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liečbe hlbokej žilovej trombózy.</w:t>
            </w:r>
          </w:p>
          <w:p w14:paraId="41FA307A" w14:textId="77777777" w:rsidR="008645BA" w:rsidRPr="0000591E" w:rsidRDefault="008645BA" w:rsidP="008645BA">
            <w:pPr>
              <w:jc w:val="both"/>
              <w:rPr>
                <w:rFonts w:ascii="Arial" w:hAnsi="Arial" w:cs="Arial"/>
                <w:sz w:val="20"/>
                <w:szCs w:val="20"/>
              </w:rPr>
            </w:pPr>
          </w:p>
        </w:tc>
      </w:tr>
      <w:tr w:rsidR="008645BA" w:rsidRPr="0000591E" w14:paraId="7A6D29B7" w14:textId="77777777" w:rsidTr="003F7925">
        <w:trPr>
          <w:gridAfter w:val="2"/>
          <w:wAfter w:w="154" w:type="dxa"/>
          <w:trHeight w:val="20"/>
        </w:trPr>
        <w:tc>
          <w:tcPr>
            <w:tcW w:w="1256" w:type="dxa"/>
            <w:tcBorders>
              <w:bottom w:val="single" w:sz="4" w:space="0" w:color="auto"/>
            </w:tcBorders>
            <w:noWrap/>
            <w:vAlign w:val="bottom"/>
          </w:tcPr>
          <w:p w14:paraId="6628CDC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B01AB11</w:t>
            </w:r>
          </w:p>
        </w:tc>
        <w:tc>
          <w:tcPr>
            <w:tcW w:w="9452" w:type="dxa"/>
            <w:tcBorders>
              <w:bottom w:val="single" w:sz="4" w:space="0" w:color="auto"/>
            </w:tcBorders>
            <w:noWrap/>
            <w:vAlign w:val="bottom"/>
          </w:tcPr>
          <w:p w14:paraId="466A633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Sulodexid p.o. 250 LSU</w:t>
            </w:r>
          </w:p>
        </w:tc>
      </w:tr>
      <w:tr w:rsidR="008645BA" w:rsidRPr="0000591E" w14:paraId="2B7F4812" w14:textId="77777777" w:rsidTr="003F7925">
        <w:trPr>
          <w:gridAfter w:val="2"/>
          <w:wAfter w:w="154" w:type="dxa"/>
          <w:trHeight w:val="20"/>
        </w:trPr>
        <w:tc>
          <w:tcPr>
            <w:tcW w:w="1256" w:type="dxa"/>
            <w:tcBorders>
              <w:top w:val="single" w:sz="4" w:space="0" w:color="auto"/>
            </w:tcBorders>
            <w:noWrap/>
            <w:vAlign w:val="bottom"/>
          </w:tcPr>
          <w:p w14:paraId="48E65188"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46D2B894"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1CFFEE5E" w14:textId="77777777" w:rsidR="008645BA" w:rsidRPr="0000591E" w:rsidRDefault="008645BA">
            <w:pPr>
              <w:numPr>
                <w:ilvl w:val="0"/>
                <w:numId w:val="6"/>
              </w:numPr>
              <w:jc w:val="both"/>
              <w:rPr>
                <w:rFonts w:ascii="Arial" w:hAnsi="Arial" w:cs="Arial"/>
                <w:sz w:val="20"/>
                <w:szCs w:val="20"/>
              </w:rPr>
            </w:pPr>
            <w:r w:rsidRPr="0000591E">
              <w:rPr>
                <w:rFonts w:ascii="Arial" w:hAnsi="Arial" w:cs="Arial"/>
                <w:sz w:val="20"/>
                <w:szCs w:val="20"/>
              </w:rPr>
              <w:t>torpídnej a recidivujúcej flebotrombóze a tromboflebitíde ako pokračujúca liečba po zvládnutí akútneho stavu,</w:t>
            </w:r>
          </w:p>
          <w:p w14:paraId="21685581" w14:textId="77777777" w:rsidR="008645BA" w:rsidRPr="0000591E" w:rsidRDefault="008645BA">
            <w:pPr>
              <w:numPr>
                <w:ilvl w:val="0"/>
                <w:numId w:val="6"/>
              </w:numPr>
              <w:jc w:val="both"/>
              <w:rPr>
                <w:rFonts w:ascii="Arial" w:hAnsi="Arial" w:cs="Arial"/>
                <w:sz w:val="20"/>
                <w:szCs w:val="20"/>
              </w:rPr>
            </w:pPr>
            <w:r w:rsidRPr="0000591E">
              <w:rPr>
                <w:rFonts w:ascii="Arial" w:hAnsi="Arial" w:cs="Arial"/>
                <w:sz w:val="20"/>
                <w:szCs w:val="20"/>
              </w:rPr>
              <w:t>rýchlo progredujúcej aterotrombóze ciev dolných končatín,</w:t>
            </w:r>
          </w:p>
          <w:p w14:paraId="3AA50909" w14:textId="77777777" w:rsidR="008645BA" w:rsidRPr="0000591E" w:rsidRDefault="008645BA">
            <w:pPr>
              <w:numPr>
                <w:ilvl w:val="0"/>
                <w:numId w:val="6"/>
              </w:numPr>
              <w:jc w:val="both"/>
              <w:rPr>
                <w:rFonts w:ascii="Arial" w:hAnsi="Arial" w:cs="Arial"/>
                <w:sz w:val="20"/>
                <w:szCs w:val="20"/>
              </w:rPr>
            </w:pPr>
            <w:r w:rsidRPr="0000591E">
              <w:rPr>
                <w:rFonts w:ascii="Arial" w:hAnsi="Arial" w:cs="Arial"/>
                <w:sz w:val="20"/>
                <w:szCs w:val="20"/>
              </w:rPr>
              <w:t>ochoreniach centrálnej vény sietnice, diabetickej retinopatii a vekom podmienenej makulárnej degenerácii.</w:t>
            </w:r>
          </w:p>
          <w:p w14:paraId="717491B8" w14:textId="77777777" w:rsidR="008645BA" w:rsidRDefault="008645BA" w:rsidP="008645BA">
            <w:pPr>
              <w:jc w:val="both"/>
              <w:rPr>
                <w:rFonts w:ascii="Arial" w:hAnsi="Arial" w:cs="Arial"/>
                <w:sz w:val="20"/>
                <w:szCs w:val="20"/>
              </w:rPr>
            </w:pPr>
          </w:p>
          <w:p w14:paraId="22D6F4EF" w14:textId="24C88BB2" w:rsidR="00E838DE" w:rsidRPr="0000591E" w:rsidRDefault="00E838DE" w:rsidP="008645BA">
            <w:pPr>
              <w:jc w:val="both"/>
              <w:rPr>
                <w:rFonts w:ascii="Arial" w:hAnsi="Arial" w:cs="Arial"/>
                <w:sz w:val="20"/>
                <w:szCs w:val="20"/>
              </w:rPr>
            </w:pPr>
          </w:p>
        </w:tc>
      </w:tr>
      <w:tr w:rsidR="008645BA" w:rsidRPr="0000591E" w14:paraId="51010314" w14:textId="77777777" w:rsidTr="003F7925">
        <w:trPr>
          <w:gridAfter w:val="2"/>
          <w:wAfter w:w="154" w:type="dxa"/>
          <w:trHeight w:val="20"/>
        </w:trPr>
        <w:tc>
          <w:tcPr>
            <w:tcW w:w="1256" w:type="dxa"/>
            <w:noWrap/>
            <w:vAlign w:val="bottom"/>
          </w:tcPr>
          <w:p w14:paraId="4CFCACCF" w14:textId="77777777" w:rsidR="008645BA" w:rsidRPr="007D5470" w:rsidRDefault="008645BA" w:rsidP="008645BA">
            <w:pPr>
              <w:jc w:val="both"/>
              <w:rPr>
                <w:rFonts w:ascii="Arial" w:hAnsi="Arial" w:cs="Arial"/>
                <w:b/>
                <w:sz w:val="20"/>
                <w:szCs w:val="20"/>
              </w:rPr>
            </w:pPr>
            <w:r w:rsidRPr="007D5470">
              <w:rPr>
                <w:rFonts w:ascii="Arial" w:hAnsi="Arial" w:cs="Arial"/>
                <w:b/>
                <w:sz w:val="20"/>
                <w:szCs w:val="20"/>
              </w:rPr>
              <w:lastRenderedPageBreak/>
              <w:t>B01AC09</w:t>
            </w:r>
          </w:p>
        </w:tc>
        <w:tc>
          <w:tcPr>
            <w:tcW w:w="9452" w:type="dxa"/>
          </w:tcPr>
          <w:p w14:paraId="147E6BFA" w14:textId="77777777" w:rsidR="008645BA" w:rsidRPr="007D5470" w:rsidRDefault="008645BA" w:rsidP="008645BA">
            <w:pPr>
              <w:jc w:val="both"/>
              <w:rPr>
                <w:rFonts w:ascii="Arial" w:hAnsi="Arial" w:cs="Arial"/>
                <w:b/>
                <w:sz w:val="20"/>
                <w:szCs w:val="20"/>
              </w:rPr>
            </w:pPr>
            <w:r w:rsidRPr="007D5470">
              <w:rPr>
                <w:rFonts w:ascii="Arial" w:hAnsi="Arial" w:cs="Arial"/>
                <w:b/>
                <w:sz w:val="20"/>
                <w:szCs w:val="20"/>
              </w:rPr>
              <w:t>Epoprostenol</w:t>
            </w:r>
            <w:r w:rsidRPr="007D5470">
              <w:rPr>
                <w:rFonts w:ascii="Arial" w:hAnsi="Arial" w:cs="Arial"/>
                <w:b/>
                <w:sz w:val="20"/>
                <w:szCs w:val="20"/>
              </w:rPr>
              <w:tab/>
              <w:t xml:space="preserve">parent. </w:t>
            </w:r>
            <w:r>
              <w:rPr>
                <w:rFonts w:ascii="Arial" w:hAnsi="Arial" w:cs="Arial"/>
                <w:b/>
                <w:sz w:val="20"/>
                <w:szCs w:val="20"/>
              </w:rPr>
              <w:t>1</w:t>
            </w:r>
            <w:r w:rsidRPr="007D5470">
              <w:rPr>
                <w:rFonts w:ascii="Arial" w:hAnsi="Arial" w:cs="Arial"/>
                <w:b/>
                <w:sz w:val="20"/>
                <w:szCs w:val="20"/>
              </w:rPr>
              <w:t>,5 mg</w:t>
            </w:r>
          </w:p>
        </w:tc>
      </w:tr>
      <w:tr w:rsidR="008645BA" w:rsidRPr="0000591E" w14:paraId="371DA5E5" w14:textId="77777777" w:rsidTr="003F7925">
        <w:trPr>
          <w:gridAfter w:val="2"/>
          <w:wAfter w:w="154" w:type="dxa"/>
          <w:trHeight w:val="20"/>
        </w:trPr>
        <w:tc>
          <w:tcPr>
            <w:tcW w:w="1256" w:type="dxa"/>
            <w:tcBorders>
              <w:top w:val="single" w:sz="4" w:space="0" w:color="auto"/>
            </w:tcBorders>
            <w:noWrap/>
            <w:vAlign w:val="bottom"/>
          </w:tcPr>
          <w:p w14:paraId="2EDFE504"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5E61A09E" w14:textId="77777777" w:rsidR="008645BA" w:rsidRPr="007D5470" w:rsidRDefault="008645BA" w:rsidP="008645BA">
            <w:pPr>
              <w:jc w:val="both"/>
              <w:rPr>
                <w:rFonts w:ascii="Arial" w:hAnsi="Arial" w:cs="Arial"/>
                <w:sz w:val="20"/>
                <w:szCs w:val="20"/>
              </w:rPr>
            </w:pPr>
            <w:r w:rsidRPr="007D5470">
              <w:rPr>
                <w:rFonts w:ascii="Arial" w:hAnsi="Arial" w:cs="Arial"/>
                <w:sz w:val="20"/>
                <w:szCs w:val="20"/>
              </w:rPr>
              <w:t xml:space="preserve">Hradená liečba sa môže indikovať pacientom na liečbu pľúcnej artériovej hypertenzie (PAH) (idiopatickej alebo hereditárnej PAH a PAH spojenej s ochoreniami spojivového tkaniva) na zlepšenie záťažovej kapacity u pacientov vo funkčnej triede NYHA IV podľa medzinárodnej klasifikácie WHO. </w:t>
            </w:r>
          </w:p>
          <w:p w14:paraId="625BC941" w14:textId="77777777" w:rsidR="008645BA" w:rsidRPr="007D5470" w:rsidRDefault="008645BA" w:rsidP="008645BA">
            <w:pPr>
              <w:jc w:val="both"/>
              <w:rPr>
                <w:rFonts w:ascii="Arial" w:hAnsi="Arial" w:cs="Arial"/>
                <w:sz w:val="20"/>
                <w:szCs w:val="20"/>
              </w:rPr>
            </w:pPr>
          </w:p>
          <w:p w14:paraId="7644A61D" w14:textId="77777777" w:rsidR="008645BA" w:rsidRPr="007D5470" w:rsidRDefault="008645BA" w:rsidP="008645BA">
            <w:pPr>
              <w:jc w:val="both"/>
              <w:rPr>
                <w:rFonts w:ascii="Arial" w:hAnsi="Arial" w:cs="Arial"/>
                <w:sz w:val="20"/>
                <w:szCs w:val="20"/>
              </w:rPr>
            </w:pPr>
            <w:r w:rsidRPr="007D5470">
              <w:rPr>
                <w:rFonts w:ascii="Arial" w:hAnsi="Arial" w:cs="Arial"/>
                <w:sz w:val="20"/>
                <w:szCs w:val="20"/>
              </w:rPr>
              <w:t xml:space="preserve">Hradená liečba sa môže indikovať u pacientov s pľúcnou artériovou hypertenziou v Národnom ústave srdcových a cievnych chorôb a. s., Bratislava, v Stredoslovenskom ústave srdcových a cievnych chorôb, a.s., Banská Bystrica a vo Východoslovenskom ústave srdcových chorôb, Košice. </w:t>
            </w:r>
          </w:p>
          <w:p w14:paraId="42A5AF21" w14:textId="77777777" w:rsidR="008645BA" w:rsidRPr="007D5470" w:rsidRDefault="008645BA" w:rsidP="008645BA">
            <w:pPr>
              <w:jc w:val="both"/>
              <w:rPr>
                <w:rFonts w:ascii="Arial" w:hAnsi="Arial" w:cs="Arial"/>
                <w:sz w:val="20"/>
                <w:szCs w:val="20"/>
              </w:rPr>
            </w:pPr>
          </w:p>
          <w:p w14:paraId="693C63EC" w14:textId="77777777" w:rsidR="008645BA" w:rsidRDefault="008645BA" w:rsidP="008645BA">
            <w:pPr>
              <w:jc w:val="both"/>
              <w:rPr>
                <w:rFonts w:ascii="Arial" w:hAnsi="Arial" w:cs="Arial"/>
                <w:sz w:val="20"/>
                <w:szCs w:val="20"/>
              </w:rPr>
            </w:pPr>
            <w:r w:rsidRPr="007D5470">
              <w:rPr>
                <w:rFonts w:ascii="Arial" w:hAnsi="Arial" w:cs="Arial"/>
                <w:sz w:val="20"/>
                <w:szCs w:val="20"/>
              </w:rPr>
              <w:t>Hradená liečba podlieha predchádzajúcemu súhlasu zdravotnej poisťovne.</w:t>
            </w:r>
          </w:p>
          <w:p w14:paraId="4CD233E5" w14:textId="59715E00" w:rsidR="004A2FEF" w:rsidRPr="0000591E" w:rsidRDefault="004A2FEF" w:rsidP="008645BA">
            <w:pPr>
              <w:jc w:val="both"/>
              <w:rPr>
                <w:rFonts w:ascii="Arial" w:hAnsi="Arial" w:cs="Arial"/>
                <w:sz w:val="20"/>
                <w:szCs w:val="20"/>
              </w:rPr>
            </w:pPr>
          </w:p>
        </w:tc>
      </w:tr>
      <w:tr w:rsidR="008645BA" w:rsidRPr="0000591E" w14:paraId="232534E9" w14:textId="77777777" w:rsidTr="003F7925">
        <w:trPr>
          <w:gridAfter w:val="2"/>
          <w:wAfter w:w="154" w:type="dxa"/>
          <w:trHeight w:val="20"/>
        </w:trPr>
        <w:tc>
          <w:tcPr>
            <w:tcW w:w="1256" w:type="dxa"/>
            <w:tcBorders>
              <w:bottom w:val="single" w:sz="4" w:space="0" w:color="auto"/>
            </w:tcBorders>
            <w:noWrap/>
            <w:vAlign w:val="bottom"/>
          </w:tcPr>
          <w:p w14:paraId="0772038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B01AC11</w:t>
            </w:r>
          </w:p>
        </w:tc>
        <w:tc>
          <w:tcPr>
            <w:tcW w:w="9452" w:type="dxa"/>
            <w:tcBorders>
              <w:bottom w:val="single" w:sz="4" w:space="0" w:color="auto"/>
            </w:tcBorders>
            <w:vAlign w:val="bottom"/>
          </w:tcPr>
          <w:p w14:paraId="3BFE3AD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Iloprost inhal. 10 mcg/ml</w:t>
            </w:r>
          </w:p>
        </w:tc>
      </w:tr>
      <w:tr w:rsidR="008645BA" w:rsidRPr="0000591E" w14:paraId="6ADA0774" w14:textId="77777777" w:rsidTr="003F7925">
        <w:trPr>
          <w:gridAfter w:val="2"/>
          <w:wAfter w:w="154" w:type="dxa"/>
          <w:trHeight w:val="20"/>
        </w:trPr>
        <w:tc>
          <w:tcPr>
            <w:tcW w:w="1256" w:type="dxa"/>
            <w:tcBorders>
              <w:top w:val="single" w:sz="4" w:space="0" w:color="auto"/>
            </w:tcBorders>
            <w:noWrap/>
            <w:vAlign w:val="bottom"/>
          </w:tcPr>
          <w:p w14:paraId="656B9573"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vAlign w:val="bottom"/>
          </w:tcPr>
          <w:p w14:paraId="6B514F91"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pľúcnou arteriálnou hypertenziou (PAH) v Národnom ústave srdcových a cievnych chorôb, a. s., Bratislava, </w:t>
            </w:r>
            <w:r w:rsidRPr="0000591E">
              <w:rPr>
                <w:rFonts w:ascii="Arial" w:eastAsia="SimSun" w:hAnsi="Arial" w:cs="Arial"/>
                <w:sz w:val="20"/>
                <w:szCs w:val="20"/>
              </w:rPr>
              <w:t>v Stredoslovenskom ústave srdcových a cievnych chorôb, a.s., Banská Bystrica</w:t>
            </w:r>
            <w:r w:rsidRPr="0000591E">
              <w:rPr>
                <w:rFonts w:ascii="Arial" w:hAnsi="Arial" w:cs="Arial"/>
                <w:sz w:val="20"/>
                <w:szCs w:val="20"/>
              </w:rPr>
              <w:t xml:space="preserve"> a vo Východoslovenskom ústave srdcových chorôb, Košice. </w:t>
            </w:r>
          </w:p>
          <w:p w14:paraId="17EFF015" w14:textId="18578CE2" w:rsidR="00AD0CC5" w:rsidRPr="0000591E" w:rsidRDefault="00AD0CC5" w:rsidP="00033473">
            <w:pPr>
              <w:jc w:val="both"/>
              <w:rPr>
                <w:rFonts w:ascii="Arial" w:hAnsi="Arial" w:cs="Arial"/>
                <w:sz w:val="20"/>
                <w:szCs w:val="20"/>
              </w:rPr>
            </w:pPr>
          </w:p>
        </w:tc>
      </w:tr>
      <w:tr w:rsidR="008645BA" w:rsidRPr="0000591E" w14:paraId="3A76770F" w14:textId="77777777" w:rsidTr="003F7925">
        <w:trPr>
          <w:gridAfter w:val="2"/>
          <w:wAfter w:w="154" w:type="dxa"/>
          <w:trHeight w:val="20"/>
        </w:trPr>
        <w:tc>
          <w:tcPr>
            <w:tcW w:w="1256" w:type="dxa"/>
            <w:tcBorders>
              <w:bottom w:val="single" w:sz="4" w:space="0" w:color="auto"/>
            </w:tcBorders>
            <w:noWrap/>
            <w:vAlign w:val="bottom"/>
          </w:tcPr>
          <w:p w14:paraId="495CE55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B01AC21</w:t>
            </w:r>
          </w:p>
        </w:tc>
        <w:tc>
          <w:tcPr>
            <w:tcW w:w="9452" w:type="dxa"/>
            <w:tcBorders>
              <w:bottom w:val="single" w:sz="4" w:space="0" w:color="auto"/>
            </w:tcBorders>
            <w:noWrap/>
            <w:vAlign w:val="bottom"/>
          </w:tcPr>
          <w:p w14:paraId="0BD6887B"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Treprostinil parent. </w:t>
            </w:r>
            <w:r>
              <w:rPr>
                <w:rFonts w:ascii="Arial" w:hAnsi="Arial" w:cs="Arial"/>
                <w:b/>
                <w:bCs/>
                <w:sz w:val="20"/>
                <w:szCs w:val="20"/>
              </w:rPr>
              <w:t>25 mg,</w:t>
            </w:r>
          </w:p>
          <w:p w14:paraId="403E9CAB"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Treprostinil parent. </w:t>
            </w:r>
            <w:r>
              <w:rPr>
                <w:rFonts w:ascii="Arial" w:hAnsi="Arial" w:cs="Arial"/>
                <w:b/>
                <w:bCs/>
                <w:sz w:val="20"/>
                <w:szCs w:val="20"/>
              </w:rPr>
              <w:t>50 mg,</w:t>
            </w:r>
          </w:p>
          <w:p w14:paraId="3D0D18A0"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Treprostinil parent. </w:t>
            </w:r>
            <w:r>
              <w:rPr>
                <w:rFonts w:ascii="Arial" w:hAnsi="Arial" w:cs="Arial"/>
                <w:b/>
                <w:bCs/>
                <w:sz w:val="20"/>
                <w:szCs w:val="20"/>
              </w:rPr>
              <w:t>100 mg</w:t>
            </w:r>
          </w:p>
        </w:tc>
      </w:tr>
      <w:tr w:rsidR="008645BA" w:rsidRPr="0000591E" w14:paraId="59E0D5B5" w14:textId="77777777" w:rsidTr="003F7925">
        <w:trPr>
          <w:gridBefore w:val="1"/>
          <w:gridAfter w:val="2"/>
          <w:wBefore w:w="1256" w:type="dxa"/>
          <w:wAfter w:w="154" w:type="dxa"/>
          <w:trHeight w:val="20"/>
        </w:trPr>
        <w:tc>
          <w:tcPr>
            <w:tcW w:w="9452" w:type="dxa"/>
            <w:noWrap/>
            <w:vAlign w:val="bottom"/>
          </w:tcPr>
          <w:p w14:paraId="6DC2587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pľúcnou arteriálnou hypertenziou (PAH) </w:t>
            </w:r>
            <w:r w:rsidRPr="0000591E">
              <w:rPr>
                <w:rFonts w:ascii="Arial" w:eastAsia="SimSun" w:hAnsi="Arial" w:cs="Arial"/>
                <w:sz w:val="20"/>
                <w:szCs w:val="20"/>
              </w:rPr>
              <w:t xml:space="preserve">v Národnom ústave srdcových a cievnych chorôb, a. s., Bratislava, v Stredoslovenskom ústave srdcových a cievnych chorôb, a.s., Banská Bystrica a </w:t>
            </w:r>
            <w:r w:rsidRPr="0000591E">
              <w:rPr>
                <w:rFonts w:ascii="Arial" w:hAnsi="Arial" w:cs="Arial"/>
                <w:sz w:val="20"/>
                <w:szCs w:val="20"/>
              </w:rPr>
              <w:t xml:space="preserve">vo Východoslovenskom ústave srdcových chorôb, Košice. </w:t>
            </w:r>
          </w:p>
          <w:p w14:paraId="7687FC24" w14:textId="60EC2473" w:rsidR="008645BA" w:rsidRPr="0000591E" w:rsidRDefault="008645BA" w:rsidP="001300E9">
            <w:pPr>
              <w:jc w:val="both"/>
              <w:rPr>
                <w:rFonts w:ascii="Arial" w:hAnsi="Arial" w:cs="Arial"/>
                <w:b/>
                <w:bCs/>
                <w:sz w:val="20"/>
                <w:szCs w:val="20"/>
                <w:lang w:eastAsia="cs-CZ"/>
              </w:rPr>
            </w:pPr>
          </w:p>
        </w:tc>
      </w:tr>
      <w:tr w:rsidR="008645BA" w:rsidRPr="0000591E" w14:paraId="42FD5147" w14:textId="77777777" w:rsidTr="003F7925">
        <w:trPr>
          <w:gridAfter w:val="2"/>
          <w:wAfter w:w="154" w:type="dxa"/>
          <w:trHeight w:val="20"/>
        </w:trPr>
        <w:tc>
          <w:tcPr>
            <w:tcW w:w="1256" w:type="dxa"/>
            <w:tcBorders>
              <w:bottom w:val="single" w:sz="4" w:space="0" w:color="auto"/>
            </w:tcBorders>
            <w:noWrap/>
            <w:vAlign w:val="bottom"/>
          </w:tcPr>
          <w:p w14:paraId="2173587F"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B01AC22</w:t>
            </w:r>
          </w:p>
        </w:tc>
        <w:tc>
          <w:tcPr>
            <w:tcW w:w="9452" w:type="dxa"/>
            <w:tcBorders>
              <w:bottom w:val="single" w:sz="4" w:space="0" w:color="auto"/>
            </w:tcBorders>
            <w:noWrap/>
            <w:vAlign w:val="bottom"/>
          </w:tcPr>
          <w:p w14:paraId="6116CE83"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Prasugrel p.o. 10 mg</w:t>
            </w:r>
          </w:p>
        </w:tc>
      </w:tr>
      <w:tr w:rsidR="008645BA" w:rsidRPr="0000591E" w14:paraId="49D5ADBF" w14:textId="77777777" w:rsidTr="003F7925">
        <w:trPr>
          <w:gridAfter w:val="2"/>
          <w:wAfter w:w="154" w:type="dxa"/>
          <w:trHeight w:val="20"/>
        </w:trPr>
        <w:tc>
          <w:tcPr>
            <w:tcW w:w="1256" w:type="dxa"/>
            <w:noWrap/>
            <w:vAlign w:val="bottom"/>
          </w:tcPr>
          <w:p w14:paraId="0B23FAE5" w14:textId="77777777" w:rsidR="008645BA" w:rsidRPr="0000591E" w:rsidRDefault="008645BA" w:rsidP="008645BA">
            <w:pPr>
              <w:rPr>
                <w:rFonts w:ascii="Arial" w:hAnsi="Arial" w:cs="Arial"/>
                <w:sz w:val="20"/>
                <w:szCs w:val="20"/>
              </w:rPr>
            </w:pPr>
          </w:p>
        </w:tc>
        <w:tc>
          <w:tcPr>
            <w:tcW w:w="9452" w:type="dxa"/>
            <w:noWrap/>
          </w:tcPr>
          <w:p w14:paraId="7E5CDE7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prasugrelom, súbežne podávaná s kyselinou acetylsalicylovou (ASA), sa môže indikovať na prevenciu aterotrombotických príhod </w:t>
            </w:r>
          </w:p>
          <w:p w14:paraId="4BCF2258"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a) u pacientov s akútnym koronárnym syndrómom (t.j. infarktom myokardu s eleváciou ST segmentu [STEMI] , ktorí podstupujú primárnu alebo oneskorenú perkutánnu koronárnu intervenciu (PCI)).    </w:t>
            </w:r>
          </w:p>
          <w:p w14:paraId="64655CE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b) u pacientov s diabetes mellitus a akútnym koronárnym syndrómom (t.j. nestabilnou angínou, infarktom myokardu bez elevácie ST segmentu [UA/NSTEMI] , ktorí podstupujú primárnu alebo oneskorenú perkutánnu koronárnu intervenciu (PCI)).     </w:t>
            </w:r>
          </w:p>
          <w:p w14:paraId="1FAA59C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Liek nie je indikovaný u pacientov s prekonanou náhlou cievnou mozgovou príhodou (NCMP), vrátane TIA.</w:t>
            </w:r>
          </w:p>
          <w:p w14:paraId="6542AF7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môže trvať maximálne 12 mesiacov. </w:t>
            </w:r>
          </w:p>
          <w:p w14:paraId="4A5213FD" w14:textId="77777777" w:rsidR="008645BA" w:rsidRPr="0000591E" w:rsidRDefault="008645BA" w:rsidP="008645BA">
            <w:pPr>
              <w:rPr>
                <w:rFonts w:ascii="Arial" w:hAnsi="Arial" w:cs="Arial"/>
                <w:sz w:val="20"/>
                <w:szCs w:val="20"/>
              </w:rPr>
            </w:pPr>
          </w:p>
        </w:tc>
      </w:tr>
      <w:tr w:rsidR="008645BA" w:rsidRPr="0000591E" w14:paraId="6D6D9B0B" w14:textId="77777777" w:rsidTr="003F7925">
        <w:trPr>
          <w:gridAfter w:val="2"/>
          <w:wAfter w:w="154" w:type="dxa"/>
          <w:trHeight w:val="20"/>
        </w:trPr>
        <w:tc>
          <w:tcPr>
            <w:tcW w:w="1256" w:type="dxa"/>
            <w:tcBorders>
              <w:bottom w:val="single" w:sz="4" w:space="0" w:color="auto"/>
            </w:tcBorders>
            <w:noWrap/>
            <w:vAlign w:val="bottom"/>
          </w:tcPr>
          <w:p w14:paraId="20999C36" w14:textId="77777777" w:rsidR="008645BA" w:rsidRPr="0000591E" w:rsidRDefault="008645BA" w:rsidP="008645BA">
            <w:pPr>
              <w:rPr>
                <w:rFonts w:ascii="Arial" w:hAnsi="Arial" w:cs="Arial"/>
                <w:b/>
                <w:sz w:val="20"/>
                <w:szCs w:val="20"/>
              </w:rPr>
            </w:pPr>
            <w:r w:rsidRPr="0000591E">
              <w:rPr>
                <w:rFonts w:ascii="Arial" w:hAnsi="Arial" w:cs="Arial"/>
                <w:b/>
                <w:sz w:val="20"/>
                <w:szCs w:val="20"/>
              </w:rPr>
              <w:t>B01AC24</w:t>
            </w:r>
          </w:p>
        </w:tc>
        <w:tc>
          <w:tcPr>
            <w:tcW w:w="9452" w:type="dxa"/>
            <w:tcBorders>
              <w:bottom w:val="single" w:sz="4" w:space="0" w:color="auto"/>
            </w:tcBorders>
            <w:noWrap/>
            <w:vAlign w:val="bottom"/>
          </w:tcPr>
          <w:p w14:paraId="400A7D16" w14:textId="77777777" w:rsidR="008645BA" w:rsidRPr="0000591E" w:rsidRDefault="008645BA" w:rsidP="008645BA">
            <w:pPr>
              <w:rPr>
                <w:rFonts w:ascii="Arial" w:hAnsi="Arial" w:cs="Arial"/>
                <w:b/>
                <w:sz w:val="20"/>
                <w:szCs w:val="20"/>
              </w:rPr>
            </w:pPr>
            <w:r w:rsidRPr="0000591E">
              <w:rPr>
                <w:rFonts w:ascii="Arial" w:hAnsi="Arial" w:cs="Arial"/>
                <w:b/>
                <w:sz w:val="20"/>
                <w:szCs w:val="20"/>
              </w:rPr>
              <w:t>Tikagrelor p.o. 90 mg</w:t>
            </w:r>
          </w:p>
        </w:tc>
      </w:tr>
      <w:tr w:rsidR="008645BA" w:rsidRPr="0000591E" w14:paraId="74C99086" w14:textId="77777777" w:rsidTr="003F7925">
        <w:trPr>
          <w:gridAfter w:val="2"/>
          <w:wAfter w:w="154" w:type="dxa"/>
          <w:trHeight w:val="20"/>
        </w:trPr>
        <w:tc>
          <w:tcPr>
            <w:tcW w:w="1256" w:type="dxa"/>
            <w:tcBorders>
              <w:top w:val="single" w:sz="4" w:space="0" w:color="auto"/>
            </w:tcBorders>
            <w:noWrap/>
            <w:vAlign w:val="bottom"/>
          </w:tcPr>
          <w:p w14:paraId="20E1DDF9"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tcPr>
          <w:p w14:paraId="140D5F5E"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tikagrelorom, súbežne podávaná s kyselinou acetylsalicylovou (ASA), sa môže indikovať na prevenciu aterotrombotických príhod:</w:t>
            </w:r>
          </w:p>
          <w:p w14:paraId="6F0D28A0" w14:textId="77777777" w:rsidR="008645BA" w:rsidRDefault="008645BA">
            <w:pPr>
              <w:numPr>
                <w:ilvl w:val="0"/>
                <w:numId w:val="61"/>
              </w:numPr>
              <w:jc w:val="both"/>
              <w:rPr>
                <w:rFonts w:ascii="Arial" w:hAnsi="Arial" w:cs="Arial"/>
                <w:sz w:val="20"/>
                <w:szCs w:val="20"/>
              </w:rPr>
            </w:pPr>
            <w:r w:rsidRPr="0000591E">
              <w:rPr>
                <w:rFonts w:ascii="Arial" w:hAnsi="Arial" w:cs="Arial"/>
                <w:sz w:val="20"/>
                <w:szCs w:val="20"/>
              </w:rPr>
              <w:t>u pacientov s akútnym koronárnym syndrómom s eleváciou ST (t.j. STEMI), u ktorých sa plánuje liečba pomocou PKI a ktorí majú zároveň:</w:t>
            </w:r>
          </w:p>
          <w:p w14:paraId="35133BBE"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anamnézu ischemickej cievnej mozgovej príhody vrátane TIA alebo</w:t>
            </w:r>
          </w:p>
          <w:p w14:paraId="3DE7BCFE"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precitlivenosť na tienopyridíny alebo</w:t>
            </w:r>
          </w:p>
          <w:p w14:paraId="7E4A355C"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vek ≥ 75 rokov alebo</w:t>
            </w:r>
          </w:p>
          <w:p w14:paraId="7FEE097F"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telesnú hmotnosť &lt; 60 kg alebo</w:t>
            </w:r>
          </w:p>
          <w:p w14:paraId="69EF4FBC" w14:textId="77777777" w:rsidR="008645BA" w:rsidRDefault="008645BA">
            <w:pPr>
              <w:numPr>
                <w:ilvl w:val="1"/>
                <w:numId w:val="61"/>
              </w:numPr>
              <w:jc w:val="both"/>
              <w:rPr>
                <w:rFonts w:ascii="Arial" w:hAnsi="Arial" w:cs="Arial"/>
                <w:sz w:val="20"/>
                <w:szCs w:val="20"/>
              </w:rPr>
            </w:pPr>
            <w:r w:rsidRPr="0000591E">
              <w:rPr>
                <w:rFonts w:ascii="Arial" w:hAnsi="Arial" w:cs="Arial"/>
                <w:sz w:val="20"/>
                <w:szCs w:val="20"/>
              </w:rPr>
              <w:t xml:space="preserve">klírens kreatinínu ≤ 60 ml/min, </w:t>
            </w:r>
          </w:p>
          <w:p w14:paraId="5E8A9D8E" w14:textId="77777777" w:rsidR="008645BA" w:rsidRDefault="008645BA">
            <w:pPr>
              <w:numPr>
                <w:ilvl w:val="0"/>
                <w:numId w:val="61"/>
              </w:numPr>
              <w:jc w:val="both"/>
              <w:rPr>
                <w:rFonts w:ascii="Arial" w:hAnsi="Arial" w:cs="Arial"/>
                <w:sz w:val="20"/>
                <w:szCs w:val="20"/>
              </w:rPr>
            </w:pPr>
            <w:r w:rsidRPr="0000591E">
              <w:rPr>
                <w:rFonts w:ascii="Arial" w:hAnsi="Arial" w:cs="Arial"/>
                <w:sz w:val="20"/>
                <w:szCs w:val="20"/>
              </w:rPr>
              <w:t>u pacientov s akútnym koronárnym syndrómom bez elevácie ST (t.j. NAP/NSTEMI) so stredným a vysokým rizikom podľa GRACE skóre, ktorí majú zároveň niektoré z kritérií:</w:t>
            </w:r>
          </w:p>
          <w:p w14:paraId="3A97AFBD"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anamnézu ischemickej cievnej mozgovej príhody vrátane TIA alebo</w:t>
            </w:r>
          </w:p>
          <w:p w14:paraId="683DA6EC"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precitlivenosť na tienopyridíny alebo</w:t>
            </w:r>
          </w:p>
          <w:p w14:paraId="20398D98"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vek ≥ 75 rokov alebo</w:t>
            </w:r>
          </w:p>
          <w:p w14:paraId="5AF9BC3C"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telesnú hmotnosť &lt; 60 kg alebo</w:t>
            </w:r>
          </w:p>
          <w:p w14:paraId="39B73698" w14:textId="77777777" w:rsidR="008645BA" w:rsidRDefault="008645BA">
            <w:pPr>
              <w:numPr>
                <w:ilvl w:val="1"/>
                <w:numId w:val="61"/>
              </w:numPr>
              <w:jc w:val="both"/>
              <w:rPr>
                <w:rFonts w:ascii="Arial" w:hAnsi="Arial" w:cs="Arial"/>
                <w:sz w:val="20"/>
                <w:szCs w:val="20"/>
              </w:rPr>
            </w:pPr>
            <w:r w:rsidRPr="0000591E">
              <w:rPr>
                <w:rFonts w:ascii="Arial" w:hAnsi="Arial" w:cs="Arial"/>
                <w:sz w:val="20"/>
                <w:szCs w:val="20"/>
              </w:rPr>
              <w:t>klírens kreatinínu ≤ 60 ml/min,</w:t>
            </w:r>
          </w:p>
          <w:p w14:paraId="44B6352B" w14:textId="77777777" w:rsidR="008645BA" w:rsidRPr="0000591E" w:rsidRDefault="008645BA" w:rsidP="008645BA">
            <w:pPr>
              <w:ind w:left="1503"/>
              <w:jc w:val="both"/>
              <w:rPr>
                <w:rFonts w:ascii="Arial" w:hAnsi="Arial" w:cs="Arial"/>
                <w:sz w:val="20"/>
                <w:szCs w:val="20"/>
              </w:rPr>
            </w:pPr>
          </w:p>
          <w:p w14:paraId="1D228532" w14:textId="77777777" w:rsidR="008645BA" w:rsidRPr="0000591E" w:rsidRDefault="008645BA">
            <w:pPr>
              <w:numPr>
                <w:ilvl w:val="0"/>
                <w:numId w:val="61"/>
              </w:numPr>
              <w:jc w:val="both"/>
              <w:rPr>
                <w:rFonts w:ascii="Arial" w:hAnsi="Arial" w:cs="Arial"/>
                <w:sz w:val="20"/>
                <w:szCs w:val="20"/>
              </w:rPr>
            </w:pPr>
            <w:r w:rsidRPr="0000591E">
              <w:rPr>
                <w:rFonts w:ascii="Arial" w:hAnsi="Arial" w:cs="Arial"/>
                <w:sz w:val="20"/>
                <w:szCs w:val="20"/>
              </w:rPr>
              <w:t>u pacientov s trombózou stentu.</w:t>
            </w:r>
          </w:p>
          <w:p w14:paraId="0903D422"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Liek môže byť indikovaný aj u pacientov, ktorí sú preliečení klopidogrelom a taktiež u pacientov, u ktorých nie je známa koronárna anatómia.</w:t>
            </w:r>
          </w:p>
          <w:p w14:paraId="72EDC63C" w14:textId="77777777" w:rsidR="008645BA" w:rsidRDefault="008645BA" w:rsidP="008645BA">
            <w:pPr>
              <w:jc w:val="both"/>
              <w:rPr>
                <w:rFonts w:ascii="Arial" w:hAnsi="Arial" w:cs="Arial"/>
                <w:sz w:val="20"/>
                <w:szCs w:val="20"/>
              </w:rPr>
            </w:pPr>
            <w:r w:rsidRPr="0000591E">
              <w:rPr>
                <w:rFonts w:ascii="Arial" w:hAnsi="Arial" w:cs="Arial"/>
                <w:sz w:val="20"/>
                <w:szCs w:val="20"/>
              </w:rPr>
              <w:t xml:space="preserve">Hradená liečba môže trvať maximálne 12 mesiacov. </w:t>
            </w:r>
          </w:p>
          <w:p w14:paraId="4F7911F8" w14:textId="77777777" w:rsidR="008645BA" w:rsidRDefault="008645BA" w:rsidP="008645BA">
            <w:pPr>
              <w:jc w:val="both"/>
              <w:rPr>
                <w:rFonts w:ascii="Arial" w:hAnsi="Arial" w:cs="Arial"/>
                <w:sz w:val="20"/>
                <w:szCs w:val="20"/>
              </w:rPr>
            </w:pPr>
          </w:p>
          <w:p w14:paraId="34F34C79" w14:textId="77777777" w:rsidR="00E838DE" w:rsidRPr="0000591E" w:rsidRDefault="00E838DE" w:rsidP="008645BA">
            <w:pPr>
              <w:jc w:val="both"/>
              <w:rPr>
                <w:rFonts w:ascii="Arial" w:hAnsi="Arial" w:cs="Arial"/>
                <w:sz w:val="20"/>
                <w:szCs w:val="20"/>
              </w:rPr>
            </w:pPr>
          </w:p>
        </w:tc>
      </w:tr>
      <w:tr w:rsidR="008645BA" w:rsidRPr="0000591E" w14:paraId="6192DE6F" w14:textId="77777777" w:rsidTr="003F7925">
        <w:trPr>
          <w:gridAfter w:val="2"/>
          <w:wAfter w:w="154" w:type="dxa"/>
          <w:trHeight w:val="20"/>
        </w:trPr>
        <w:tc>
          <w:tcPr>
            <w:tcW w:w="1256" w:type="dxa"/>
            <w:tcBorders>
              <w:bottom w:val="single" w:sz="4" w:space="0" w:color="auto"/>
            </w:tcBorders>
            <w:noWrap/>
            <w:vAlign w:val="bottom"/>
          </w:tcPr>
          <w:p w14:paraId="73BA6B53" w14:textId="77777777" w:rsidR="008645BA" w:rsidRPr="00B15E08" w:rsidRDefault="008645BA" w:rsidP="008645BA">
            <w:pPr>
              <w:rPr>
                <w:rFonts w:ascii="Arial" w:hAnsi="Arial" w:cs="Arial"/>
                <w:b/>
                <w:sz w:val="20"/>
                <w:szCs w:val="20"/>
              </w:rPr>
            </w:pPr>
            <w:r w:rsidRPr="00B15E08">
              <w:rPr>
                <w:rFonts w:ascii="Arial" w:hAnsi="Arial" w:cs="Arial"/>
                <w:b/>
                <w:sz w:val="20"/>
                <w:szCs w:val="20"/>
              </w:rPr>
              <w:t>B01AC27</w:t>
            </w:r>
          </w:p>
        </w:tc>
        <w:tc>
          <w:tcPr>
            <w:tcW w:w="9452" w:type="dxa"/>
            <w:tcBorders>
              <w:bottom w:val="single" w:sz="4" w:space="0" w:color="auto"/>
            </w:tcBorders>
            <w:noWrap/>
          </w:tcPr>
          <w:p w14:paraId="51B438BA" w14:textId="77777777" w:rsidR="008645BA" w:rsidRDefault="008645BA" w:rsidP="008645BA">
            <w:pPr>
              <w:rPr>
                <w:rFonts w:ascii="Arial" w:hAnsi="Arial" w:cs="Arial"/>
                <w:b/>
                <w:sz w:val="20"/>
                <w:szCs w:val="20"/>
              </w:rPr>
            </w:pPr>
            <w:r w:rsidRPr="00B15E08">
              <w:rPr>
                <w:rFonts w:ascii="Arial" w:hAnsi="Arial" w:cs="Arial"/>
                <w:b/>
                <w:sz w:val="20"/>
                <w:szCs w:val="20"/>
              </w:rPr>
              <w:t>Selexipag</w:t>
            </w:r>
            <w:r>
              <w:rPr>
                <w:rFonts w:ascii="Arial" w:hAnsi="Arial" w:cs="Arial"/>
                <w:b/>
                <w:sz w:val="20"/>
                <w:szCs w:val="20"/>
              </w:rPr>
              <w:t xml:space="preserve"> </w:t>
            </w:r>
            <w:r w:rsidRPr="008510EF">
              <w:rPr>
                <w:rFonts w:ascii="Arial" w:hAnsi="Arial" w:cs="Arial"/>
                <w:b/>
                <w:sz w:val="20"/>
                <w:szCs w:val="20"/>
              </w:rPr>
              <w:t xml:space="preserve">200 mcg </w:t>
            </w:r>
          </w:p>
          <w:p w14:paraId="09F10EDE" w14:textId="77777777" w:rsidR="008645BA" w:rsidRDefault="008645BA" w:rsidP="008645BA">
            <w:pPr>
              <w:rPr>
                <w:rFonts w:ascii="Arial" w:hAnsi="Arial" w:cs="Arial"/>
                <w:b/>
                <w:sz w:val="20"/>
                <w:szCs w:val="20"/>
              </w:rPr>
            </w:pPr>
            <w:r w:rsidRPr="00B15E08">
              <w:rPr>
                <w:rFonts w:ascii="Arial" w:hAnsi="Arial" w:cs="Arial"/>
                <w:b/>
                <w:sz w:val="20"/>
                <w:szCs w:val="20"/>
              </w:rPr>
              <w:t>Selexipag</w:t>
            </w:r>
            <w:r w:rsidRPr="008510EF">
              <w:rPr>
                <w:rFonts w:ascii="Arial" w:hAnsi="Arial" w:cs="Arial"/>
                <w:b/>
                <w:sz w:val="20"/>
                <w:szCs w:val="20"/>
              </w:rPr>
              <w:t xml:space="preserve"> 400 mcg </w:t>
            </w:r>
          </w:p>
          <w:p w14:paraId="7FD3FF36" w14:textId="77777777" w:rsidR="008645BA" w:rsidRDefault="008645BA" w:rsidP="008645BA">
            <w:pPr>
              <w:rPr>
                <w:rFonts w:ascii="Arial" w:hAnsi="Arial" w:cs="Arial"/>
                <w:b/>
                <w:sz w:val="20"/>
                <w:szCs w:val="20"/>
              </w:rPr>
            </w:pPr>
            <w:r w:rsidRPr="00B15E08">
              <w:rPr>
                <w:rFonts w:ascii="Arial" w:hAnsi="Arial" w:cs="Arial"/>
                <w:b/>
                <w:sz w:val="20"/>
                <w:szCs w:val="20"/>
              </w:rPr>
              <w:lastRenderedPageBreak/>
              <w:t>Selexipag</w:t>
            </w:r>
            <w:r>
              <w:rPr>
                <w:rFonts w:ascii="Arial" w:hAnsi="Arial" w:cs="Arial"/>
                <w:b/>
                <w:sz w:val="20"/>
                <w:szCs w:val="20"/>
              </w:rPr>
              <w:t xml:space="preserve"> 600 mcg </w:t>
            </w:r>
          </w:p>
          <w:p w14:paraId="02F2AD09" w14:textId="77777777" w:rsidR="008645BA" w:rsidRDefault="008645BA" w:rsidP="008645BA">
            <w:pPr>
              <w:rPr>
                <w:rFonts w:ascii="Arial" w:hAnsi="Arial" w:cs="Arial"/>
                <w:b/>
                <w:sz w:val="20"/>
                <w:szCs w:val="20"/>
              </w:rPr>
            </w:pPr>
            <w:r w:rsidRPr="00B15E08">
              <w:rPr>
                <w:rFonts w:ascii="Arial" w:hAnsi="Arial" w:cs="Arial"/>
                <w:b/>
                <w:sz w:val="20"/>
                <w:szCs w:val="20"/>
              </w:rPr>
              <w:t>Selexipag</w:t>
            </w:r>
            <w:r w:rsidRPr="008510EF">
              <w:rPr>
                <w:rFonts w:ascii="Arial" w:hAnsi="Arial" w:cs="Arial"/>
                <w:b/>
                <w:sz w:val="20"/>
                <w:szCs w:val="20"/>
              </w:rPr>
              <w:t xml:space="preserve"> 800 mcg </w:t>
            </w:r>
          </w:p>
          <w:p w14:paraId="32E4F3D5" w14:textId="77777777" w:rsidR="008645BA" w:rsidRDefault="008645BA" w:rsidP="008645BA">
            <w:pPr>
              <w:rPr>
                <w:rFonts w:ascii="Arial" w:hAnsi="Arial" w:cs="Arial"/>
                <w:b/>
                <w:sz w:val="20"/>
                <w:szCs w:val="20"/>
              </w:rPr>
            </w:pPr>
            <w:r w:rsidRPr="00B15E08">
              <w:rPr>
                <w:rFonts w:ascii="Arial" w:hAnsi="Arial" w:cs="Arial"/>
                <w:b/>
                <w:sz w:val="20"/>
                <w:szCs w:val="20"/>
              </w:rPr>
              <w:t>Selexipag</w:t>
            </w:r>
            <w:r w:rsidRPr="008510EF">
              <w:rPr>
                <w:rFonts w:ascii="Arial" w:hAnsi="Arial" w:cs="Arial"/>
                <w:b/>
                <w:sz w:val="20"/>
                <w:szCs w:val="20"/>
              </w:rPr>
              <w:t xml:space="preserve"> 1000 mcg </w:t>
            </w:r>
          </w:p>
          <w:p w14:paraId="146B09C0" w14:textId="77777777" w:rsidR="008645BA" w:rsidRDefault="008645BA" w:rsidP="008645BA">
            <w:pPr>
              <w:rPr>
                <w:rFonts w:ascii="Arial" w:hAnsi="Arial" w:cs="Arial"/>
                <w:b/>
                <w:sz w:val="20"/>
                <w:szCs w:val="20"/>
              </w:rPr>
            </w:pPr>
            <w:r w:rsidRPr="00B15E08">
              <w:rPr>
                <w:rFonts w:ascii="Arial" w:hAnsi="Arial" w:cs="Arial"/>
                <w:b/>
                <w:sz w:val="20"/>
                <w:szCs w:val="20"/>
              </w:rPr>
              <w:t>Selexipag</w:t>
            </w:r>
            <w:r w:rsidRPr="008510EF">
              <w:rPr>
                <w:rFonts w:ascii="Arial" w:hAnsi="Arial" w:cs="Arial"/>
                <w:b/>
                <w:sz w:val="20"/>
                <w:szCs w:val="20"/>
              </w:rPr>
              <w:t xml:space="preserve"> 1200 mcg </w:t>
            </w:r>
          </w:p>
          <w:p w14:paraId="6961CD49" w14:textId="77777777" w:rsidR="008645BA" w:rsidRDefault="008645BA" w:rsidP="008645BA">
            <w:pPr>
              <w:rPr>
                <w:rFonts w:ascii="Arial" w:hAnsi="Arial" w:cs="Arial"/>
                <w:b/>
                <w:sz w:val="20"/>
                <w:szCs w:val="20"/>
              </w:rPr>
            </w:pPr>
            <w:r w:rsidRPr="00B15E08">
              <w:rPr>
                <w:rFonts w:ascii="Arial" w:hAnsi="Arial" w:cs="Arial"/>
                <w:b/>
                <w:sz w:val="20"/>
                <w:szCs w:val="20"/>
              </w:rPr>
              <w:t>Selexipag</w:t>
            </w:r>
            <w:r w:rsidRPr="008510EF">
              <w:rPr>
                <w:rFonts w:ascii="Arial" w:hAnsi="Arial" w:cs="Arial"/>
                <w:b/>
                <w:sz w:val="20"/>
                <w:szCs w:val="20"/>
              </w:rPr>
              <w:t xml:space="preserve"> 1400 mcg </w:t>
            </w:r>
          </w:p>
          <w:p w14:paraId="680D4EBF" w14:textId="77777777" w:rsidR="008645BA" w:rsidRPr="00B15E08" w:rsidRDefault="008645BA" w:rsidP="008645BA">
            <w:pPr>
              <w:rPr>
                <w:rFonts w:ascii="Arial" w:hAnsi="Arial" w:cs="Arial"/>
                <w:b/>
                <w:sz w:val="20"/>
                <w:szCs w:val="20"/>
              </w:rPr>
            </w:pPr>
            <w:r w:rsidRPr="00B15E08">
              <w:rPr>
                <w:rFonts w:ascii="Arial" w:hAnsi="Arial" w:cs="Arial"/>
                <w:b/>
                <w:sz w:val="20"/>
                <w:szCs w:val="20"/>
              </w:rPr>
              <w:t>Selexipag</w:t>
            </w:r>
            <w:r w:rsidRPr="008510EF">
              <w:rPr>
                <w:rFonts w:ascii="Arial" w:hAnsi="Arial" w:cs="Arial"/>
                <w:b/>
                <w:sz w:val="20"/>
                <w:szCs w:val="20"/>
              </w:rPr>
              <w:t xml:space="preserve"> 1600 mcg </w:t>
            </w:r>
          </w:p>
        </w:tc>
      </w:tr>
      <w:tr w:rsidR="008645BA" w:rsidRPr="0000591E" w14:paraId="0D0C40F0" w14:textId="77777777" w:rsidTr="003F7925">
        <w:trPr>
          <w:gridAfter w:val="2"/>
          <w:wAfter w:w="154" w:type="dxa"/>
          <w:trHeight w:val="20"/>
        </w:trPr>
        <w:tc>
          <w:tcPr>
            <w:tcW w:w="1256" w:type="dxa"/>
            <w:tcBorders>
              <w:top w:val="single" w:sz="4" w:space="0" w:color="auto"/>
            </w:tcBorders>
            <w:noWrap/>
            <w:vAlign w:val="bottom"/>
          </w:tcPr>
          <w:p w14:paraId="5A6C3B7D" w14:textId="77777777" w:rsidR="008645BA" w:rsidRPr="0000591E" w:rsidRDefault="008645BA" w:rsidP="008645BA">
            <w:pPr>
              <w:rPr>
                <w:rFonts w:ascii="Arial" w:hAnsi="Arial" w:cs="Arial"/>
                <w:sz w:val="20"/>
                <w:szCs w:val="20"/>
              </w:rPr>
            </w:pPr>
          </w:p>
        </w:tc>
        <w:tc>
          <w:tcPr>
            <w:tcW w:w="9452" w:type="dxa"/>
            <w:tcBorders>
              <w:top w:val="single" w:sz="4" w:space="0" w:color="auto"/>
            </w:tcBorders>
            <w:noWrap/>
          </w:tcPr>
          <w:p w14:paraId="05330B39" w14:textId="77777777" w:rsidR="008645BA" w:rsidRPr="008510EF" w:rsidRDefault="008645BA" w:rsidP="008645BA">
            <w:pPr>
              <w:autoSpaceDE w:val="0"/>
              <w:autoSpaceDN w:val="0"/>
              <w:adjustRightInd w:val="0"/>
              <w:jc w:val="both"/>
              <w:rPr>
                <w:rFonts w:ascii="Arial" w:hAnsi="Arial" w:cs="Arial"/>
                <w:sz w:val="20"/>
                <w:szCs w:val="20"/>
              </w:rPr>
            </w:pPr>
            <w:r w:rsidRPr="008510EF">
              <w:rPr>
                <w:rFonts w:ascii="Arial" w:hAnsi="Arial" w:cs="Arial"/>
                <w:sz w:val="20"/>
                <w:szCs w:val="20"/>
              </w:rPr>
              <w:t xml:space="preserve">Hradená liečba sa môže indikovať na dlhodobú liečbu pľúcnej artériovej hypertenzie (PAH) u dospelých pacientov III. triedy podľa funkčnej klasifikácie WHO ako kombinovaná terapia u pacientov nedostatočne kontrolovaných v zmysle smerníc ESC/ERS kombinovanou liečbou obsahujúcou antagonistu endotelínového receptora a inhibítor fosfodiesterázy typu 5 (t.j. trojkombinačná liečba). </w:t>
            </w:r>
          </w:p>
          <w:p w14:paraId="124230E6" w14:textId="77777777" w:rsidR="008645BA" w:rsidRPr="008510EF" w:rsidRDefault="008645BA" w:rsidP="008645BA">
            <w:pPr>
              <w:autoSpaceDE w:val="0"/>
              <w:autoSpaceDN w:val="0"/>
              <w:adjustRightInd w:val="0"/>
              <w:jc w:val="both"/>
              <w:rPr>
                <w:rFonts w:ascii="Arial" w:hAnsi="Arial" w:cs="Arial"/>
                <w:sz w:val="20"/>
                <w:szCs w:val="20"/>
              </w:rPr>
            </w:pPr>
            <w:r w:rsidRPr="008510EF">
              <w:rPr>
                <w:rFonts w:ascii="Arial" w:hAnsi="Arial" w:cs="Arial"/>
                <w:sz w:val="20"/>
                <w:szCs w:val="20"/>
              </w:rPr>
              <w:t xml:space="preserve"> </w:t>
            </w:r>
          </w:p>
          <w:p w14:paraId="105A9AF5" w14:textId="77777777" w:rsidR="008645BA" w:rsidRPr="008510EF" w:rsidRDefault="008645BA" w:rsidP="008645BA">
            <w:pPr>
              <w:autoSpaceDE w:val="0"/>
              <w:autoSpaceDN w:val="0"/>
              <w:adjustRightInd w:val="0"/>
              <w:jc w:val="both"/>
              <w:rPr>
                <w:rFonts w:ascii="Arial" w:hAnsi="Arial" w:cs="Arial"/>
                <w:sz w:val="20"/>
                <w:szCs w:val="20"/>
              </w:rPr>
            </w:pPr>
            <w:r w:rsidRPr="008510EF">
              <w:rPr>
                <w:rFonts w:ascii="Arial" w:hAnsi="Arial" w:cs="Arial"/>
                <w:sz w:val="20"/>
                <w:szCs w:val="20"/>
              </w:rPr>
              <w:t xml:space="preserve">Hradená liečba sa môže indikovať u pacientov s pľúcnou artériovou hypertenziou v Národnom ústave srdcových a cievnych chorôb a. s., Bratislava, v Stredoslovenskom ústave srdcových a cievnych chorôb, a.s., Banská Bystrica a vo Východoslovenskom ústave srdcových chorôb, Košice.  </w:t>
            </w:r>
          </w:p>
          <w:p w14:paraId="155C328E" w14:textId="72A20D10" w:rsidR="00E838DE" w:rsidRPr="0000591E" w:rsidRDefault="008645BA" w:rsidP="003F2624">
            <w:pPr>
              <w:autoSpaceDE w:val="0"/>
              <w:autoSpaceDN w:val="0"/>
              <w:adjustRightInd w:val="0"/>
              <w:jc w:val="both"/>
              <w:rPr>
                <w:rFonts w:ascii="Arial" w:hAnsi="Arial" w:cs="Arial"/>
                <w:sz w:val="20"/>
                <w:szCs w:val="20"/>
              </w:rPr>
            </w:pPr>
            <w:r w:rsidRPr="008510EF">
              <w:rPr>
                <w:rFonts w:ascii="Arial" w:hAnsi="Arial" w:cs="Arial"/>
                <w:sz w:val="20"/>
                <w:szCs w:val="20"/>
              </w:rPr>
              <w:t xml:space="preserve"> </w:t>
            </w:r>
          </w:p>
        </w:tc>
      </w:tr>
      <w:tr w:rsidR="008645BA" w:rsidRPr="0000591E" w14:paraId="2B730058" w14:textId="77777777" w:rsidTr="003F7925">
        <w:trPr>
          <w:gridAfter w:val="2"/>
          <w:wAfter w:w="154" w:type="dxa"/>
          <w:trHeight w:val="20"/>
        </w:trPr>
        <w:tc>
          <w:tcPr>
            <w:tcW w:w="1256" w:type="dxa"/>
            <w:tcBorders>
              <w:bottom w:val="single" w:sz="4" w:space="0" w:color="auto"/>
            </w:tcBorders>
            <w:noWrap/>
            <w:vAlign w:val="bottom"/>
          </w:tcPr>
          <w:p w14:paraId="2A23F860"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B01AE07</w:t>
            </w:r>
          </w:p>
        </w:tc>
        <w:tc>
          <w:tcPr>
            <w:tcW w:w="9452" w:type="dxa"/>
            <w:tcBorders>
              <w:bottom w:val="single" w:sz="4" w:space="0" w:color="auto"/>
            </w:tcBorders>
            <w:noWrap/>
            <w:vAlign w:val="bottom"/>
          </w:tcPr>
          <w:p w14:paraId="40FC55C3"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Dabigatranetexilát p.o. 110 mg</w:t>
            </w:r>
          </w:p>
        </w:tc>
      </w:tr>
      <w:tr w:rsidR="008645BA" w:rsidRPr="0000591E" w14:paraId="18AB08A4" w14:textId="77777777" w:rsidTr="003F7925">
        <w:trPr>
          <w:gridAfter w:val="2"/>
          <w:wAfter w:w="154" w:type="dxa"/>
          <w:trHeight w:val="20"/>
        </w:trPr>
        <w:tc>
          <w:tcPr>
            <w:tcW w:w="1256" w:type="dxa"/>
            <w:tcBorders>
              <w:top w:val="single" w:sz="4" w:space="0" w:color="auto"/>
            </w:tcBorders>
            <w:noWrap/>
            <w:vAlign w:val="bottom"/>
          </w:tcPr>
          <w:p w14:paraId="75E0F606" w14:textId="77777777" w:rsidR="008645BA" w:rsidRPr="0060328F" w:rsidRDefault="008645BA" w:rsidP="008645BA">
            <w:pPr>
              <w:jc w:val="both"/>
              <w:rPr>
                <w:rFonts w:ascii="Arial" w:hAnsi="Arial" w:cs="Arial"/>
                <w:bCs/>
                <w:sz w:val="20"/>
                <w:szCs w:val="20"/>
              </w:rPr>
            </w:pPr>
          </w:p>
        </w:tc>
        <w:tc>
          <w:tcPr>
            <w:tcW w:w="9452" w:type="dxa"/>
            <w:tcBorders>
              <w:top w:val="single" w:sz="4" w:space="0" w:color="auto"/>
            </w:tcBorders>
            <w:noWrap/>
            <w:vAlign w:val="bottom"/>
          </w:tcPr>
          <w:p w14:paraId="524B3E03" w14:textId="77777777" w:rsidR="008645BA" w:rsidRDefault="008645BA" w:rsidP="008645BA">
            <w:pPr>
              <w:jc w:val="both"/>
              <w:rPr>
                <w:rFonts w:ascii="Arial" w:hAnsi="Arial" w:cs="Arial"/>
                <w:sz w:val="20"/>
                <w:szCs w:val="20"/>
              </w:rPr>
            </w:pPr>
            <w:r w:rsidRPr="00EF6793">
              <w:rPr>
                <w:rFonts w:ascii="Arial" w:hAnsi="Arial" w:cs="Arial"/>
                <w:sz w:val="20"/>
                <w:szCs w:val="20"/>
              </w:rPr>
              <w:t>Hradená liečba sa môže indikovať:</w:t>
            </w:r>
          </w:p>
          <w:p w14:paraId="562C2EDA" w14:textId="77777777" w:rsidR="008645BA" w:rsidRDefault="008645BA" w:rsidP="008645BA">
            <w:pPr>
              <w:jc w:val="both"/>
              <w:rPr>
                <w:rFonts w:ascii="Arial" w:hAnsi="Arial" w:cs="Arial"/>
                <w:sz w:val="20"/>
                <w:szCs w:val="20"/>
              </w:rPr>
            </w:pPr>
            <w:r w:rsidRPr="00EF6793">
              <w:rPr>
                <w:rFonts w:ascii="Arial" w:hAnsi="Arial" w:cs="Arial"/>
                <w:sz w:val="20"/>
                <w:szCs w:val="20"/>
              </w:rPr>
              <w:t>1. Na prevenciu žilových tromboembolických príhod u pacientov po elektívnej aloplastike bedrového alebo</w:t>
            </w:r>
            <w:r>
              <w:rPr>
                <w:rFonts w:ascii="Arial" w:hAnsi="Arial" w:cs="Arial"/>
                <w:sz w:val="20"/>
                <w:szCs w:val="20"/>
              </w:rPr>
              <w:t xml:space="preserve"> </w:t>
            </w:r>
            <w:r w:rsidRPr="00EF6793">
              <w:rPr>
                <w:rFonts w:ascii="Arial" w:hAnsi="Arial" w:cs="Arial"/>
                <w:sz w:val="20"/>
                <w:szCs w:val="20"/>
              </w:rPr>
              <w:t>kolenného kĺbu;</w:t>
            </w:r>
          </w:p>
          <w:p w14:paraId="780E540F" w14:textId="77777777" w:rsidR="008645BA" w:rsidRPr="00EF6793" w:rsidRDefault="008645BA" w:rsidP="008645BA">
            <w:pPr>
              <w:jc w:val="both"/>
              <w:rPr>
                <w:rFonts w:ascii="Arial" w:hAnsi="Arial" w:cs="Arial"/>
                <w:sz w:val="20"/>
                <w:szCs w:val="20"/>
              </w:rPr>
            </w:pPr>
          </w:p>
          <w:p w14:paraId="58BBAEBF"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2. Na prevenciu cievnej mozgovej príhody a systémovej embolizácie u dospelých pacientov s</w:t>
            </w:r>
          </w:p>
          <w:p w14:paraId="332BB36C"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nevalvulárnou fibriláciou predsiení (NVAF) podľa znenia terapeutickej indikácie uvedenej v platnom</w:t>
            </w:r>
          </w:p>
          <w:p w14:paraId="2E8F0E80" w14:textId="77777777" w:rsidR="008645BA" w:rsidRDefault="008645BA" w:rsidP="008645BA">
            <w:pPr>
              <w:jc w:val="both"/>
              <w:rPr>
                <w:rFonts w:ascii="Arial" w:hAnsi="Arial" w:cs="Arial"/>
                <w:sz w:val="20"/>
                <w:szCs w:val="20"/>
              </w:rPr>
            </w:pPr>
            <w:r w:rsidRPr="00EF6793">
              <w:rPr>
                <w:rFonts w:ascii="Arial" w:hAnsi="Arial" w:cs="Arial"/>
                <w:sz w:val="20"/>
                <w:szCs w:val="20"/>
              </w:rPr>
              <w:t>súhrne charakteristických vlastností lieku.</w:t>
            </w:r>
          </w:p>
          <w:p w14:paraId="412C1D4A" w14:textId="77777777" w:rsidR="008645BA" w:rsidRPr="00EF6793" w:rsidRDefault="008645BA" w:rsidP="008645BA">
            <w:pPr>
              <w:jc w:val="both"/>
              <w:rPr>
                <w:rFonts w:ascii="Arial" w:hAnsi="Arial" w:cs="Arial"/>
                <w:sz w:val="20"/>
                <w:szCs w:val="20"/>
              </w:rPr>
            </w:pPr>
          </w:p>
          <w:p w14:paraId="546C8316"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3. Na liečbu a sekundárnu prevenciu proximálnej hlbokej žilovej trombózy a/alebo pľúcnej embólie.</w:t>
            </w:r>
          </w:p>
          <w:p w14:paraId="61EDCFB6"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Indikácia časovo obmedzenej liečby v dĺžke 3 mesiacov sa odporúča a je hradená pri vyprovokovanej</w:t>
            </w:r>
          </w:p>
          <w:p w14:paraId="7B466875"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proximálnej hlbokej žilovej trombóze a/alebo pľúcnej embóliia. Indikácia predĺženej (6-12 mesiacov) a</w:t>
            </w:r>
          </w:p>
          <w:p w14:paraId="57224D8F"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dlhodobej (časovo neobmedzenej) antikoagulačnej liečby sa odporúča a je hradená po 1. epizóde</w:t>
            </w:r>
          </w:p>
          <w:p w14:paraId="5A0646EE"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idiopatickej proximálnej hlbokej žilovej trombózy a/alebo pľúcnej embólie, alebo po recidivujúcej</w:t>
            </w:r>
          </w:p>
          <w:p w14:paraId="3DDC0C73"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proximálnej hlbokej žilovej trombóze a/alebo pľúcnej embólii, resp. po dobu pretrvávania</w:t>
            </w:r>
          </w:p>
          <w:p w14:paraId="3DD67883"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provokujúceho faktora pri súčasnom pravidelnom prehodnocovaní rizika krvácania. Proximálna</w:t>
            </w:r>
          </w:p>
          <w:p w14:paraId="67DA002C"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hlboká žilová trombóza sa potvrdzuje kompresívnym ultrasonografickým vyšetrením alebo</w:t>
            </w:r>
          </w:p>
          <w:p w14:paraId="314575DF"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venografiou. Pľúcna embólia sa potvrdzuje kontrastným vyšetrením – CT pulmoangiografiou, alebo v</w:t>
            </w:r>
          </w:p>
          <w:p w14:paraId="5EFB70A6" w14:textId="77777777" w:rsidR="008645BA" w:rsidRDefault="008645BA" w:rsidP="008645BA">
            <w:pPr>
              <w:jc w:val="both"/>
              <w:rPr>
                <w:rFonts w:ascii="Arial" w:hAnsi="Arial" w:cs="Arial"/>
                <w:sz w:val="20"/>
                <w:szCs w:val="20"/>
              </w:rPr>
            </w:pPr>
            <w:r w:rsidRPr="00EF6793">
              <w:rPr>
                <w:rFonts w:ascii="Arial" w:hAnsi="Arial" w:cs="Arial"/>
                <w:sz w:val="20"/>
                <w:szCs w:val="20"/>
              </w:rPr>
              <w:t>prípade jej kontraindikácie - ventilačno – perfúznym scintigrafickým vyšetrením.</w:t>
            </w:r>
          </w:p>
          <w:p w14:paraId="50C7B657" w14:textId="1063C7FA" w:rsidR="008645BA" w:rsidRPr="0060328F" w:rsidRDefault="008645BA" w:rsidP="008645BA">
            <w:pPr>
              <w:jc w:val="both"/>
              <w:rPr>
                <w:rFonts w:ascii="Arial" w:hAnsi="Arial" w:cs="Arial"/>
                <w:sz w:val="20"/>
                <w:szCs w:val="20"/>
              </w:rPr>
            </w:pPr>
          </w:p>
        </w:tc>
      </w:tr>
      <w:tr w:rsidR="008645BA" w:rsidRPr="0000591E" w14:paraId="49012B69" w14:textId="77777777" w:rsidTr="003F7925">
        <w:trPr>
          <w:gridAfter w:val="2"/>
          <w:wAfter w:w="154" w:type="dxa"/>
          <w:trHeight w:val="20"/>
        </w:trPr>
        <w:tc>
          <w:tcPr>
            <w:tcW w:w="1256" w:type="dxa"/>
            <w:tcBorders>
              <w:bottom w:val="single" w:sz="4" w:space="0" w:color="auto"/>
            </w:tcBorders>
            <w:noWrap/>
            <w:vAlign w:val="bottom"/>
          </w:tcPr>
          <w:p w14:paraId="2518FE10"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B01AE07</w:t>
            </w:r>
          </w:p>
        </w:tc>
        <w:tc>
          <w:tcPr>
            <w:tcW w:w="9452" w:type="dxa"/>
            <w:tcBorders>
              <w:bottom w:val="single" w:sz="4" w:space="0" w:color="auto"/>
            </w:tcBorders>
            <w:noWrap/>
            <w:vAlign w:val="bottom"/>
          </w:tcPr>
          <w:p w14:paraId="4AD78474"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Dabigatranetexilát p.o. 150 mg</w:t>
            </w:r>
          </w:p>
        </w:tc>
      </w:tr>
      <w:tr w:rsidR="008645BA" w:rsidRPr="0000591E" w14:paraId="2406CEFC" w14:textId="77777777" w:rsidTr="003F7925">
        <w:trPr>
          <w:gridAfter w:val="2"/>
          <w:wAfter w:w="154" w:type="dxa"/>
          <w:trHeight w:val="20"/>
        </w:trPr>
        <w:tc>
          <w:tcPr>
            <w:tcW w:w="1256" w:type="dxa"/>
            <w:tcBorders>
              <w:top w:val="single" w:sz="4" w:space="0" w:color="auto"/>
            </w:tcBorders>
            <w:noWrap/>
            <w:vAlign w:val="bottom"/>
          </w:tcPr>
          <w:p w14:paraId="4CEB29BE"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74AD4C9D" w14:textId="77777777" w:rsidR="008645BA" w:rsidRDefault="008645BA" w:rsidP="008645BA">
            <w:pPr>
              <w:jc w:val="both"/>
              <w:rPr>
                <w:rFonts w:ascii="Arial" w:hAnsi="Arial" w:cs="Arial"/>
                <w:sz w:val="20"/>
                <w:szCs w:val="20"/>
              </w:rPr>
            </w:pPr>
            <w:r w:rsidRPr="00EF6793">
              <w:rPr>
                <w:rFonts w:ascii="Arial" w:hAnsi="Arial" w:cs="Arial"/>
                <w:sz w:val="20"/>
                <w:szCs w:val="20"/>
              </w:rPr>
              <w:t>Hradená liečba sa môže indikovať:</w:t>
            </w:r>
          </w:p>
          <w:p w14:paraId="2527262F" w14:textId="77777777" w:rsidR="008645BA" w:rsidRDefault="008645BA" w:rsidP="008645BA">
            <w:pPr>
              <w:jc w:val="both"/>
              <w:rPr>
                <w:rFonts w:ascii="Arial" w:hAnsi="Arial" w:cs="Arial"/>
                <w:sz w:val="20"/>
                <w:szCs w:val="20"/>
              </w:rPr>
            </w:pPr>
            <w:r w:rsidRPr="00EF6793">
              <w:rPr>
                <w:rFonts w:ascii="Arial" w:hAnsi="Arial" w:cs="Arial"/>
                <w:sz w:val="20"/>
                <w:szCs w:val="20"/>
              </w:rPr>
              <w:t>1. Na prevenciu cievnej mozgovej príhody a systémovej embolizácie u dospelých pacientov s</w:t>
            </w:r>
            <w:r>
              <w:rPr>
                <w:rFonts w:ascii="Arial" w:hAnsi="Arial" w:cs="Arial"/>
                <w:sz w:val="20"/>
                <w:szCs w:val="20"/>
              </w:rPr>
              <w:t> </w:t>
            </w:r>
            <w:r w:rsidRPr="00EF6793">
              <w:rPr>
                <w:rFonts w:ascii="Arial" w:hAnsi="Arial" w:cs="Arial"/>
                <w:sz w:val="20"/>
                <w:szCs w:val="20"/>
              </w:rPr>
              <w:t>nevalvulárnou</w:t>
            </w:r>
            <w:r>
              <w:rPr>
                <w:rFonts w:ascii="Arial" w:hAnsi="Arial" w:cs="Arial"/>
                <w:sz w:val="20"/>
                <w:szCs w:val="20"/>
              </w:rPr>
              <w:t xml:space="preserve"> f</w:t>
            </w:r>
            <w:r w:rsidRPr="00EF6793">
              <w:rPr>
                <w:rFonts w:ascii="Arial" w:hAnsi="Arial" w:cs="Arial"/>
                <w:sz w:val="20"/>
                <w:szCs w:val="20"/>
              </w:rPr>
              <w:t>ibriláciou predsiení (NVAF) podľa znenia terapeutickej indikácie uvedenej v platnom súhrne</w:t>
            </w:r>
            <w:r>
              <w:rPr>
                <w:rFonts w:ascii="Arial" w:hAnsi="Arial" w:cs="Arial"/>
                <w:sz w:val="20"/>
                <w:szCs w:val="20"/>
              </w:rPr>
              <w:t xml:space="preserve"> </w:t>
            </w:r>
            <w:r w:rsidRPr="00EF6793">
              <w:rPr>
                <w:rFonts w:ascii="Arial" w:hAnsi="Arial" w:cs="Arial"/>
                <w:sz w:val="20"/>
                <w:szCs w:val="20"/>
              </w:rPr>
              <w:t>charakteristických vlastností lieku.</w:t>
            </w:r>
          </w:p>
          <w:p w14:paraId="69F0A2F4" w14:textId="77777777" w:rsidR="008645BA" w:rsidRPr="00EF6793" w:rsidRDefault="008645BA" w:rsidP="008645BA">
            <w:pPr>
              <w:jc w:val="both"/>
              <w:rPr>
                <w:rFonts w:ascii="Arial" w:hAnsi="Arial" w:cs="Arial"/>
                <w:sz w:val="20"/>
                <w:szCs w:val="20"/>
              </w:rPr>
            </w:pPr>
          </w:p>
          <w:p w14:paraId="4FA8483A" w14:textId="77777777" w:rsidR="008645BA" w:rsidRDefault="008645BA" w:rsidP="008645BA">
            <w:pPr>
              <w:jc w:val="both"/>
              <w:rPr>
                <w:rFonts w:ascii="Arial" w:hAnsi="Arial" w:cs="Arial"/>
                <w:sz w:val="20"/>
                <w:szCs w:val="20"/>
              </w:rPr>
            </w:pPr>
            <w:r w:rsidRPr="00EF6793">
              <w:rPr>
                <w:rFonts w:ascii="Arial" w:hAnsi="Arial" w:cs="Arial"/>
                <w:sz w:val="20"/>
                <w:szCs w:val="20"/>
              </w:rPr>
              <w:t>2. Na liečbu a sekundárnu prevenciu proximálnej hlbokej žilovej trombózy a/alebo pľúcnej embólie. Indikácia</w:t>
            </w:r>
            <w:r>
              <w:rPr>
                <w:rFonts w:ascii="Arial" w:hAnsi="Arial" w:cs="Arial"/>
                <w:sz w:val="20"/>
                <w:szCs w:val="20"/>
              </w:rPr>
              <w:t xml:space="preserve"> </w:t>
            </w:r>
            <w:r w:rsidRPr="00EF6793">
              <w:rPr>
                <w:rFonts w:ascii="Arial" w:hAnsi="Arial" w:cs="Arial"/>
                <w:sz w:val="20"/>
                <w:szCs w:val="20"/>
              </w:rPr>
              <w:t>časovo obmedzenej liečby v dĺžke 3 mesiacov sa odporúča a je hradená pri vyprovokovanej proximálnej</w:t>
            </w:r>
            <w:r>
              <w:rPr>
                <w:rFonts w:ascii="Arial" w:hAnsi="Arial" w:cs="Arial"/>
                <w:sz w:val="20"/>
                <w:szCs w:val="20"/>
              </w:rPr>
              <w:t xml:space="preserve"> </w:t>
            </w:r>
            <w:r w:rsidRPr="00EF6793">
              <w:rPr>
                <w:rFonts w:ascii="Arial" w:hAnsi="Arial" w:cs="Arial"/>
                <w:sz w:val="20"/>
                <w:szCs w:val="20"/>
              </w:rPr>
              <w:t>hlbokej žilovej trombóze a/alebo pľúcnej embóliia. Indikácia predĺženej (6-12 mesiacov) a dlhodobej (časovo</w:t>
            </w:r>
            <w:r>
              <w:rPr>
                <w:rFonts w:ascii="Arial" w:hAnsi="Arial" w:cs="Arial"/>
                <w:sz w:val="20"/>
                <w:szCs w:val="20"/>
              </w:rPr>
              <w:t xml:space="preserve"> </w:t>
            </w:r>
            <w:r w:rsidRPr="00EF6793">
              <w:rPr>
                <w:rFonts w:ascii="Arial" w:hAnsi="Arial" w:cs="Arial"/>
                <w:sz w:val="20"/>
                <w:szCs w:val="20"/>
              </w:rPr>
              <w:t>neobmedzenej) antikoagulačnej liečby sa odporúča a je hradená po 1. epizóde idiopatickej proximálnej</w:t>
            </w:r>
            <w:r>
              <w:rPr>
                <w:rFonts w:ascii="Arial" w:hAnsi="Arial" w:cs="Arial"/>
                <w:sz w:val="20"/>
                <w:szCs w:val="20"/>
              </w:rPr>
              <w:t xml:space="preserve"> </w:t>
            </w:r>
            <w:r w:rsidRPr="00EF6793">
              <w:rPr>
                <w:rFonts w:ascii="Arial" w:hAnsi="Arial" w:cs="Arial"/>
                <w:sz w:val="20"/>
                <w:szCs w:val="20"/>
              </w:rPr>
              <w:t>hlbokej žilovej trombózy a/alebo pľúcnej embólie, alebo po recidivujúcej proximálnej hlbokej žilovej</w:t>
            </w:r>
            <w:r>
              <w:rPr>
                <w:rFonts w:ascii="Arial" w:hAnsi="Arial" w:cs="Arial"/>
                <w:sz w:val="20"/>
                <w:szCs w:val="20"/>
              </w:rPr>
              <w:t xml:space="preserve"> </w:t>
            </w:r>
            <w:r w:rsidRPr="00EF6793">
              <w:rPr>
                <w:rFonts w:ascii="Arial" w:hAnsi="Arial" w:cs="Arial"/>
                <w:sz w:val="20"/>
                <w:szCs w:val="20"/>
              </w:rPr>
              <w:t>trombóze a/alebo pľúcnej embólii, resp. po dobu pretrvávania provokujúceho faktora pri súčasnom</w:t>
            </w:r>
            <w:r>
              <w:rPr>
                <w:rFonts w:ascii="Arial" w:hAnsi="Arial" w:cs="Arial"/>
                <w:sz w:val="20"/>
                <w:szCs w:val="20"/>
              </w:rPr>
              <w:t xml:space="preserve"> </w:t>
            </w:r>
            <w:r w:rsidRPr="00EF6793">
              <w:rPr>
                <w:rFonts w:ascii="Arial" w:hAnsi="Arial" w:cs="Arial"/>
                <w:sz w:val="20"/>
                <w:szCs w:val="20"/>
              </w:rPr>
              <w:t>pravidelnom prehodnocovaní rizika krvácania. Proximálna hlboká žilová trombóza sa potvrdzuje</w:t>
            </w:r>
            <w:r>
              <w:rPr>
                <w:rFonts w:ascii="Arial" w:hAnsi="Arial" w:cs="Arial"/>
                <w:sz w:val="20"/>
                <w:szCs w:val="20"/>
              </w:rPr>
              <w:t xml:space="preserve"> </w:t>
            </w:r>
            <w:r w:rsidRPr="00EF6793">
              <w:rPr>
                <w:rFonts w:ascii="Arial" w:hAnsi="Arial" w:cs="Arial"/>
                <w:sz w:val="20"/>
                <w:szCs w:val="20"/>
              </w:rPr>
              <w:t>kompresívnym ultrasonografickým vyšetrením alebo venografiou. Pľúcna embólia sa potvrdzuje</w:t>
            </w:r>
            <w:r>
              <w:rPr>
                <w:rFonts w:ascii="Arial" w:hAnsi="Arial" w:cs="Arial"/>
                <w:sz w:val="20"/>
                <w:szCs w:val="20"/>
              </w:rPr>
              <w:t xml:space="preserve"> </w:t>
            </w:r>
            <w:r w:rsidRPr="00EF6793">
              <w:rPr>
                <w:rFonts w:ascii="Arial" w:hAnsi="Arial" w:cs="Arial"/>
                <w:sz w:val="20"/>
                <w:szCs w:val="20"/>
              </w:rPr>
              <w:t>kontrastným vyšetrením – CT pulmoangiografiou, alebo v prípade jej kontraindikácie - ventilačno –</w:t>
            </w:r>
            <w:r>
              <w:rPr>
                <w:rFonts w:ascii="Arial" w:hAnsi="Arial" w:cs="Arial"/>
                <w:sz w:val="20"/>
                <w:szCs w:val="20"/>
              </w:rPr>
              <w:t xml:space="preserve"> </w:t>
            </w:r>
            <w:r w:rsidRPr="00EF6793">
              <w:rPr>
                <w:rFonts w:ascii="Arial" w:hAnsi="Arial" w:cs="Arial"/>
                <w:sz w:val="20"/>
                <w:szCs w:val="20"/>
              </w:rPr>
              <w:t>perfúznym scintigrafickým vyšetrením.</w:t>
            </w:r>
          </w:p>
          <w:p w14:paraId="05E7ADE5" w14:textId="77777777" w:rsidR="008645BA" w:rsidRPr="00B81DC7" w:rsidRDefault="008645BA" w:rsidP="008645BA">
            <w:pPr>
              <w:jc w:val="both"/>
              <w:rPr>
                <w:rFonts w:ascii="Arial" w:hAnsi="Arial" w:cs="Arial"/>
                <w:sz w:val="20"/>
                <w:szCs w:val="20"/>
              </w:rPr>
            </w:pPr>
          </w:p>
        </w:tc>
      </w:tr>
      <w:tr w:rsidR="008645BA" w:rsidRPr="0000591E" w14:paraId="1900C033" w14:textId="77777777" w:rsidTr="003F7925">
        <w:trPr>
          <w:gridAfter w:val="2"/>
          <w:wAfter w:w="154" w:type="dxa"/>
          <w:trHeight w:val="20"/>
        </w:trPr>
        <w:tc>
          <w:tcPr>
            <w:tcW w:w="1256" w:type="dxa"/>
            <w:tcBorders>
              <w:bottom w:val="single" w:sz="4" w:space="0" w:color="auto"/>
            </w:tcBorders>
            <w:noWrap/>
            <w:vAlign w:val="bottom"/>
          </w:tcPr>
          <w:p w14:paraId="343F5424"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B01AF01</w:t>
            </w:r>
          </w:p>
        </w:tc>
        <w:tc>
          <w:tcPr>
            <w:tcW w:w="9452" w:type="dxa"/>
            <w:tcBorders>
              <w:bottom w:val="single" w:sz="4" w:space="0" w:color="auto"/>
            </w:tcBorders>
            <w:noWrap/>
            <w:vAlign w:val="bottom"/>
          </w:tcPr>
          <w:p w14:paraId="7C8BC490" w14:textId="77777777" w:rsidR="008645BA" w:rsidRPr="0000591E" w:rsidRDefault="008645BA" w:rsidP="008645BA">
            <w:pPr>
              <w:jc w:val="both"/>
              <w:rPr>
                <w:rFonts w:ascii="Arial" w:hAnsi="Arial" w:cs="Arial"/>
                <w:b/>
                <w:bCs/>
                <w:sz w:val="20"/>
                <w:szCs w:val="20"/>
              </w:rPr>
            </w:pPr>
            <w:r w:rsidRPr="00B81DC7">
              <w:rPr>
                <w:rFonts w:ascii="Arial" w:hAnsi="Arial" w:cs="Arial"/>
                <w:b/>
                <w:bCs/>
                <w:sz w:val="20"/>
                <w:szCs w:val="20"/>
              </w:rPr>
              <w:t xml:space="preserve">Rivaroxaban p.o. </w:t>
            </w:r>
            <w:r>
              <w:rPr>
                <w:rFonts w:ascii="Arial" w:hAnsi="Arial" w:cs="Arial"/>
                <w:b/>
                <w:bCs/>
                <w:sz w:val="20"/>
                <w:szCs w:val="20"/>
              </w:rPr>
              <w:t>2,5</w:t>
            </w:r>
            <w:r w:rsidRPr="00B81DC7">
              <w:rPr>
                <w:rFonts w:ascii="Arial" w:hAnsi="Arial" w:cs="Arial"/>
                <w:b/>
                <w:bCs/>
                <w:sz w:val="20"/>
                <w:szCs w:val="20"/>
              </w:rPr>
              <w:t xml:space="preserve"> mg</w:t>
            </w:r>
          </w:p>
        </w:tc>
      </w:tr>
      <w:tr w:rsidR="008645BA" w:rsidRPr="0000591E" w14:paraId="7FB78497" w14:textId="77777777" w:rsidTr="003F7925">
        <w:trPr>
          <w:gridAfter w:val="2"/>
          <w:wAfter w:w="154" w:type="dxa"/>
          <w:trHeight w:val="20"/>
        </w:trPr>
        <w:tc>
          <w:tcPr>
            <w:tcW w:w="1256" w:type="dxa"/>
            <w:tcBorders>
              <w:top w:val="single" w:sz="4" w:space="0" w:color="auto"/>
            </w:tcBorders>
            <w:noWrap/>
            <w:vAlign w:val="bottom"/>
          </w:tcPr>
          <w:p w14:paraId="4CDA2FFB" w14:textId="77777777" w:rsidR="008645BA"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696F86A6" w14:textId="77777777" w:rsidR="008645BA" w:rsidRPr="007F1DA3" w:rsidRDefault="008645BA" w:rsidP="008645BA">
            <w:pPr>
              <w:jc w:val="both"/>
              <w:rPr>
                <w:rFonts w:ascii="Arial" w:hAnsi="Arial" w:cs="Arial"/>
                <w:bCs/>
                <w:sz w:val="20"/>
                <w:szCs w:val="20"/>
              </w:rPr>
            </w:pPr>
            <w:r w:rsidRPr="007F1DA3">
              <w:rPr>
                <w:rFonts w:ascii="Arial" w:hAnsi="Arial" w:cs="Arial"/>
                <w:bCs/>
                <w:sz w:val="20"/>
                <w:szCs w:val="20"/>
              </w:rPr>
              <w:t>Hradená liečba rivaroxabanom 2,5 mg pridaná ku kyseline acetylsalicylovej sa môže indikovať na prevenciu aterotrombotických príhod u dospelých pacientov</w:t>
            </w:r>
          </w:p>
          <w:p w14:paraId="768D7FAB" w14:textId="77777777" w:rsidR="008645BA" w:rsidRPr="007F1DA3" w:rsidRDefault="008645BA" w:rsidP="008645BA">
            <w:pPr>
              <w:jc w:val="both"/>
              <w:rPr>
                <w:rFonts w:ascii="Arial" w:hAnsi="Arial" w:cs="Arial"/>
                <w:bCs/>
                <w:sz w:val="20"/>
                <w:szCs w:val="20"/>
              </w:rPr>
            </w:pPr>
            <w:r w:rsidRPr="007F1DA3">
              <w:rPr>
                <w:rFonts w:ascii="Arial" w:hAnsi="Arial" w:cs="Arial"/>
                <w:bCs/>
                <w:sz w:val="20"/>
                <w:szCs w:val="20"/>
              </w:rPr>
              <w:t xml:space="preserve">a) s ochorením koronárnych tepien (s anamnézou infarktu myokardu alebo viaccievnym postihnutím koronárnych tepien) a zároveň s ochorením periférnych tepien (vrátane karotických tepien). Ochorenie periférnych tepien je definované ako intervenčný výkon v periférnom cievnom riečisku v minulosti, alebo uskutočnená končatinová amputácia (nie z dôvodu traumy), alebo výskyt intermitentných klaudikácií a </w:t>
            </w:r>
            <w:r w:rsidRPr="007F1DA3">
              <w:rPr>
                <w:rFonts w:ascii="Arial" w:hAnsi="Arial" w:cs="Arial"/>
                <w:bCs/>
                <w:sz w:val="20"/>
                <w:szCs w:val="20"/>
              </w:rPr>
              <w:lastRenderedPageBreak/>
              <w:t>významná periférna arteriálna stenóza (≥50%), alebo predchádzajúca karotická revaskularizácia alebo asymptomatická stenóza (≥50%) karotickej tepny</w:t>
            </w:r>
            <w:r>
              <w:rPr>
                <w:rFonts w:ascii="Arial" w:hAnsi="Arial" w:cs="Arial"/>
                <w:bCs/>
                <w:sz w:val="20"/>
                <w:szCs w:val="20"/>
              </w:rPr>
              <w:t>,</w:t>
            </w:r>
          </w:p>
          <w:p w14:paraId="189B2CDC" w14:textId="03B1DC18" w:rsidR="008645BA" w:rsidRDefault="008645BA" w:rsidP="008645BA">
            <w:pPr>
              <w:jc w:val="both"/>
              <w:rPr>
                <w:rFonts w:ascii="Arial" w:hAnsi="Arial" w:cs="Arial"/>
                <w:bCs/>
                <w:sz w:val="20"/>
                <w:szCs w:val="20"/>
              </w:rPr>
            </w:pPr>
            <w:r w:rsidRPr="007F1DA3">
              <w:rPr>
                <w:rFonts w:ascii="Arial" w:hAnsi="Arial" w:cs="Arial"/>
                <w:bCs/>
                <w:sz w:val="20"/>
                <w:szCs w:val="20"/>
              </w:rPr>
              <w:t>b) s anamnézou infarktu myokardu alebo viaccievnym postihnutím koronárnych tepien a zároveň s chronickým poškodením funkcie obličiek (ClCr 15-59 ml/min) alebo s prítomnosťou diabetes mellitus.</w:t>
            </w:r>
          </w:p>
          <w:p w14:paraId="2D67BC82" w14:textId="2B5FE32E" w:rsidR="008645BA" w:rsidRPr="00B81DC7" w:rsidRDefault="008645BA" w:rsidP="008645BA">
            <w:pPr>
              <w:jc w:val="both"/>
              <w:rPr>
                <w:rFonts w:ascii="Arial" w:hAnsi="Arial" w:cs="Arial"/>
                <w:b/>
                <w:bCs/>
                <w:sz w:val="20"/>
                <w:szCs w:val="20"/>
              </w:rPr>
            </w:pPr>
          </w:p>
        </w:tc>
      </w:tr>
      <w:tr w:rsidR="008645BA" w:rsidRPr="0000591E" w14:paraId="5A9B8421" w14:textId="77777777" w:rsidTr="003F7925">
        <w:trPr>
          <w:gridAfter w:val="2"/>
          <w:wAfter w:w="154" w:type="dxa"/>
          <w:trHeight w:val="20"/>
        </w:trPr>
        <w:tc>
          <w:tcPr>
            <w:tcW w:w="1256" w:type="dxa"/>
            <w:tcBorders>
              <w:bottom w:val="single" w:sz="4" w:space="0" w:color="auto"/>
            </w:tcBorders>
            <w:noWrap/>
            <w:vAlign w:val="bottom"/>
          </w:tcPr>
          <w:p w14:paraId="4E059D84"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lastRenderedPageBreak/>
              <w:t>B01AF01</w:t>
            </w:r>
          </w:p>
        </w:tc>
        <w:tc>
          <w:tcPr>
            <w:tcW w:w="9452" w:type="dxa"/>
            <w:tcBorders>
              <w:bottom w:val="single" w:sz="4" w:space="0" w:color="auto"/>
            </w:tcBorders>
            <w:noWrap/>
            <w:vAlign w:val="bottom"/>
          </w:tcPr>
          <w:p w14:paraId="4878BA9A" w14:textId="77777777" w:rsidR="008645BA" w:rsidRPr="0000591E" w:rsidRDefault="008645BA" w:rsidP="008645BA">
            <w:pPr>
              <w:jc w:val="both"/>
              <w:rPr>
                <w:rFonts w:ascii="Arial" w:hAnsi="Arial" w:cs="Arial"/>
                <w:b/>
                <w:bCs/>
                <w:sz w:val="20"/>
                <w:szCs w:val="20"/>
              </w:rPr>
            </w:pPr>
            <w:r w:rsidRPr="00B81DC7">
              <w:rPr>
                <w:rFonts w:ascii="Arial" w:hAnsi="Arial" w:cs="Arial"/>
                <w:b/>
                <w:bCs/>
                <w:sz w:val="20"/>
                <w:szCs w:val="20"/>
              </w:rPr>
              <w:t>Rivaroxaban p.o. 10 mg</w:t>
            </w:r>
          </w:p>
        </w:tc>
      </w:tr>
      <w:tr w:rsidR="008645BA" w:rsidRPr="00F01F52" w14:paraId="3BF206A9" w14:textId="77777777" w:rsidTr="003F7925">
        <w:trPr>
          <w:gridAfter w:val="2"/>
          <w:wAfter w:w="154" w:type="dxa"/>
          <w:trHeight w:val="20"/>
        </w:trPr>
        <w:tc>
          <w:tcPr>
            <w:tcW w:w="1256" w:type="dxa"/>
            <w:tcBorders>
              <w:top w:val="single" w:sz="4" w:space="0" w:color="auto"/>
            </w:tcBorders>
            <w:noWrap/>
            <w:vAlign w:val="bottom"/>
          </w:tcPr>
          <w:p w14:paraId="1B28CC31"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072E445A" w14:textId="77777777" w:rsidR="008645BA" w:rsidRPr="00350451" w:rsidRDefault="008645BA" w:rsidP="008645BA">
            <w:pPr>
              <w:jc w:val="both"/>
              <w:rPr>
                <w:rFonts w:ascii="Arial" w:hAnsi="Arial" w:cs="Arial"/>
                <w:color w:val="000000"/>
                <w:sz w:val="22"/>
                <w:szCs w:val="18"/>
              </w:rPr>
            </w:pPr>
            <w:r w:rsidRPr="00350451">
              <w:rPr>
                <w:rFonts w:ascii="Arial" w:hAnsi="Arial" w:cs="Arial"/>
                <w:color w:val="000000"/>
                <w:sz w:val="20"/>
                <w:szCs w:val="18"/>
              </w:rPr>
              <w:t>Hradená liečba sa môže indikovať na prevenciu žilových tromboembolických príhod u pacientov po elektívnej aloplastike bedrového alebo kolenného kĺbu.</w:t>
            </w:r>
            <w:r w:rsidRPr="00350451">
              <w:rPr>
                <w:rFonts w:ascii="Arial" w:hAnsi="Arial" w:cs="Arial"/>
                <w:color w:val="000000"/>
                <w:sz w:val="22"/>
                <w:szCs w:val="18"/>
              </w:rPr>
              <w:t xml:space="preserve"> </w:t>
            </w:r>
          </w:p>
          <w:p w14:paraId="5FC24C32" w14:textId="4CEC54AB" w:rsidR="008645BA" w:rsidRPr="00350451" w:rsidRDefault="008645BA" w:rsidP="008645BA">
            <w:pPr>
              <w:jc w:val="both"/>
              <w:rPr>
                <w:rFonts w:ascii="Arial" w:hAnsi="Arial" w:cs="Arial"/>
                <w:sz w:val="20"/>
                <w:szCs w:val="20"/>
              </w:rPr>
            </w:pPr>
          </w:p>
        </w:tc>
      </w:tr>
      <w:tr w:rsidR="008645BA" w:rsidRPr="0000591E" w14:paraId="751A6564" w14:textId="77777777" w:rsidTr="003F7925">
        <w:trPr>
          <w:gridAfter w:val="2"/>
          <w:wAfter w:w="154" w:type="dxa"/>
          <w:trHeight w:val="20"/>
        </w:trPr>
        <w:tc>
          <w:tcPr>
            <w:tcW w:w="1256" w:type="dxa"/>
            <w:tcBorders>
              <w:bottom w:val="single" w:sz="4" w:space="0" w:color="auto"/>
            </w:tcBorders>
            <w:noWrap/>
            <w:vAlign w:val="bottom"/>
          </w:tcPr>
          <w:p w14:paraId="4EF65BD5"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B01AF01</w:t>
            </w:r>
          </w:p>
        </w:tc>
        <w:tc>
          <w:tcPr>
            <w:tcW w:w="9452" w:type="dxa"/>
            <w:tcBorders>
              <w:bottom w:val="single" w:sz="4" w:space="0" w:color="auto"/>
            </w:tcBorders>
            <w:noWrap/>
            <w:vAlign w:val="bottom"/>
          </w:tcPr>
          <w:p w14:paraId="5C2DDD6F" w14:textId="77777777" w:rsidR="008645BA" w:rsidRPr="00A62DBE" w:rsidRDefault="008645BA" w:rsidP="008645BA">
            <w:pPr>
              <w:jc w:val="both"/>
              <w:rPr>
                <w:rFonts w:ascii="Arial" w:hAnsi="Arial" w:cs="Arial"/>
                <w:b/>
                <w:bCs/>
                <w:sz w:val="20"/>
                <w:szCs w:val="20"/>
              </w:rPr>
            </w:pPr>
            <w:r w:rsidRPr="00A62DBE">
              <w:rPr>
                <w:rFonts w:ascii="Arial" w:hAnsi="Arial" w:cs="Arial"/>
                <w:b/>
                <w:bCs/>
                <w:sz w:val="20"/>
                <w:szCs w:val="20"/>
              </w:rPr>
              <w:t>Rivaroxaban p.o. 15 mg</w:t>
            </w:r>
            <w:r>
              <w:rPr>
                <w:rFonts w:ascii="Arial" w:hAnsi="Arial" w:cs="Arial"/>
                <w:b/>
                <w:bCs/>
                <w:sz w:val="20"/>
                <w:szCs w:val="20"/>
              </w:rPr>
              <w:t>,</w:t>
            </w:r>
          </w:p>
          <w:p w14:paraId="79E0B3D1" w14:textId="77777777" w:rsidR="008645BA" w:rsidRDefault="008645BA" w:rsidP="008645BA">
            <w:pPr>
              <w:jc w:val="both"/>
              <w:rPr>
                <w:rFonts w:ascii="Arial" w:hAnsi="Arial" w:cs="Arial"/>
                <w:b/>
                <w:bCs/>
                <w:sz w:val="20"/>
                <w:szCs w:val="20"/>
              </w:rPr>
            </w:pPr>
            <w:r w:rsidRPr="00A62DBE">
              <w:rPr>
                <w:rFonts w:ascii="Arial" w:hAnsi="Arial" w:cs="Arial"/>
                <w:b/>
                <w:bCs/>
                <w:sz w:val="20"/>
                <w:szCs w:val="20"/>
              </w:rPr>
              <w:t>Rivaroxaban p.o. 20 mg</w:t>
            </w:r>
            <w:r>
              <w:rPr>
                <w:rFonts w:ascii="Arial" w:hAnsi="Arial" w:cs="Arial"/>
                <w:b/>
                <w:bCs/>
                <w:sz w:val="20"/>
                <w:szCs w:val="20"/>
              </w:rPr>
              <w:t>,</w:t>
            </w:r>
          </w:p>
          <w:p w14:paraId="6694CA1B" w14:textId="77FF0708" w:rsidR="008645BA" w:rsidRPr="0000591E" w:rsidRDefault="008645BA" w:rsidP="008645BA">
            <w:pPr>
              <w:jc w:val="both"/>
              <w:rPr>
                <w:rFonts w:ascii="Arial" w:hAnsi="Arial" w:cs="Arial"/>
                <w:b/>
                <w:bCs/>
                <w:sz w:val="20"/>
                <w:szCs w:val="20"/>
              </w:rPr>
            </w:pPr>
            <w:r w:rsidRPr="00A62DBE">
              <w:rPr>
                <w:rFonts w:ascii="Arial" w:hAnsi="Arial" w:cs="Arial"/>
                <w:b/>
                <w:bCs/>
                <w:sz w:val="20"/>
                <w:szCs w:val="20"/>
              </w:rPr>
              <w:t>Rivaroxaban</w:t>
            </w:r>
            <w:r w:rsidRPr="00E22DC9">
              <w:rPr>
                <w:rFonts w:ascii="Arial" w:hAnsi="Arial" w:cs="Arial"/>
                <w:b/>
                <w:bCs/>
                <w:sz w:val="20"/>
                <w:szCs w:val="20"/>
              </w:rPr>
              <w:t xml:space="preserve"> </w:t>
            </w:r>
            <w:r>
              <w:rPr>
                <w:rFonts w:ascii="Arial" w:hAnsi="Arial" w:cs="Arial"/>
                <w:b/>
                <w:bCs/>
                <w:sz w:val="20"/>
                <w:szCs w:val="20"/>
              </w:rPr>
              <w:t>p.o. 15 mg + 20 mg</w:t>
            </w:r>
          </w:p>
        </w:tc>
      </w:tr>
      <w:tr w:rsidR="008645BA" w:rsidRPr="00F01F52" w14:paraId="29E9B567" w14:textId="77777777" w:rsidTr="003F7925">
        <w:trPr>
          <w:gridAfter w:val="2"/>
          <w:wAfter w:w="154" w:type="dxa"/>
          <w:trHeight w:val="20"/>
        </w:trPr>
        <w:tc>
          <w:tcPr>
            <w:tcW w:w="1256" w:type="dxa"/>
            <w:tcBorders>
              <w:top w:val="single" w:sz="4" w:space="0" w:color="auto"/>
            </w:tcBorders>
            <w:noWrap/>
            <w:vAlign w:val="bottom"/>
          </w:tcPr>
          <w:p w14:paraId="10B0A9A3"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646892E0" w14:textId="77777777" w:rsidR="008645BA" w:rsidRPr="00666184" w:rsidRDefault="008645BA" w:rsidP="008645BA">
            <w:pPr>
              <w:spacing w:line="276" w:lineRule="auto"/>
              <w:jc w:val="both"/>
              <w:rPr>
                <w:rFonts w:ascii="Arial" w:hAnsi="Arial" w:cs="Arial"/>
                <w:sz w:val="20"/>
                <w:szCs w:val="20"/>
              </w:rPr>
            </w:pPr>
            <w:r w:rsidRPr="00666184">
              <w:rPr>
                <w:rFonts w:ascii="Arial" w:hAnsi="Arial" w:cs="Arial"/>
                <w:sz w:val="20"/>
                <w:szCs w:val="20"/>
              </w:rPr>
              <w:t>Hradená liečba sa môže indikovať:</w:t>
            </w:r>
          </w:p>
          <w:p w14:paraId="1AD79237" w14:textId="77777777" w:rsidR="008645BA" w:rsidRDefault="008645BA" w:rsidP="008645BA">
            <w:pPr>
              <w:spacing w:line="276" w:lineRule="auto"/>
              <w:jc w:val="both"/>
              <w:rPr>
                <w:rFonts w:ascii="Arial" w:hAnsi="Arial" w:cs="Arial"/>
                <w:sz w:val="20"/>
                <w:szCs w:val="20"/>
              </w:rPr>
            </w:pPr>
            <w:r w:rsidRPr="00666184">
              <w:rPr>
                <w:rFonts w:ascii="Arial" w:hAnsi="Arial" w:cs="Arial"/>
                <w:sz w:val="20"/>
                <w:szCs w:val="20"/>
              </w:rPr>
              <w:t>1. na liečbu a sekundárnu prevenciu proximálnej hlbokej žilovej trombózy a/alebo pľúcnej embólie. Indikácia</w:t>
            </w:r>
            <w:r>
              <w:rPr>
                <w:rFonts w:ascii="Arial" w:hAnsi="Arial" w:cs="Arial"/>
                <w:sz w:val="20"/>
                <w:szCs w:val="20"/>
              </w:rPr>
              <w:t xml:space="preserve"> </w:t>
            </w:r>
            <w:r w:rsidRPr="00666184">
              <w:rPr>
                <w:rFonts w:ascii="Arial" w:hAnsi="Arial" w:cs="Arial"/>
                <w:sz w:val="20"/>
                <w:szCs w:val="20"/>
              </w:rPr>
              <w:t>časovo obmedzenej liečby v dĺžke 3 mesiacov sa odporúča a je hradená pri vyprovokovanej proximálnej</w:t>
            </w:r>
            <w:r>
              <w:rPr>
                <w:rFonts w:ascii="Arial" w:hAnsi="Arial" w:cs="Arial"/>
                <w:sz w:val="20"/>
                <w:szCs w:val="20"/>
              </w:rPr>
              <w:t xml:space="preserve"> </w:t>
            </w:r>
            <w:r w:rsidRPr="00666184">
              <w:rPr>
                <w:rFonts w:ascii="Arial" w:hAnsi="Arial" w:cs="Arial"/>
                <w:sz w:val="20"/>
                <w:szCs w:val="20"/>
              </w:rPr>
              <w:t>hlbokej žilovej trombóze a/alebo pľúcnej embóliia. Indikácia predĺženej (6-12 mesiacov) a dlhodobej (časovo</w:t>
            </w:r>
            <w:r>
              <w:rPr>
                <w:rFonts w:ascii="Arial" w:hAnsi="Arial" w:cs="Arial"/>
                <w:sz w:val="20"/>
                <w:szCs w:val="20"/>
              </w:rPr>
              <w:t xml:space="preserve"> </w:t>
            </w:r>
            <w:r w:rsidRPr="00666184">
              <w:rPr>
                <w:rFonts w:ascii="Arial" w:hAnsi="Arial" w:cs="Arial"/>
                <w:sz w:val="20"/>
                <w:szCs w:val="20"/>
              </w:rPr>
              <w:t>neobmedzenej) antikoagulačnej liečby sa odporúča a je hradená po 1. epizóde idiopatickej proximálnej</w:t>
            </w:r>
            <w:r>
              <w:rPr>
                <w:rFonts w:ascii="Arial" w:hAnsi="Arial" w:cs="Arial"/>
                <w:sz w:val="20"/>
                <w:szCs w:val="20"/>
              </w:rPr>
              <w:t xml:space="preserve"> </w:t>
            </w:r>
            <w:r w:rsidRPr="00666184">
              <w:rPr>
                <w:rFonts w:ascii="Arial" w:hAnsi="Arial" w:cs="Arial"/>
                <w:sz w:val="20"/>
                <w:szCs w:val="20"/>
              </w:rPr>
              <w:t>hlbokej žilovej trombózy a/alebo pľúcnej embólie, alebo po recidivujúcej proximálnej hlbokej žilovej</w:t>
            </w:r>
            <w:r>
              <w:rPr>
                <w:rFonts w:ascii="Arial" w:hAnsi="Arial" w:cs="Arial"/>
                <w:sz w:val="20"/>
                <w:szCs w:val="20"/>
              </w:rPr>
              <w:t xml:space="preserve"> </w:t>
            </w:r>
            <w:r w:rsidRPr="00666184">
              <w:rPr>
                <w:rFonts w:ascii="Arial" w:hAnsi="Arial" w:cs="Arial"/>
                <w:sz w:val="20"/>
                <w:szCs w:val="20"/>
              </w:rPr>
              <w:t>trombóze a/alebo pľúcnej embólii, resp. po dobu pretrvávania provokujúceho faktora pri súčasnom</w:t>
            </w:r>
            <w:r>
              <w:rPr>
                <w:rFonts w:ascii="Arial" w:hAnsi="Arial" w:cs="Arial"/>
                <w:sz w:val="20"/>
                <w:szCs w:val="20"/>
              </w:rPr>
              <w:t xml:space="preserve"> </w:t>
            </w:r>
            <w:r w:rsidRPr="00666184">
              <w:rPr>
                <w:rFonts w:ascii="Arial" w:hAnsi="Arial" w:cs="Arial"/>
                <w:sz w:val="20"/>
                <w:szCs w:val="20"/>
              </w:rPr>
              <w:t>pravidelnom prehodnocovaní rizika krvácania. Proximálna hlboká žilová trombóza sa potvrdzuje</w:t>
            </w:r>
            <w:r>
              <w:rPr>
                <w:rFonts w:ascii="Arial" w:hAnsi="Arial" w:cs="Arial"/>
                <w:sz w:val="20"/>
                <w:szCs w:val="20"/>
              </w:rPr>
              <w:t xml:space="preserve"> </w:t>
            </w:r>
            <w:r w:rsidRPr="00666184">
              <w:rPr>
                <w:rFonts w:ascii="Arial" w:hAnsi="Arial" w:cs="Arial"/>
                <w:sz w:val="20"/>
                <w:szCs w:val="20"/>
              </w:rPr>
              <w:t>kompresívnym ultrasonografickým vyšetrením alebo venografiou. Pľúcna embólia sa potvrdzuje</w:t>
            </w:r>
            <w:r>
              <w:rPr>
                <w:rFonts w:ascii="Arial" w:hAnsi="Arial" w:cs="Arial"/>
                <w:sz w:val="20"/>
                <w:szCs w:val="20"/>
              </w:rPr>
              <w:t xml:space="preserve"> </w:t>
            </w:r>
            <w:r w:rsidRPr="00666184">
              <w:rPr>
                <w:rFonts w:ascii="Arial" w:hAnsi="Arial" w:cs="Arial"/>
                <w:sz w:val="20"/>
                <w:szCs w:val="20"/>
              </w:rPr>
              <w:t>kontrastným vyšetrením – CT pulmoangiografiou, alebo v prípade jej kontraindik</w:t>
            </w:r>
            <w:r>
              <w:rPr>
                <w:rFonts w:ascii="Arial" w:hAnsi="Arial" w:cs="Arial"/>
                <w:sz w:val="20"/>
                <w:szCs w:val="20"/>
              </w:rPr>
              <w:t xml:space="preserve">ácie </w:t>
            </w:r>
            <w:r w:rsidRPr="00666184">
              <w:rPr>
                <w:rFonts w:ascii="Arial" w:hAnsi="Arial" w:cs="Arial"/>
                <w:sz w:val="20"/>
                <w:szCs w:val="20"/>
              </w:rPr>
              <w:t>ventilačno –</w:t>
            </w:r>
            <w:r>
              <w:rPr>
                <w:rFonts w:ascii="Arial" w:hAnsi="Arial" w:cs="Arial"/>
                <w:sz w:val="20"/>
                <w:szCs w:val="20"/>
              </w:rPr>
              <w:t xml:space="preserve"> </w:t>
            </w:r>
            <w:r w:rsidRPr="00666184">
              <w:rPr>
                <w:rFonts w:ascii="Arial" w:hAnsi="Arial" w:cs="Arial"/>
                <w:sz w:val="20"/>
                <w:szCs w:val="20"/>
              </w:rPr>
              <w:t>perfúznym scintigrafickým vyšetrením.</w:t>
            </w:r>
          </w:p>
          <w:p w14:paraId="5B10FE9A" w14:textId="77777777" w:rsidR="008645BA" w:rsidRPr="00666184" w:rsidRDefault="008645BA" w:rsidP="008645BA">
            <w:pPr>
              <w:spacing w:line="276" w:lineRule="auto"/>
              <w:jc w:val="both"/>
              <w:rPr>
                <w:rFonts w:ascii="Arial" w:hAnsi="Arial" w:cs="Arial"/>
                <w:sz w:val="20"/>
                <w:szCs w:val="20"/>
              </w:rPr>
            </w:pPr>
          </w:p>
          <w:p w14:paraId="360443BF" w14:textId="77777777" w:rsidR="008645BA" w:rsidRPr="00A62DBE" w:rsidRDefault="008645BA" w:rsidP="008645BA">
            <w:pPr>
              <w:spacing w:line="276" w:lineRule="auto"/>
              <w:jc w:val="both"/>
              <w:rPr>
                <w:rFonts w:ascii="Arial" w:hAnsi="Arial" w:cs="Arial"/>
                <w:sz w:val="20"/>
                <w:szCs w:val="20"/>
              </w:rPr>
            </w:pPr>
            <w:r w:rsidRPr="00666184">
              <w:rPr>
                <w:rFonts w:ascii="Arial" w:hAnsi="Arial" w:cs="Arial"/>
                <w:sz w:val="20"/>
                <w:szCs w:val="20"/>
              </w:rPr>
              <w:t>2. na prevenciu cievnej mozgovej príhody a systémovej embolizácie u dospelých pacientov s</w:t>
            </w:r>
            <w:r>
              <w:rPr>
                <w:rFonts w:ascii="Arial" w:hAnsi="Arial" w:cs="Arial"/>
                <w:sz w:val="20"/>
                <w:szCs w:val="20"/>
              </w:rPr>
              <w:t> </w:t>
            </w:r>
            <w:r w:rsidRPr="00666184">
              <w:rPr>
                <w:rFonts w:ascii="Arial" w:hAnsi="Arial" w:cs="Arial"/>
                <w:sz w:val="20"/>
                <w:szCs w:val="20"/>
              </w:rPr>
              <w:t>nevalvulárnou</w:t>
            </w:r>
            <w:r>
              <w:rPr>
                <w:rFonts w:ascii="Arial" w:hAnsi="Arial" w:cs="Arial"/>
                <w:sz w:val="20"/>
                <w:szCs w:val="20"/>
              </w:rPr>
              <w:t xml:space="preserve"> </w:t>
            </w:r>
            <w:r w:rsidRPr="00666184">
              <w:rPr>
                <w:rFonts w:ascii="Arial" w:hAnsi="Arial" w:cs="Arial"/>
                <w:sz w:val="20"/>
                <w:szCs w:val="20"/>
              </w:rPr>
              <w:t>fibriláciou predsiení podľa znenia terapeutickej indikácie uvedenej v platnom súhrne charakteristických</w:t>
            </w:r>
            <w:r>
              <w:rPr>
                <w:rFonts w:ascii="Arial" w:hAnsi="Arial" w:cs="Arial"/>
                <w:sz w:val="20"/>
                <w:szCs w:val="20"/>
              </w:rPr>
              <w:t xml:space="preserve"> </w:t>
            </w:r>
            <w:r w:rsidRPr="00666184">
              <w:rPr>
                <w:rFonts w:ascii="Arial" w:hAnsi="Arial" w:cs="Arial"/>
                <w:sz w:val="20"/>
                <w:szCs w:val="20"/>
              </w:rPr>
              <w:t>vlastností lieku.</w:t>
            </w:r>
          </w:p>
          <w:p w14:paraId="5CA7BC25" w14:textId="77777777" w:rsidR="008645BA" w:rsidRPr="00F01F52" w:rsidRDefault="008645BA" w:rsidP="008645BA">
            <w:pPr>
              <w:jc w:val="both"/>
              <w:rPr>
                <w:rFonts w:ascii="Arial" w:hAnsi="Arial" w:cs="Arial"/>
                <w:sz w:val="20"/>
                <w:szCs w:val="20"/>
              </w:rPr>
            </w:pPr>
          </w:p>
        </w:tc>
      </w:tr>
      <w:tr w:rsidR="008645BA" w:rsidRPr="0000591E" w14:paraId="6DFB2D28" w14:textId="77777777" w:rsidTr="003F7925">
        <w:trPr>
          <w:gridAfter w:val="2"/>
          <w:wAfter w:w="154" w:type="dxa"/>
          <w:trHeight w:val="20"/>
        </w:trPr>
        <w:tc>
          <w:tcPr>
            <w:tcW w:w="1256" w:type="dxa"/>
            <w:tcBorders>
              <w:bottom w:val="single" w:sz="4" w:space="0" w:color="auto"/>
            </w:tcBorders>
            <w:noWrap/>
            <w:vAlign w:val="bottom"/>
          </w:tcPr>
          <w:p w14:paraId="05E101B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B01AF02</w:t>
            </w:r>
          </w:p>
        </w:tc>
        <w:tc>
          <w:tcPr>
            <w:tcW w:w="9452" w:type="dxa"/>
            <w:tcBorders>
              <w:bottom w:val="single" w:sz="4" w:space="0" w:color="auto"/>
            </w:tcBorders>
            <w:noWrap/>
            <w:vAlign w:val="bottom"/>
          </w:tcPr>
          <w:p w14:paraId="240BA665" w14:textId="77777777" w:rsidR="008645BA" w:rsidRPr="0000591E" w:rsidRDefault="008645BA" w:rsidP="008645BA">
            <w:pPr>
              <w:jc w:val="both"/>
              <w:rPr>
                <w:rFonts w:ascii="Arial" w:hAnsi="Arial" w:cs="Arial"/>
                <w:b/>
                <w:sz w:val="20"/>
                <w:szCs w:val="20"/>
              </w:rPr>
            </w:pPr>
            <w:r w:rsidRPr="0000591E">
              <w:rPr>
                <w:rFonts w:ascii="Arial" w:hAnsi="Arial" w:cs="Arial"/>
                <w:b/>
                <w:bCs/>
                <w:sz w:val="20"/>
                <w:szCs w:val="20"/>
              </w:rPr>
              <w:t>Apixabán p.o. 2,5 mg</w:t>
            </w:r>
          </w:p>
        </w:tc>
      </w:tr>
      <w:tr w:rsidR="008645BA" w:rsidRPr="0000591E" w14:paraId="5BA416A4" w14:textId="77777777" w:rsidTr="003F7925">
        <w:trPr>
          <w:gridAfter w:val="2"/>
          <w:wAfter w:w="154" w:type="dxa"/>
          <w:trHeight w:val="20"/>
        </w:trPr>
        <w:tc>
          <w:tcPr>
            <w:tcW w:w="1256" w:type="dxa"/>
            <w:tcBorders>
              <w:top w:val="single" w:sz="4" w:space="0" w:color="auto"/>
            </w:tcBorders>
            <w:noWrap/>
            <w:vAlign w:val="bottom"/>
          </w:tcPr>
          <w:p w14:paraId="580047C6"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1DCE54AB" w14:textId="77777777" w:rsidR="008645BA" w:rsidRDefault="008645BA" w:rsidP="008645BA">
            <w:pPr>
              <w:jc w:val="both"/>
              <w:rPr>
                <w:rFonts w:ascii="Arial" w:hAnsi="Arial" w:cs="Arial"/>
                <w:sz w:val="20"/>
                <w:szCs w:val="20"/>
              </w:rPr>
            </w:pPr>
            <w:r w:rsidRPr="00266AA3">
              <w:rPr>
                <w:rFonts w:ascii="Arial" w:hAnsi="Arial" w:cs="Arial"/>
                <w:sz w:val="20"/>
                <w:szCs w:val="20"/>
              </w:rPr>
              <w:t>Hradená liečba sa môže indikovať:</w:t>
            </w:r>
          </w:p>
          <w:p w14:paraId="10BBEADE" w14:textId="77777777" w:rsidR="008645BA" w:rsidRDefault="008645BA" w:rsidP="008645BA">
            <w:pPr>
              <w:jc w:val="both"/>
              <w:rPr>
                <w:rFonts w:ascii="Arial" w:hAnsi="Arial" w:cs="Arial"/>
                <w:sz w:val="20"/>
                <w:szCs w:val="20"/>
              </w:rPr>
            </w:pPr>
            <w:r w:rsidRPr="00266AA3">
              <w:rPr>
                <w:rFonts w:ascii="Arial" w:hAnsi="Arial" w:cs="Arial"/>
                <w:sz w:val="20"/>
                <w:szCs w:val="20"/>
              </w:rPr>
              <w:t>1. Na prevenciu žilových tromboembolických príhod u pacientov po elektívnej aloplastike bedrového alebo</w:t>
            </w:r>
            <w:r>
              <w:rPr>
                <w:rFonts w:ascii="Arial" w:hAnsi="Arial" w:cs="Arial"/>
                <w:sz w:val="20"/>
                <w:szCs w:val="20"/>
              </w:rPr>
              <w:t xml:space="preserve"> </w:t>
            </w:r>
            <w:r w:rsidRPr="00266AA3">
              <w:rPr>
                <w:rFonts w:ascii="Arial" w:hAnsi="Arial" w:cs="Arial"/>
                <w:sz w:val="20"/>
                <w:szCs w:val="20"/>
              </w:rPr>
              <w:t>kolenného kĺbu;</w:t>
            </w:r>
          </w:p>
          <w:p w14:paraId="142E01FF" w14:textId="77777777" w:rsidR="008645BA" w:rsidRPr="00266AA3" w:rsidRDefault="008645BA" w:rsidP="008645BA">
            <w:pPr>
              <w:jc w:val="both"/>
              <w:rPr>
                <w:rFonts w:ascii="Arial" w:hAnsi="Arial" w:cs="Arial"/>
                <w:sz w:val="20"/>
                <w:szCs w:val="20"/>
              </w:rPr>
            </w:pPr>
          </w:p>
          <w:p w14:paraId="440F41B8"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2. Na prevenciu mozgovej príhody a systémovej embólie u dospelých pacientov s nevalvulárnou</w:t>
            </w:r>
          </w:p>
          <w:p w14:paraId="1858FE85"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fibriláciou predsiení (non-valvular atrial fibrillation - NVAF) podľa znenia terapeutickej indikácie</w:t>
            </w:r>
          </w:p>
          <w:p w14:paraId="29290384" w14:textId="77777777" w:rsidR="008645BA" w:rsidRDefault="008645BA" w:rsidP="008645BA">
            <w:pPr>
              <w:jc w:val="both"/>
              <w:rPr>
                <w:rFonts w:ascii="Arial" w:hAnsi="Arial" w:cs="Arial"/>
                <w:sz w:val="20"/>
                <w:szCs w:val="20"/>
              </w:rPr>
            </w:pPr>
            <w:r w:rsidRPr="00266AA3">
              <w:rPr>
                <w:rFonts w:ascii="Arial" w:hAnsi="Arial" w:cs="Arial"/>
                <w:sz w:val="20"/>
                <w:szCs w:val="20"/>
              </w:rPr>
              <w:t>uvedenej v platnom súhrne charakteristických vlastností lieku.</w:t>
            </w:r>
          </w:p>
          <w:p w14:paraId="2578B892" w14:textId="77777777" w:rsidR="008645BA" w:rsidRPr="00266AA3" w:rsidRDefault="008645BA" w:rsidP="008645BA">
            <w:pPr>
              <w:jc w:val="both"/>
              <w:rPr>
                <w:rFonts w:ascii="Arial" w:hAnsi="Arial" w:cs="Arial"/>
                <w:sz w:val="20"/>
                <w:szCs w:val="20"/>
              </w:rPr>
            </w:pPr>
          </w:p>
          <w:p w14:paraId="234D75C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Liečba je hradenou (na úrovni najlacnejšieho</w:t>
            </w:r>
            <w:r>
              <w:rPr>
                <w:rFonts w:ascii="Arial" w:hAnsi="Arial" w:cs="Arial"/>
                <w:sz w:val="20"/>
                <w:szCs w:val="20"/>
              </w:rPr>
              <w:t xml:space="preserve"> originálneho</w:t>
            </w:r>
            <w:r w:rsidRPr="00266AA3">
              <w:rPr>
                <w:rFonts w:ascii="Arial" w:hAnsi="Arial" w:cs="Arial"/>
                <w:sz w:val="20"/>
                <w:szCs w:val="20"/>
              </w:rPr>
              <w:t xml:space="preserve"> lieku na ŠDL v danej referenčnej skupine) v prípade, že pacient</w:t>
            </w:r>
            <w:r>
              <w:rPr>
                <w:rFonts w:ascii="Arial" w:hAnsi="Arial" w:cs="Arial"/>
                <w:sz w:val="20"/>
                <w:szCs w:val="20"/>
              </w:rPr>
              <w:t xml:space="preserve"> </w:t>
            </w:r>
            <w:r w:rsidRPr="00266AA3">
              <w:rPr>
                <w:rFonts w:ascii="Arial" w:hAnsi="Arial" w:cs="Arial"/>
                <w:sz w:val="20"/>
                <w:szCs w:val="20"/>
              </w:rPr>
              <w:t>spĺňa popri horeuvedených aspoň jednu z podmienok:</w:t>
            </w:r>
          </w:p>
          <w:p w14:paraId="6DAD4596"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 vek ≥ 75 rokov, alebo</w:t>
            </w:r>
          </w:p>
          <w:p w14:paraId="2B537EF5"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b) prekonal mozgovú príhodu, tranzitórny ischemický atak alebo systémovú embolizáciu (SEE), alebo</w:t>
            </w:r>
          </w:p>
          <w:p w14:paraId="3D3A5366"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c) c) má vyššie riziko krvácania (vyjadrené v prípade fibrilácie predsiení škálou HASBLED ≥ 3) alebo</w:t>
            </w:r>
          </w:p>
          <w:p w14:paraId="019E3418"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anamnézu závažného krvácania</w:t>
            </w:r>
          </w:p>
          <w:p w14:paraId="2D412D8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d) u pacientov s pľúcnou embóliou bez malignity s potrebou prevencie recidívy po 6-tich mesiacoch</w:t>
            </w:r>
          </w:p>
          <w:p w14:paraId="387B447E" w14:textId="77777777" w:rsidR="008645BA" w:rsidRDefault="008645BA" w:rsidP="008645BA">
            <w:pPr>
              <w:jc w:val="both"/>
              <w:rPr>
                <w:rFonts w:ascii="Arial" w:hAnsi="Arial" w:cs="Arial"/>
                <w:sz w:val="20"/>
                <w:szCs w:val="20"/>
              </w:rPr>
            </w:pPr>
            <w:r w:rsidRPr="00266AA3">
              <w:rPr>
                <w:rFonts w:ascii="Arial" w:hAnsi="Arial" w:cs="Arial"/>
                <w:sz w:val="20"/>
                <w:szCs w:val="20"/>
              </w:rPr>
              <w:t>antikoagulačnej liečby, alebo alergia alebo dokázaná intolerancia na rivaroxabán</w:t>
            </w:r>
          </w:p>
          <w:p w14:paraId="6BFF7591" w14:textId="77777777" w:rsidR="008645BA" w:rsidRPr="00266AA3" w:rsidRDefault="008645BA" w:rsidP="008645BA">
            <w:pPr>
              <w:jc w:val="both"/>
              <w:rPr>
                <w:rFonts w:ascii="Arial" w:hAnsi="Arial" w:cs="Arial"/>
                <w:sz w:val="20"/>
                <w:szCs w:val="20"/>
              </w:rPr>
            </w:pPr>
          </w:p>
          <w:p w14:paraId="424E3177"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3. Na liečbu a sekundárnu prevenciu proximálnej hlbokej žilovej trombózy a/alebo pľúcnej embólie.</w:t>
            </w:r>
          </w:p>
          <w:p w14:paraId="4CCC6A63"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Indikácia časovo obmedzenej liečby v dĺžke 3 mesiacov sa odporúča a je hradená pri vyprovokovanej</w:t>
            </w:r>
          </w:p>
          <w:p w14:paraId="591A2EBB"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proximálnej hlbokej žilovej trombóze a/alebo pľúcnej embóliia. Indikácia predĺženej (6-12 mesiacov) a</w:t>
            </w:r>
          </w:p>
          <w:p w14:paraId="5C7FA2C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dlhodobej (časovo neobmedzenej) antikoagulačnej liečby sa odporúča a je hradená po 1. epizóde</w:t>
            </w:r>
          </w:p>
          <w:p w14:paraId="2795C81A"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idiopatickej proximálnej hlbokej žilovej trombózy a/alebo pľúcnej embólie, alebo po recidivujúcej</w:t>
            </w:r>
          </w:p>
          <w:p w14:paraId="382A4C5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proximálnej hlbokej žilovej trombóze a/alebo pľúcnej embólii, resp. po dobu pretrvávania</w:t>
            </w:r>
          </w:p>
          <w:p w14:paraId="49BE5BC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provokujúceho faktora pri súčasnom pravidelnom prehodnocovaní rizika krvácania. Proximálna</w:t>
            </w:r>
          </w:p>
          <w:p w14:paraId="26D2A18E"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hlboká žilová trombóza sa potvrdzuje kompresívnym ultrasonografickým vyšetrením alebo</w:t>
            </w:r>
          </w:p>
          <w:p w14:paraId="798C7F07"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venografiou. Pľúcna embólia sa potvrdzuje kontrastným vyšetrením – CT pulmoangiografiou, alebo v</w:t>
            </w:r>
          </w:p>
          <w:p w14:paraId="1DF22376" w14:textId="77777777" w:rsidR="008645BA" w:rsidRDefault="008645BA" w:rsidP="008645BA">
            <w:pPr>
              <w:jc w:val="both"/>
              <w:rPr>
                <w:rFonts w:ascii="Arial" w:hAnsi="Arial" w:cs="Arial"/>
                <w:sz w:val="20"/>
                <w:szCs w:val="20"/>
              </w:rPr>
            </w:pPr>
            <w:r w:rsidRPr="00266AA3">
              <w:rPr>
                <w:rFonts w:ascii="Arial" w:hAnsi="Arial" w:cs="Arial"/>
                <w:sz w:val="20"/>
                <w:szCs w:val="20"/>
              </w:rPr>
              <w:t>prípade jej kontraindikácie - ventilačno – perfúznym scintigrafickým vyšetrením.</w:t>
            </w:r>
          </w:p>
          <w:p w14:paraId="6D471957" w14:textId="77777777" w:rsidR="008645BA" w:rsidRPr="0000591E" w:rsidRDefault="008645BA" w:rsidP="008645BA">
            <w:pPr>
              <w:jc w:val="both"/>
              <w:rPr>
                <w:rFonts w:ascii="Arial" w:hAnsi="Arial" w:cs="Arial"/>
                <w:b/>
                <w:sz w:val="20"/>
                <w:szCs w:val="20"/>
              </w:rPr>
            </w:pPr>
          </w:p>
        </w:tc>
      </w:tr>
      <w:tr w:rsidR="008645BA" w:rsidRPr="0000591E" w14:paraId="661F3B52" w14:textId="77777777" w:rsidTr="003F7925">
        <w:trPr>
          <w:gridAfter w:val="2"/>
          <w:wAfter w:w="154" w:type="dxa"/>
          <w:trHeight w:val="20"/>
        </w:trPr>
        <w:tc>
          <w:tcPr>
            <w:tcW w:w="1256" w:type="dxa"/>
            <w:tcBorders>
              <w:bottom w:val="single" w:sz="4" w:space="0" w:color="auto"/>
            </w:tcBorders>
            <w:noWrap/>
            <w:vAlign w:val="bottom"/>
          </w:tcPr>
          <w:p w14:paraId="41056B1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B01AF02</w:t>
            </w:r>
          </w:p>
        </w:tc>
        <w:tc>
          <w:tcPr>
            <w:tcW w:w="9452" w:type="dxa"/>
            <w:tcBorders>
              <w:bottom w:val="single" w:sz="4" w:space="0" w:color="auto"/>
            </w:tcBorders>
            <w:noWrap/>
            <w:vAlign w:val="bottom"/>
          </w:tcPr>
          <w:p w14:paraId="07EB3A10" w14:textId="77777777" w:rsidR="008645BA" w:rsidRPr="0000591E" w:rsidRDefault="008645BA" w:rsidP="008645BA">
            <w:pPr>
              <w:jc w:val="both"/>
              <w:rPr>
                <w:rFonts w:ascii="Arial" w:hAnsi="Arial" w:cs="Arial"/>
                <w:b/>
                <w:sz w:val="20"/>
                <w:szCs w:val="20"/>
              </w:rPr>
            </w:pPr>
            <w:r w:rsidRPr="0000591E">
              <w:rPr>
                <w:rFonts w:ascii="Arial" w:hAnsi="Arial" w:cs="Arial"/>
                <w:b/>
                <w:bCs/>
                <w:sz w:val="20"/>
                <w:szCs w:val="20"/>
              </w:rPr>
              <w:t>Apixabán p.o. 5 mg</w:t>
            </w:r>
          </w:p>
        </w:tc>
      </w:tr>
      <w:tr w:rsidR="008645BA" w:rsidRPr="0000591E" w14:paraId="67B3897B" w14:textId="77777777" w:rsidTr="003F7925">
        <w:trPr>
          <w:gridAfter w:val="2"/>
          <w:wAfter w:w="154" w:type="dxa"/>
          <w:trHeight w:val="20"/>
        </w:trPr>
        <w:tc>
          <w:tcPr>
            <w:tcW w:w="1256" w:type="dxa"/>
            <w:tcBorders>
              <w:top w:val="single" w:sz="4" w:space="0" w:color="auto"/>
            </w:tcBorders>
            <w:noWrap/>
            <w:vAlign w:val="bottom"/>
          </w:tcPr>
          <w:p w14:paraId="5733ABE1"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7455B093" w14:textId="77777777" w:rsidR="008645BA" w:rsidRDefault="008645BA" w:rsidP="008645BA">
            <w:pPr>
              <w:jc w:val="both"/>
              <w:rPr>
                <w:rFonts w:ascii="Arial" w:hAnsi="Arial" w:cs="Arial"/>
                <w:sz w:val="20"/>
                <w:szCs w:val="20"/>
              </w:rPr>
            </w:pPr>
            <w:r w:rsidRPr="00266AA3">
              <w:rPr>
                <w:rFonts w:ascii="Arial" w:hAnsi="Arial" w:cs="Arial"/>
                <w:sz w:val="20"/>
                <w:szCs w:val="20"/>
              </w:rPr>
              <w:t>Hradená liečba sa môže indikovať:</w:t>
            </w:r>
          </w:p>
          <w:p w14:paraId="1663EF71" w14:textId="77777777" w:rsidR="008645BA" w:rsidRPr="00266AA3" w:rsidRDefault="008645BA" w:rsidP="008645BA">
            <w:pPr>
              <w:jc w:val="both"/>
              <w:rPr>
                <w:rFonts w:ascii="Arial" w:hAnsi="Arial" w:cs="Arial"/>
                <w:sz w:val="20"/>
                <w:szCs w:val="20"/>
              </w:rPr>
            </w:pPr>
          </w:p>
          <w:p w14:paraId="12E5753B" w14:textId="77777777" w:rsidR="008645BA" w:rsidRDefault="008645BA" w:rsidP="008645BA">
            <w:pPr>
              <w:jc w:val="both"/>
              <w:rPr>
                <w:rFonts w:ascii="Arial" w:hAnsi="Arial" w:cs="Arial"/>
                <w:sz w:val="20"/>
                <w:szCs w:val="20"/>
              </w:rPr>
            </w:pPr>
            <w:r w:rsidRPr="00266AA3">
              <w:rPr>
                <w:rFonts w:ascii="Arial" w:hAnsi="Arial" w:cs="Arial"/>
                <w:sz w:val="20"/>
                <w:szCs w:val="20"/>
              </w:rPr>
              <w:t>1. Na prevenciu mozgovej príhody a systémovej embólie u dospelých pacientov s nevalvulárnou fibriláciou</w:t>
            </w:r>
            <w:r>
              <w:rPr>
                <w:rFonts w:ascii="Arial" w:hAnsi="Arial" w:cs="Arial"/>
                <w:sz w:val="20"/>
                <w:szCs w:val="20"/>
              </w:rPr>
              <w:t xml:space="preserve"> </w:t>
            </w:r>
            <w:r w:rsidRPr="00266AA3">
              <w:rPr>
                <w:rFonts w:ascii="Arial" w:hAnsi="Arial" w:cs="Arial"/>
                <w:sz w:val="20"/>
                <w:szCs w:val="20"/>
              </w:rPr>
              <w:t>predsiení (non-valvular atrial fibrillation - NVAF) podľa znenia terapeutickej indikácie uvedenej v</w:t>
            </w:r>
            <w:r>
              <w:rPr>
                <w:rFonts w:ascii="Arial" w:hAnsi="Arial" w:cs="Arial"/>
                <w:sz w:val="20"/>
                <w:szCs w:val="20"/>
              </w:rPr>
              <w:t> </w:t>
            </w:r>
            <w:r w:rsidRPr="00266AA3">
              <w:rPr>
                <w:rFonts w:ascii="Arial" w:hAnsi="Arial" w:cs="Arial"/>
                <w:sz w:val="20"/>
                <w:szCs w:val="20"/>
              </w:rPr>
              <w:t>platnom</w:t>
            </w:r>
            <w:r>
              <w:rPr>
                <w:rFonts w:ascii="Arial" w:hAnsi="Arial" w:cs="Arial"/>
                <w:sz w:val="20"/>
                <w:szCs w:val="20"/>
              </w:rPr>
              <w:t xml:space="preserve"> </w:t>
            </w:r>
            <w:r w:rsidRPr="00266AA3">
              <w:rPr>
                <w:rFonts w:ascii="Arial" w:hAnsi="Arial" w:cs="Arial"/>
                <w:sz w:val="20"/>
                <w:szCs w:val="20"/>
              </w:rPr>
              <w:t>súhrne charakteristických vlastností lieku.</w:t>
            </w:r>
          </w:p>
          <w:p w14:paraId="07CF0E3C" w14:textId="77777777" w:rsidR="008645BA" w:rsidRPr="00266AA3" w:rsidRDefault="008645BA" w:rsidP="008645BA">
            <w:pPr>
              <w:jc w:val="both"/>
              <w:rPr>
                <w:rFonts w:ascii="Arial" w:hAnsi="Arial" w:cs="Arial"/>
                <w:sz w:val="20"/>
                <w:szCs w:val="20"/>
              </w:rPr>
            </w:pPr>
          </w:p>
          <w:p w14:paraId="2D61D74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Liečba je hradenou (na úrovni najlacnejšieho</w:t>
            </w:r>
            <w:r>
              <w:rPr>
                <w:rFonts w:ascii="Arial" w:hAnsi="Arial" w:cs="Arial"/>
                <w:sz w:val="20"/>
                <w:szCs w:val="20"/>
              </w:rPr>
              <w:t xml:space="preserve"> originálneho</w:t>
            </w:r>
            <w:r w:rsidRPr="00266AA3">
              <w:rPr>
                <w:rFonts w:ascii="Arial" w:hAnsi="Arial" w:cs="Arial"/>
                <w:sz w:val="20"/>
                <w:szCs w:val="20"/>
              </w:rPr>
              <w:t xml:space="preserve"> lieku na ŠDL v danej referenčnej skupine) v prípade, že pacient spĺňa</w:t>
            </w:r>
            <w:r>
              <w:rPr>
                <w:rFonts w:ascii="Arial" w:hAnsi="Arial" w:cs="Arial"/>
                <w:sz w:val="20"/>
                <w:szCs w:val="20"/>
              </w:rPr>
              <w:t xml:space="preserve"> </w:t>
            </w:r>
            <w:r w:rsidRPr="00266AA3">
              <w:rPr>
                <w:rFonts w:ascii="Arial" w:hAnsi="Arial" w:cs="Arial"/>
                <w:sz w:val="20"/>
                <w:szCs w:val="20"/>
              </w:rPr>
              <w:t>popri horeuvedených aspoň jednu z podmienok:</w:t>
            </w:r>
          </w:p>
          <w:p w14:paraId="1D8DBE6E"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 vek ≥ 75 rokov, alebo</w:t>
            </w:r>
          </w:p>
          <w:p w14:paraId="61CF356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b) prekonal mozgovú príhodu, tranzitórny ischemický atak alebo systémovú embolizáciu (SEE), alebo</w:t>
            </w:r>
          </w:p>
          <w:p w14:paraId="6541DB5B"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c) má vyššie riziko krvácania (vyjadrené v prípade fibrilácie predsiení škálou HASBLED ≥ 3) alebo anamnézu</w:t>
            </w:r>
            <w:r>
              <w:rPr>
                <w:rFonts w:ascii="Arial" w:hAnsi="Arial" w:cs="Arial"/>
                <w:sz w:val="20"/>
                <w:szCs w:val="20"/>
              </w:rPr>
              <w:t xml:space="preserve"> </w:t>
            </w:r>
            <w:r w:rsidRPr="00266AA3">
              <w:rPr>
                <w:rFonts w:ascii="Arial" w:hAnsi="Arial" w:cs="Arial"/>
                <w:sz w:val="20"/>
                <w:szCs w:val="20"/>
              </w:rPr>
              <w:t>závažného krvácania</w:t>
            </w:r>
          </w:p>
          <w:p w14:paraId="2A8931D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d) pacientov s pľúcnou embóliou bez malignity s potrebou prevencie recidívy po 6-tich mesiacoch</w:t>
            </w:r>
          </w:p>
          <w:p w14:paraId="6C48C6C9"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antikoagulačnej liečby, alebo alergia alebo dokázaná intolerancia na rivaroxabán</w:t>
            </w:r>
          </w:p>
          <w:p w14:paraId="3EFEFF23" w14:textId="77777777" w:rsidR="008645BA" w:rsidRPr="00266AA3" w:rsidRDefault="008645BA" w:rsidP="008645BA">
            <w:pPr>
              <w:jc w:val="both"/>
              <w:rPr>
                <w:rFonts w:ascii="Arial" w:hAnsi="Arial" w:cs="Arial"/>
                <w:sz w:val="20"/>
                <w:szCs w:val="20"/>
              </w:rPr>
            </w:pPr>
          </w:p>
          <w:p w14:paraId="578EADC4" w14:textId="77777777" w:rsidR="008645BA" w:rsidRDefault="008645BA" w:rsidP="008645BA">
            <w:pPr>
              <w:jc w:val="both"/>
              <w:rPr>
                <w:rFonts w:ascii="Arial" w:hAnsi="Arial" w:cs="Arial"/>
                <w:sz w:val="20"/>
                <w:szCs w:val="20"/>
              </w:rPr>
            </w:pPr>
            <w:r w:rsidRPr="00266AA3">
              <w:rPr>
                <w:rFonts w:ascii="Arial" w:hAnsi="Arial" w:cs="Arial"/>
                <w:sz w:val="20"/>
                <w:szCs w:val="20"/>
              </w:rPr>
              <w:t>2. Na liečbu a sekundárnu prevenciu proximálnej hlbokej žilovej trombózy a/alebo pľúcnej embólie. Indikácia</w:t>
            </w:r>
            <w:r>
              <w:rPr>
                <w:rFonts w:ascii="Arial" w:hAnsi="Arial" w:cs="Arial"/>
                <w:sz w:val="20"/>
                <w:szCs w:val="20"/>
              </w:rPr>
              <w:t xml:space="preserve"> </w:t>
            </w:r>
            <w:r w:rsidRPr="00266AA3">
              <w:rPr>
                <w:rFonts w:ascii="Arial" w:hAnsi="Arial" w:cs="Arial"/>
                <w:sz w:val="20"/>
                <w:szCs w:val="20"/>
              </w:rPr>
              <w:t>časovo obmedzenej liečby v dĺžke 3 mesiacov sa odporúča a je hradená pri vyprovokovanej proximálnej</w:t>
            </w:r>
            <w:r>
              <w:rPr>
                <w:rFonts w:ascii="Arial" w:hAnsi="Arial" w:cs="Arial"/>
                <w:sz w:val="20"/>
                <w:szCs w:val="20"/>
              </w:rPr>
              <w:t xml:space="preserve"> </w:t>
            </w:r>
            <w:r w:rsidRPr="00266AA3">
              <w:rPr>
                <w:rFonts w:ascii="Arial" w:hAnsi="Arial" w:cs="Arial"/>
                <w:sz w:val="20"/>
                <w:szCs w:val="20"/>
              </w:rPr>
              <w:t>hlbokej žilovej trombóze a/alebo pľúcnej embólii. Indikácia predĺženej (6-12 mesiacov) a dlhodobej (časovo</w:t>
            </w:r>
            <w:r>
              <w:rPr>
                <w:rFonts w:ascii="Arial" w:hAnsi="Arial" w:cs="Arial"/>
                <w:sz w:val="20"/>
                <w:szCs w:val="20"/>
              </w:rPr>
              <w:t xml:space="preserve"> </w:t>
            </w:r>
            <w:r w:rsidRPr="00266AA3">
              <w:rPr>
                <w:rFonts w:ascii="Arial" w:hAnsi="Arial" w:cs="Arial"/>
                <w:sz w:val="20"/>
                <w:szCs w:val="20"/>
              </w:rPr>
              <w:t>neobmedzenej) antikoagulačnej liečby sa odporúča a je hradená po 1. epizóde idiopatickej proximálnej</w:t>
            </w:r>
            <w:r>
              <w:rPr>
                <w:rFonts w:ascii="Arial" w:hAnsi="Arial" w:cs="Arial"/>
                <w:sz w:val="20"/>
                <w:szCs w:val="20"/>
              </w:rPr>
              <w:t xml:space="preserve"> </w:t>
            </w:r>
            <w:r w:rsidRPr="00266AA3">
              <w:rPr>
                <w:rFonts w:ascii="Arial" w:hAnsi="Arial" w:cs="Arial"/>
                <w:sz w:val="20"/>
                <w:szCs w:val="20"/>
              </w:rPr>
              <w:t>hlbokej žilovej trombózy a/alebo pľúcnej embólie, alebo po recidivujúcej proximálnej hlbokej žilovej</w:t>
            </w:r>
            <w:r>
              <w:rPr>
                <w:rFonts w:ascii="Arial" w:hAnsi="Arial" w:cs="Arial"/>
                <w:sz w:val="20"/>
                <w:szCs w:val="20"/>
              </w:rPr>
              <w:t xml:space="preserve"> </w:t>
            </w:r>
            <w:r w:rsidRPr="00266AA3">
              <w:rPr>
                <w:rFonts w:ascii="Arial" w:hAnsi="Arial" w:cs="Arial"/>
                <w:sz w:val="20"/>
                <w:szCs w:val="20"/>
              </w:rPr>
              <w:t>trombóze a/alebo pľúcnej embólii, resp. po dobu pretrvávania provokujúceho faktora pri súčasnom</w:t>
            </w:r>
            <w:r>
              <w:rPr>
                <w:rFonts w:ascii="Arial" w:hAnsi="Arial" w:cs="Arial"/>
                <w:sz w:val="20"/>
                <w:szCs w:val="20"/>
              </w:rPr>
              <w:t xml:space="preserve"> </w:t>
            </w:r>
            <w:r w:rsidRPr="00266AA3">
              <w:rPr>
                <w:rFonts w:ascii="Arial" w:hAnsi="Arial" w:cs="Arial"/>
                <w:sz w:val="20"/>
                <w:szCs w:val="20"/>
              </w:rPr>
              <w:t>pravidelnom prehodnocovaní rizika krvácania. Proximálna hlboká žilová trombóza sa potvrdzuje</w:t>
            </w:r>
            <w:r>
              <w:rPr>
                <w:rFonts w:ascii="Arial" w:hAnsi="Arial" w:cs="Arial"/>
                <w:sz w:val="20"/>
                <w:szCs w:val="20"/>
              </w:rPr>
              <w:t xml:space="preserve"> </w:t>
            </w:r>
            <w:r w:rsidRPr="00266AA3">
              <w:rPr>
                <w:rFonts w:ascii="Arial" w:hAnsi="Arial" w:cs="Arial"/>
                <w:sz w:val="20"/>
                <w:szCs w:val="20"/>
              </w:rPr>
              <w:t>kompresívnym ultrasonografickým vyšetrením alebo venografiou. Pľúcna embólia sa potvrdzuje</w:t>
            </w:r>
            <w:r>
              <w:rPr>
                <w:rFonts w:ascii="Arial" w:hAnsi="Arial" w:cs="Arial"/>
                <w:sz w:val="20"/>
                <w:szCs w:val="20"/>
              </w:rPr>
              <w:t xml:space="preserve"> </w:t>
            </w:r>
            <w:r w:rsidRPr="00266AA3">
              <w:rPr>
                <w:rFonts w:ascii="Arial" w:hAnsi="Arial" w:cs="Arial"/>
                <w:sz w:val="20"/>
                <w:szCs w:val="20"/>
              </w:rPr>
              <w:t>kontrastným vyšetrením – CT pulmoangiografiou, alebo v prípade jej kontraindikácie - ventilačno –</w:t>
            </w:r>
            <w:r>
              <w:rPr>
                <w:rFonts w:ascii="Arial" w:hAnsi="Arial" w:cs="Arial"/>
                <w:sz w:val="20"/>
                <w:szCs w:val="20"/>
              </w:rPr>
              <w:t xml:space="preserve"> </w:t>
            </w:r>
            <w:r w:rsidRPr="00266AA3">
              <w:rPr>
                <w:rFonts w:ascii="Arial" w:hAnsi="Arial" w:cs="Arial"/>
                <w:sz w:val="20"/>
                <w:szCs w:val="20"/>
              </w:rPr>
              <w:t>perfúznym scintigrafickým vyšetrením.</w:t>
            </w:r>
          </w:p>
          <w:p w14:paraId="17AD200E" w14:textId="77777777" w:rsidR="008645BA" w:rsidRPr="003B215F" w:rsidRDefault="008645BA" w:rsidP="008645BA">
            <w:pPr>
              <w:jc w:val="both"/>
              <w:rPr>
                <w:rFonts w:ascii="Arial" w:hAnsi="Arial" w:cs="Arial"/>
                <w:sz w:val="20"/>
                <w:szCs w:val="20"/>
              </w:rPr>
            </w:pPr>
          </w:p>
        </w:tc>
      </w:tr>
      <w:tr w:rsidR="008645BA" w:rsidRPr="0000591E" w14:paraId="3781FC2A" w14:textId="77777777" w:rsidTr="003F7925">
        <w:trPr>
          <w:gridAfter w:val="2"/>
          <w:wAfter w:w="154" w:type="dxa"/>
          <w:trHeight w:val="20"/>
        </w:trPr>
        <w:tc>
          <w:tcPr>
            <w:tcW w:w="1256" w:type="dxa"/>
            <w:tcBorders>
              <w:bottom w:val="single" w:sz="4" w:space="0" w:color="auto"/>
            </w:tcBorders>
            <w:noWrap/>
            <w:vAlign w:val="bottom"/>
          </w:tcPr>
          <w:p w14:paraId="564E2E30" w14:textId="7AC9DD09" w:rsidR="008645BA" w:rsidRDefault="008645BA" w:rsidP="008645BA">
            <w:pPr>
              <w:jc w:val="both"/>
              <w:rPr>
                <w:rFonts w:ascii="Arial" w:hAnsi="Arial" w:cs="Arial"/>
                <w:b/>
                <w:bCs/>
                <w:sz w:val="20"/>
                <w:szCs w:val="20"/>
              </w:rPr>
            </w:pPr>
            <w:r>
              <w:rPr>
                <w:rFonts w:ascii="Arial" w:hAnsi="Arial" w:cs="Arial"/>
                <w:b/>
                <w:bCs/>
                <w:sz w:val="20"/>
                <w:szCs w:val="20"/>
              </w:rPr>
              <w:t>B01AF03</w:t>
            </w:r>
          </w:p>
        </w:tc>
        <w:tc>
          <w:tcPr>
            <w:tcW w:w="9452" w:type="dxa"/>
            <w:tcBorders>
              <w:bottom w:val="single" w:sz="4" w:space="0" w:color="auto"/>
            </w:tcBorders>
            <w:noWrap/>
            <w:vAlign w:val="bottom"/>
          </w:tcPr>
          <w:p w14:paraId="47BAEB10" w14:textId="77777777" w:rsidR="008645BA" w:rsidRDefault="008645BA" w:rsidP="008645BA">
            <w:pPr>
              <w:jc w:val="both"/>
              <w:rPr>
                <w:rFonts w:ascii="Arial" w:hAnsi="Arial" w:cs="Arial"/>
                <w:b/>
                <w:bCs/>
                <w:sz w:val="20"/>
                <w:szCs w:val="20"/>
              </w:rPr>
            </w:pPr>
            <w:r w:rsidRPr="003B215F">
              <w:rPr>
                <w:rFonts w:ascii="Arial" w:hAnsi="Arial" w:cs="Arial"/>
                <w:b/>
                <w:bCs/>
                <w:sz w:val="20"/>
                <w:szCs w:val="20"/>
              </w:rPr>
              <w:t xml:space="preserve">Edoxabán  p.o. 30 mg </w:t>
            </w:r>
          </w:p>
          <w:p w14:paraId="104EBBA9" w14:textId="68D8925C" w:rsidR="008645BA" w:rsidRPr="003B215F" w:rsidRDefault="008645BA" w:rsidP="008645BA">
            <w:pPr>
              <w:jc w:val="both"/>
              <w:rPr>
                <w:rFonts w:ascii="Arial" w:hAnsi="Arial" w:cs="Arial"/>
                <w:b/>
                <w:bCs/>
                <w:sz w:val="20"/>
                <w:szCs w:val="20"/>
              </w:rPr>
            </w:pPr>
            <w:r w:rsidRPr="003B215F">
              <w:rPr>
                <w:rFonts w:ascii="Arial" w:hAnsi="Arial" w:cs="Arial"/>
                <w:b/>
                <w:sz w:val="20"/>
                <w:szCs w:val="20"/>
              </w:rPr>
              <w:t xml:space="preserve">Edoxabán  p.o. </w:t>
            </w:r>
            <w:r>
              <w:rPr>
                <w:rFonts w:ascii="Arial" w:hAnsi="Arial" w:cs="Arial"/>
                <w:b/>
                <w:sz w:val="20"/>
                <w:szCs w:val="20"/>
              </w:rPr>
              <w:t>6</w:t>
            </w:r>
            <w:r w:rsidRPr="003B215F">
              <w:rPr>
                <w:rFonts w:ascii="Arial" w:hAnsi="Arial" w:cs="Arial"/>
                <w:b/>
                <w:sz w:val="20"/>
                <w:szCs w:val="20"/>
              </w:rPr>
              <w:t>0 mg</w:t>
            </w:r>
          </w:p>
        </w:tc>
      </w:tr>
      <w:tr w:rsidR="008645BA" w:rsidRPr="0000591E" w14:paraId="0B4BF428" w14:textId="77777777" w:rsidTr="003F7925">
        <w:trPr>
          <w:gridAfter w:val="2"/>
          <w:wAfter w:w="154" w:type="dxa"/>
          <w:trHeight w:val="20"/>
        </w:trPr>
        <w:tc>
          <w:tcPr>
            <w:tcW w:w="1256" w:type="dxa"/>
            <w:tcBorders>
              <w:top w:val="single" w:sz="4" w:space="0" w:color="auto"/>
            </w:tcBorders>
            <w:noWrap/>
            <w:vAlign w:val="bottom"/>
          </w:tcPr>
          <w:p w14:paraId="6C3EA0CC" w14:textId="77777777" w:rsidR="008645BA"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38DC74E6" w14:textId="77777777" w:rsidR="008645BA" w:rsidRDefault="008645BA" w:rsidP="008645BA">
            <w:pPr>
              <w:jc w:val="both"/>
              <w:rPr>
                <w:rFonts w:ascii="Arial" w:hAnsi="Arial" w:cs="Arial"/>
                <w:bCs/>
                <w:sz w:val="20"/>
                <w:szCs w:val="20"/>
              </w:rPr>
            </w:pPr>
            <w:r w:rsidRPr="001E7986">
              <w:rPr>
                <w:rFonts w:ascii="Arial" w:hAnsi="Arial" w:cs="Arial"/>
                <w:bCs/>
                <w:sz w:val="20"/>
                <w:szCs w:val="20"/>
              </w:rPr>
              <w:t>Hradená liečba sa môže indikovať na prevenciu cievnej mozgovej príhody a systémovej embólie dospelým pacientom s nevalvulárnou fibriláciou predsiení (non-valvular atrial fibrillation – NVAF) podľa znenia terapeutickej indikácie uvedenej v platnom súhrne charakteristických vlastností lieku.</w:t>
            </w:r>
          </w:p>
          <w:p w14:paraId="39ABB503" w14:textId="7DDD9650" w:rsidR="008645BA" w:rsidRPr="001E7986" w:rsidRDefault="008645BA" w:rsidP="008645BA">
            <w:pPr>
              <w:jc w:val="both"/>
              <w:rPr>
                <w:rFonts w:ascii="Arial" w:hAnsi="Arial" w:cs="Arial"/>
                <w:bCs/>
                <w:sz w:val="20"/>
                <w:szCs w:val="20"/>
              </w:rPr>
            </w:pPr>
          </w:p>
        </w:tc>
      </w:tr>
      <w:tr w:rsidR="008645BA" w:rsidRPr="0000591E" w14:paraId="7CA0BAB0" w14:textId="77777777" w:rsidTr="003F7925">
        <w:trPr>
          <w:gridAfter w:val="2"/>
          <w:wAfter w:w="154" w:type="dxa"/>
          <w:trHeight w:val="20"/>
        </w:trPr>
        <w:tc>
          <w:tcPr>
            <w:tcW w:w="1256" w:type="dxa"/>
            <w:tcBorders>
              <w:bottom w:val="single" w:sz="4" w:space="0" w:color="auto"/>
            </w:tcBorders>
            <w:noWrap/>
            <w:vAlign w:val="bottom"/>
          </w:tcPr>
          <w:p w14:paraId="756B561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B01AX05</w:t>
            </w:r>
          </w:p>
        </w:tc>
        <w:tc>
          <w:tcPr>
            <w:tcW w:w="9452" w:type="dxa"/>
            <w:tcBorders>
              <w:bottom w:val="single" w:sz="4" w:space="0" w:color="auto"/>
            </w:tcBorders>
            <w:noWrap/>
            <w:vAlign w:val="bottom"/>
          </w:tcPr>
          <w:p w14:paraId="31D2BCC6" w14:textId="77777777" w:rsidR="008645BA" w:rsidRPr="0000591E" w:rsidRDefault="008645BA" w:rsidP="008645BA">
            <w:pPr>
              <w:jc w:val="both"/>
              <w:rPr>
                <w:rFonts w:ascii="Arial" w:hAnsi="Arial" w:cs="Arial"/>
                <w:b/>
                <w:sz w:val="20"/>
                <w:szCs w:val="20"/>
              </w:rPr>
            </w:pPr>
            <w:r w:rsidRPr="0000591E">
              <w:rPr>
                <w:rFonts w:ascii="Arial" w:hAnsi="Arial" w:cs="Arial"/>
                <w:b/>
                <w:bCs/>
                <w:sz w:val="20"/>
                <w:szCs w:val="20"/>
              </w:rPr>
              <w:t>Fondaparín parent.</w:t>
            </w:r>
            <w:r>
              <w:rPr>
                <w:rFonts w:ascii="Arial" w:hAnsi="Arial" w:cs="Arial"/>
                <w:b/>
                <w:bCs/>
                <w:sz w:val="20"/>
                <w:szCs w:val="20"/>
              </w:rPr>
              <w:t xml:space="preserve"> 2,5 mg</w:t>
            </w:r>
          </w:p>
        </w:tc>
      </w:tr>
      <w:tr w:rsidR="008645BA" w:rsidRPr="0000591E" w14:paraId="12C77DBD" w14:textId="77777777" w:rsidTr="003F7925">
        <w:trPr>
          <w:gridAfter w:val="2"/>
          <w:wAfter w:w="154" w:type="dxa"/>
          <w:trHeight w:val="20"/>
        </w:trPr>
        <w:tc>
          <w:tcPr>
            <w:tcW w:w="1256" w:type="dxa"/>
            <w:tcBorders>
              <w:top w:val="single" w:sz="4" w:space="0" w:color="auto"/>
            </w:tcBorders>
            <w:noWrap/>
            <w:vAlign w:val="bottom"/>
          </w:tcPr>
          <w:p w14:paraId="3D26EC12" w14:textId="77777777" w:rsidR="008645BA"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4A9A32C5" w14:textId="77777777" w:rsidR="008645BA" w:rsidRDefault="008645BA" w:rsidP="008645BA">
            <w:pPr>
              <w:pStyle w:val="Default"/>
              <w:jc w:val="both"/>
              <w:rPr>
                <w:color w:val="auto"/>
                <w:sz w:val="20"/>
                <w:szCs w:val="20"/>
                <w:lang w:val="sk-SK"/>
              </w:rPr>
            </w:pPr>
            <w:r w:rsidRPr="0000591E">
              <w:rPr>
                <w:color w:val="auto"/>
                <w:sz w:val="20"/>
                <w:szCs w:val="20"/>
                <w:lang w:val="sk-SK"/>
              </w:rPr>
              <w:t>Hradená liečba sa môže indikovať u dospelých pacientov s akútnou symptomatickou spontánnou trombózou povrchových žíl dolných končatín s verifikovaným trombom dlhším ako 5 cm, potvrdeným USG</w:t>
            </w:r>
            <w:r>
              <w:rPr>
                <w:color w:val="auto"/>
                <w:sz w:val="20"/>
                <w:szCs w:val="20"/>
                <w:lang w:val="sk-SK"/>
              </w:rPr>
              <w:t xml:space="preserve"> </w:t>
            </w:r>
            <w:r w:rsidRPr="0000591E">
              <w:rPr>
                <w:color w:val="auto"/>
                <w:sz w:val="20"/>
                <w:szCs w:val="20"/>
                <w:lang w:val="sk-SK"/>
              </w:rPr>
              <w:t>vyšetrením, bez sprievodnej hlbokej žilovej trombózy.</w:t>
            </w:r>
          </w:p>
          <w:p w14:paraId="193B4B61" w14:textId="190E09C9" w:rsidR="008645BA" w:rsidRPr="0000591E" w:rsidRDefault="008645BA" w:rsidP="008645BA">
            <w:pPr>
              <w:pStyle w:val="Default"/>
              <w:jc w:val="both"/>
              <w:rPr>
                <w:color w:val="auto"/>
                <w:sz w:val="20"/>
                <w:szCs w:val="20"/>
                <w:lang w:val="sk-SK"/>
              </w:rPr>
            </w:pPr>
          </w:p>
        </w:tc>
      </w:tr>
      <w:tr w:rsidR="008645BA" w:rsidRPr="0000591E" w14:paraId="719B13A5" w14:textId="77777777" w:rsidTr="003F7925">
        <w:trPr>
          <w:gridAfter w:val="2"/>
          <w:wAfter w:w="154" w:type="dxa"/>
          <w:trHeight w:val="20"/>
        </w:trPr>
        <w:tc>
          <w:tcPr>
            <w:tcW w:w="1256" w:type="dxa"/>
            <w:tcBorders>
              <w:top w:val="single" w:sz="4" w:space="0" w:color="auto"/>
            </w:tcBorders>
            <w:noWrap/>
            <w:vAlign w:val="bottom"/>
          </w:tcPr>
          <w:p w14:paraId="0A2F89AA" w14:textId="77777777" w:rsidR="008645BA" w:rsidRDefault="008645BA" w:rsidP="008645BA">
            <w:pPr>
              <w:jc w:val="both"/>
              <w:rPr>
                <w:rFonts w:ascii="Arial" w:hAnsi="Arial" w:cs="Arial"/>
                <w:b/>
                <w:bCs/>
                <w:sz w:val="20"/>
                <w:szCs w:val="20"/>
              </w:rPr>
            </w:pPr>
            <w:r w:rsidRPr="0064581A">
              <w:rPr>
                <w:rFonts w:ascii="Arial" w:hAnsi="Arial" w:cs="Arial"/>
                <w:b/>
                <w:bCs/>
                <w:sz w:val="20"/>
                <w:szCs w:val="20"/>
              </w:rPr>
              <w:t>B01AX07</w:t>
            </w:r>
          </w:p>
        </w:tc>
        <w:tc>
          <w:tcPr>
            <w:tcW w:w="9452" w:type="dxa"/>
            <w:tcBorders>
              <w:top w:val="single" w:sz="4" w:space="0" w:color="auto"/>
            </w:tcBorders>
            <w:noWrap/>
            <w:vAlign w:val="bottom"/>
          </w:tcPr>
          <w:p w14:paraId="5CC0F59B" w14:textId="77777777" w:rsidR="008645BA" w:rsidRPr="00BB4685" w:rsidRDefault="008645BA" w:rsidP="008645BA">
            <w:pPr>
              <w:pStyle w:val="Default"/>
              <w:jc w:val="both"/>
              <w:rPr>
                <w:b/>
                <w:color w:val="auto"/>
                <w:sz w:val="20"/>
                <w:szCs w:val="20"/>
                <w:lang w:val="sk-SK"/>
              </w:rPr>
            </w:pPr>
            <w:r w:rsidRPr="00BB4685">
              <w:rPr>
                <w:b/>
                <w:color w:val="auto"/>
                <w:sz w:val="20"/>
                <w:szCs w:val="20"/>
                <w:lang w:val="sk-SK"/>
              </w:rPr>
              <w:t>Kaplacizumab s.c. 10 mg</w:t>
            </w:r>
          </w:p>
        </w:tc>
      </w:tr>
      <w:tr w:rsidR="008645BA" w:rsidRPr="0000591E" w14:paraId="50481E61" w14:textId="77777777" w:rsidTr="003F7925">
        <w:trPr>
          <w:gridAfter w:val="2"/>
          <w:wAfter w:w="154" w:type="dxa"/>
          <w:trHeight w:val="20"/>
        </w:trPr>
        <w:tc>
          <w:tcPr>
            <w:tcW w:w="1256" w:type="dxa"/>
            <w:tcBorders>
              <w:top w:val="single" w:sz="4" w:space="0" w:color="auto"/>
            </w:tcBorders>
            <w:noWrap/>
            <w:vAlign w:val="bottom"/>
          </w:tcPr>
          <w:p w14:paraId="654DA710"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 xml:space="preserve">  </w:t>
            </w:r>
          </w:p>
        </w:tc>
        <w:tc>
          <w:tcPr>
            <w:tcW w:w="9452" w:type="dxa"/>
            <w:tcBorders>
              <w:top w:val="single" w:sz="4" w:space="0" w:color="auto"/>
            </w:tcBorders>
            <w:noWrap/>
            <w:vAlign w:val="bottom"/>
          </w:tcPr>
          <w:p w14:paraId="6F0EF00B"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Hradená liečba sa môže indikovať u dospelých pacientov s epizódou získanej trombotickej</w:t>
            </w:r>
          </w:p>
          <w:p w14:paraId="2B1BD108"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trombocytopenickej purpury (acquired thrombotic thrombocytopenic purpura, aTTP) v spojení</w:t>
            </w:r>
          </w:p>
          <w:p w14:paraId="652EDD45"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s výmenou plazmy a imunosupresiou.</w:t>
            </w:r>
          </w:p>
          <w:p w14:paraId="56147863"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Hradená liečba sa môže indikovať na Klinike hematológie a transfúziológie Univerzitnej nemocnice Bratislava, Klinike hematológie a onkohematológie Univerzitnej nemocnice L. Pasteura Košice, Hematologickom oddelení Fakultnej nemocnice s poliklinikou F. D. Roosevelta  Banská Bystrica, Klinike hematológie a transfúziológie  Univerzitnej nemocnice Martin.</w:t>
            </w:r>
          </w:p>
          <w:p w14:paraId="6A5B4747" w14:textId="77777777" w:rsidR="008645BA" w:rsidRPr="009B50C3" w:rsidRDefault="008645BA" w:rsidP="008645BA">
            <w:pPr>
              <w:pStyle w:val="Default"/>
              <w:jc w:val="both"/>
              <w:rPr>
                <w:color w:val="auto"/>
                <w:sz w:val="20"/>
                <w:szCs w:val="20"/>
                <w:lang w:val="sk-SK"/>
              </w:rPr>
            </w:pPr>
          </w:p>
          <w:p w14:paraId="70EED1FA" w14:textId="77777777" w:rsidR="008645BA" w:rsidRDefault="008645BA" w:rsidP="008645BA">
            <w:pPr>
              <w:pStyle w:val="Default"/>
              <w:jc w:val="both"/>
              <w:rPr>
                <w:color w:val="auto"/>
                <w:sz w:val="20"/>
                <w:szCs w:val="20"/>
                <w:lang w:val="sk-SK"/>
              </w:rPr>
            </w:pPr>
            <w:r w:rsidRPr="009B50C3">
              <w:rPr>
                <w:color w:val="auto"/>
                <w:sz w:val="20"/>
                <w:szCs w:val="20"/>
                <w:lang w:val="sk-SK"/>
              </w:rPr>
              <w:t>Hradená liečba podlieha predchádzajúcemu súhlasu zdravotnej poisťovne</w:t>
            </w:r>
          </w:p>
          <w:p w14:paraId="4ACA5C6A" w14:textId="706F17BE" w:rsidR="008645BA" w:rsidRPr="0000591E" w:rsidRDefault="008645BA" w:rsidP="008645BA">
            <w:pPr>
              <w:pStyle w:val="Default"/>
              <w:jc w:val="both"/>
              <w:rPr>
                <w:b/>
                <w:color w:val="auto"/>
                <w:sz w:val="20"/>
                <w:szCs w:val="20"/>
              </w:rPr>
            </w:pPr>
          </w:p>
        </w:tc>
      </w:tr>
      <w:tr w:rsidR="008645BA" w:rsidRPr="0000591E" w14:paraId="79BD79B0" w14:textId="77777777" w:rsidTr="003F7925">
        <w:trPr>
          <w:gridAfter w:val="2"/>
          <w:wAfter w:w="154" w:type="dxa"/>
          <w:trHeight w:val="20"/>
        </w:trPr>
        <w:tc>
          <w:tcPr>
            <w:tcW w:w="1256" w:type="dxa"/>
            <w:tcBorders>
              <w:bottom w:val="single" w:sz="4" w:space="0" w:color="auto"/>
            </w:tcBorders>
            <w:noWrap/>
            <w:vAlign w:val="bottom"/>
          </w:tcPr>
          <w:p w14:paraId="1627E8FF"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B02BD01</w:t>
            </w:r>
          </w:p>
        </w:tc>
        <w:tc>
          <w:tcPr>
            <w:tcW w:w="9452" w:type="dxa"/>
            <w:tcBorders>
              <w:bottom w:val="single" w:sz="4" w:space="0" w:color="auto"/>
            </w:tcBorders>
            <w:noWrap/>
            <w:vAlign w:val="bottom"/>
          </w:tcPr>
          <w:p w14:paraId="14223423"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Koagulačné faktory IX., II.,VII. a X. v kombinácii </w:t>
            </w:r>
            <w:r w:rsidRPr="00233954">
              <w:rPr>
                <w:rFonts w:ascii="Arial" w:hAnsi="Arial" w:cs="Arial"/>
                <w:b/>
                <w:bCs/>
                <w:sz w:val="20"/>
                <w:szCs w:val="20"/>
              </w:rPr>
              <w:t>parent. 500 IU 6-14 mg/ml</w:t>
            </w:r>
            <w:r>
              <w:rPr>
                <w:rFonts w:ascii="Arial" w:hAnsi="Arial" w:cs="Arial"/>
                <w:b/>
                <w:bCs/>
                <w:sz w:val="20"/>
                <w:szCs w:val="20"/>
              </w:rPr>
              <w:t>,</w:t>
            </w:r>
          </w:p>
          <w:p w14:paraId="7F36F0B6"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Koagulačné faktory IX., II.,VII. a X. v kombinácii </w:t>
            </w:r>
            <w:r w:rsidRPr="00233954">
              <w:rPr>
                <w:rFonts w:ascii="Arial" w:hAnsi="Arial" w:cs="Arial"/>
                <w:b/>
                <w:bCs/>
                <w:sz w:val="20"/>
                <w:szCs w:val="20"/>
              </w:rPr>
              <w:t>parent. 500 IU 13-41 mg/ml</w:t>
            </w:r>
          </w:p>
        </w:tc>
      </w:tr>
      <w:tr w:rsidR="008645BA" w:rsidRPr="0000591E" w14:paraId="7A6C0B02" w14:textId="77777777" w:rsidTr="003F7925">
        <w:trPr>
          <w:gridAfter w:val="2"/>
          <w:wAfter w:w="154" w:type="dxa"/>
          <w:trHeight w:val="20"/>
        </w:trPr>
        <w:tc>
          <w:tcPr>
            <w:tcW w:w="1256" w:type="dxa"/>
            <w:tcBorders>
              <w:top w:val="single" w:sz="4" w:space="0" w:color="auto"/>
            </w:tcBorders>
            <w:noWrap/>
            <w:vAlign w:val="bottom"/>
          </w:tcPr>
          <w:p w14:paraId="74F253A3"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0F7F9A6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profylaxii a liečbe krvácavých stavov spôsobených vrodeným alebo získaným, izolovaným alebo kombinovaným nedostatkom koagulačných faktorov II., VII., IX. a X.</w:t>
            </w:r>
          </w:p>
          <w:p w14:paraId="3369A20A" w14:textId="77777777" w:rsidR="008645BA" w:rsidRDefault="008645BA" w:rsidP="008645BA">
            <w:pPr>
              <w:jc w:val="both"/>
              <w:rPr>
                <w:rFonts w:ascii="Arial" w:hAnsi="Arial" w:cs="Arial"/>
                <w:sz w:val="20"/>
                <w:szCs w:val="20"/>
              </w:rPr>
            </w:pPr>
          </w:p>
          <w:p w14:paraId="466399AB" w14:textId="77777777" w:rsidR="00E838DE" w:rsidRDefault="00E838DE" w:rsidP="008645BA">
            <w:pPr>
              <w:jc w:val="both"/>
              <w:rPr>
                <w:rFonts w:ascii="Arial" w:hAnsi="Arial" w:cs="Arial"/>
                <w:sz w:val="20"/>
                <w:szCs w:val="20"/>
              </w:rPr>
            </w:pPr>
          </w:p>
          <w:p w14:paraId="1FFC540B" w14:textId="77777777" w:rsidR="00E838DE" w:rsidRDefault="00E838DE" w:rsidP="008645BA">
            <w:pPr>
              <w:jc w:val="both"/>
              <w:rPr>
                <w:rFonts w:ascii="Arial" w:hAnsi="Arial" w:cs="Arial"/>
                <w:sz w:val="20"/>
                <w:szCs w:val="20"/>
              </w:rPr>
            </w:pPr>
          </w:p>
          <w:p w14:paraId="2D539446" w14:textId="77777777" w:rsidR="00E838DE" w:rsidRPr="0000591E" w:rsidRDefault="00E838DE" w:rsidP="008645BA">
            <w:pPr>
              <w:jc w:val="both"/>
              <w:rPr>
                <w:rFonts w:ascii="Arial" w:hAnsi="Arial" w:cs="Arial"/>
                <w:sz w:val="20"/>
                <w:szCs w:val="20"/>
              </w:rPr>
            </w:pPr>
          </w:p>
        </w:tc>
      </w:tr>
      <w:tr w:rsidR="008645BA" w:rsidRPr="0000591E" w14:paraId="649F2FD9" w14:textId="77777777" w:rsidTr="003F7925">
        <w:trPr>
          <w:gridAfter w:val="2"/>
          <w:wAfter w:w="154" w:type="dxa"/>
          <w:trHeight w:val="20"/>
        </w:trPr>
        <w:tc>
          <w:tcPr>
            <w:tcW w:w="1256" w:type="dxa"/>
            <w:tcBorders>
              <w:bottom w:val="single" w:sz="4" w:space="0" w:color="auto"/>
            </w:tcBorders>
            <w:noWrap/>
            <w:vAlign w:val="bottom"/>
          </w:tcPr>
          <w:p w14:paraId="1DEF33C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B02BD02</w:t>
            </w:r>
          </w:p>
        </w:tc>
        <w:tc>
          <w:tcPr>
            <w:tcW w:w="9452" w:type="dxa"/>
            <w:tcBorders>
              <w:bottom w:val="single" w:sz="4" w:space="0" w:color="auto"/>
            </w:tcBorders>
            <w:noWrap/>
            <w:vAlign w:val="bottom"/>
          </w:tcPr>
          <w:p w14:paraId="7CA324D9" w14:textId="77777777" w:rsidR="008645BA" w:rsidRDefault="008645BA" w:rsidP="008645B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VIII. parent. 250 IU</w:t>
            </w:r>
            <w:r>
              <w:rPr>
                <w:rFonts w:ascii="Arial" w:hAnsi="Arial" w:cs="Arial"/>
                <w:b/>
                <w:bCs/>
                <w:sz w:val="20"/>
                <w:szCs w:val="20"/>
              </w:rPr>
              <w:t xml:space="preserve"> </w:t>
            </w:r>
            <w:r w:rsidRPr="00732280">
              <w:rPr>
                <w:rFonts w:ascii="Arial" w:hAnsi="Arial" w:cs="Arial"/>
                <w:b/>
                <w:bCs/>
                <w:sz w:val="20"/>
                <w:szCs w:val="20"/>
              </w:rPr>
              <w:t>vWF ≤ 30 IU/ml</w:t>
            </w:r>
            <w:r w:rsidRPr="0000591E">
              <w:rPr>
                <w:rFonts w:ascii="Arial" w:hAnsi="Arial" w:cs="Arial"/>
                <w:b/>
                <w:bCs/>
                <w:sz w:val="20"/>
                <w:szCs w:val="20"/>
              </w:rPr>
              <w:t>,</w:t>
            </w:r>
          </w:p>
          <w:p w14:paraId="19C98FD2"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 xml:space="preserve">Koagulačný faktor VIII. parent. 1000 </w:t>
            </w:r>
            <w:r w:rsidRPr="00732280">
              <w:rPr>
                <w:rFonts w:ascii="Arial" w:hAnsi="Arial" w:cs="Arial"/>
                <w:b/>
                <w:bCs/>
                <w:sz w:val="20"/>
                <w:szCs w:val="20"/>
              </w:rPr>
              <w:t>vWF ≤ 60 IU/ml</w:t>
            </w:r>
          </w:p>
        </w:tc>
      </w:tr>
      <w:tr w:rsidR="008645BA" w:rsidRPr="0000591E" w14:paraId="4D5D18D8" w14:textId="77777777" w:rsidTr="003F7925">
        <w:trPr>
          <w:gridAfter w:val="2"/>
          <w:wAfter w:w="154" w:type="dxa"/>
          <w:trHeight w:val="20"/>
        </w:trPr>
        <w:tc>
          <w:tcPr>
            <w:tcW w:w="1256" w:type="dxa"/>
            <w:tcBorders>
              <w:top w:val="single" w:sz="4" w:space="0" w:color="auto"/>
            </w:tcBorders>
            <w:noWrap/>
            <w:vAlign w:val="bottom"/>
          </w:tcPr>
          <w:p w14:paraId="49FB7963"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4F6CB7D6"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profylaxii a liečbe krvácavých stavov spôsobených vrodeným alebo získaným nedostatkom faktoru VIII (hemofília A).</w:t>
            </w:r>
          </w:p>
          <w:p w14:paraId="18D563A9" w14:textId="77777777" w:rsidR="007174B1" w:rsidRPr="0000591E" w:rsidRDefault="007174B1" w:rsidP="008645BA">
            <w:pPr>
              <w:jc w:val="both"/>
              <w:rPr>
                <w:rFonts w:ascii="Arial" w:hAnsi="Arial" w:cs="Arial"/>
                <w:b/>
                <w:bCs/>
                <w:sz w:val="20"/>
                <w:szCs w:val="20"/>
              </w:rPr>
            </w:pPr>
          </w:p>
        </w:tc>
      </w:tr>
      <w:tr w:rsidR="008645BA" w:rsidRPr="0000591E" w14:paraId="4DCA7C18" w14:textId="77777777" w:rsidTr="003F7925">
        <w:trPr>
          <w:gridAfter w:val="2"/>
          <w:wAfter w:w="154" w:type="dxa"/>
          <w:trHeight w:val="20"/>
        </w:trPr>
        <w:tc>
          <w:tcPr>
            <w:tcW w:w="1256" w:type="dxa"/>
            <w:tcBorders>
              <w:bottom w:val="single" w:sz="4" w:space="0" w:color="auto"/>
            </w:tcBorders>
            <w:noWrap/>
            <w:vAlign w:val="bottom"/>
          </w:tcPr>
          <w:p w14:paraId="078EF72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lastRenderedPageBreak/>
              <w:t>B02BD02</w:t>
            </w:r>
          </w:p>
        </w:tc>
        <w:tc>
          <w:tcPr>
            <w:tcW w:w="9452" w:type="dxa"/>
            <w:tcBorders>
              <w:bottom w:val="single" w:sz="4" w:space="0" w:color="auto"/>
            </w:tcBorders>
            <w:noWrap/>
            <w:vAlign w:val="bottom"/>
          </w:tcPr>
          <w:p w14:paraId="12AB6C9B" w14:textId="77777777" w:rsidR="008645BA" w:rsidRDefault="008645BA" w:rsidP="008645B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VIII. parent. rekomb. 250 IU</w:t>
            </w:r>
            <w:r>
              <w:rPr>
                <w:rFonts w:ascii="Arial" w:hAnsi="Arial" w:cs="Arial"/>
                <w:b/>
                <w:bCs/>
                <w:sz w:val="20"/>
                <w:szCs w:val="20"/>
              </w:rPr>
              <w:t xml:space="preserve"> </w:t>
            </w:r>
            <w:r w:rsidRPr="00971078">
              <w:rPr>
                <w:rFonts w:ascii="Arial" w:hAnsi="Arial" w:cs="Arial"/>
                <w:b/>
                <w:bCs/>
                <w:sz w:val="20"/>
                <w:szCs w:val="20"/>
              </w:rPr>
              <w:t>(alfaktokog)</w:t>
            </w:r>
            <w:r w:rsidRPr="0000591E">
              <w:rPr>
                <w:rFonts w:ascii="Arial" w:hAnsi="Arial" w:cs="Arial"/>
                <w:b/>
                <w:bCs/>
                <w:sz w:val="20"/>
                <w:szCs w:val="20"/>
              </w:rPr>
              <w:t>,</w:t>
            </w:r>
          </w:p>
          <w:p w14:paraId="557231F3"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250 IU (turoktokog alfa)</w:t>
            </w:r>
            <w:r>
              <w:rPr>
                <w:rFonts w:ascii="Arial" w:hAnsi="Arial" w:cs="Arial"/>
                <w:b/>
                <w:bCs/>
                <w:sz w:val="20"/>
                <w:szCs w:val="20"/>
              </w:rPr>
              <w:t>,</w:t>
            </w:r>
          </w:p>
          <w:p w14:paraId="18F32799"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250 IU (simoktokog alfa)</w:t>
            </w:r>
            <w:r>
              <w:rPr>
                <w:rFonts w:ascii="Arial" w:hAnsi="Arial" w:cs="Arial"/>
                <w:b/>
                <w:bCs/>
                <w:sz w:val="20"/>
                <w:szCs w:val="20"/>
              </w:rPr>
              <w:t>,</w:t>
            </w:r>
          </w:p>
          <w:p w14:paraId="4342D6C6" w14:textId="77777777" w:rsidR="008645BA" w:rsidRPr="0000591E"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250 IU (moroktokog alfa)</w:t>
            </w:r>
            <w:r>
              <w:rPr>
                <w:rFonts w:ascii="Arial" w:hAnsi="Arial" w:cs="Arial"/>
                <w:b/>
                <w:bCs/>
                <w:sz w:val="20"/>
                <w:szCs w:val="20"/>
              </w:rPr>
              <w:t>,</w:t>
            </w:r>
          </w:p>
          <w:p w14:paraId="76363AA0"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500 IU (alfaktokog)</w:t>
            </w:r>
            <w:r w:rsidRPr="0000591E">
              <w:rPr>
                <w:rFonts w:ascii="Arial" w:hAnsi="Arial" w:cs="Arial"/>
                <w:b/>
                <w:bCs/>
                <w:sz w:val="20"/>
                <w:szCs w:val="20"/>
              </w:rPr>
              <w:t>,</w:t>
            </w:r>
          </w:p>
          <w:p w14:paraId="1973FE05"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500 IU (turoktokog alfa)</w:t>
            </w:r>
            <w:r>
              <w:rPr>
                <w:rFonts w:ascii="Arial" w:hAnsi="Arial" w:cs="Arial"/>
                <w:b/>
                <w:bCs/>
                <w:sz w:val="20"/>
                <w:szCs w:val="20"/>
              </w:rPr>
              <w:t>,</w:t>
            </w:r>
          </w:p>
          <w:p w14:paraId="11E4BCE4"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500 IU (simoktokog alfa)</w:t>
            </w:r>
            <w:r>
              <w:rPr>
                <w:rFonts w:ascii="Arial" w:hAnsi="Arial" w:cs="Arial"/>
                <w:b/>
                <w:bCs/>
                <w:sz w:val="20"/>
                <w:szCs w:val="20"/>
              </w:rPr>
              <w:t>,</w:t>
            </w:r>
          </w:p>
          <w:p w14:paraId="0F2F3DB7" w14:textId="77777777" w:rsidR="008645BA" w:rsidRPr="0000591E"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500 IU (moroktokog alfa)</w:t>
            </w:r>
            <w:r>
              <w:rPr>
                <w:rFonts w:ascii="Arial" w:hAnsi="Arial" w:cs="Arial"/>
                <w:b/>
                <w:bCs/>
                <w:sz w:val="20"/>
                <w:szCs w:val="20"/>
              </w:rPr>
              <w:t>,</w:t>
            </w:r>
          </w:p>
          <w:p w14:paraId="225F4284"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1000 IU (alfaktokog)</w:t>
            </w:r>
            <w:r>
              <w:rPr>
                <w:rFonts w:ascii="Arial" w:hAnsi="Arial" w:cs="Arial"/>
                <w:b/>
                <w:bCs/>
                <w:sz w:val="20"/>
                <w:szCs w:val="20"/>
              </w:rPr>
              <w:t>,</w:t>
            </w:r>
          </w:p>
          <w:p w14:paraId="3B877BCC"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1000 IU (turoktokog alfa)</w:t>
            </w:r>
            <w:r>
              <w:rPr>
                <w:rFonts w:ascii="Arial" w:hAnsi="Arial" w:cs="Arial"/>
                <w:b/>
                <w:bCs/>
                <w:sz w:val="20"/>
                <w:szCs w:val="20"/>
              </w:rPr>
              <w:t>,</w:t>
            </w:r>
          </w:p>
          <w:p w14:paraId="57A523A4"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1000 IU (simoktokog alfa)</w:t>
            </w:r>
            <w:r>
              <w:rPr>
                <w:rFonts w:ascii="Arial" w:hAnsi="Arial" w:cs="Arial"/>
                <w:b/>
                <w:bCs/>
                <w:sz w:val="20"/>
                <w:szCs w:val="20"/>
              </w:rPr>
              <w:t>,</w:t>
            </w:r>
          </w:p>
          <w:p w14:paraId="75551EF2"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1000 IU (moroktokog alfa)</w:t>
            </w:r>
            <w:r>
              <w:rPr>
                <w:rFonts w:ascii="Arial" w:hAnsi="Arial" w:cs="Arial"/>
                <w:b/>
                <w:bCs/>
                <w:sz w:val="20"/>
                <w:szCs w:val="20"/>
              </w:rPr>
              <w:t>,</w:t>
            </w:r>
          </w:p>
          <w:p w14:paraId="5D9117FB"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1500 IU (alfaktokog)</w:t>
            </w:r>
            <w:r>
              <w:rPr>
                <w:rFonts w:ascii="Arial" w:hAnsi="Arial" w:cs="Arial"/>
                <w:b/>
                <w:bCs/>
                <w:sz w:val="20"/>
                <w:szCs w:val="20"/>
              </w:rPr>
              <w:t>,</w:t>
            </w:r>
          </w:p>
          <w:p w14:paraId="2251F1F2"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Koagulačný faktor VIII. parent. rekomb. 2000 IU (simoktokog alfa)</w:t>
            </w:r>
          </w:p>
          <w:p w14:paraId="3CBB8AC2"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rekomb. </w:t>
            </w:r>
            <w:r>
              <w:rPr>
                <w:rFonts w:ascii="Arial" w:hAnsi="Arial" w:cs="Arial"/>
                <w:b/>
                <w:bCs/>
                <w:sz w:val="20"/>
                <w:szCs w:val="20"/>
              </w:rPr>
              <w:t>3</w:t>
            </w:r>
            <w:r w:rsidRPr="00971078">
              <w:rPr>
                <w:rFonts w:ascii="Arial" w:hAnsi="Arial" w:cs="Arial"/>
                <w:b/>
                <w:bCs/>
                <w:sz w:val="20"/>
                <w:szCs w:val="20"/>
              </w:rPr>
              <w:t>000 IU (</w:t>
            </w:r>
            <w:r>
              <w:rPr>
                <w:rFonts w:ascii="Arial" w:hAnsi="Arial" w:cs="Arial"/>
                <w:b/>
                <w:bCs/>
                <w:sz w:val="20"/>
                <w:szCs w:val="20"/>
              </w:rPr>
              <w:t>alfaoktokog</w:t>
            </w:r>
            <w:r w:rsidRPr="00971078">
              <w:rPr>
                <w:rFonts w:ascii="Arial" w:hAnsi="Arial" w:cs="Arial"/>
                <w:b/>
                <w:bCs/>
                <w:sz w:val="20"/>
                <w:szCs w:val="20"/>
              </w:rPr>
              <w:t>)</w:t>
            </w:r>
          </w:p>
          <w:p w14:paraId="01C71703" w14:textId="77777777" w:rsidR="008645BA" w:rsidRPr="0000591E"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rekomb. </w:t>
            </w:r>
            <w:r>
              <w:rPr>
                <w:rFonts w:ascii="Arial" w:hAnsi="Arial" w:cs="Arial"/>
                <w:b/>
                <w:bCs/>
                <w:sz w:val="20"/>
                <w:szCs w:val="20"/>
              </w:rPr>
              <w:t>2</w:t>
            </w:r>
            <w:r w:rsidRPr="00971078">
              <w:rPr>
                <w:rFonts w:ascii="Arial" w:hAnsi="Arial" w:cs="Arial"/>
                <w:b/>
                <w:bCs/>
                <w:sz w:val="20"/>
                <w:szCs w:val="20"/>
              </w:rPr>
              <w:t>000 IU (alfa</w:t>
            </w:r>
            <w:r>
              <w:rPr>
                <w:rFonts w:ascii="Arial" w:hAnsi="Arial" w:cs="Arial"/>
                <w:b/>
                <w:bCs/>
                <w:sz w:val="20"/>
                <w:szCs w:val="20"/>
              </w:rPr>
              <w:t>o</w:t>
            </w:r>
            <w:r w:rsidRPr="00971078">
              <w:rPr>
                <w:rFonts w:ascii="Arial" w:hAnsi="Arial" w:cs="Arial"/>
                <w:b/>
                <w:bCs/>
                <w:sz w:val="20"/>
                <w:szCs w:val="20"/>
              </w:rPr>
              <w:t>ktokog)</w:t>
            </w:r>
          </w:p>
        </w:tc>
      </w:tr>
      <w:tr w:rsidR="008645BA" w:rsidRPr="0000591E" w14:paraId="09FFDF86" w14:textId="77777777" w:rsidTr="003F7925">
        <w:trPr>
          <w:gridAfter w:val="2"/>
          <w:wAfter w:w="154" w:type="dxa"/>
          <w:trHeight w:val="20"/>
        </w:trPr>
        <w:tc>
          <w:tcPr>
            <w:tcW w:w="1256" w:type="dxa"/>
            <w:tcBorders>
              <w:top w:val="single" w:sz="4" w:space="0" w:color="auto"/>
            </w:tcBorders>
            <w:noWrap/>
            <w:vAlign w:val="bottom"/>
          </w:tcPr>
          <w:p w14:paraId="6C0792CA"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27997D75" w14:textId="77777777" w:rsidR="008645BA" w:rsidRDefault="008645BA" w:rsidP="003F2624">
            <w:pPr>
              <w:jc w:val="both"/>
              <w:rPr>
                <w:rFonts w:ascii="Arial" w:hAnsi="Arial" w:cs="Arial"/>
                <w:sz w:val="20"/>
                <w:szCs w:val="20"/>
              </w:rPr>
            </w:pPr>
            <w:r w:rsidRPr="0000591E">
              <w:rPr>
                <w:rFonts w:ascii="Arial" w:hAnsi="Arial" w:cs="Arial"/>
                <w:sz w:val="20"/>
                <w:szCs w:val="20"/>
              </w:rPr>
              <w:t>Hradená liečba sa môže indikovať pri profylaxii a liečbe krvácavých stavov spôsobených vrodeným nedostatkom faktoru VIII. (okrem von Willebrandovej choroby).</w:t>
            </w:r>
          </w:p>
          <w:p w14:paraId="398DA501" w14:textId="2F371569" w:rsidR="007174B1" w:rsidRPr="0000591E" w:rsidRDefault="007174B1" w:rsidP="003F2624">
            <w:pPr>
              <w:jc w:val="both"/>
              <w:rPr>
                <w:rFonts w:ascii="Arial" w:hAnsi="Arial" w:cs="Arial"/>
                <w:sz w:val="20"/>
                <w:szCs w:val="20"/>
              </w:rPr>
            </w:pPr>
          </w:p>
        </w:tc>
      </w:tr>
      <w:tr w:rsidR="008645BA" w:rsidRPr="0000591E" w14:paraId="49D32C5C" w14:textId="77777777" w:rsidTr="003F7925">
        <w:trPr>
          <w:gridAfter w:val="2"/>
          <w:wAfter w:w="154" w:type="dxa"/>
          <w:trHeight w:val="20"/>
        </w:trPr>
        <w:tc>
          <w:tcPr>
            <w:tcW w:w="1256" w:type="dxa"/>
            <w:tcBorders>
              <w:bottom w:val="single" w:sz="4" w:space="0" w:color="auto"/>
            </w:tcBorders>
            <w:noWrap/>
            <w:vAlign w:val="bottom"/>
          </w:tcPr>
          <w:p w14:paraId="382EC816" w14:textId="77777777" w:rsidR="008645BA" w:rsidRDefault="008645BA" w:rsidP="008645BA">
            <w:pPr>
              <w:jc w:val="both"/>
              <w:rPr>
                <w:rFonts w:ascii="Arial" w:hAnsi="Arial" w:cs="Arial"/>
                <w:sz w:val="20"/>
                <w:szCs w:val="20"/>
              </w:rPr>
            </w:pPr>
            <w:r>
              <w:rPr>
                <w:rFonts w:ascii="Arial" w:hAnsi="Arial" w:cs="Arial"/>
                <w:sz w:val="20"/>
                <w:szCs w:val="20"/>
              </w:rPr>
              <w:t xml:space="preserve">     </w:t>
            </w:r>
          </w:p>
          <w:p w14:paraId="75BEB481" w14:textId="77777777" w:rsidR="008645BA" w:rsidRDefault="008645BA" w:rsidP="008645BA">
            <w:pPr>
              <w:jc w:val="both"/>
              <w:rPr>
                <w:rFonts w:ascii="Arial" w:hAnsi="Arial" w:cs="Arial"/>
                <w:sz w:val="20"/>
                <w:szCs w:val="20"/>
              </w:rPr>
            </w:pPr>
          </w:p>
          <w:p w14:paraId="301FA1C4" w14:textId="77777777" w:rsidR="008645BA" w:rsidRDefault="008645BA" w:rsidP="008645BA">
            <w:pPr>
              <w:jc w:val="both"/>
              <w:rPr>
                <w:rFonts w:ascii="Arial" w:hAnsi="Arial" w:cs="Arial"/>
                <w:sz w:val="20"/>
                <w:szCs w:val="20"/>
              </w:rPr>
            </w:pPr>
          </w:p>
          <w:p w14:paraId="488D9B11" w14:textId="77777777" w:rsidR="008645BA" w:rsidRPr="002871CD" w:rsidRDefault="008645BA" w:rsidP="008645BA">
            <w:pPr>
              <w:jc w:val="both"/>
              <w:rPr>
                <w:rFonts w:ascii="Arial" w:hAnsi="Arial" w:cs="Arial"/>
                <w:b/>
                <w:sz w:val="20"/>
                <w:szCs w:val="20"/>
              </w:rPr>
            </w:pPr>
            <w:r>
              <w:rPr>
                <w:rFonts w:ascii="Arial" w:hAnsi="Arial" w:cs="Arial"/>
                <w:sz w:val="20"/>
                <w:szCs w:val="20"/>
              </w:rPr>
              <w:t xml:space="preserve"> </w:t>
            </w:r>
            <w:r w:rsidRPr="002871CD">
              <w:rPr>
                <w:rFonts w:ascii="Arial" w:hAnsi="Arial" w:cs="Arial"/>
                <w:b/>
                <w:sz w:val="20"/>
                <w:szCs w:val="20"/>
              </w:rPr>
              <w:t>B02BD02</w:t>
            </w:r>
          </w:p>
        </w:tc>
        <w:tc>
          <w:tcPr>
            <w:tcW w:w="9452" w:type="dxa"/>
            <w:tcBorders>
              <w:bottom w:val="single" w:sz="4" w:space="0" w:color="auto"/>
            </w:tcBorders>
          </w:tcPr>
          <w:p w14:paraId="7B82C439"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 250 IU rFVIIIFc (efmoroctocogum alfa)</w:t>
            </w:r>
          </w:p>
          <w:p w14:paraId="62AEB1DF"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 500 IU rFVIIIFc (efmoroctocogum alfa)</w:t>
            </w:r>
          </w:p>
          <w:p w14:paraId="62EA98E4"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 1000 IU rFVIIIFc (efmoroctocogum alfa)</w:t>
            </w:r>
          </w:p>
          <w:p w14:paraId="5CF85DB6"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 1500 IU rFVIIIFc (efmoroctocogum alfa)</w:t>
            </w:r>
          </w:p>
          <w:p w14:paraId="3F2FE4C3"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 2000 IU rFVIIIFc (efmoroctocogum alfa)</w:t>
            </w:r>
          </w:p>
          <w:p w14:paraId="2B67D7EB"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 3000 IU rFVIIIFc (efmoroctocogum alfa)</w:t>
            </w:r>
          </w:p>
        </w:tc>
      </w:tr>
      <w:tr w:rsidR="008645BA" w:rsidRPr="0000591E" w14:paraId="1B86CF86" w14:textId="77777777" w:rsidTr="003F7925">
        <w:trPr>
          <w:gridAfter w:val="2"/>
          <w:wAfter w:w="154" w:type="dxa"/>
          <w:trHeight w:val="20"/>
        </w:trPr>
        <w:tc>
          <w:tcPr>
            <w:tcW w:w="1256" w:type="dxa"/>
            <w:tcBorders>
              <w:top w:val="single" w:sz="4" w:space="0" w:color="auto"/>
            </w:tcBorders>
            <w:noWrap/>
            <w:vAlign w:val="bottom"/>
          </w:tcPr>
          <w:p w14:paraId="4559A508"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1B1CF50E" w14:textId="77777777" w:rsidR="008645BA" w:rsidRDefault="008645BA" w:rsidP="008645BA">
            <w:pPr>
              <w:jc w:val="both"/>
              <w:rPr>
                <w:rFonts w:ascii="Arial" w:hAnsi="Arial" w:cs="Arial"/>
                <w:sz w:val="20"/>
                <w:szCs w:val="20"/>
              </w:rPr>
            </w:pPr>
            <w:r w:rsidRPr="002871CD">
              <w:rPr>
                <w:rFonts w:ascii="Arial" w:hAnsi="Arial" w:cs="Arial"/>
                <w:sz w:val="20"/>
                <w:szCs w:val="20"/>
              </w:rPr>
              <w:t>Hradená liečba sa môže indikovať pri profylaxii a liečbe krvácavých stavov spôsobených vrodeným nedostatkom faktoru VIII. (okrem von Willebrandovej choroby).</w:t>
            </w:r>
          </w:p>
          <w:p w14:paraId="40F1E910" w14:textId="77777777" w:rsidR="008645BA" w:rsidRPr="0000591E" w:rsidRDefault="008645BA" w:rsidP="008645BA">
            <w:pPr>
              <w:rPr>
                <w:rFonts w:ascii="Arial" w:hAnsi="Arial" w:cs="Arial"/>
                <w:sz w:val="20"/>
                <w:szCs w:val="20"/>
              </w:rPr>
            </w:pPr>
          </w:p>
        </w:tc>
      </w:tr>
      <w:tr w:rsidR="008645BA" w:rsidRPr="0000591E" w14:paraId="351FD3DC" w14:textId="77777777" w:rsidTr="003F7925">
        <w:trPr>
          <w:gridAfter w:val="2"/>
          <w:wAfter w:w="154" w:type="dxa"/>
          <w:trHeight w:val="20"/>
        </w:trPr>
        <w:tc>
          <w:tcPr>
            <w:tcW w:w="1256" w:type="dxa"/>
            <w:noWrap/>
            <w:vAlign w:val="bottom"/>
          </w:tcPr>
          <w:p w14:paraId="1DD410D0" w14:textId="402D2268" w:rsidR="008645BA" w:rsidRDefault="008645BA" w:rsidP="008645BA">
            <w:pPr>
              <w:jc w:val="both"/>
              <w:rPr>
                <w:rFonts w:ascii="Arial" w:hAnsi="Arial" w:cs="Arial"/>
                <w:sz w:val="20"/>
                <w:szCs w:val="20"/>
              </w:rPr>
            </w:pPr>
            <w:r>
              <w:rPr>
                <w:rFonts w:ascii="Arial" w:hAnsi="Arial" w:cs="Arial"/>
                <w:sz w:val="20"/>
                <w:szCs w:val="20"/>
              </w:rPr>
              <w:t xml:space="preserve">   </w:t>
            </w:r>
          </w:p>
          <w:p w14:paraId="6B95B9D3" w14:textId="77777777" w:rsidR="008645BA" w:rsidRDefault="008645BA" w:rsidP="008645BA">
            <w:pPr>
              <w:jc w:val="both"/>
              <w:rPr>
                <w:rFonts w:ascii="Arial" w:hAnsi="Arial" w:cs="Arial"/>
                <w:sz w:val="20"/>
                <w:szCs w:val="20"/>
              </w:rPr>
            </w:pPr>
          </w:p>
          <w:p w14:paraId="22A6EE22" w14:textId="0B4E4622" w:rsidR="008645BA" w:rsidRPr="002871CD" w:rsidRDefault="008645BA" w:rsidP="008645BA">
            <w:pPr>
              <w:jc w:val="both"/>
              <w:rPr>
                <w:rFonts w:ascii="Arial" w:hAnsi="Arial" w:cs="Arial"/>
                <w:b/>
                <w:sz w:val="20"/>
                <w:szCs w:val="20"/>
              </w:rPr>
            </w:pPr>
            <w:r w:rsidRPr="002871CD">
              <w:rPr>
                <w:rFonts w:ascii="Arial" w:hAnsi="Arial" w:cs="Arial"/>
                <w:b/>
                <w:sz w:val="20"/>
                <w:szCs w:val="20"/>
              </w:rPr>
              <w:t>B02BD02</w:t>
            </w:r>
          </w:p>
        </w:tc>
        <w:tc>
          <w:tcPr>
            <w:tcW w:w="9452" w:type="dxa"/>
          </w:tcPr>
          <w:p w14:paraId="1C3B34C8" w14:textId="77777777" w:rsidR="008645BA" w:rsidRDefault="008645BA" w:rsidP="008645BA">
            <w:pPr>
              <w:rPr>
                <w:rFonts w:ascii="Arial" w:hAnsi="Arial" w:cs="Arial"/>
                <w:b/>
                <w:sz w:val="20"/>
                <w:szCs w:val="20"/>
              </w:rPr>
            </w:pPr>
            <w:r w:rsidRPr="002871CD">
              <w:rPr>
                <w:rFonts w:ascii="Arial" w:hAnsi="Arial" w:cs="Arial"/>
                <w:b/>
                <w:sz w:val="20"/>
                <w:szCs w:val="20"/>
              </w:rPr>
              <w:t xml:space="preserve">Koagulačný faktor VIII  </w:t>
            </w:r>
            <w:r w:rsidRPr="00995A34">
              <w:rPr>
                <w:rFonts w:ascii="Arial" w:hAnsi="Arial" w:cs="Arial"/>
                <w:b/>
                <w:sz w:val="20"/>
                <w:szCs w:val="20"/>
              </w:rPr>
              <w:t xml:space="preserve">parent. </w:t>
            </w:r>
            <w:r>
              <w:rPr>
                <w:rFonts w:ascii="Arial" w:hAnsi="Arial" w:cs="Arial"/>
                <w:b/>
                <w:sz w:val="20"/>
                <w:szCs w:val="20"/>
              </w:rPr>
              <w:t xml:space="preserve"> </w:t>
            </w:r>
            <w:r w:rsidRPr="00995A34">
              <w:rPr>
                <w:rFonts w:ascii="Arial" w:hAnsi="Arial" w:cs="Arial"/>
                <w:b/>
                <w:sz w:val="20"/>
                <w:szCs w:val="20"/>
              </w:rPr>
              <w:t xml:space="preserve">500 IU </w:t>
            </w:r>
            <w:r>
              <w:rPr>
                <w:rFonts w:ascii="Arial" w:hAnsi="Arial" w:cs="Arial"/>
                <w:b/>
                <w:sz w:val="20"/>
                <w:szCs w:val="20"/>
              </w:rPr>
              <w:t xml:space="preserve"> </w:t>
            </w:r>
            <w:r w:rsidRPr="00995A34">
              <w:rPr>
                <w:rFonts w:ascii="Arial" w:hAnsi="Arial" w:cs="Arial"/>
                <w:b/>
                <w:sz w:val="20"/>
                <w:szCs w:val="20"/>
              </w:rPr>
              <w:t>(rurioktokog alfa pegol)</w:t>
            </w:r>
          </w:p>
          <w:p w14:paraId="26649C46"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w:t>
            </w:r>
            <w:r w:rsidRPr="00995A34">
              <w:rPr>
                <w:rFonts w:ascii="Arial" w:hAnsi="Arial" w:cs="Arial"/>
                <w:b/>
                <w:sz w:val="20"/>
                <w:szCs w:val="20"/>
              </w:rPr>
              <w:t xml:space="preserve">parent. </w:t>
            </w:r>
            <w:r>
              <w:rPr>
                <w:rFonts w:ascii="Arial" w:hAnsi="Arial" w:cs="Arial"/>
                <w:b/>
                <w:sz w:val="20"/>
                <w:szCs w:val="20"/>
              </w:rPr>
              <w:t>10</w:t>
            </w:r>
            <w:r w:rsidRPr="00995A34">
              <w:rPr>
                <w:rFonts w:ascii="Arial" w:hAnsi="Arial" w:cs="Arial"/>
                <w:b/>
                <w:sz w:val="20"/>
                <w:szCs w:val="20"/>
              </w:rPr>
              <w:t>00 IU (rurioktokog alfa pegol)</w:t>
            </w:r>
          </w:p>
          <w:p w14:paraId="7CCBE512"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w:t>
            </w:r>
            <w:r w:rsidRPr="00995A34">
              <w:rPr>
                <w:rFonts w:ascii="Arial" w:hAnsi="Arial" w:cs="Arial"/>
                <w:b/>
                <w:sz w:val="20"/>
                <w:szCs w:val="20"/>
              </w:rPr>
              <w:t xml:space="preserve">parent. </w:t>
            </w:r>
            <w:r>
              <w:rPr>
                <w:rFonts w:ascii="Arial" w:hAnsi="Arial" w:cs="Arial"/>
                <w:b/>
                <w:sz w:val="20"/>
                <w:szCs w:val="20"/>
              </w:rPr>
              <w:t>30</w:t>
            </w:r>
            <w:r w:rsidRPr="00995A34">
              <w:rPr>
                <w:rFonts w:ascii="Arial" w:hAnsi="Arial" w:cs="Arial"/>
                <w:b/>
                <w:sz w:val="20"/>
                <w:szCs w:val="20"/>
              </w:rPr>
              <w:t>00 IU (rurioktokog alfa pegol)</w:t>
            </w:r>
          </w:p>
        </w:tc>
      </w:tr>
      <w:tr w:rsidR="008645BA" w:rsidRPr="0000591E" w14:paraId="1A671D38" w14:textId="77777777" w:rsidTr="003F7925">
        <w:trPr>
          <w:gridAfter w:val="2"/>
          <w:wAfter w:w="154" w:type="dxa"/>
          <w:trHeight w:val="20"/>
        </w:trPr>
        <w:tc>
          <w:tcPr>
            <w:tcW w:w="1256" w:type="dxa"/>
            <w:tcBorders>
              <w:top w:val="single" w:sz="4" w:space="0" w:color="auto"/>
            </w:tcBorders>
            <w:noWrap/>
            <w:vAlign w:val="bottom"/>
          </w:tcPr>
          <w:p w14:paraId="210F5D31"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43E7F3BE" w14:textId="77777777" w:rsidR="008645BA" w:rsidRDefault="008645BA" w:rsidP="008645BA">
            <w:pPr>
              <w:jc w:val="both"/>
              <w:rPr>
                <w:rFonts w:ascii="Arial" w:hAnsi="Arial" w:cs="Arial"/>
                <w:sz w:val="20"/>
                <w:szCs w:val="20"/>
              </w:rPr>
            </w:pPr>
            <w:r w:rsidRPr="00995A34">
              <w:rPr>
                <w:rFonts w:ascii="Arial" w:hAnsi="Arial" w:cs="Arial"/>
                <w:sz w:val="20"/>
                <w:szCs w:val="20"/>
              </w:rPr>
              <w:t>Hradená liečba sa môže indikovať pri profylaxii krvácania u pacientov s hemofíliou A (vrodený nedostatok faktora VIII) vo veku 12 rokov a starších.</w:t>
            </w:r>
          </w:p>
          <w:p w14:paraId="6576D21A" w14:textId="43483361" w:rsidR="008645BA" w:rsidRPr="0000591E" w:rsidRDefault="008645BA" w:rsidP="008645BA">
            <w:pPr>
              <w:jc w:val="both"/>
              <w:rPr>
                <w:rFonts w:ascii="Arial" w:hAnsi="Arial" w:cs="Arial"/>
                <w:sz w:val="20"/>
                <w:szCs w:val="20"/>
              </w:rPr>
            </w:pPr>
          </w:p>
        </w:tc>
      </w:tr>
      <w:tr w:rsidR="008645BA" w:rsidRPr="0000591E" w14:paraId="5DE0D089" w14:textId="77777777" w:rsidTr="003F7925">
        <w:trPr>
          <w:gridAfter w:val="2"/>
          <w:wAfter w:w="154" w:type="dxa"/>
          <w:trHeight w:val="20"/>
        </w:trPr>
        <w:tc>
          <w:tcPr>
            <w:tcW w:w="1256" w:type="dxa"/>
            <w:tcBorders>
              <w:bottom w:val="single" w:sz="4" w:space="0" w:color="auto"/>
            </w:tcBorders>
            <w:noWrap/>
            <w:vAlign w:val="bottom"/>
          </w:tcPr>
          <w:p w14:paraId="15707103" w14:textId="77777777" w:rsidR="008645BA" w:rsidRPr="0000591E" w:rsidRDefault="008645BA" w:rsidP="008645BA">
            <w:pPr>
              <w:jc w:val="both"/>
              <w:rPr>
                <w:rFonts w:ascii="Arial" w:hAnsi="Arial" w:cs="Arial"/>
                <w:sz w:val="20"/>
                <w:szCs w:val="20"/>
              </w:rPr>
            </w:pPr>
            <w:r w:rsidRPr="002871CD">
              <w:rPr>
                <w:rFonts w:ascii="Arial" w:hAnsi="Arial" w:cs="Arial"/>
                <w:b/>
                <w:sz w:val="20"/>
                <w:szCs w:val="20"/>
              </w:rPr>
              <w:t>B02BD02</w:t>
            </w:r>
          </w:p>
        </w:tc>
        <w:tc>
          <w:tcPr>
            <w:tcW w:w="9452" w:type="dxa"/>
            <w:tcBorders>
              <w:bottom w:val="single" w:sz="4" w:space="0" w:color="auto"/>
            </w:tcBorders>
          </w:tcPr>
          <w:p w14:paraId="3A1A0D5B"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10</w:t>
            </w:r>
            <w:r w:rsidRPr="002871CD">
              <w:rPr>
                <w:rFonts w:ascii="Arial" w:hAnsi="Arial" w:cs="Arial"/>
                <w:b/>
                <w:sz w:val="20"/>
                <w:szCs w:val="20"/>
              </w:rPr>
              <w:t>00 IU rFVIII (</w:t>
            </w:r>
            <w:r>
              <w:rPr>
                <w:rFonts w:ascii="Arial" w:hAnsi="Arial" w:cs="Arial"/>
                <w:b/>
                <w:sz w:val="20"/>
                <w:szCs w:val="20"/>
              </w:rPr>
              <w:t>lonoktog</w:t>
            </w:r>
            <w:r w:rsidRPr="002871CD">
              <w:rPr>
                <w:rFonts w:ascii="Arial" w:hAnsi="Arial" w:cs="Arial"/>
                <w:b/>
                <w:sz w:val="20"/>
                <w:szCs w:val="20"/>
              </w:rPr>
              <w:t xml:space="preserve"> alfa)</w:t>
            </w:r>
          </w:p>
          <w:p w14:paraId="147F347A"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200</w:t>
            </w:r>
            <w:r w:rsidRPr="002871CD">
              <w:rPr>
                <w:rFonts w:ascii="Arial" w:hAnsi="Arial" w:cs="Arial"/>
                <w:b/>
                <w:sz w:val="20"/>
                <w:szCs w:val="20"/>
              </w:rPr>
              <w:t>0 IU rFVIII (</w:t>
            </w:r>
            <w:r>
              <w:rPr>
                <w:rFonts w:ascii="Arial" w:hAnsi="Arial" w:cs="Arial"/>
                <w:b/>
                <w:sz w:val="20"/>
                <w:szCs w:val="20"/>
              </w:rPr>
              <w:t>lonoktog</w:t>
            </w:r>
            <w:r w:rsidRPr="002871CD">
              <w:rPr>
                <w:rFonts w:ascii="Arial" w:hAnsi="Arial" w:cs="Arial"/>
                <w:b/>
                <w:sz w:val="20"/>
                <w:szCs w:val="20"/>
              </w:rPr>
              <w:t xml:space="preserve"> alfa)</w:t>
            </w:r>
          </w:p>
          <w:p w14:paraId="6F0CECAE" w14:textId="77777777" w:rsidR="008645BA" w:rsidRPr="003A6183"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w:t>
            </w:r>
            <w:r w:rsidRPr="002871CD">
              <w:rPr>
                <w:rFonts w:ascii="Arial" w:hAnsi="Arial" w:cs="Arial"/>
                <w:b/>
                <w:sz w:val="20"/>
                <w:szCs w:val="20"/>
              </w:rPr>
              <w:t xml:space="preserve"> </w:t>
            </w:r>
            <w:r>
              <w:rPr>
                <w:rFonts w:ascii="Arial" w:hAnsi="Arial" w:cs="Arial"/>
                <w:b/>
                <w:sz w:val="20"/>
                <w:szCs w:val="20"/>
              </w:rPr>
              <w:t>rekombinantný 30</w:t>
            </w:r>
            <w:r w:rsidRPr="002871CD">
              <w:rPr>
                <w:rFonts w:ascii="Arial" w:hAnsi="Arial" w:cs="Arial"/>
                <w:b/>
                <w:sz w:val="20"/>
                <w:szCs w:val="20"/>
              </w:rPr>
              <w:t>00 IU rFVIII (</w:t>
            </w:r>
            <w:r>
              <w:rPr>
                <w:rFonts w:ascii="Arial" w:hAnsi="Arial" w:cs="Arial"/>
                <w:b/>
                <w:sz w:val="20"/>
                <w:szCs w:val="20"/>
              </w:rPr>
              <w:t>lonoktog</w:t>
            </w:r>
            <w:r w:rsidRPr="002871CD">
              <w:rPr>
                <w:rFonts w:ascii="Arial" w:hAnsi="Arial" w:cs="Arial"/>
                <w:b/>
                <w:sz w:val="20"/>
                <w:szCs w:val="20"/>
              </w:rPr>
              <w:t xml:space="preserve"> alfa)</w:t>
            </w:r>
          </w:p>
        </w:tc>
      </w:tr>
      <w:tr w:rsidR="008645BA" w:rsidRPr="0000591E" w14:paraId="3496892E" w14:textId="77777777" w:rsidTr="003F7925">
        <w:trPr>
          <w:gridAfter w:val="2"/>
          <w:wAfter w:w="154" w:type="dxa"/>
          <w:trHeight w:val="20"/>
        </w:trPr>
        <w:tc>
          <w:tcPr>
            <w:tcW w:w="1256" w:type="dxa"/>
            <w:tcBorders>
              <w:top w:val="single" w:sz="4" w:space="0" w:color="auto"/>
            </w:tcBorders>
            <w:noWrap/>
            <w:vAlign w:val="bottom"/>
          </w:tcPr>
          <w:p w14:paraId="14AD0565"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4CB49D34" w14:textId="77777777" w:rsidR="008645BA" w:rsidRDefault="008645BA" w:rsidP="008645BA">
            <w:pPr>
              <w:jc w:val="both"/>
              <w:rPr>
                <w:rFonts w:ascii="Arial" w:hAnsi="Arial" w:cs="Arial"/>
                <w:sz w:val="20"/>
                <w:szCs w:val="20"/>
              </w:rPr>
            </w:pPr>
            <w:r w:rsidRPr="003A6183">
              <w:rPr>
                <w:rFonts w:ascii="Arial" w:hAnsi="Arial" w:cs="Arial"/>
                <w:sz w:val="20"/>
                <w:szCs w:val="20"/>
              </w:rPr>
              <w:t>Hradená liečba sa môže indikovať pri profylaxii a liečbe krvácavých stavov spôsobených vrodeným nedostatkom faktoru VIII. (okrem von Willebrandovej choroby).</w:t>
            </w:r>
          </w:p>
          <w:p w14:paraId="47FF9F7E" w14:textId="77777777" w:rsidR="008645BA" w:rsidRPr="00995A34" w:rsidRDefault="008645BA" w:rsidP="008645BA">
            <w:pPr>
              <w:rPr>
                <w:rFonts w:ascii="Arial" w:hAnsi="Arial" w:cs="Arial"/>
                <w:sz w:val="20"/>
                <w:szCs w:val="20"/>
              </w:rPr>
            </w:pPr>
          </w:p>
        </w:tc>
      </w:tr>
      <w:tr w:rsidR="008645BA" w:rsidRPr="0000591E" w14:paraId="67809596" w14:textId="77777777" w:rsidTr="003F7925">
        <w:trPr>
          <w:gridAfter w:val="2"/>
          <w:wAfter w:w="154" w:type="dxa"/>
          <w:trHeight w:val="20"/>
        </w:trPr>
        <w:tc>
          <w:tcPr>
            <w:tcW w:w="1256" w:type="dxa"/>
            <w:noWrap/>
            <w:vAlign w:val="bottom"/>
          </w:tcPr>
          <w:p w14:paraId="1CD976E8" w14:textId="77777777" w:rsidR="008645BA" w:rsidRPr="0000591E" w:rsidRDefault="008645BA" w:rsidP="008645BA">
            <w:pPr>
              <w:jc w:val="both"/>
              <w:rPr>
                <w:rFonts w:ascii="Arial" w:hAnsi="Arial" w:cs="Arial"/>
                <w:sz w:val="20"/>
                <w:szCs w:val="20"/>
              </w:rPr>
            </w:pPr>
            <w:r w:rsidRPr="002871CD">
              <w:rPr>
                <w:rFonts w:ascii="Arial" w:hAnsi="Arial" w:cs="Arial"/>
                <w:b/>
                <w:sz w:val="20"/>
                <w:szCs w:val="20"/>
              </w:rPr>
              <w:t>B02BD02</w:t>
            </w:r>
          </w:p>
        </w:tc>
        <w:tc>
          <w:tcPr>
            <w:tcW w:w="9452" w:type="dxa"/>
          </w:tcPr>
          <w:p w14:paraId="5DB3608C"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w:t>
            </w:r>
            <w:r w:rsidRPr="002871CD">
              <w:rPr>
                <w:rFonts w:ascii="Arial" w:hAnsi="Arial" w:cs="Arial"/>
                <w:b/>
                <w:sz w:val="20"/>
                <w:szCs w:val="20"/>
              </w:rPr>
              <w:t xml:space="preserve"> </w:t>
            </w:r>
            <w:r>
              <w:rPr>
                <w:rFonts w:ascii="Arial" w:hAnsi="Arial" w:cs="Arial"/>
                <w:b/>
                <w:sz w:val="20"/>
                <w:szCs w:val="20"/>
              </w:rPr>
              <w:t xml:space="preserve">rekombinantný s predĺženým účinkom </w:t>
            </w:r>
            <w:r w:rsidRPr="002871CD">
              <w:rPr>
                <w:rFonts w:ascii="Arial" w:hAnsi="Arial" w:cs="Arial"/>
                <w:b/>
                <w:sz w:val="20"/>
                <w:szCs w:val="20"/>
              </w:rPr>
              <w:t>500 IU rFVIII (</w:t>
            </w:r>
            <w:r>
              <w:rPr>
                <w:rFonts w:ascii="Arial" w:hAnsi="Arial" w:cs="Arial"/>
                <w:b/>
                <w:sz w:val="20"/>
                <w:szCs w:val="20"/>
              </w:rPr>
              <w:t>turoktog</w:t>
            </w:r>
            <w:r w:rsidRPr="002871CD">
              <w:rPr>
                <w:rFonts w:ascii="Arial" w:hAnsi="Arial" w:cs="Arial"/>
                <w:b/>
                <w:sz w:val="20"/>
                <w:szCs w:val="20"/>
              </w:rPr>
              <w:t xml:space="preserve"> alfa</w:t>
            </w:r>
            <w:r>
              <w:rPr>
                <w:rFonts w:ascii="Arial" w:hAnsi="Arial" w:cs="Arial"/>
                <w:b/>
                <w:sz w:val="20"/>
                <w:szCs w:val="20"/>
              </w:rPr>
              <w:t xml:space="preserve"> pegol</w:t>
            </w:r>
            <w:r w:rsidRPr="002871CD">
              <w:rPr>
                <w:rFonts w:ascii="Arial" w:hAnsi="Arial" w:cs="Arial"/>
                <w:b/>
                <w:sz w:val="20"/>
                <w:szCs w:val="20"/>
              </w:rPr>
              <w:t>)</w:t>
            </w:r>
          </w:p>
          <w:p w14:paraId="458BB287" w14:textId="77777777" w:rsidR="008645BA"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s predĺženým účinkom 10</w:t>
            </w:r>
            <w:r w:rsidRPr="002871CD">
              <w:rPr>
                <w:rFonts w:ascii="Arial" w:hAnsi="Arial" w:cs="Arial"/>
                <w:b/>
                <w:sz w:val="20"/>
                <w:szCs w:val="20"/>
              </w:rPr>
              <w:t>00 IU rFVIII (</w:t>
            </w:r>
            <w:r>
              <w:rPr>
                <w:rFonts w:ascii="Arial" w:hAnsi="Arial" w:cs="Arial"/>
                <w:b/>
                <w:sz w:val="20"/>
                <w:szCs w:val="20"/>
              </w:rPr>
              <w:t>turoktog</w:t>
            </w:r>
            <w:r w:rsidRPr="002871CD">
              <w:rPr>
                <w:rFonts w:ascii="Arial" w:hAnsi="Arial" w:cs="Arial"/>
                <w:b/>
                <w:sz w:val="20"/>
                <w:szCs w:val="20"/>
              </w:rPr>
              <w:t xml:space="preserve"> alfa</w:t>
            </w:r>
            <w:r>
              <w:rPr>
                <w:rFonts w:ascii="Arial" w:hAnsi="Arial" w:cs="Arial"/>
                <w:b/>
                <w:sz w:val="20"/>
                <w:szCs w:val="20"/>
              </w:rPr>
              <w:t xml:space="preserve"> pegol</w:t>
            </w:r>
            <w:r w:rsidRPr="002871CD">
              <w:rPr>
                <w:rFonts w:ascii="Arial" w:hAnsi="Arial" w:cs="Arial"/>
                <w:b/>
                <w:sz w:val="20"/>
                <w:szCs w:val="20"/>
              </w:rPr>
              <w:t>)</w:t>
            </w:r>
          </w:p>
          <w:p w14:paraId="1B4CAC74" w14:textId="77777777" w:rsidR="008645BA" w:rsidRPr="003A6183"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s predĺženým účinkom 150</w:t>
            </w:r>
            <w:r w:rsidRPr="002871CD">
              <w:rPr>
                <w:rFonts w:ascii="Arial" w:hAnsi="Arial" w:cs="Arial"/>
                <w:b/>
                <w:sz w:val="20"/>
                <w:szCs w:val="20"/>
              </w:rPr>
              <w:t>0 IU rFVIII (</w:t>
            </w:r>
            <w:r>
              <w:rPr>
                <w:rFonts w:ascii="Arial" w:hAnsi="Arial" w:cs="Arial"/>
                <w:b/>
                <w:sz w:val="20"/>
                <w:szCs w:val="20"/>
              </w:rPr>
              <w:t>turoktog</w:t>
            </w:r>
            <w:r w:rsidRPr="002871CD">
              <w:rPr>
                <w:rFonts w:ascii="Arial" w:hAnsi="Arial" w:cs="Arial"/>
                <w:b/>
                <w:sz w:val="20"/>
                <w:szCs w:val="20"/>
              </w:rPr>
              <w:t xml:space="preserve"> alfa</w:t>
            </w:r>
            <w:r>
              <w:rPr>
                <w:rFonts w:ascii="Arial" w:hAnsi="Arial" w:cs="Arial"/>
                <w:b/>
                <w:sz w:val="20"/>
                <w:szCs w:val="20"/>
              </w:rPr>
              <w:t xml:space="preserve"> pegol</w:t>
            </w:r>
            <w:r w:rsidRPr="002871CD">
              <w:rPr>
                <w:rFonts w:ascii="Arial" w:hAnsi="Arial" w:cs="Arial"/>
                <w:b/>
                <w:sz w:val="20"/>
                <w:szCs w:val="20"/>
              </w:rPr>
              <w:t>)</w:t>
            </w:r>
          </w:p>
        </w:tc>
      </w:tr>
      <w:tr w:rsidR="008645BA" w:rsidRPr="0000591E" w14:paraId="697A1E6E" w14:textId="77777777" w:rsidTr="003F7925">
        <w:trPr>
          <w:gridAfter w:val="2"/>
          <w:wAfter w:w="154" w:type="dxa"/>
          <w:trHeight w:val="20"/>
        </w:trPr>
        <w:tc>
          <w:tcPr>
            <w:tcW w:w="1256" w:type="dxa"/>
            <w:tcBorders>
              <w:top w:val="single" w:sz="4" w:space="0" w:color="auto"/>
            </w:tcBorders>
            <w:noWrap/>
            <w:vAlign w:val="bottom"/>
          </w:tcPr>
          <w:p w14:paraId="4AF78537"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5D699EDD" w14:textId="77777777" w:rsidR="008645BA" w:rsidRDefault="008645BA" w:rsidP="008645BA">
            <w:pPr>
              <w:jc w:val="both"/>
              <w:rPr>
                <w:rFonts w:ascii="Arial" w:hAnsi="Arial" w:cs="Arial"/>
                <w:sz w:val="20"/>
                <w:szCs w:val="20"/>
              </w:rPr>
            </w:pPr>
            <w:r w:rsidRPr="000140E3">
              <w:rPr>
                <w:rFonts w:ascii="Arial" w:hAnsi="Arial" w:cs="Arial"/>
                <w:sz w:val="20"/>
                <w:szCs w:val="20"/>
              </w:rPr>
              <w:t xml:space="preserve">Hradená liečba sa môže indikovať pri profylaxii a liečbe krvácania u pacientov s hemofíliou A (vrodený nedostatok faktora VIII) vo veku 12 rokov a starších.  </w:t>
            </w:r>
          </w:p>
          <w:p w14:paraId="14BE7423" w14:textId="18C1C9DB" w:rsidR="008645BA" w:rsidRPr="003A6183" w:rsidRDefault="008645BA" w:rsidP="008645BA">
            <w:pPr>
              <w:jc w:val="both"/>
              <w:rPr>
                <w:rFonts w:ascii="Arial" w:hAnsi="Arial" w:cs="Arial"/>
                <w:sz w:val="20"/>
                <w:szCs w:val="20"/>
              </w:rPr>
            </w:pPr>
          </w:p>
        </w:tc>
      </w:tr>
      <w:tr w:rsidR="00657ACA" w:rsidRPr="0000591E" w14:paraId="0496727E" w14:textId="77777777" w:rsidTr="00657ACA">
        <w:trPr>
          <w:gridAfter w:val="2"/>
          <w:wAfter w:w="154" w:type="dxa"/>
          <w:trHeight w:val="20"/>
        </w:trPr>
        <w:tc>
          <w:tcPr>
            <w:tcW w:w="1256" w:type="dxa"/>
            <w:tcBorders>
              <w:bottom w:val="single" w:sz="4" w:space="0" w:color="auto"/>
            </w:tcBorders>
            <w:noWrap/>
            <w:vAlign w:val="bottom"/>
          </w:tcPr>
          <w:p w14:paraId="200A90D6" w14:textId="61475CCA" w:rsidR="00657ACA" w:rsidRPr="0000591E" w:rsidRDefault="00657ACA" w:rsidP="00657ACA">
            <w:pPr>
              <w:jc w:val="both"/>
              <w:rPr>
                <w:rFonts w:ascii="Arial" w:hAnsi="Arial" w:cs="Arial"/>
                <w:b/>
                <w:bCs/>
                <w:sz w:val="20"/>
                <w:szCs w:val="20"/>
              </w:rPr>
            </w:pPr>
            <w:r w:rsidRPr="002871CD">
              <w:rPr>
                <w:rFonts w:ascii="Arial" w:hAnsi="Arial" w:cs="Arial"/>
                <w:b/>
                <w:sz w:val="20"/>
                <w:szCs w:val="20"/>
              </w:rPr>
              <w:t>B02BD02</w:t>
            </w:r>
          </w:p>
        </w:tc>
        <w:tc>
          <w:tcPr>
            <w:tcW w:w="9452" w:type="dxa"/>
            <w:tcBorders>
              <w:bottom w:val="single" w:sz="4" w:space="0" w:color="auto"/>
            </w:tcBorders>
            <w:noWrap/>
            <w:vAlign w:val="bottom"/>
          </w:tcPr>
          <w:p w14:paraId="0211538D"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Koagulačný faktor VIII</w:t>
            </w:r>
            <w:r>
              <w:rPr>
                <w:rFonts w:ascii="Arial" w:hAnsi="Arial" w:cs="Arial"/>
                <w:b/>
                <w:bCs/>
                <w:sz w:val="20"/>
                <w:szCs w:val="20"/>
              </w:rPr>
              <w:t xml:space="preserve"> </w:t>
            </w:r>
            <w:r w:rsidRPr="00657ACA">
              <w:rPr>
                <w:rFonts w:ascii="Arial" w:hAnsi="Arial" w:cs="Arial"/>
                <w:b/>
                <w:bCs/>
                <w:sz w:val="20"/>
                <w:szCs w:val="20"/>
              </w:rPr>
              <w:t>parent. rekomb. 250 IU (efanesoktokog alfa)</w:t>
            </w:r>
          </w:p>
          <w:p w14:paraId="08817FAC"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Koagulačný faktor VIII parent. rekomb. 5</w:t>
            </w:r>
            <w:r>
              <w:rPr>
                <w:rFonts w:ascii="Arial" w:hAnsi="Arial" w:cs="Arial"/>
                <w:b/>
                <w:bCs/>
                <w:sz w:val="20"/>
                <w:szCs w:val="20"/>
              </w:rPr>
              <w:t>0</w:t>
            </w:r>
            <w:r w:rsidRPr="00657ACA">
              <w:rPr>
                <w:rFonts w:ascii="Arial" w:hAnsi="Arial" w:cs="Arial"/>
                <w:b/>
                <w:bCs/>
                <w:sz w:val="20"/>
                <w:szCs w:val="20"/>
              </w:rPr>
              <w:t>0 IU (efanesoktokog alfa)</w:t>
            </w:r>
          </w:p>
          <w:p w14:paraId="397E572A" w14:textId="7F2F88B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rekomb. </w:t>
            </w:r>
            <w:r>
              <w:rPr>
                <w:rFonts w:ascii="Arial" w:hAnsi="Arial" w:cs="Arial"/>
                <w:b/>
                <w:bCs/>
                <w:sz w:val="20"/>
                <w:szCs w:val="20"/>
              </w:rPr>
              <w:t>10</w:t>
            </w:r>
            <w:r w:rsidRPr="00657ACA">
              <w:rPr>
                <w:rFonts w:ascii="Arial" w:hAnsi="Arial" w:cs="Arial"/>
                <w:b/>
                <w:bCs/>
                <w:sz w:val="20"/>
                <w:szCs w:val="20"/>
              </w:rPr>
              <w:t>00 IU (efanesoktokog alfa)</w:t>
            </w:r>
          </w:p>
          <w:p w14:paraId="5437657F"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rekomb. </w:t>
            </w:r>
            <w:r>
              <w:rPr>
                <w:rFonts w:ascii="Arial" w:hAnsi="Arial" w:cs="Arial"/>
                <w:b/>
                <w:bCs/>
                <w:sz w:val="20"/>
                <w:szCs w:val="20"/>
              </w:rPr>
              <w:t>2</w:t>
            </w:r>
            <w:r w:rsidRPr="00657ACA">
              <w:rPr>
                <w:rFonts w:ascii="Arial" w:hAnsi="Arial" w:cs="Arial"/>
                <w:b/>
                <w:bCs/>
                <w:sz w:val="20"/>
                <w:szCs w:val="20"/>
              </w:rPr>
              <w:t>000 IU (efanesoktokog alfa)</w:t>
            </w:r>
          </w:p>
          <w:p w14:paraId="5F3ACCCD"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rekomb. </w:t>
            </w:r>
            <w:r>
              <w:rPr>
                <w:rFonts w:ascii="Arial" w:hAnsi="Arial" w:cs="Arial"/>
                <w:b/>
                <w:bCs/>
                <w:sz w:val="20"/>
                <w:szCs w:val="20"/>
              </w:rPr>
              <w:t>3</w:t>
            </w:r>
            <w:r w:rsidRPr="00657ACA">
              <w:rPr>
                <w:rFonts w:ascii="Arial" w:hAnsi="Arial" w:cs="Arial"/>
                <w:b/>
                <w:bCs/>
                <w:sz w:val="20"/>
                <w:szCs w:val="20"/>
              </w:rPr>
              <w:t>000 IU (efanesoktokog alfa)</w:t>
            </w:r>
          </w:p>
          <w:p w14:paraId="506317D7" w14:textId="19D1F0CA" w:rsidR="00657ACA" w:rsidRPr="0000591E"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rekomb. </w:t>
            </w:r>
            <w:r>
              <w:rPr>
                <w:rFonts w:ascii="Arial" w:hAnsi="Arial" w:cs="Arial"/>
                <w:b/>
                <w:bCs/>
                <w:sz w:val="20"/>
                <w:szCs w:val="20"/>
              </w:rPr>
              <w:t>4</w:t>
            </w:r>
            <w:r w:rsidRPr="00657ACA">
              <w:rPr>
                <w:rFonts w:ascii="Arial" w:hAnsi="Arial" w:cs="Arial"/>
                <w:b/>
                <w:bCs/>
                <w:sz w:val="20"/>
                <w:szCs w:val="20"/>
              </w:rPr>
              <w:t>000 IU (efanesoktokog alfa)</w:t>
            </w:r>
          </w:p>
        </w:tc>
      </w:tr>
      <w:tr w:rsidR="00657ACA" w:rsidRPr="0000591E" w14:paraId="25E81177" w14:textId="77777777" w:rsidTr="00657ACA">
        <w:trPr>
          <w:gridAfter w:val="2"/>
          <w:wAfter w:w="154" w:type="dxa"/>
          <w:trHeight w:val="20"/>
        </w:trPr>
        <w:tc>
          <w:tcPr>
            <w:tcW w:w="1256" w:type="dxa"/>
            <w:tcBorders>
              <w:top w:val="single" w:sz="4" w:space="0" w:color="auto"/>
            </w:tcBorders>
            <w:noWrap/>
            <w:vAlign w:val="bottom"/>
          </w:tcPr>
          <w:p w14:paraId="4BBD9909"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4BB8FFE0" w14:textId="2E30EEDB" w:rsidR="00845EE0" w:rsidRDefault="00657ACA" w:rsidP="00657ACA">
            <w:pPr>
              <w:jc w:val="both"/>
              <w:rPr>
                <w:rFonts w:ascii="Arial" w:hAnsi="Arial" w:cs="Arial"/>
                <w:sz w:val="20"/>
                <w:szCs w:val="20"/>
              </w:rPr>
            </w:pPr>
            <w:r w:rsidRPr="00657ACA">
              <w:rPr>
                <w:rFonts w:ascii="Arial" w:hAnsi="Arial" w:cs="Arial"/>
                <w:sz w:val="20"/>
                <w:szCs w:val="20"/>
              </w:rPr>
              <w:t>Hradená liečba sa môže indikovať pri liečbe a</w:t>
            </w:r>
            <w:r>
              <w:rPr>
                <w:rFonts w:ascii="Arial" w:hAnsi="Arial" w:cs="Arial"/>
                <w:sz w:val="20"/>
                <w:szCs w:val="20"/>
              </w:rPr>
              <w:t> </w:t>
            </w:r>
            <w:r w:rsidRPr="00657ACA">
              <w:rPr>
                <w:rFonts w:ascii="Arial" w:hAnsi="Arial" w:cs="Arial"/>
                <w:sz w:val="20"/>
                <w:szCs w:val="20"/>
              </w:rPr>
              <w:t>profylaxii krvácania u</w:t>
            </w:r>
            <w:r>
              <w:rPr>
                <w:rFonts w:ascii="Arial" w:hAnsi="Arial" w:cs="Arial"/>
                <w:sz w:val="20"/>
                <w:szCs w:val="20"/>
              </w:rPr>
              <w:t> </w:t>
            </w:r>
            <w:r w:rsidRPr="00657ACA">
              <w:rPr>
                <w:rFonts w:ascii="Arial" w:hAnsi="Arial" w:cs="Arial"/>
                <w:sz w:val="20"/>
                <w:szCs w:val="20"/>
              </w:rPr>
              <w:t>pacientov s</w:t>
            </w:r>
            <w:r>
              <w:rPr>
                <w:rFonts w:ascii="Arial" w:hAnsi="Arial" w:cs="Arial"/>
                <w:sz w:val="20"/>
                <w:szCs w:val="20"/>
              </w:rPr>
              <w:t> </w:t>
            </w:r>
            <w:r w:rsidRPr="00657ACA">
              <w:rPr>
                <w:rFonts w:ascii="Arial" w:hAnsi="Arial" w:cs="Arial"/>
                <w:sz w:val="20"/>
                <w:szCs w:val="20"/>
              </w:rPr>
              <w:t>hemofíliou A (vrodený deficit faktora VIII), ktorí sú v</w:t>
            </w:r>
            <w:r>
              <w:rPr>
                <w:rFonts w:ascii="Arial" w:hAnsi="Arial" w:cs="Arial"/>
                <w:sz w:val="20"/>
                <w:szCs w:val="20"/>
              </w:rPr>
              <w:t> </w:t>
            </w:r>
            <w:r w:rsidRPr="00657ACA">
              <w:rPr>
                <w:rFonts w:ascii="Arial" w:hAnsi="Arial" w:cs="Arial"/>
                <w:sz w:val="20"/>
                <w:szCs w:val="20"/>
              </w:rPr>
              <w:t>súčasnosti liečení rekombinantnými faktormi VIII alebo rekombinantnými faktormi VIII s</w:t>
            </w:r>
            <w:r>
              <w:rPr>
                <w:rFonts w:ascii="Arial" w:hAnsi="Arial" w:cs="Arial"/>
                <w:sz w:val="20"/>
                <w:szCs w:val="20"/>
              </w:rPr>
              <w:t> </w:t>
            </w:r>
            <w:r w:rsidRPr="00657ACA">
              <w:rPr>
                <w:rFonts w:ascii="Arial" w:hAnsi="Arial" w:cs="Arial"/>
                <w:sz w:val="20"/>
                <w:szCs w:val="20"/>
              </w:rPr>
              <w:t>predĺženým účinkom alebo nefaktorovou liečbou.</w:t>
            </w:r>
          </w:p>
          <w:p w14:paraId="43A4D765" w14:textId="21C88D29" w:rsidR="00845EE0" w:rsidRPr="00657ACA" w:rsidRDefault="00845EE0" w:rsidP="00657ACA">
            <w:pPr>
              <w:jc w:val="both"/>
              <w:rPr>
                <w:rFonts w:ascii="Arial" w:hAnsi="Arial" w:cs="Arial"/>
                <w:sz w:val="20"/>
                <w:szCs w:val="20"/>
              </w:rPr>
            </w:pPr>
          </w:p>
        </w:tc>
      </w:tr>
      <w:tr w:rsidR="00657ACA" w:rsidRPr="0000591E" w14:paraId="60096BF7" w14:textId="77777777" w:rsidTr="00657ACA">
        <w:trPr>
          <w:gridAfter w:val="2"/>
          <w:wAfter w:w="154" w:type="dxa"/>
          <w:trHeight w:val="20"/>
        </w:trPr>
        <w:tc>
          <w:tcPr>
            <w:tcW w:w="1256" w:type="dxa"/>
            <w:tcBorders>
              <w:bottom w:val="single" w:sz="4" w:space="0" w:color="auto"/>
            </w:tcBorders>
            <w:noWrap/>
            <w:vAlign w:val="bottom"/>
          </w:tcPr>
          <w:p w14:paraId="2BAAAE4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B02BD03</w:t>
            </w:r>
          </w:p>
        </w:tc>
        <w:tc>
          <w:tcPr>
            <w:tcW w:w="9452" w:type="dxa"/>
            <w:tcBorders>
              <w:bottom w:val="single" w:sz="4" w:space="0" w:color="auto"/>
            </w:tcBorders>
            <w:noWrap/>
            <w:vAlign w:val="bottom"/>
          </w:tcPr>
          <w:p w14:paraId="4DED3C1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Faktor VIII. parent. inhibítor bypassing.aktivity 500 IU,</w:t>
            </w:r>
          </w:p>
          <w:p w14:paraId="2126940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Faktor VIII. parent. inhibítor bypassing.aktivity 1000 IU</w:t>
            </w:r>
          </w:p>
        </w:tc>
      </w:tr>
      <w:tr w:rsidR="00657ACA" w:rsidRPr="0000591E" w14:paraId="07A90C56" w14:textId="77777777" w:rsidTr="003F7925">
        <w:trPr>
          <w:gridAfter w:val="2"/>
          <w:wAfter w:w="154" w:type="dxa"/>
          <w:trHeight w:val="20"/>
        </w:trPr>
        <w:tc>
          <w:tcPr>
            <w:tcW w:w="1256" w:type="dxa"/>
            <w:tcBorders>
              <w:top w:val="single" w:sz="4" w:space="0" w:color="auto"/>
            </w:tcBorders>
            <w:noWrap/>
            <w:vAlign w:val="bottom"/>
          </w:tcPr>
          <w:p w14:paraId="647FCF0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6351EE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krvácania pri hemofílii A alebo B komplikovanej prítomnosťou inhibítora a pri získanom nedostatku faktorov VIII. alebo IX., podmienenom protilátkami proti faktoru VIII. alebo IX.</w:t>
            </w:r>
          </w:p>
          <w:p w14:paraId="0EEF269D" w14:textId="77777777" w:rsidR="00657ACA" w:rsidRPr="0000591E" w:rsidRDefault="00657ACA" w:rsidP="00657ACA">
            <w:pPr>
              <w:jc w:val="both"/>
              <w:rPr>
                <w:rFonts w:ascii="Arial" w:hAnsi="Arial" w:cs="Arial"/>
                <w:sz w:val="20"/>
                <w:szCs w:val="20"/>
              </w:rPr>
            </w:pPr>
          </w:p>
        </w:tc>
      </w:tr>
      <w:tr w:rsidR="00657ACA" w:rsidRPr="0000591E" w14:paraId="1F1A6433" w14:textId="77777777" w:rsidTr="003F7925">
        <w:trPr>
          <w:gridAfter w:val="2"/>
          <w:wAfter w:w="154" w:type="dxa"/>
          <w:trHeight w:val="20"/>
        </w:trPr>
        <w:tc>
          <w:tcPr>
            <w:tcW w:w="1256" w:type="dxa"/>
            <w:tcBorders>
              <w:bottom w:val="single" w:sz="4" w:space="0" w:color="auto"/>
            </w:tcBorders>
            <w:noWrap/>
            <w:vAlign w:val="bottom"/>
          </w:tcPr>
          <w:p w14:paraId="7B4AF4AA" w14:textId="77777777" w:rsidR="00657ACA" w:rsidRPr="006A0BA5" w:rsidRDefault="00657ACA" w:rsidP="00657ACA">
            <w:pPr>
              <w:jc w:val="both"/>
              <w:rPr>
                <w:rFonts w:ascii="Arial" w:hAnsi="Arial" w:cs="Arial"/>
                <w:b/>
                <w:bCs/>
                <w:sz w:val="20"/>
                <w:szCs w:val="20"/>
              </w:rPr>
            </w:pPr>
            <w:r w:rsidRPr="006A0BA5">
              <w:rPr>
                <w:rFonts w:ascii="Arial" w:hAnsi="Arial" w:cs="Arial"/>
                <w:b/>
                <w:bCs/>
                <w:sz w:val="20"/>
                <w:szCs w:val="20"/>
              </w:rPr>
              <w:t>B02BD04</w:t>
            </w:r>
          </w:p>
        </w:tc>
        <w:tc>
          <w:tcPr>
            <w:tcW w:w="9452" w:type="dxa"/>
            <w:tcBorders>
              <w:bottom w:val="single" w:sz="4" w:space="0" w:color="auto"/>
            </w:tcBorders>
            <w:noWrap/>
            <w:vAlign w:val="bottom"/>
          </w:tcPr>
          <w:p w14:paraId="05990B28"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500 IU,</w:t>
            </w:r>
          </w:p>
          <w:p w14:paraId="5B4DB88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600 IU,</w:t>
            </w:r>
          </w:p>
          <w:p w14:paraId="4FABDE77"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1000 IU,</w:t>
            </w:r>
          </w:p>
          <w:p w14:paraId="0F825E84" w14:textId="77777777" w:rsidR="00657ACA"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1200 IU</w:t>
            </w:r>
          </w:p>
          <w:p w14:paraId="177094EB"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Koagulačný faktor IX</w:t>
            </w:r>
            <w:r>
              <w:rPr>
                <w:rFonts w:ascii="Arial" w:hAnsi="Arial" w:cs="Arial"/>
                <w:b/>
                <w:bCs/>
                <w:sz w:val="20"/>
                <w:szCs w:val="20"/>
              </w:rPr>
              <w:t xml:space="preserve"> </w:t>
            </w:r>
            <w:r w:rsidRPr="00F424B5">
              <w:rPr>
                <w:rFonts w:ascii="Arial" w:hAnsi="Arial" w:cs="Arial"/>
                <w:b/>
                <w:bCs/>
                <w:sz w:val="20"/>
                <w:szCs w:val="20"/>
              </w:rPr>
              <w:t xml:space="preserve">parent 250 IU rFIXFc (eftrenonakog alfa) </w:t>
            </w:r>
          </w:p>
          <w:p w14:paraId="550DC03B"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 xml:space="preserve">Koagulačný faktor IX parent </w:t>
            </w:r>
            <w:r>
              <w:rPr>
                <w:rFonts w:ascii="Arial" w:hAnsi="Arial" w:cs="Arial"/>
                <w:b/>
                <w:bCs/>
                <w:sz w:val="20"/>
                <w:szCs w:val="20"/>
              </w:rPr>
              <w:t>500</w:t>
            </w:r>
            <w:r w:rsidRPr="00F424B5">
              <w:rPr>
                <w:rFonts w:ascii="Arial" w:hAnsi="Arial" w:cs="Arial"/>
                <w:b/>
                <w:bCs/>
                <w:sz w:val="20"/>
                <w:szCs w:val="20"/>
              </w:rPr>
              <w:t xml:space="preserve"> IU rFIXFc (eftrenonakog alfa) </w:t>
            </w:r>
          </w:p>
          <w:p w14:paraId="0B946E81"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 xml:space="preserve">Koagulačný faktor IX parent </w:t>
            </w:r>
            <w:r>
              <w:rPr>
                <w:rFonts w:ascii="Arial" w:hAnsi="Arial" w:cs="Arial"/>
                <w:b/>
                <w:bCs/>
                <w:sz w:val="20"/>
                <w:szCs w:val="20"/>
              </w:rPr>
              <w:t>1000</w:t>
            </w:r>
            <w:r w:rsidRPr="00F424B5">
              <w:rPr>
                <w:rFonts w:ascii="Arial" w:hAnsi="Arial" w:cs="Arial"/>
                <w:b/>
                <w:bCs/>
                <w:sz w:val="20"/>
                <w:szCs w:val="20"/>
              </w:rPr>
              <w:t xml:space="preserve"> IU rFIXFc (eftrenonakog alfa) </w:t>
            </w:r>
          </w:p>
          <w:p w14:paraId="586000E3"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Koagulačný faktor IX parent 2</w:t>
            </w:r>
            <w:r>
              <w:rPr>
                <w:rFonts w:ascii="Arial" w:hAnsi="Arial" w:cs="Arial"/>
                <w:b/>
                <w:bCs/>
                <w:sz w:val="20"/>
                <w:szCs w:val="20"/>
              </w:rPr>
              <w:t>000</w:t>
            </w:r>
            <w:r w:rsidRPr="00F424B5">
              <w:rPr>
                <w:rFonts w:ascii="Arial" w:hAnsi="Arial" w:cs="Arial"/>
                <w:b/>
                <w:bCs/>
                <w:sz w:val="20"/>
                <w:szCs w:val="20"/>
              </w:rPr>
              <w:t xml:space="preserve"> IU rFIXFc (eftrenonakog alfa) </w:t>
            </w:r>
          </w:p>
          <w:p w14:paraId="2EFF9C42" w14:textId="1224E613" w:rsidR="00657ACA" w:rsidRPr="0000591E" w:rsidRDefault="00657ACA" w:rsidP="00845EE0">
            <w:pPr>
              <w:jc w:val="both"/>
              <w:rPr>
                <w:rFonts w:ascii="Arial" w:hAnsi="Arial" w:cs="Arial"/>
                <w:b/>
                <w:bCs/>
                <w:sz w:val="20"/>
                <w:szCs w:val="20"/>
              </w:rPr>
            </w:pPr>
            <w:r w:rsidRPr="00F424B5">
              <w:rPr>
                <w:rFonts w:ascii="Arial" w:hAnsi="Arial" w:cs="Arial"/>
                <w:b/>
                <w:bCs/>
                <w:sz w:val="20"/>
                <w:szCs w:val="20"/>
              </w:rPr>
              <w:t xml:space="preserve">Koagulačný faktor IX parent </w:t>
            </w:r>
            <w:r>
              <w:rPr>
                <w:rFonts w:ascii="Arial" w:hAnsi="Arial" w:cs="Arial"/>
                <w:b/>
                <w:bCs/>
                <w:sz w:val="20"/>
                <w:szCs w:val="20"/>
              </w:rPr>
              <w:t>3000</w:t>
            </w:r>
            <w:r w:rsidRPr="00F424B5">
              <w:rPr>
                <w:rFonts w:ascii="Arial" w:hAnsi="Arial" w:cs="Arial"/>
                <w:b/>
                <w:bCs/>
                <w:sz w:val="20"/>
                <w:szCs w:val="20"/>
              </w:rPr>
              <w:t xml:space="preserve"> IU rFIXFc (eftrenonakog alfa) </w:t>
            </w:r>
          </w:p>
        </w:tc>
      </w:tr>
      <w:tr w:rsidR="00657ACA" w:rsidRPr="0000591E" w14:paraId="10284BF7" w14:textId="77777777" w:rsidTr="003F7925">
        <w:trPr>
          <w:gridAfter w:val="2"/>
          <w:wAfter w:w="154" w:type="dxa"/>
          <w:trHeight w:val="20"/>
        </w:trPr>
        <w:tc>
          <w:tcPr>
            <w:tcW w:w="1256" w:type="dxa"/>
            <w:tcBorders>
              <w:top w:val="single" w:sz="4" w:space="0" w:color="auto"/>
            </w:tcBorders>
            <w:noWrap/>
            <w:vAlign w:val="bottom"/>
          </w:tcPr>
          <w:p w14:paraId="5282B24C" w14:textId="4F224DBF" w:rsidR="00657ACA" w:rsidRPr="006A0BA5" w:rsidRDefault="00657ACA" w:rsidP="00657ACA">
            <w:pPr>
              <w:jc w:val="both"/>
              <w:rPr>
                <w:rFonts w:ascii="Arial" w:hAnsi="Arial" w:cs="Arial"/>
                <w:b/>
                <w:sz w:val="20"/>
                <w:szCs w:val="20"/>
              </w:rPr>
            </w:pPr>
          </w:p>
        </w:tc>
        <w:tc>
          <w:tcPr>
            <w:tcW w:w="9452" w:type="dxa"/>
            <w:tcBorders>
              <w:top w:val="single" w:sz="4" w:space="0" w:color="auto"/>
            </w:tcBorders>
          </w:tcPr>
          <w:p w14:paraId="7AFEE92B" w14:textId="04033FD6"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krvácania spôsobeného vrodeným alebo získaným nedostatkom faktoru IX. (hemofília B).</w:t>
            </w:r>
          </w:p>
          <w:p w14:paraId="55A0AD61" w14:textId="4D177BD9" w:rsidR="00657ACA" w:rsidRPr="006A0BA5" w:rsidRDefault="00657ACA" w:rsidP="00657ACA">
            <w:pPr>
              <w:jc w:val="both"/>
              <w:rPr>
                <w:rFonts w:ascii="Arial" w:hAnsi="Arial" w:cs="Arial"/>
                <w:b/>
                <w:sz w:val="20"/>
                <w:szCs w:val="20"/>
              </w:rPr>
            </w:pPr>
          </w:p>
        </w:tc>
      </w:tr>
      <w:tr w:rsidR="00657ACA" w:rsidRPr="0000591E" w14:paraId="4E34ADBB" w14:textId="77777777" w:rsidTr="003F7925">
        <w:trPr>
          <w:gridAfter w:val="2"/>
          <w:wAfter w:w="154" w:type="dxa"/>
          <w:trHeight w:val="20"/>
        </w:trPr>
        <w:tc>
          <w:tcPr>
            <w:tcW w:w="1256" w:type="dxa"/>
            <w:tcBorders>
              <w:bottom w:val="single" w:sz="4" w:space="0" w:color="auto"/>
            </w:tcBorders>
            <w:noWrap/>
            <w:vAlign w:val="bottom"/>
          </w:tcPr>
          <w:p w14:paraId="00BDB924" w14:textId="6DD20B9E" w:rsidR="00657ACA" w:rsidRPr="0000591E" w:rsidRDefault="00657ACA" w:rsidP="00657ACA">
            <w:pPr>
              <w:jc w:val="both"/>
              <w:rPr>
                <w:rFonts w:ascii="Arial" w:hAnsi="Arial" w:cs="Arial"/>
                <w:sz w:val="20"/>
                <w:szCs w:val="20"/>
              </w:rPr>
            </w:pPr>
            <w:r w:rsidRPr="006A0BA5">
              <w:rPr>
                <w:rFonts w:ascii="Arial" w:hAnsi="Arial" w:cs="Arial"/>
                <w:b/>
                <w:sz w:val="20"/>
                <w:szCs w:val="20"/>
              </w:rPr>
              <w:t>B02BD04</w:t>
            </w:r>
          </w:p>
        </w:tc>
        <w:tc>
          <w:tcPr>
            <w:tcW w:w="9452" w:type="dxa"/>
            <w:tcBorders>
              <w:bottom w:val="single" w:sz="4" w:space="0" w:color="auto"/>
            </w:tcBorders>
          </w:tcPr>
          <w:p w14:paraId="78BEC91E" w14:textId="77777777" w:rsidR="00657ACA" w:rsidRPr="00B96DB2" w:rsidRDefault="00657ACA" w:rsidP="00657ACA">
            <w:pPr>
              <w:jc w:val="both"/>
              <w:rPr>
                <w:rFonts w:ascii="Arial" w:hAnsi="Arial" w:cs="Arial"/>
                <w:b/>
                <w:sz w:val="20"/>
                <w:szCs w:val="20"/>
              </w:rPr>
            </w:pPr>
            <w:r w:rsidRPr="00B96DB2">
              <w:rPr>
                <w:rFonts w:ascii="Arial" w:hAnsi="Arial" w:cs="Arial"/>
                <w:b/>
                <w:sz w:val="20"/>
                <w:szCs w:val="20"/>
              </w:rPr>
              <w:t>Koagulačný faktor IX parent. rekombinantný s predĺženým účinkom 500 IU (nonakog beta pegol)</w:t>
            </w:r>
          </w:p>
          <w:p w14:paraId="0974502E" w14:textId="4A3689A5" w:rsidR="00657ACA" w:rsidRPr="00B96DB2" w:rsidRDefault="00657ACA" w:rsidP="00657ACA">
            <w:pPr>
              <w:jc w:val="both"/>
              <w:rPr>
                <w:rFonts w:ascii="Arial" w:hAnsi="Arial" w:cs="Arial"/>
                <w:b/>
                <w:sz w:val="20"/>
                <w:szCs w:val="20"/>
              </w:rPr>
            </w:pPr>
            <w:r w:rsidRPr="00B96DB2">
              <w:rPr>
                <w:rFonts w:ascii="Arial" w:hAnsi="Arial" w:cs="Arial"/>
                <w:b/>
                <w:sz w:val="20"/>
                <w:szCs w:val="20"/>
              </w:rPr>
              <w:t>Koagulačný faktor IX parent. rekombinantný s predĺženým účinkom 1000 IU (nonakog beta pegol)</w:t>
            </w:r>
          </w:p>
        </w:tc>
      </w:tr>
      <w:tr w:rsidR="00657ACA" w:rsidRPr="0000591E" w14:paraId="3C9866F1" w14:textId="77777777" w:rsidTr="003F7925">
        <w:trPr>
          <w:gridAfter w:val="2"/>
          <w:wAfter w:w="154" w:type="dxa"/>
          <w:trHeight w:val="20"/>
        </w:trPr>
        <w:tc>
          <w:tcPr>
            <w:tcW w:w="1256" w:type="dxa"/>
            <w:tcBorders>
              <w:top w:val="single" w:sz="4" w:space="0" w:color="auto"/>
            </w:tcBorders>
            <w:noWrap/>
            <w:vAlign w:val="bottom"/>
          </w:tcPr>
          <w:p w14:paraId="0770973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3619FDF" w14:textId="77777777" w:rsidR="00657ACA" w:rsidRDefault="00657ACA" w:rsidP="00657ACA">
            <w:pPr>
              <w:jc w:val="both"/>
              <w:rPr>
                <w:rFonts w:ascii="Arial" w:hAnsi="Arial" w:cs="Arial"/>
                <w:sz w:val="20"/>
                <w:szCs w:val="20"/>
              </w:rPr>
            </w:pPr>
            <w:r w:rsidRPr="00B96DB2">
              <w:rPr>
                <w:rFonts w:ascii="Arial" w:hAnsi="Arial" w:cs="Arial"/>
                <w:sz w:val="20"/>
                <w:szCs w:val="20"/>
              </w:rPr>
              <w:t xml:space="preserve">Hradená liečba sa môže indikovať pri profylaxii a liečbe krvácania spôsobeného vrodeným nedostatkom faktoru IX (hemofília B).  </w:t>
            </w:r>
          </w:p>
          <w:p w14:paraId="056631FD" w14:textId="7BD988CA" w:rsidR="00657ACA" w:rsidRPr="0000591E" w:rsidRDefault="00657ACA" w:rsidP="00657ACA">
            <w:pPr>
              <w:jc w:val="both"/>
              <w:rPr>
                <w:rFonts w:ascii="Arial" w:hAnsi="Arial" w:cs="Arial"/>
                <w:sz w:val="20"/>
                <w:szCs w:val="20"/>
              </w:rPr>
            </w:pPr>
          </w:p>
        </w:tc>
      </w:tr>
      <w:tr w:rsidR="00657ACA" w:rsidRPr="0000591E" w14:paraId="54273E35" w14:textId="77777777" w:rsidTr="003F7925">
        <w:trPr>
          <w:gridAfter w:val="2"/>
          <w:wAfter w:w="154" w:type="dxa"/>
          <w:trHeight w:val="20"/>
        </w:trPr>
        <w:tc>
          <w:tcPr>
            <w:tcW w:w="1256" w:type="dxa"/>
            <w:tcBorders>
              <w:bottom w:val="single" w:sz="4" w:space="0" w:color="auto"/>
            </w:tcBorders>
            <w:noWrap/>
            <w:vAlign w:val="bottom"/>
          </w:tcPr>
          <w:p w14:paraId="3DB1EF9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B02BD05</w:t>
            </w:r>
          </w:p>
        </w:tc>
        <w:tc>
          <w:tcPr>
            <w:tcW w:w="9452" w:type="dxa"/>
            <w:tcBorders>
              <w:bottom w:val="single" w:sz="4" w:space="0" w:color="auto"/>
            </w:tcBorders>
            <w:noWrap/>
            <w:vAlign w:val="bottom"/>
          </w:tcPr>
          <w:p w14:paraId="6E4124A2" w14:textId="43009916" w:rsidR="00657ACA" w:rsidRPr="0000591E" w:rsidRDefault="00657ACA" w:rsidP="00657ACA">
            <w:pPr>
              <w:jc w:val="both"/>
              <w:rPr>
                <w:rFonts w:ascii="Arial" w:hAnsi="Arial" w:cs="Arial"/>
                <w:b/>
                <w:bCs/>
                <w:sz w:val="20"/>
                <w:szCs w:val="20"/>
              </w:rPr>
            </w:pPr>
            <w:r w:rsidRPr="00B96DB2">
              <w:rPr>
                <w:rFonts w:ascii="Arial" w:hAnsi="Arial" w:cs="Arial"/>
                <w:b/>
                <w:sz w:val="20"/>
                <w:szCs w:val="20"/>
              </w:rPr>
              <w:t>Koagulačný</w:t>
            </w:r>
            <w:r w:rsidRPr="0000591E">
              <w:rPr>
                <w:rFonts w:ascii="Arial" w:hAnsi="Arial" w:cs="Arial"/>
                <w:b/>
                <w:bCs/>
                <w:sz w:val="20"/>
                <w:szCs w:val="20"/>
              </w:rPr>
              <w:t xml:space="preserve"> </w:t>
            </w:r>
            <w:r>
              <w:rPr>
                <w:rFonts w:ascii="Arial" w:hAnsi="Arial" w:cs="Arial"/>
                <w:b/>
                <w:bCs/>
                <w:sz w:val="20"/>
                <w:szCs w:val="20"/>
              </w:rPr>
              <w:t>f</w:t>
            </w:r>
            <w:r w:rsidRPr="0000591E">
              <w:rPr>
                <w:rFonts w:ascii="Arial" w:hAnsi="Arial" w:cs="Arial"/>
                <w:b/>
                <w:bCs/>
                <w:sz w:val="20"/>
                <w:szCs w:val="20"/>
              </w:rPr>
              <w:t xml:space="preserve">aktor VII. parent. </w:t>
            </w:r>
          </w:p>
        </w:tc>
      </w:tr>
      <w:tr w:rsidR="00657ACA" w:rsidRPr="0000591E" w14:paraId="718D0DEE" w14:textId="77777777" w:rsidTr="003F7925">
        <w:trPr>
          <w:gridAfter w:val="2"/>
          <w:wAfter w:w="154" w:type="dxa"/>
          <w:trHeight w:val="20"/>
        </w:trPr>
        <w:tc>
          <w:tcPr>
            <w:tcW w:w="1256" w:type="dxa"/>
            <w:tcBorders>
              <w:top w:val="single" w:sz="4" w:space="0" w:color="auto"/>
            </w:tcBorders>
            <w:noWrap/>
            <w:vAlign w:val="bottom"/>
          </w:tcPr>
          <w:p w14:paraId="008A4BB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486E0B3"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krvácania spôsobeného vrodeným alebo získaným izolovaným nedostatkom koagulačného faktora VII.</w:t>
            </w:r>
          </w:p>
          <w:p w14:paraId="55672897" w14:textId="77777777" w:rsidR="00657ACA" w:rsidRPr="0000591E" w:rsidRDefault="00657ACA" w:rsidP="00657ACA">
            <w:pPr>
              <w:jc w:val="both"/>
              <w:rPr>
                <w:rFonts w:ascii="Arial" w:hAnsi="Arial" w:cs="Arial"/>
                <w:sz w:val="20"/>
                <w:szCs w:val="20"/>
              </w:rPr>
            </w:pPr>
          </w:p>
        </w:tc>
      </w:tr>
      <w:tr w:rsidR="00657ACA" w:rsidRPr="0000591E" w14:paraId="5207515E" w14:textId="77777777" w:rsidTr="003F7925">
        <w:trPr>
          <w:gridAfter w:val="2"/>
          <w:wAfter w:w="154" w:type="dxa"/>
          <w:trHeight w:val="20"/>
        </w:trPr>
        <w:tc>
          <w:tcPr>
            <w:tcW w:w="1256" w:type="dxa"/>
            <w:tcBorders>
              <w:bottom w:val="single" w:sz="4" w:space="0" w:color="auto"/>
            </w:tcBorders>
            <w:noWrap/>
            <w:vAlign w:val="bottom"/>
          </w:tcPr>
          <w:p w14:paraId="4B5C64F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B02BD06</w:t>
            </w:r>
          </w:p>
        </w:tc>
        <w:tc>
          <w:tcPr>
            <w:tcW w:w="9452" w:type="dxa"/>
            <w:tcBorders>
              <w:bottom w:val="single" w:sz="4" w:space="0" w:color="auto"/>
            </w:tcBorders>
            <w:noWrap/>
            <w:vAlign w:val="bottom"/>
          </w:tcPr>
          <w:p w14:paraId="3299203B" w14:textId="296B370E" w:rsidR="00657ACA" w:rsidRDefault="00657ACA" w:rsidP="00657ACA">
            <w:pPr>
              <w:jc w:val="both"/>
              <w:rPr>
                <w:rFonts w:ascii="Arial" w:hAnsi="Arial" w:cs="Arial"/>
                <w:b/>
                <w:bCs/>
                <w:sz w:val="20"/>
                <w:szCs w:val="20"/>
              </w:rPr>
            </w:pPr>
            <w:r w:rsidRPr="00DA5C9E">
              <w:rPr>
                <w:rFonts w:ascii="Arial" w:hAnsi="Arial" w:cs="Arial"/>
                <w:b/>
                <w:bCs/>
                <w:sz w:val="20"/>
                <w:szCs w:val="20"/>
              </w:rPr>
              <w:t xml:space="preserve">Koagulačný faktor VIII a von Willebrandov faktor v kombinácii </w:t>
            </w:r>
            <w:r>
              <w:rPr>
                <w:rFonts w:ascii="Arial" w:hAnsi="Arial" w:cs="Arial"/>
                <w:b/>
                <w:bCs/>
                <w:sz w:val="20"/>
                <w:szCs w:val="20"/>
              </w:rPr>
              <w:t xml:space="preserve">parent. </w:t>
            </w:r>
            <w:r w:rsidRPr="00D1468F">
              <w:rPr>
                <w:rFonts w:ascii="Arial" w:hAnsi="Arial" w:cs="Arial"/>
                <w:b/>
                <w:bCs/>
                <w:sz w:val="20"/>
                <w:szCs w:val="20"/>
              </w:rPr>
              <w:t>500 IU vWF 1200 IU</w:t>
            </w:r>
          </w:p>
          <w:p w14:paraId="3776577E" w14:textId="421F168A" w:rsidR="00657ACA" w:rsidRPr="0000591E" w:rsidRDefault="00657ACA" w:rsidP="00657ACA">
            <w:pPr>
              <w:jc w:val="both"/>
              <w:rPr>
                <w:rFonts w:ascii="Arial" w:hAnsi="Arial" w:cs="Arial"/>
                <w:b/>
                <w:bCs/>
                <w:sz w:val="20"/>
                <w:szCs w:val="20"/>
              </w:rPr>
            </w:pPr>
            <w:r w:rsidRPr="00DA5C9E">
              <w:rPr>
                <w:rFonts w:ascii="Arial" w:hAnsi="Arial" w:cs="Arial"/>
                <w:b/>
                <w:bCs/>
                <w:sz w:val="20"/>
                <w:szCs w:val="20"/>
              </w:rPr>
              <w:t xml:space="preserve">Koagulačný faktor VIII a von Willebrandov faktor v kombinácii </w:t>
            </w:r>
            <w:r w:rsidRPr="00D1468F">
              <w:rPr>
                <w:rFonts w:ascii="Arial" w:hAnsi="Arial" w:cs="Arial"/>
                <w:b/>
                <w:bCs/>
                <w:sz w:val="20"/>
                <w:szCs w:val="20"/>
              </w:rPr>
              <w:t>parent. 1000 IU vWF 2400 IU</w:t>
            </w:r>
          </w:p>
        </w:tc>
      </w:tr>
      <w:tr w:rsidR="00657ACA" w:rsidRPr="0000591E" w14:paraId="16532BEB" w14:textId="77777777" w:rsidTr="003F7925">
        <w:trPr>
          <w:gridAfter w:val="2"/>
          <w:wAfter w:w="154" w:type="dxa"/>
          <w:trHeight w:val="20"/>
        </w:trPr>
        <w:tc>
          <w:tcPr>
            <w:tcW w:w="1256" w:type="dxa"/>
            <w:tcBorders>
              <w:top w:val="single" w:sz="4" w:space="0" w:color="auto"/>
            </w:tcBorders>
            <w:noWrap/>
            <w:vAlign w:val="bottom"/>
          </w:tcPr>
          <w:p w14:paraId="7DC95FC2"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316B82CC" w14:textId="77777777" w:rsidR="00657ACA" w:rsidRDefault="00657ACA" w:rsidP="00657ACA">
            <w:pPr>
              <w:jc w:val="both"/>
              <w:rPr>
                <w:rFonts w:ascii="Arial" w:hAnsi="Arial" w:cs="Arial"/>
                <w:bCs/>
                <w:sz w:val="20"/>
                <w:szCs w:val="20"/>
              </w:rPr>
            </w:pPr>
            <w:r w:rsidRPr="00B41FD3">
              <w:rPr>
                <w:rFonts w:ascii="Arial" w:hAnsi="Arial" w:cs="Arial"/>
                <w:bCs/>
                <w:sz w:val="20"/>
                <w:szCs w:val="20"/>
              </w:rPr>
              <w:t>Hradená liečba sa môže indikovať u pacientov na prevenciu a liečbu hemorágií alebo krvácania pri chirurgických zákrokoch pri von Willebrandovej chorobe, keď liečba samotným dezmopresínom (DDAVP) je neúčinná alebo kontraindikovaná.</w:t>
            </w:r>
          </w:p>
          <w:p w14:paraId="0485A68D" w14:textId="77777777" w:rsidR="00657ACA" w:rsidRPr="00B41FD3" w:rsidRDefault="00657ACA" w:rsidP="00657ACA">
            <w:pPr>
              <w:jc w:val="both"/>
              <w:rPr>
                <w:rFonts w:ascii="Arial" w:hAnsi="Arial" w:cs="Arial"/>
                <w:bCs/>
                <w:sz w:val="20"/>
                <w:szCs w:val="20"/>
              </w:rPr>
            </w:pPr>
          </w:p>
        </w:tc>
      </w:tr>
      <w:tr w:rsidR="00657ACA" w:rsidRPr="0000591E" w14:paraId="74512238" w14:textId="77777777" w:rsidTr="003F7925">
        <w:trPr>
          <w:gridAfter w:val="2"/>
          <w:wAfter w:w="154" w:type="dxa"/>
          <w:trHeight w:val="20"/>
        </w:trPr>
        <w:tc>
          <w:tcPr>
            <w:tcW w:w="1256" w:type="dxa"/>
            <w:tcBorders>
              <w:bottom w:val="single" w:sz="4" w:space="0" w:color="auto"/>
            </w:tcBorders>
            <w:noWrap/>
            <w:vAlign w:val="bottom"/>
          </w:tcPr>
          <w:p w14:paraId="0FC88EC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B02BD08</w:t>
            </w:r>
          </w:p>
        </w:tc>
        <w:tc>
          <w:tcPr>
            <w:tcW w:w="9452" w:type="dxa"/>
            <w:tcBorders>
              <w:bottom w:val="single" w:sz="4" w:space="0" w:color="auto"/>
            </w:tcBorders>
            <w:noWrap/>
            <w:vAlign w:val="bottom"/>
          </w:tcPr>
          <w:p w14:paraId="1C1AD2F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Eptakog alfa aktivovaný parent. termostabilný 50 KIU,</w:t>
            </w:r>
          </w:p>
          <w:p w14:paraId="4C1C4A0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Eptakog alfa aktivovaný parent. termostabilný 100 KIU</w:t>
            </w:r>
          </w:p>
        </w:tc>
      </w:tr>
      <w:tr w:rsidR="00657ACA" w:rsidRPr="0000591E" w14:paraId="490F3F57" w14:textId="77777777" w:rsidTr="003F7925">
        <w:trPr>
          <w:gridAfter w:val="2"/>
          <w:wAfter w:w="154" w:type="dxa"/>
          <w:trHeight w:val="20"/>
        </w:trPr>
        <w:tc>
          <w:tcPr>
            <w:tcW w:w="1256" w:type="dxa"/>
            <w:tcBorders>
              <w:top w:val="single" w:sz="4" w:space="0" w:color="auto"/>
            </w:tcBorders>
            <w:noWrap/>
            <w:vAlign w:val="bottom"/>
          </w:tcPr>
          <w:p w14:paraId="679AAE36"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41A2EC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profylaxii a liečbe krvácania </w:t>
            </w:r>
          </w:p>
          <w:p w14:paraId="6B823880" w14:textId="77777777" w:rsidR="00657ACA" w:rsidRPr="0000591E"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 xml:space="preserve">pri hemofílii A alebo B komplikovanej prítomnosťou inhibítora, </w:t>
            </w:r>
          </w:p>
          <w:p w14:paraId="7DBE7205" w14:textId="77777777" w:rsidR="00657ACA" w:rsidRPr="0000591E"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pri získanom nedostatku faktorov VIII. alebo IX., podmienenom protilátkami proti faktoru VIII. alebo IX.,</w:t>
            </w:r>
          </w:p>
          <w:p w14:paraId="0E291CD6" w14:textId="77777777" w:rsidR="00657ACA" w:rsidRPr="0000591E"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v prípadoch vrodeného deficitu faktora VII. u detí, ktoré zatiaľ nedostávali krvné deriváty a u pacientov v minulosti liečených plazmou a plazmatickými derivátmi pri intolerancii alebo reakciách po plazmatickom koncentráte faktora VII. a pri nedostupnosti plazmatického koncentrátu faktora VII,</w:t>
            </w:r>
          </w:p>
          <w:p w14:paraId="5A43EA53" w14:textId="77777777" w:rsidR="00657ACA"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u pacientov s Glanzmannovou trombasténiou pri refraktérnosti na trombocytové koncentráty v dôsledku prítomnosti antitrombocytových protilátok alebo aloimunizácie v HLA systéme.</w:t>
            </w:r>
          </w:p>
          <w:p w14:paraId="6FAFDF1D" w14:textId="7BDB69CE" w:rsidR="00657ACA" w:rsidRPr="0000591E" w:rsidRDefault="00657ACA" w:rsidP="00657ACA">
            <w:pPr>
              <w:jc w:val="both"/>
              <w:rPr>
                <w:rFonts w:ascii="Arial" w:hAnsi="Arial" w:cs="Arial"/>
                <w:sz w:val="20"/>
                <w:szCs w:val="20"/>
              </w:rPr>
            </w:pPr>
          </w:p>
        </w:tc>
      </w:tr>
      <w:tr w:rsidR="00657ACA" w:rsidRPr="0000591E" w14:paraId="59F1F171" w14:textId="77777777" w:rsidTr="003F7925">
        <w:trPr>
          <w:gridAfter w:val="2"/>
          <w:wAfter w:w="154" w:type="dxa"/>
          <w:trHeight w:val="20"/>
        </w:trPr>
        <w:tc>
          <w:tcPr>
            <w:tcW w:w="1256" w:type="dxa"/>
            <w:tcBorders>
              <w:bottom w:val="single" w:sz="4" w:space="0" w:color="auto"/>
            </w:tcBorders>
            <w:noWrap/>
            <w:vAlign w:val="bottom"/>
          </w:tcPr>
          <w:p w14:paraId="68FDC458" w14:textId="77777777" w:rsidR="00657ACA" w:rsidRPr="0000591E" w:rsidRDefault="00657ACA" w:rsidP="00657ACA">
            <w:pPr>
              <w:jc w:val="both"/>
              <w:rPr>
                <w:rFonts w:ascii="Arial" w:hAnsi="Arial" w:cs="Arial"/>
                <w:b/>
                <w:sz w:val="20"/>
                <w:szCs w:val="20"/>
              </w:rPr>
            </w:pPr>
            <w:r>
              <w:rPr>
                <w:rFonts w:ascii="Arial" w:hAnsi="Arial" w:cs="Arial"/>
                <w:b/>
                <w:sz w:val="20"/>
                <w:szCs w:val="20"/>
              </w:rPr>
              <w:t>B02BD10</w:t>
            </w:r>
          </w:p>
        </w:tc>
        <w:tc>
          <w:tcPr>
            <w:tcW w:w="9452" w:type="dxa"/>
            <w:tcBorders>
              <w:bottom w:val="single" w:sz="4" w:space="0" w:color="auto"/>
            </w:tcBorders>
          </w:tcPr>
          <w:p w14:paraId="6A6258B4" w14:textId="77777777" w:rsidR="00657ACA" w:rsidRPr="0000591E" w:rsidRDefault="00657ACA" w:rsidP="00657ACA">
            <w:pPr>
              <w:jc w:val="both"/>
              <w:rPr>
                <w:rFonts w:ascii="Arial" w:hAnsi="Arial" w:cs="Arial"/>
                <w:b/>
                <w:sz w:val="20"/>
                <w:szCs w:val="20"/>
              </w:rPr>
            </w:pPr>
            <w:r w:rsidRPr="0000591E">
              <w:rPr>
                <w:rFonts w:ascii="Arial" w:hAnsi="Arial" w:cs="Arial"/>
                <w:b/>
                <w:sz w:val="20"/>
                <w:szCs w:val="20"/>
              </w:rPr>
              <w:t>Von Willebrandov faktor parent. 1000 IU</w:t>
            </w:r>
          </w:p>
        </w:tc>
      </w:tr>
      <w:tr w:rsidR="00657ACA" w:rsidRPr="0000591E" w14:paraId="131A7391" w14:textId="77777777" w:rsidTr="003F7925">
        <w:trPr>
          <w:gridAfter w:val="2"/>
          <w:wAfter w:w="154" w:type="dxa"/>
          <w:trHeight w:val="20"/>
        </w:trPr>
        <w:tc>
          <w:tcPr>
            <w:tcW w:w="1256" w:type="dxa"/>
            <w:tcBorders>
              <w:top w:val="single" w:sz="4" w:space="0" w:color="auto"/>
            </w:tcBorders>
            <w:noWrap/>
            <w:vAlign w:val="bottom"/>
          </w:tcPr>
          <w:p w14:paraId="31C86627" w14:textId="77777777" w:rsidR="00657ACA" w:rsidRPr="0000591E" w:rsidRDefault="00657ACA" w:rsidP="00657ACA">
            <w:pPr>
              <w:jc w:val="both"/>
              <w:rPr>
                <w:rFonts w:ascii="Arial" w:hAnsi="Arial" w:cs="Arial"/>
                <w:b/>
                <w:sz w:val="20"/>
                <w:szCs w:val="20"/>
              </w:rPr>
            </w:pPr>
          </w:p>
        </w:tc>
        <w:tc>
          <w:tcPr>
            <w:tcW w:w="9452" w:type="dxa"/>
            <w:tcBorders>
              <w:top w:val="single" w:sz="4" w:space="0" w:color="auto"/>
            </w:tcBorders>
          </w:tcPr>
          <w:p w14:paraId="7003A16F"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u pacientov, ktorí nevyžadujú súčasné podanie faktora VIII na prevenciu a liečbu hemorágií alebo krvácania pri chirurgických zákrokoch pri von Willebrandovej chorobe, keď liečba samotným dezmopresínom (DDAVP) je neúčinná alebo kontraindikovaná.</w:t>
            </w:r>
          </w:p>
          <w:p w14:paraId="5655132A" w14:textId="77777777" w:rsidR="00657ACA" w:rsidRPr="0000591E" w:rsidRDefault="00657ACA" w:rsidP="00657ACA">
            <w:pPr>
              <w:jc w:val="both"/>
              <w:rPr>
                <w:rFonts w:ascii="Arial" w:hAnsi="Arial" w:cs="Arial"/>
                <w:sz w:val="20"/>
                <w:szCs w:val="20"/>
              </w:rPr>
            </w:pPr>
          </w:p>
          <w:p w14:paraId="18CD0535"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Willfact sa nemá používať na liečbu hemofílie A.</w:t>
            </w:r>
          </w:p>
          <w:p w14:paraId="0C4D78A8" w14:textId="77777777" w:rsidR="00657ACA" w:rsidRPr="0000591E" w:rsidRDefault="00657ACA" w:rsidP="00657ACA">
            <w:pPr>
              <w:jc w:val="both"/>
              <w:rPr>
                <w:rFonts w:ascii="Arial" w:hAnsi="Arial" w:cs="Arial"/>
                <w:b/>
                <w:sz w:val="20"/>
                <w:szCs w:val="20"/>
              </w:rPr>
            </w:pPr>
          </w:p>
        </w:tc>
      </w:tr>
      <w:tr w:rsidR="00657ACA" w:rsidRPr="0000591E" w14:paraId="755078D4" w14:textId="77777777" w:rsidTr="003F7925">
        <w:trPr>
          <w:gridAfter w:val="2"/>
          <w:wAfter w:w="154" w:type="dxa"/>
          <w:trHeight w:val="20"/>
        </w:trPr>
        <w:tc>
          <w:tcPr>
            <w:tcW w:w="1256" w:type="dxa"/>
            <w:noWrap/>
            <w:vAlign w:val="bottom"/>
          </w:tcPr>
          <w:p w14:paraId="78D02D6E" w14:textId="77777777" w:rsidR="00657ACA" w:rsidRPr="0000591E" w:rsidRDefault="00657ACA" w:rsidP="00657ACA">
            <w:pPr>
              <w:jc w:val="both"/>
              <w:rPr>
                <w:rFonts w:ascii="Arial" w:hAnsi="Arial" w:cs="Arial"/>
                <w:sz w:val="20"/>
                <w:szCs w:val="20"/>
              </w:rPr>
            </w:pPr>
            <w:r w:rsidRPr="0000591E">
              <w:rPr>
                <w:rFonts w:ascii="Arial" w:hAnsi="Arial" w:cs="Arial"/>
                <w:b/>
                <w:sz w:val="20"/>
                <w:szCs w:val="20"/>
              </w:rPr>
              <w:t>B02BD1</w:t>
            </w:r>
            <w:r>
              <w:rPr>
                <w:rFonts w:ascii="Arial" w:hAnsi="Arial" w:cs="Arial"/>
                <w:b/>
                <w:sz w:val="20"/>
                <w:szCs w:val="20"/>
              </w:rPr>
              <w:t>1</w:t>
            </w:r>
          </w:p>
        </w:tc>
        <w:tc>
          <w:tcPr>
            <w:tcW w:w="9452" w:type="dxa"/>
          </w:tcPr>
          <w:p w14:paraId="656BD829" w14:textId="77777777" w:rsidR="00657ACA" w:rsidRPr="0000591E" w:rsidRDefault="00657ACA" w:rsidP="00657ACA">
            <w:pPr>
              <w:jc w:val="both"/>
              <w:rPr>
                <w:rFonts w:ascii="Arial" w:hAnsi="Arial" w:cs="Arial"/>
                <w:sz w:val="20"/>
                <w:szCs w:val="20"/>
              </w:rPr>
            </w:pPr>
            <w:r w:rsidRPr="000614BF">
              <w:rPr>
                <w:rFonts w:ascii="Arial" w:hAnsi="Arial" w:cs="Arial"/>
                <w:b/>
                <w:sz w:val="20"/>
                <w:szCs w:val="20"/>
              </w:rPr>
              <w:t>Katridekakog parent. 2500 IU</w:t>
            </w:r>
          </w:p>
        </w:tc>
      </w:tr>
      <w:tr w:rsidR="00657ACA" w:rsidRPr="0000591E" w14:paraId="326F444C" w14:textId="77777777" w:rsidTr="003F7925">
        <w:trPr>
          <w:gridAfter w:val="2"/>
          <w:wAfter w:w="154" w:type="dxa"/>
          <w:trHeight w:val="20"/>
        </w:trPr>
        <w:tc>
          <w:tcPr>
            <w:tcW w:w="1256" w:type="dxa"/>
            <w:tcBorders>
              <w:top w:val="single" w:sz="4" w:space="0" w:color="auto"/>
            </w:tcBorders>
            <w:noWrap/>
            <w:vAlign w:val="bottom"/>
          </w:tcPr>
          <w:p w14:paraId="2B385859"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6D4F2B2" w14:textId="44B7FB17" w:rsidR="00845EE0" w:rsidRPr="0000591E" w:rsidRDefault="00657ACA" w:rsidP="00E838DE">
            <w:pPr>
              <w:jc w:val="both"/>
              <w:rPr>
                <w:rFonts w:ascii="Arial" w:hAnsi="Arial" w:cs="Arial"/>
                <w:sz w:val="20"/>
                <w:szCs w:val="20"/>
              </w:rPr>
            </w:pPr>
            <w:r w:rsidRPr="000614BF">
              <w:rPr>
                <w:rFonts w:ascii="Arial" w:hAnsi="Arial" w:cs="Arial"/>
                <w:sz w:val="20"/>
                <w:szCs w:val="20"/>
              </w:rPr>
              <w:t>Hradená liečba sa môže indikovať pri profylaxii a liečbe krvácania spôsobeného vrodeným nedostatkom faktora XIII A-podjednotky. Hradená liečba podlieha predchádzajúcemu súhlasu zdravotnej poisťovne</w:t>
            </w:r>
            <w:r>
              <w:rPr>
                <w:rFonts w:ascii="Arial" w:hAnsi="Arial" w:cs="Arial"/>
                <w:sz w:val="20"/>
                <w:szCs w:val="20"/>
              </w:rPr>
              <w:t>.</w:t>
            </w:r>
          </w:p>
        </w:tc>
      </w:tr>
      <w:tr w:rsidR="00657ACA" w:rsidRPr="0000591E" w14:paraId="4585932D" w14:textId="77777777" w:rsidTr="003F7925">
        <w:trPr>
          <w:gridAfter w:val="2"/>
          <w:wAfter w:w="154" w:type="dxa"/>
          <w:trHeight w:val="20"/>
        </w:trPr>
        <w:tc>
          <w:tcPr>
            <w:tcW w:w="1256" w:type="dxa"/>
            <w:tcBorders>
              <w:bottom w:val="single" w:sz="4" w:space="0" w:color="auto"/>
            </w:tcBorders>
            <w:noWrap/>
            <w:vAlign w:val="center"/>
          </w:tcPr>
          <w:p w14:paraId="719BE2D6"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B02BX04</w:t>
            </w:r>
          </w:p>
        </w:tc>
        <w:tc>
          <w:tcPr>
            <w:tcW w:w="9452" w:type="dxa"/>
            <w:tcBorders>
              <w:bottom w:val="single" w:sz="4" w:space="0" w:color="auto"/>
            </w:tcBorders>
            <w:noWrap/>
            <w:vAlign w:val="bottom"/>
          </w:tcPr>
          <w:p w14:paraId="045A13AC" w14:textId="77777777" w:rsidR="00657ACA" w:rsidRDefault="00657ACA" w:rsidP="00657ACA">
            <w:pPr>
              <w:jc w:val="both"/>
              <w:rPr>
                <w:rFonts w:ascii="Arial" w:hAnsi="Arial" w:cs="Arial"/>
                <w:b/>
                <w:bCs/>
                <w:sz w:val="20"/>
                <w:szCs w:val="20"/>
              </w:rPr>
            </w:pPr>
            <w:r w:rsidRPr="00382B38">
              <w:rPr>
                <w:rFonts w:ascii="Arial" w:hAnsi="Arial" w:cs="Arial"/>
                <w:b/>
                <w:bCs/>
                <w:sz w:val="20"/>
                <w:szCs w:val="20"/>
              </w:rPr>
              <w:t xml:space="preserve">Romiplostim parent. </w:t>
            </w:r>
            <w:r>
              <w:rPr>
                <w:rFonts w:ascii="Arial" w:hAnsi="Arial" w:cs="Arial"/>
                <w:b/>
                <w:bCs/>
                <w:sz w:val="20"/>
                <w:szCs w:val="20"/>
              </w:rPr>
              <w:t>25</w:t>
            </w:r>
            <w:r w:rsidRPr="00382B38">
              <w:rPr>
                <w:rFonts w:ascii="Arial" w:hAnsi="Arial" w:cs="Arial"/>
                <w:b/>
                <w:bCs/>
                <w:sz w:val="20"/>
                <w:szCs w:val="20"/>
              </w:rPr>
              <w:t>0 mcg</w:t>
            </w:r>
            <w:r>
              <w:rPr>
                <w:rFonts w:ascii="Arial" w:hAnsi="Arial" w:cs="Arial"/>
                <w:b/>
                <w:bCs/>
                <w:sz w:val="20"/>
                <w:szCs w:val="20"/>
              </w:rPr>
              <w:t>,</w:t>
            </w:r>
          </w:p>
          <w:p w14:paraId="0EB15E91" w14:textId="77777777" w:rsidR="00657ACA" w:rsidRPr="0000591E" w:rsidRDefault="00657ACA" w:rsidP="00657ACA">
            <w:pPr>
              <w:jc w:val="both"/>
              <w:rPr>
                <w:rFonts w:ascii="Arial" w:hAnsi="Arial" w:cs="Arial"/>
                <w:b/>
                <w:bCs/>
                <w:sz w:val="20"/>
                <w:szCs w:val="20"/>
              </w:rPr>
            </w:pPr>
            <w:r w:rsidRPr="00382B38">
              <w:rPr>
                <w:rFonts w:ascii="Arial" w:hAnsi="Arial" w:cs="Arial"/>
                <w:b/>
                <w:bCs/>
                <w:sz w:val="20"/>
                <w:szCs w:val="20"/>
              </w:rPr>
              <w:t>Romiplostim parent. 500 mcg</w:t>
            </w:r>
          </w:p>
        </w:tc>
      </w:tr>
      <w:tr w:rsidR="00657ACA" w:rsidRPr="0000591E" w14:paraId="59E52D94" w14:textId="77777777" w:rsidTr="003F7925">
        <w:trPr>
          <w:gridAfter w:val="2"/>
          <w:wAfter w:w="154" w:type="dxa"/>
          <w:trHeight w:val="20"/>
        </w:trPr>
        <w:tc>
          <w:tcPr>
            <w:tcW w:w="1256" w:type="dxa"/>
            <w:tcBorders>
              <w:top w:val="single" w:sz="4" w:space="0" w:color="auto"/>
            </w:tcBorders>
            <w:noWrap/>
            <w:vAlign w:val="center"/>
          </w:tcPr>
          <w:p w14:paraId="306C0F86" w14:textId="77777777" w:rsidR="00657ACA" w:rsidRPr="0000591E" w:rsidRDefault="00657ACA" w:rsidP="00657ACA">
            <w:pPr>
              <w:jc w:val="center"/>
              <w:rPr>
                <w:rFonts w:ascii="Arial" w:hAnsi="Arial" w:cs="Arial"/>
                <w:b/>
                <w:bCs/>
                <w:sz w:val="20"/>
                <w:szCs w:val="20"/>
              </w:rPr>
            </w:pPr>
          </w:p>
        </w:tc>
        <w:tc>
          <w:tcPr>
            <w:tcW w:w="9452" w:type="dxa"/>
            <w:tcBorders>
              <w:top w:val="single" w:sz="4" w:space="0" w:color="auto"/>
            </w:tcBorders>
            <w:noWrap/>
            <w:vAlign w:val="bottom"/>
          </w:tcPr>
          <w:p w14:paraId="3C9C49EB" w14:textId="77777777" w:rsidR="00657ACA" w:rsidRPr="0000591E" w:rsidRDefault="00657ACA" w:rsidP="00657ACA">
            <w:pPr>
              <w:pStyle w:val="Zkladntext"/>
              <w:jc w:val="both"/>
              <w:rPr>
                <w:lang w:val="sk-SK"/>
              </w:rPr>
            </w:pPr>
            <w:r w:rsidRPr="0000591E">
              <w:rPr>
                <w:lang w:val="sk-SK"/>
              </w:rPr>
              <w:t>Hradená liečba sa môže indikovať u dospelých pacientov s idiopatickou trombocytopenickou purpurou (ITP)</w:t>
            </w:r>
          </w:p>
          <w:p w14:paraId="52CC85BA" w14:textId="77777777" w:rsidR="00657ACA" w:rsidRPr="0000591E" w:rsidRDefault="00657ACA">
            <w:pPr>
              <w:pStyle w:val="Zkladntext"/>
              <w:numPr>
                <w:ilvl w:val="0"/>
                <w:numId w:val="43"/>
              </w:numPr>
              <w:tabs>
                <w:tab w:val="clear" w:pos="1230"/>
                <w:tab w:val="num" w:pos="433"/>
              </w:tabs>
              <w:ind w:hanging="1222"/>
              <w:jc w:val="both"/>
              <w:rPr>
                <w:lang w:val="sk-SK"/>
              </w:rPr>
            </w:pPr>
            <w:r w:rsidRPr="0000591E">
              <w:rPr>
                <w:lang w:val="sk-SK"/>
              </w:rPr>
              <w:lastRenderedPageBreak/>
              <w:t>po splenektómii, ktorí sú rezistentní alebo intolerantní voči štandardnej liečbe (kortikosteroidy),</w:t>
            </w:r>
          </w:p>
          <w:p w14:paraId="0B3303BF" w14:textId="77777777" w:rsidR="00657ACA" w:rsidRDefault="00657ACA">
            <w:pPr>
              <w:numPr>
                <w:ilvl w:val="0"/>
                <w:numId w:val="43"/>
              </w:numPr>
              <w:tabs>
                <w:tab w:val="clear" w:pos="1230"/>
                <w:tab w:val="num" w:pos="433"/>
              </w:tabs>
              <w:ind w:hanging="1222"/>
              <w:jc w:val="both"/>
              <w:rPr>
                <w:rFonts w:ascii="Arial" w:hAnsi="Arial" w:cs="Arial"/>
                <w:sz w:val="20"/>
                <w:szCs w:val="20"/>
              </w:rPr>
            </w:pPr>
            <w:r w:rsidRPr="0000591E">
              <w:rPr>
                <w:rFonts w:ascii="Arial" w:hAnsi="Arial" w:cs="Arial"/>
                <w:sz w:val="20"/>
                <w:szCs w:val="20"/>
              </w:rPr>
              <w:t>v druhej línii, u ktorých je splenektómia kontraindikovaná alebo klinicky nevhodná.</w:t>
            </w:r>
          </w:p>
          <w:p w14:paraId="3F235B54" w14:textId="77777777" w:rsidR="00657ACA" w:rsidRPr="0000591E" w:rsidRDefault="00657ACA" w:rsidP="00657ACA">
            <w:pPr>
              <w:ind w:left="1230"/>
              <w:jc w:val="both"/>
              <w:rPr>
                <w:rFonts w:ascii="Arial" w:hAnsi="Arial" w:cs="Arial"/>
                <w:sz w:val="20"/>
                <w:szCs w:val="20"/>
              </w:rPr>
            </w:pPr>
          </w:p>
          <w:p w14:paraId="4A736E0C" w14:textId="0C4CBBCF" w:rsidR="00657ACA" w:rsidRDefault="00657ACA" w:rsidP="00657AC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4951959B" w14:textId="77777777" w:rsidR="00657ACA" w:rsidRPr="0000591E" w:rsidRDefault="00657ACA" w:rsidP="00657ACA">
            <w:pPr>
              <w:jc w:val="both"/>
              <w:rPr>
                <w:rFonts w:ascii="Arial" w:hAnsi="Arial" w:cs="Arial"/>
                <w:b/>
                <w:bCs/>
                <w:sz w:val="20"/>
                <w:szCs w:val="20"/>
              </w:rPr>
            </w:pPr>
          </w:p>
        </w:tc>
      </w:tr>
      <w:tr w:rsidR="00657ACA" w:rsidRPr="0000591E" w14:paraId="67220473" w14:textId="77777777" w:rsidTr="003F7925">
        <w:trPr>
          <w:gridAfter w:val="2"/>
          <w:wAfter w:w="154" w:type="dxa"/>
          <w:trHeight w:val="20"/>
        </w:trPr>
        <w:tc>
          <w:tcPr>
            <w:tcW w:w="1256" w:type="dxa"/>
            <w:tcBorders>
              <w:bottom w:val="single" w:sz="4" w:space="0" w:color="auto"/>
            </w:tcBorders>
            <w:noWrap/>
            <w:vAlign w:val="center"/>
          </w:tcPr>
          <w:p w14:paraId="4812718A"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lastRenderedPageBreak/>
              <w:t>B02BX05</w:t>
            </w:r>
          </w:p>
        </w:tc>
        <w:tc>
          <w:tcPr>
            <w:tcW w:w="9452" w:type="dxa"/>
            <w:tcBorders>
              <w:bottom w:val="single" w:sz="4" w:space="0" w:color="auto"/>
            </w:tcBorders>
            <w:noWrap/>
            <w:vAlign w:val="bottom"/>
          </w:tcPr>
          <w:p w14:paraId="069A8EC2" w14:textId="77777777" w:rsidR="00657ACA" w:rsidRPr="0000591E" w:rsidRDefault="00657ACA" w:rsidP="00657ACA">
            <w:pPr>
              <w:pStyle w:val="Textkomentra"/>
              <w:rPr>
                <w:rFonts w:ascii="Arial" w:hAnsi="Arial" w:cs="Arial"/>
                <w:b/>
              </w:rPr>
            </w:pPr>
            <w:r w:rsidRPr="0000591E">
              <w:rPr>
                <w:rFonts w:ascii="Arial" w:hAnsi="Arial" w:cs="Arial"/>
                <w:b/>
              </w:rPr>
              <w:t>Eltrombopag p.o. 25 mg,</w:t>
            </w:r>
          </w:p>
          <w:p w14:paraId="726350DC" w14:textId="77777777" w:rsidR="00657ACA" w:rsidRPr="0000591E" w:rsidRDefault="00657ACA" w:rsidP="00657ACA">
            <w:pPr>
              <w:pStyle w:val="Textkomentra"/>
              <w:rPr>
                <w:rFonts w:ascii="Arial" w:hAnsi="Arial" w:cs="Arial"/>
                <w:b/>
              </w:rPr>
            </w:pPr>
            <w:r w:rsidRPr="0000591E">
              <w:rPr>
                <w:rFonts w:ascii="Arial" w:hAnsi="Arial" w:cs="Arial"/>
                <w:b/>
              </w:rPr>
              <w:t>Eltrombopag p.o. 50 mg</w:t>
            </w:r>
          </w:p>
        </w:tc>
      </w:tr>
      <w:tr w:rsidR="00657ACA" w:rsidRPr="0000591E" w14:paraId="18661F1C" w14:textId="77777777" w:rsidTr="003F7925">
        <w:trPr>
          <w:gridAfter w:val="2"/>
          <w:wAfter w:w="154" w:type="dxa"/>
          <w:trHeight w:val="20"/>
        </w:trPr>
        <w:tc>
          <w:tcPr>
            <w:tcW w:w="1256" w:type="dxa"/>
            <w:tcBorders>
              <w:top w:val="single" w:sz="4" w:space="0" w:color="auto"/>
            </w:tcBorders>
            <w:noWrap/>
            <w:vAlign w:val="center"/>
          </w:tcPr>
          <w:p w14:paraId="1F11ABC9"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03F8091A" w14:textId="77777777" w:rsidR="00657ACA" w:rsidRPr="0000591E" w:rsidRDefault="00657ACA" w:rsidP="00657ACA">
            <w:pPr>
              <w:pStyle w:val="Textkomentra"/>
              <w:jc w:val="both"/>
              <w:rPr>
                <w:rFonts w:ascii="Arial" w:hAnsi="Arial" w:cs="Arial"/>
              </w:rPr>
            </w:pPr>
            <w:r w:rsidRPr="0000591E">
              <w:rPr>
                <w:rFonts w:ascii="Arial" w:hAnsi="Arial" w:cs="Arial"/>
              </w:rPr>
              <w:t xml:space="preserve">Hradená liečba sa môže indikovať u </w:t>
            </w:r>
          </w:p>
          <w:p w14:paraId="5D81DE12" w14:textId="77777777" w:rsidR="00657ACA" w:rsidRPr="0000591E" w:rsidRDefault="00657ACA">
            <w:pPr>
              <w:pStyle w:val="Zkladntext"/>
              <w:numPr>
                <w:ilvl w:val="0"/>
                <w:numId w:val="46"/>
              </w:numPr>
              <w:tabs>
                <w:tab w:val="num" w:pos="851"/>
              </w:tabs>
              <w:spacing w:line="276" w:lineRule="auto"/>
              <w:jc w:val="both"/>
              <w:rPr>
                <w:lang w:val="sk-SK"/>
              </w:rPr>
            </w:pPr>
            <w:r w:rsidRPr="0000591E">
              <w:rPr>
                <w:lang w:val="sk-SK"/>
              </w:rPr>
              <w:t>dospelých pacientov s ITP po splenektómii, ktorí sú rezistentní, alebo intolerantní voči štandardnej liečbe (kortikosteroidy),</w:t>
            </w:r>
          </w:p>
          <w:p w14:paraId="5A313825" w14:textId="77777777" w:rsidR="00657ACA" w:rsidRPr="0000591E" w:rsidRDefault="00657ACA">
            <w:pPr>
              <w:numPr>
                <w:ilvl w:val="0"/>
                <w:numId w:val="46"/>
              </w:numPr>
              <w:tabs>
                <w:tab w:val="clear" w:pos="1230"/>
                <w:tab w:val="num" w:pos="851"/>
              </w:tabs>
              <w:spacing w:line="276" w:lineRule="auto"/>
              <w:jc w:val="both"/>
              <w:rPr>
                <w:rFonts w:ascii="Arial" w:hAnsi="Arial" w:cs="Arial"/>
                <w:sz w:val="20"/>
                <w:szCs w:val="20"/>
                <w:lang w:eastAsia="cs-CZ"/>
              </w:rPr>
            </w:pPr>
            <w:r w:rsidRPr="0000591E">
              <w:rPr>
                <w:rFonts w:ascii="Arial" w:hAnsi="Arial" w:cs="Arial"/>
                <w:sz w:val="20"/>
                <w:szCs w:val="20"/>
                <w:lang w:eastAsia="cs-CZ"/>
              </w:rPr>
              <w:t>dospelých pacientov s ITP v druhej línii, u ktorých je splenektómia kontraindikovaná, alebo klinicky nevhodná.</w:t>
            </w:r>
          </w:p>
          <w:p w14:paraId="6DDB9860" w14:textId="273F5BF0" w:rsidR="00657ACA" w:rsidRDefault="00657ACA" w:rsidP="00845EE0">
            <w:pPr>
              <w:pStyle w:val="Textkomentra"/>
              <w:rPr>
                <w:rFonts w:ascii="Arial" w:hAnsi="Arial" w:cs="Arial"/>
              </w:rPr>
            </w:pPr>
            <w:r w:rsidRPr="0000591E">
              <w:rPr>
                <w:rFonts w:ascii="Arial" w:hAnsi="Arial" w:cs="Arial"/>
              </w:rPr>
              <w:t>Hradená liečba podlieha predchádzajúcemu súhlasu zdravotnej poisťovne.</w:t>
            </w:r>
          </w:p>
          <w:p w14:paraId="1F33919E" w14:textId="0EEB2448" w:rsidR="00657ACA" w:rsidRPr="0000591E" w:rsidRDefault="00657ACA" w:rsidP="00657ACA">
            <w:pPr>
              <w:pStyle w:val="Textkomentra"/>
              <w:jc w:val="both"/>
              <w:rPr>
                <w:rFonts w:ascii="Arial" w:hAnsi="Arial" w:cs="Arial"/>
              </w:rPr>
            </w:pPr>
          </w:p>
        </w:tc>
      </w:tr>
      <w:tr w:rsidR="00657ACA" w:rsidRPr="0000591E" w14:paraId="402769F0" w14:textId="77777777" w:rsidTr="003F7925">
        <w:trPr>
          <w:gridAfter w:val="2"/>
          <w:wAfter w:w="154" w:type="dxa"/>
          <w:trHeight w:val="20"/>
        </w:trPr>
        <w:tc>
          <w:tcPr>
            <w:tcW w:w="1256" w:type="dxa"/>
            <w:tcBorders>
              <w:bottom w:val="single" w:sz="4" w:space="0" w:color="auto"/>
            </w:tcBorders>
            <w:noWrap/>
            <w:vAlign w:val="center"/>
          </w:tcPr>
          <w:p w14:paraId="20C43E4E" w14:textId="77777777" w:rsidR="00657ACA" w:rsidRDefault="00657ACA" w:rsidP="00657ACA">
            <w:pPr>
              <w:rPr>
                <w:rFonts w:ascii="Arial" w:hAnsi="Arial" w:cs="Arial"/>
                <w:b/>
                <w:bCs/>
                <w:sz w:val="20"/>
                <w:szCs w:val="20"/>
              </w:rPr>
            </w:pPr>
            <w:r>
              <w:rPr>
                <w:rFonts w:ascii="Arial" w:hAnsi="Arial" w:cs="Arial"/>
                <w:b/>
                <w:bCs/>
                <w:sz w:val="20"/>
                <w:szCs w:val="20"/>
              </w:rPr>
              <w:t xml:space="preserve">B02BX06 </w:t>
            </w:r>
          </w:p>
        </w:tc>
        <w:tc>
          <w:tcPr>
            <w:tcW w:w="9452" w:type="dxa"/>
            <w:tcBorders>
              <w:bottom w:val="single" w:sz="4" w:space="0" w:color="auto"/>
            </w:tcBorders>
            <w:noWrap/>
            <w:vAlign w:val="bottom"/>
          </w:tcPr>
          <w:p w14:paraId="2396F49A" w14:textId="77777777" w:rsidR="00657ACA" w:rsidRDefault="00657ACA" w:rsidP="00657ACA">
            <w:pPr>
              <w:pStyle w:val="Textkomentra"/>
              <w:rPr>
                <w:rFonts w:ascii="Arial" w:hAnsi="Arial" w:cs="Arial"/>
                <w:b/>
              </w:rPr>
            </w:pPr>
            <w:r>
              <w:rPr>
                <w:rFonts w:ascii="Arial" w:hAnsi="Arial" w:cs="Arial"/>
                <w:b/>
              </w:rPr>
              <w:t>Emicizumab s.c. 30 mg</w:t>
            </w:r>
          </w:p>
          <w:p w14:paraId="71328F9C" w14:textId="77777777" w:rsidR="00657ACA" w:rsidRDefault="00657ACA" w:rsidP="00657ACA">
            <w:pPr>
              <w:pStyle w:val="Textkomentra"/>
              <w:rPr>
                <w:rFonts w:ascii="Arial" w:hAnsi="Arial" w:cs="Arial"/>
                <w:b/>
              </w:rPr>
            </w:pPr>
            <w:r>
              <w:rPr>
                <w:rFonts w:ascii="Arial" w:hAnsi="Arial" w:cs="Arial"/>
                <w:b/>
              </w:rPr>
              <w:t>Emicizumab s.c. 60 mg</w:t>
            </w:r>
          </w:p>
          <w:p w14:paraId="3BBC4171" w14:textId="77777777" w:rsidR="00657ACA" w:rsidRPr="006D1971" w:rsidRDefault="00657ACA" w:rsidP="00657ACA">
            <w:pPr>
              <w:pStyle w:val="Textkomentra"/>
              <w:rPr>
                <w:rFonts w:ascii="Arial" w:hAnsi="Arial" w:cs="Arial"/>
                <w:b/>
              </w:rPr>
            </w:pPr>
            <w:r>
              <w:rPr>
                <w:rFonts w:ascii="Arial" w:hAnsi="Arial" w:cs="Arial"/>
                <w:b/>
              </w:rPr>
              <w:t>Emicizumab s.c. 105 mg</w:t>
            </w:r>
          </w:p>
        </w:tc>
      </w:tr>
      <w:tr w:rsidR="00657ACA" w:rsidRPr="0000591E" w14:paraId="30A6B1E6" w14:textId="77777777" w:rsidTr="003F7925">
        <w:trPr>
          <w:gridAfter w:val="2"/>
          <w:wAfter w:w="154" w:type="dxa"/>
          <w:trHeight w:val="20"/>
        </w:trPr>
        <w:tc>
          <w:tcPr>
            <w:tcW w:w="1256" w:type="dxa"/>
            <w:tcBorders>
              <w:top w:val="single" w:sz="4" w:space="0" w:color="auto"/>
            </w:tcBorders>
            <w:noWrap/>
            <w:vAlign w:val="center"/>
          </w:tcPr>
          <w:p w14:paraId="4317E684"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06F336FD" w14:textId="77777777" w:rsidR="00657ACA" w:rsidRDefault="00657ACA" w:rsidP="00657ACA">
            <w:pPr>
              <w:autoSpaceDE w:val="0"/>
              <w:autoSpaceDN w:val="0"/>
              <w:adjustRightInd w:val="0"/>
              <w:spacing w:before="90" w:after="90" w:line="276" w:lineRule="auto"/>
              <w:jc w:val="both"/>
              <w:rPr>
                <w:rFonts w:ascii="Arial" w:hAnsi="Arial"/>
                <w:color w:val="000000"/>
                <w:sz w:val="20"/>
                <w:u w:color="000000"/>
              </w:rPr>
            </w:pPr>
            <w:r w:rsidRPr="006D1971">
              <w:rPr>
                <w:rFonts w:ascii="Arial" w:hAnsi="Arial"/>
                <w:color w:val="000000"/>
                <w:sz w:val="20"/>
                <w:u w:color="000000"/>
              </w:rPr>
              <w:t xml:space="preserve">Hradená liečba sa môže indikovať pri profylaxii krvácania u pacientov vo všetkých vekových skupinách s hemofíliou A (vrodený nedostatok faktora VIII) </w:t>
            </w:r>
          </w:p>
          <w:p w14:paraId="3B914401" w14:textId="77777777" w:rsidR="00657ACA" w:rsidRPr="00D37FDB" w:rsidRDefault="00657ACA">
            <w:pPr>
              <w:pStyle w:val="Odsekzoznamu"/>
              <w:numPr>
                <w:ilvl w:val="0"/>
                <w:numId w:val="69"/>
              </w:numPr>
              <w:autoSpaceDE w:val="0"/>
              <w:autoSpaceDN w:val="0"/>
              <w:adjustRightInd w:val="0"/>
              <w:spacing w:before="90" w:after="90"/>
              <w:ind w:left="433" w:hanging="425"/>
              <w:rPr>
                <w:rFonts w:ascii="Verdana" w:hAnsi="Verdana"/>
                <w:color w:val="000000"/>
                <w:sz w:val="19"/>
                <w:u w:color="000000"/>
              </w:rPr>
            </w:pPr>
            <w:r w:rsidRPr="00D37FDB">
              <w:rPr>
                <w:rFonts w:ascii="Arial" w:hAnsi="Arial"/>
                <w:color w:val="000000"/>
                <w:sz w:val="20"/>
                <w:u w:color="000000"/>
              </w:rPr>
              <w:t>s inhibítorom faktora VIII</w:t>
            </w:r>
          </w:p>
          <w:p w14:paraId="4EEAA7C3" w14:textId="77777777" w:rsidR="00657ACA" w:rsidRPr="00D37FDB" w:rsidRDefault="00657ACA">
            <w:pPr>
              <w:pStyle w:val="Odsekzoznamu"/>
              <w:numPr>
                <w:ilvl w:val="0"/>
                <w:numId w:val="69"/>
              </w:numPr>
              <w:autoSpaceDE w:val="0"/>
              <w:autoSpaceDN w:val="0"/>
              <w:adjustRightInd w:val="0"/>
              <w:spacing w:before="90" w:after="90"/>
              <w:ind w:left="433" w:hanging="425"/>
              <w:rPr>
                <w:rFonts w:ascii="Arial" w:hAnsi="Arial"/>
                <w:color w:val="000000"/>
                <w:sz w:val="20"/>
                <w:u w:color="000000"/>
              </w:rPr>
            </w:pPr>
            <w:r>
              <w:rPr>
                <w:rFonts w:ascii="Arial" w:hAnsi="Arial"/>
                <w:color w:val="000000"/>
                <w:sz w:val="20"/>
                <w:u w:color="000000"/>
              </w:rPr>
              <w:t xml:space="preserve">bez </w:t>
            </w:r>
            <w:r w:rsidRPr="00D37FDB">
              <w:rPr>
                <w:rFonts w:ascii="Arial" w:hAnsi="Arial"/>
                <w:color w:val="000000"/>
                <w:sz w:val="20"/>
                <w:u w:color="000000"/>
              </w:rPr>
              <w:t>inhibítora faktora VIII,</w:t>
            </w:r>
            <w:r>
              <w:rPr>
                <w:rFonts w:ascii="Arial" w:hAnsi="Arial"/>
                <w:color w:val="000000"/>
                <w:sz w:val="20"/>
                <w:u w:color="000000"/>
              </w:rPr>
              <w:t xml:space="preserve"> </w:t>
            </w:r>
            <w:r w:rsidRPr="00D37FDB">
              <w:rPr>
                <w:rFonts w:ascii="Arial" w:hAnsi="Arial"/>
                <w:color w:val="000000"/>
                <w:sz w:val="20"/>
                <w:u w:color="000000"/>
              </w:rPr>
              <w:t>ktorí sú v súčasnosti liečení rekombinantnými faktormi VIII alebo rekombinantnými faktormi VIII</w:t>
            </w:r>
            <w:r>
              <w:rPr>
                <w:rFonts w:ascii="Arial" w:hAnsi="Arial"/>
                <w:color w:val="000000"/>
                <w:sz w:val="20"/>
                <w:u w:color="000000"/>
              </w:rPr>
              <w:t xml:space="preserve"> </w:t>
            </w:r>
            <w:r w:rsidRPr="00D37FDB">
              <w:rPr>
                <w:rFonts w:ascii="Arial" w:hAnsi="Arial"/>
                <w:color w:val="000000"/>
                <w:sz w:val="20"/>
                <w:u w:color="000000"/>
              </w:rPr>
              <w:t>s predĺženým účinkom.</w:t>
            </w:r>
          </w:p>
          <w:p w14:paraId="1B32D608" w14:textId="77777777" w:rsidR="00657ACA" w:rsidRPr="006D1971" w:rsidRDefault="00657ACA" w:rsidP="00657ACA">
            <w:pPr>
              <w:autoSpaceDE w:val="0"/>
              <w:autoSpaceDN w:val="0"/>
              <w:adjustRightInd w:val="0"/>
              <w:spacing w:before="90" w:after="90" w:line="276" w:lineRule="auto"/>
              <w:jc w:val="both"/>
              <w:rPr>
                <w:rFonts w:ascii="Verdana" w:hAnsi="Verdana"/>
                <w:color w:val="000000"/>
                <w:sz w:val="19"/>
                <w:u w:color="000000"/>
              </w:rPr>
            </w:pPr>
            <w:r w:rsidRPr="006D1971">
              <w:rPr>
                <w:rFonts w:ascii="Arial" w:hAnsi="Arial"/>
                <w:color w:val="000000"/>
                <w:sz w:val="20"/>
                <w:u w:color="000000"/>
              </w:rPr>
              <w:t xml:space="preserve">Profylaktickú liečbu prípravkom Hemlibra u pacientov s hemofíliou A indikuje hematológ v spolupráci s centrom komplexnej hemofilickej starostlivosti, t.j. Národné hemofilické centrum KHaT LFUK UNB v Bratislave, Regionálne hemofilické centrum Oddelenia hematológie, Rooseveltova nemocnica Banská Bystrica, Klinika pediatrickej onkológie a hematológie SZU DFN s poliklinikou Banská Bystrica, Národné centrum hemostázy a trombózy KHaT JLF-UK MFN, Martin, Klinika hematológie a onkohematológie UN PJŠ, Košice a Hematologická ambulancia Oddelenia detskej onkológie a hematológie DFN, Košice </w:t>
            </w:r>
          </w:p>
          <w:p w14:paraId="10EB5EF6" w14:textId="53E066C8" w:rsidR="00657ACA" w:rsidRPr="005B1FCD" w:rsidRDefault="00657ACA" w:rsidP="00657ACA">
            <w:pPr>
              <w:autoSpaceDE w:val="0"/>
              <w:autoSpaceDN w:val="0"/>
              <w:adjustRightInd w:val="0"/>
              <w:spacing w:after="180" w:line="276" w:lineRule="auto"/>
              <w:rPr>
                <w:rFonts w:ascii="Verdana" w:hAnsi="Verdana"/>
                <w:color w:val="000000"/>
                <w:u w:color="000000"/>
              </w:rPr>
            </w:pPr>
            <w:r w:rsidRPr="006D1971">
              <w:rPr>
                <w:rFonts w:ascii="Arial" w:hAnsi="Arial"/>
                <w:color w:val="000000"/>
                <w:sz w:val="20"/>
                <w:u w:color="000000"/>
              </w:rPr>
              <w:t>Hradená liečba podlieha predchádzajúcemu súhlasu zdravotnej poisťovne.</w:t>
            </w:r>
          </w:p>
        </w:tc>
      </w:tr>
      <w:tr w:rsidR="00657ACA" w:rsidRPr="0000591E" w14:paraId="4BB6E139" w14:textId="77777777" w:rsidTr="003F7925">
        <w:trPr>
          <w:gridAfter w:val="2"/>
          <w:wAfter w:w="154" w:type="dxa"/>
          <w:trHeight w:val="260"/>
        </w:trPr>
        <w:tc>
          <w:tcPr>
            <w:tcW w:w="1256" w:type="dxa"/>
            <w:tcBorders>
              <w:bottom w:val="single" w:sz="4" w:space="0" w:color="auto"/>
            </w:tcBorders>
            <w:noWrap/>
            <w:vAlign w:val="center"/>
          </w:tcPr>
          <w:p w14:paraId="2C8C0EA2" w14:textId="1E4D0A51" w:rsidR="00657ACA" w:rsidRPr="005B1FCD" w:rsidRDefault="00657ACA" w:rsidP="00657ACA">
            <w:pPr>
              <w:rPr>
                <w:rFonts w:ascii="Arial" w:hAnsi="Arial" w:cs="Arial"/>
                <w:b/>
                <w:sz w:val="20"/>
                <w:szCs w:val="20"/>
              </w:rPr>
            </w:pPr>
            <w:r w:rsidRPr="005B1FCD">
              <w:rPr>
                <w:rFonts w:ascii="Arial" w:hAnsi="Arial" w:cs="Arial"/>
                <w:b/>
                <w:sz w:val="20"/>
                <w:szCs w:val="20"/>
              </w:rPr>
              <w:t>B02BX08</w:t>
            </w:r>
          </w:p>
        </w:tc>
        <w:tc>
          <w:tcPr>
            <w:tcW w:w="9452" w:type="dxa"/>
            <w:tcBorders>
              <w:bottom w:val="single" w:sz="4" w:space="0" w:color="auto"/>
            </w:tcBorders>
            <w:noWrap/>
            <w:vAlign w:val="bottom"/>
          </w:tcPr>
          <w:p w14:paraId="141A302D" w14:textId="4A9F3838" w:rsidR="00657ACA" w:rsidRPr="005B1FCD" w:rsidRDefault="00657ACA" w:rsidP="00657ACA">
            <w:pPr>
              <w:pStyle w:val="Textkomentra"/>
              <w:rPr>
                <w:rFonts w:ascii="Arial" w:hAnsi="Arial" w:cs="Arial"/>
                <w:b/>
              </w:rPr>
            </w:pPr>
            <w:r w:rsidRPr="005B1FCD">
              <w:rPr>
                <w:rFonts w:ascii="Arial" w:hAnsi="Arial" w:cs="Arial"/>
                <w:b/>
              </w:rPr>
              <w:t xml:space="preserve">Avatrombopag p.o. 20 mg </w:t>
            </w:r>
            <w:r>
              <w:rPr>
                <w:rFonts w:ascii="Arial" w:hAnsi="Arial" w:cs="Arial"/>
                <w:b/>
              </w:rPr>
              <w:t>(C</w:t>
            </w:r>
            <w:r w:rsidRPr="005B1FCD">
              <w:rPr>
                <w:rFonts w:ascii="Arial" w:hAnsi="Arial" w:cs="Arial"/>
                <w:b/>
              </w:rPr>
              <w:t>L</w:t>
            </w:r>
            <w:r>
              <w:rPr>
                <w:rFonts w:ascii="Arial" w:hAnsi="Arial" w:cs="Arial"/>
                <w:b/>
              </w:rPr>
              <w:t>D</w:t>
            </w:r>
            <w:r w:rsidRPr="005B1FCD">
              <w:rPr>
                <w:rFonts w:ascii="Arial" w:hAnsi="Arial" w:cs="Arial"/>
                <w:b/>
              </w:rPr>
              <w:t>)</w:t>
            </w:r>
          </w:p>
        </w:tc>
      </w:tr>
      <w:tr w:rsidR="00657ACA" w:rsidRPr="0000591E" w14:paraId="383956E5" w14:textId="77777777" w:rsidTr="003F7925">
        <w:trPr>
          <w:gridAfter w:val="2"/>
          <w:wAfter w:w="154" w:type="dxa"/>
          <w:trHeight w:val="20"/>
        </w:trPr>
        <w:tc>
          <w:tcPr>
            <w:tcW w:w="1256" w:type="dxa"/>
            <w:tcBorders>
              <w:top w:val="single" w:sz="4" w:space="0" w:color="auto"/>
            </w:tcBorders>
            <w:noWrap/>
            <w:vAlign w:val="center"/>
          </w:tcPr>
          <w:p w14:paraId="640D5E24"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6FE17B05" w14:textId="3BF7F3A0" w:rsidR="00657ACA" w:rsidRPr="006D1971" w:rsidRDefault="00657ACA" w:rsidP="00657ACA">
            <w:pPr>
              <w:autoSpaceDE w:val="0"/>
              <w:autoSpaceDN w:val="0"/>
              <w:adjustRightInd w:val="0"/>
              <w:spacing w:before="90" w:after="90" w:line="276" w:lineRule="auto"/>
              <w:jc w:val="both"/>
              <w:rPr>
                <w:rFonts w:ascii="Arial" w:hAnsi="Arial"/>
                <w:color w:val="000000"/>
                <w:sz w:val="20"/>
                <w:u w:color="000000"/>
              </w:rPr>
            </w:pPr>
            <w:r w:rsidRPr="005B1FCD">
              <w:rPr>
                <w:rFonts w:ascii="Arial" w:hAnsi="Arial"/>
                <w:color w:val="000000"/>
                <w:sz w:val="20"/>
                <w:u w:color="000000"/>
              </w:rPr>
              <w:t>Hradenú liečbu môže indikovať hematológ, hepatológ, gastroenterológ a internista u dospelých pacientov s chronickým ochorením pečene (CLD) na liečbu ťažkej trombocytopénie, ktorí majú podstúpiť invazívny zákrok. Na základe verejného zdravotného poistenia sa v indikácii CLD uhrádzajú len balenia s počtom 10 alebo 15 tabliet.</w:t>
            </w:r>
          </w:p>
        </w:tc>
      </w:tr>
      <w:tr w:rsidR="00657ACA" w:rsidRPr="0000591E" w14:paraId="32D4EBDF" w14:textId="77777777" w:rsidTr="003F7925">
        <w:trPr>
          <w:gridAfter w:val="2"/>
          <w:wAfter w:w="154" w:type="dxa"/>
          <w:trHeight w:val="20"/>
        </w:trPr>
        <w:tc>
          <w:tcPr>
            <w:tcW w:w="1256" w:type="dxa"/>
            <w:tcBorders>
              <w:bottom w:val="single" w:sz="4" w:space="0" w:color="auto"/>
            </w:tcBorders>
            <w:noWrap/>
            <w:vAlign w:val="center"/>
          </w:tcPr>
          <w:p w14:paraId="67DF2409" w14:textId="2B139403" w:rsidR="00657ACA" w:rsidRDefault="00657ACA" w:rsidP="00657ACA">
            <w:pPr>
              <w:rPr>
                <w:rFonts w:ascii="Arial" w:hAnsi="Arial" w:cs="Arial"/>
                <w:b/>
                <w:bCs/>
                <w:sz w:val="20"/>
                <w:szCs w:val="20"/>
              </w:rPr>
            </w:pPr>
            <w:r w:rsidRPr="005314E0">
              <w:rPr>
                <w:rFonts w:ascii="Arial" w:hAnsi="Arial" w:cs="Arial"/>
                <w:b/>
                <w:bCs/>
                <w:sz w:val="20"/>
                <w:szCs w:val="20"/>
              </w:rPr>
              <w:t>B02BX08</w:t>
            </w:r>
          </w:p>
        </w:tc>
        <w:tc>
          <w:tcPr>
            <w:tcW w:w="9452" w:type="dxa"/>
            <w:tcBorders>
              <w:bottom w:val="single" w:sz="4" w:space="0" w:color="auto"/>
            </w:tcBorders>
            <w:noWrap/>
            <w:vAlign w:val="bottom"/>
          </w:tcPr>
          <w:p w14:paraId="767648D4" w14:textId="497715EF" w:rsidR="00657ACA" w:rsidRPr="00D33579" w:rsidRDefault="00657ACA" w:rsidP="00657ACA">
            <w:pPr>
              <w:jc w:val="both"/>
              <w:rPr>
                <w:rFonts w:ascii="Arial" w:hAnsi="Arial" w:cs="Arial"/>
                <w:b/>
                <w:bCs/>
                <w:sz w:val="20"/>
                <w:szCs w:val="20"/>
              </w:rPr>
            </w:pPr>
            <w:r w:rsidRPr="005314E0">
              <w:rPr>
                <w:rFonts w:ascii="Arial" w:hAnsi="Arial" w:cs="Arial"/>
                <w:b/>
                <w:bCs/>
                <w:sz w:val="20"/>
                <w:szCs w:val="20"/>
              </w:rPr>
              <w:t>Avatrombopag p.o. 20 mg (ITP)</w:t>
            </w:r>
          </w:p>
        </w:tc>
      </w:tr>
      <w:tr w:rsidR="00657ACA" w:rsidRPr="0000591E" w14:paraId="7585D349" w14:textId="77777777" w:rsidTr="003F7925">
        <w:trPr>
          <w:gridAfter w:val="2"/>
          <w:wAfter w:w="154" w:type="dxa"/>
          <w:trHeight w:val="20"/>
        </w:trPr>
        <w:tc>
          <w:tcPr>
            <w:tcW w:w="1256" w:type="dxa"/>
            <w:tcBorders>
              <w:top w:val="single" w:sz="4" w:space="0" w:color="auto"/>
            </w:tcBorders>
            <w:noWrap/>
            <w:vAlign w:val="center"/>
          </w:tcPr>
          <w:p w14:paraId="70939E7F"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572462C1" w14:textId="77777777" w:rsidR="00657ACA" w:rsidRPr="005314E0" w:rsidRDefault="00657ACA" w:rsidP="00657ACA">
            <w:pPr>
              <w:jc w:val="both"/>
              <w:rPr>
                <w:rFonts w:ascii="Arial" w:hAnsi="Arial" w:cs="Arial"/>
                <w:bCs/>
                <w:sz w:val="20"/>
                <w:szCs w:val="20"/>
              </w:rPr>
            </w:pPr>
            <w:r w:rsidRPr="005314E0">
              <w:rPr>
                <w:rFonts w:ascii="Arial" w:hAnsi="Arial" w:cs="Arial"/>
                <w:bCs/>
                <w:sz w:val="20"/>
                <w:szCs w:val="20"/>
              </w:rPr>
              <w:t>Hradenú liečbu môže indikovať hematológ u dospelých pacientov s ITP</w:t>
            </w:r>
          </w:p>
          <w:p w14:paraId="29ED6B7E" w14:textId="77777777" w:rsidR="00657ACA" w:rsidRPr="005314E0" w:rsidRDefault="00657ACA" w:rsidP="00657ACA">
            <w:pPr>
              <w:jc w:val="both"/>
              <w:rPr>
                <w:rFonts w:ascii="Arial" w:hAnsi="Arial" w:cs="Arial"/>
                <w:bCs/>
                <w:sz w:val="20"/>
                <w:szCs w:val="20"/>
              </w:rPr>
            </w:pPr>
            <w:r w:rsidRPr="005314E0">
              <w:rPr>
                <w:rFonts w:ascii="Arial" w:hAnsi="Arial" w:cs="Arial"/>
                <w:bCs/>
                <w:sz w:val="20"/>
                <w:szCs w:val="20"/>
              </w:rPr>
              <w:t>a) po splenektómii, ktorí sú rezistentní alebo intolerantní voči štandardnej liečbe (kortikosteroidy),</w:t>
            </w:r>
          </w:p>
          <w:p w14:paraId="14419166" w14:textId="77777777" w:rsidR="00657ACA" w:rsidRPr="005314E0" w:rsidRDefault="00657ACA" w:rsidP="00657ACA">
            <w:pPr>
              <w:jc w:val="both"/>
              <w:rPr>
                <w:rFonts w:ascii="Arial" w:hAnsi="Arial" w:cs="Arial"/>
                <w:bCs/>
                <w:sz w:val="20"/>
                <w:szCs w:val="20"/>
              </w:rPr>
            </w:pPr>
            <w:r w:rsidRPr="005314E0">
              <w:rPr>
                <w:rFonts w:ascii="Arial" w:hAnsi="Arial" w:cs="Arial"/>
                <w:bCs/>
                <w:sz w:val="20"/>
                <w:szCs w:val="20"/>
              </w:rPr>
              <w:t xml:space="preserve">b) v druhej línii, u ktorých je splenektómia kontraindikovaná alebo klinicky nevhodná. </w:t>
            </w:r>
          </w:p>
          <w:p w14:paraId="10DC7A92" w14:textId="77777777" w:rsidR="00657ACA" w:rsidRDefault="00657ACA" w:rsidP="00657ACA">
            <w:pPr>
              <w:jc w:val="both"/>
              <w:rPr>
                <w:rFonts w:ascii="Arial" w:hAnsi="Arial" w:cs="Arial"/>
                <w:bCs/>
                <w:sz w:val="20"/>
                <w:szCs w:val="20"/>
              </w:rPr>
            </w:pPr>
            <w:r w:rsidRPr="005314E0">
              <w:rPr>
                <w:rFonts w:ascii="Arial" w:hAnsi="Arial" w:cs="Arial"/>
                <w:bCs/>
                <w:sz w:val="20"/>
                <w:szCs w:val="20"/>
              </w:rPr>
              <w:t>Hradená liečba u pacientov s ITP podlieha predchádzajúcemu súhlasu zdravotnej poisťovne.</w:t>
            </w:r>
          </w:p>
          <w:p w14:paraId="6A345AA1" w14:textId="4C9525EB" w:rsidR="00657ACA" w:rsidRPr="005314E0" w:rsidRDefault="00657ACA" w:rsidP="00657ACA">
            <w:pPr>
              <w:jc w:val="both"/>
              <w:rPr>
                <w:rFonts w:ascii="Arial" w:hAnsi="Arial" w:cs="Arial"/>
                <w:bCs/>
                <w:sz w:val="20"/>
                <w:szCs w:val="20"/>
              </w:rPr>
            </w:pPr>
          </w:p>
        </w:tc>
      </w:tr>
      <w:tr w:rsidR="00657ACA" w:rsidRPr="0000591E" w14:paraId="4FEDF4BE" w14:textId="77777777" w:rsidTr="003F7925">
        <w:trPr>
          <w:gridAfter w:val="2"/>
          <w:wAfter w:w="154" w:type="dxa"/>
          <w:trHeight w:val="20"/>
        </w:trPr>
        <w:tc>
          <w:tcPr>
            <w:tcW w:w="1256" w:type="dxa"/>
            <w:tcBorders>
              <w:bottom w:val="single" w:sz="4" w:space="0" w:color="auto"/>
            </w:tcBorders>
            <w:noWrap/>
            <w:vAlign w:val="center"/>
          </w:tcPr>
          <w:p w14:paraId="169581E5" w14:textId="5A82DF91" w:rsidR="00657ACA" w:rsidRPr="0000591E" w:rsidRDefault="00657ACA" w:rsidP="00657ACA">
            <w:pPr>
              <w:rPr>
                <w:rFonts w:ascii="Arial" w:hAnsi="Arial" w:cs="Arial"/>
                <w:b/>
                <w:bCs/>
                <w:sz w:val="20"/>
                <w:szCs w:val="20"/>
              </w:rPr>
            </w:pPr>
            <w:r>
              <w:rPr>
                <w:rFonts w:ascii="Arial" w:hAnsi="Arial" w:cs="Arial"/>
                <w:b/>
                <w:bCs/>
                <w:sz w:val="20"/>
                <w:szCs w:val="20"/>
              </w:rPr>
              <w:t>B02BX09</w:t>
            </w:r>
          </w:p>
        </w:tc>
        <w:tc>
          <w:tcPr>
            <w:tcW w:w="9452" w:type="dxa"/>
            <w:tcBorders>
              <w:bottom w:val="single" w:sz="4" w:space="0" w:color="auto"/>
            </w:tcBorders>
            <w:noWrap/>
            <w:vAlign w:val="bottom"/>
          </w:tcPr>
          <w:p w14:paraId="7132CB2D" w14:textId="77777777" w:rsidR="00657ACA" w:rsidRPr="00D33579" w:rsidRDefault="00657ACA" w:rsidP="00657ACA">
            <w:pPr>
              <w:jc w:val="both"/>
              <w:rPr>
                <w:rFonts w:ascii="Arial" w:hAnsi="Arial" w:cs="Arial"/>
                <w:b/>
                <w:bCs/>
                <w:sz w:val="20"/>
                <w:szCs w:val="20"/>
              </w:rPr>
            </w:pPr>
            <w:r w:rsidRPr="00D33579">
              <w:rPr>
                <w:rFonts w:ascii="Arial" w:hAnsi="Arial" w:cs="Arial"/>
                <w:b/>
                <w:bCs/>
                <w:sz w:val="20"/>
                <w:szCs w:val="20"/>
              </w:rPr>
              <w:t>Fostamatinib p.o. 100 mg</w:t>
            </w:r>
          </w:p>
          <w:p w14:paraId="00A4DE3A" w14:textId="44A96114" w:rsidR="00657ACA" w:rsidRDefault="00657ACA" w:rsidP="00657ACA">
            <w:pPr>
              <w:jc w:val="both"/>
              <w:rPr>
                <w:rFonts w:ascii="Arial" w:hAnsi="Arial" w:cs="Arial"/>
                <w:b/>
                <w:bCs/>
                <w:sz w:val="20"/>
                <w:szCs w:val="20"/>
              </w:rPr>
            </w:pPr>
            <w:r w:rsidRPr="00D33579">
              <w:rPr>
                <w:rFonts w:ascii="Arial" w:hAnsi="Arial" w:cs="Arial"/>
                <w:b/>
                <w:bCs/>
                <w:sz w:val="20"/>
                <w:szCs w:val="20"/>
              </w:rPr>
              <w:t>Fostamatinib p.o. 150 mg</w:t>
            </w:r>
          </w:p>
        </w:tc>
      </w:tr>
      <w:tr w:rsidR="00657ACA" w:rsidRPr="0000591E" w14:paraId="7E01E3AE" w14:textId="77777777" w:rsidTr="003F7925">
        <w:trPr>
          <w:gridAfter w:val="2"/>
          <w:wAfter w:w="154" w:type="dxa"/>
          <w:trHeight w:val="20"/>
        </w:trPr>
        <w:tc>
          <w:tcPr>
            <w:tcW w:w="1256" w:type="dxa"/>
            <w:tcBorders>
              <w:top w:val="single" w:sz="4" w:space="0" w:color="auto"/>
            </w:tcBorders>
            <w:noWrap/>
            <w:vAlign w:val="center"/>
          </w:tcPr>
          <w:p w14:paraId="59173301"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3286A979" w14:textId="77777777" w:rsidR="00657ACA" w:rsidRPr="00D33579" w:rsidRDefault="00657ACA" w:rsidP="00657ACA">
            <w:pPr>
              <w:jc w:val="both"/>
              <w:rPr>
                <w:rFonts w:ascii="Arial" w:hAnsi="Arial" w:cs="Arial"/>
                <w:bCs/>
                <w:sz w:val="20"/>
                <w:szCs w:val="20"/>
              </w:rPr>
            </w:pPr>
            <w:r w:rsidRPr="00D33579">
              <w:rPr>
                <w:rFonts w:ascii="Arial" w:hAnsi="Arial" w:cs="Arial"/>
                <w:bCs/>
                <w:sz w:val="20"/>
                <w:szCs w:val="20"/>
              </w:rPr>
              <w:t>Hradenú liečbu môže indikovať hematológ u dospelých pacientov s ITP, ktorí sú rezistentní alebo netolerujú štandardnú liečbu (kortikosteroidy a/alebo imunoglobulín) a TPO-RA, alebo u ktorých je táto liečba kontraindikovaná.</w:t>
            </w:r>
          </w:p>
          <w:p w14:paraId="0643A2D1" w14:textId="77777777" w:rsidR="00657ACA" w:rsidRDefault="00657ACA" w:rsidP="00657ACA">
            <w:pPr>
              <w:jc w:val="both"/>
              <w:rPr>
                <w:rFonts w:ascii="Arial" w:hAnsi="Arial" w:cs="Arial"/>
                <w:bCs/>
                <w:sz w:val="20"/>
                <w:szCs w:val="20"/>
              </w:rPr>
            </w:pPr>
            <w:r w:rsidRPr="00D33579">
              <w:rPr>
                <w:rFonts w:ascii="Arial" w:hAnsi="Arial" w:cs="Arial"/>
                <w:bCs/>
                <w:sz w:val="20"/>
                <w:szCs w:val="20"/>
              </w:rPr>
              <w:t>Hradená liečba podlieha predchádzajúcemu súhlasu zdravotnej poisťovne.</w:t>
            </w:r>
          </w:p>
          <w:p w14:paraId="3516BCBA" w14:textId="77777777" w:rsidR="00657ACA" w:rsidRDefault="00657ACA" w:rsidP="00657ACA">
            <w:pPr>
              <w:jc w:val="both"/>
              <w:rPr>
                <w:rFonts w:ascii="Arial" w:hAnsi="Arial" w:cs="Arial"/>
                <w:bCs/>
                <w:sz w:val="20"/>
                <w:szCs w:val="20"/>
              </w:rPr>
            </w:pPr>
          </w:p>
          <w:p w14:paraId="40F1F415" w14:textId="77777777" w:rsidR="00845EE0" w:rsidRDefault="00845EE0" w:rsidP="00657ACA">
            <w:pPr>
              <w:jc w:val="both"/>
              <w:rPr>
                <w:rFonts w:ascii="Arial" w:hAnsi="Arial" w:cs="Arial"/>
                <w:bCs/>
                <w:sz w:val="20"/>
                <w:szCs w:val="20"/>
              </w:rPr>
            </w:pPr>
          </w:p>
          <w:p w14:paraId="7B4F5F7A" w14:textId="77777777" w:rsidR="00845EE0" w:rsidRDefault="00845EE0" w:rsidP="00657ACA">
            <w:pPr>
              <w:jc w:val="both"/>
              <w:rPr>
                <w:rFonts w:ascii="Arial" w:hAnsi="Arial" w:cs="Arial"/>
                <w:bCs/>
                <w:sz w:val="20"/>
                <w:szCs w:val="20"/>
              </w:rPr>
            </w:pPr>
          </w:p>
          <w:p w14:paraId="6A0C8973" w14:textId="01571EC2" w:rsidR="00845EE0" w:rsidRPr="00D33579" w:rsidRDefault="00845EE0" w:rsidP="00657ACA">
            <w:pPr>
              <w:jc w:val="both"/>
              <w:rPr>
                <w:rFonts w:ascii="Arial" w:hAnsi="Arial" w:cs="Arial"/>
                <w:bCs/>
                <w:sz w:val="20"/>
                <w:szCs w:val="20"/>
              </w:rPr>
            </w:pPr>
          </w:p>
        </w:tc>
      </w:tr>
      <w:tr w:rsidR="00657ACA" w:rsidRPr="0000591E" w14:paraId="28E7E2F9" w14:textId="77777777" w:rsidTr="003F7925">
        <w:trPr>
          <w:gridAfter w:val="2"/>
          <w:wAfter w:w="154" w:type="dxa"/>
          <w:trHeight w:val="20"/>
        </w:trPr>
        <w:tc>
          <w:tcPr>
            <w:tcW w:w="1256" w:type="dxa"/>
            <w:tcBorders>
              <w:bottom w:val="single" w:sz="4" w:space="0" w:color="auto"/>
            </w:tcBorders>
            <w:noWrap/>
            <w:vAlign w:val="center"/>
          </w:tcPr>
          <w:p w14:paraId="37721DC8"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B03XA01</w:t>
            </w:r>
          </w:p>
        </w:tc>
        <w:tc>
          <w:tcPr>
            <w:tcW w:w="9452" w:type="dxa"/>
            <w:tcBorders>
              <w:bottom w:val="single" w:sz="4" w:space="0" w:color="auto"/>
            </w:tcBorders>
            <w:noWrap/>
            <w:vAlign w:val="bottom"/>
          </w:tcPr>
          <w:p w14:paraId="2FED5221" w14:textId="77777777" w:rsidR="00657ACA" w:rsidRDefault="00657ACA" w:rsidP="00657ACA">
            <w:pPr>
              <w:jc w:val="both"/>
              <w:rPr>
                <w:rFonts w:ascii="Arial" w:hAnsi="Arial" w:cs="Arial"/>
                <w:b/>
                <w:bCs/>
                <w:sz w:val="20"/>
                <w:szCs w:val="20"/>
              </w:rPr>
            </w:pPr>
            <w:r>
              <w:rPr>
                <w:rFonts w:ascii="Arial" w:hAnsi="Arial" w:cs="Arial"/>
                <w:b/>
                <w:bCs/>
                <w:sz w:val="20"/>
                <w:szCs w:val="20"/>
              </w:rPr>
              <w:t xml:space="preserve">Erytropoetín parent. 2 </w:t>
            </w:r>
            <w:r w:rsidRPr="0000591E">
              <w:rPr>
                <w:rFonts w:ascii="Arial" w:hAnsi="Arial" w:cs="Arial"/>
                <w:b/>
                <w:bCs/>
                <w:sz w:val="20"/>
                <w:szCs w:val="20"/>
              </w:rPr>
              <w:t>000</w:t>
            </w:r>
            <w:r>
              <w:rPr>
                <w:rFonts w:ascii="Arial" w:hAnsi="Arial" w:cs="Arial"/>
                <w:b/>
                <w:bCs/>
                <w:sz w:val="20"/>
                <w:szCs w:val="20"/>
              </w:rPr>
              <w:t xml:space="preserve"> IU</w:t>
            </w:r>
          </w:p>
          <w:p w14:paraId="3E7498FA" w14:textId="77777777" w:rsidR="00657ACA" w:rsidRDefault="00657ACA" w:rsidP="00657ACA">
            <w:pPr>
              <w:jc w:val="both"/>
              <w:rPr>
                <w:rFonts w:ascii="Arial" w:hAnsi="Arial" w:cs="Arial"/>
                <w:b/>
                <w:bCs/>
                <w:sz w:val="20"/>
                <w:szCs w:val="20"/>
              </w:rPr>
            </w:pPr>
            <w:r>
              <w:rPr>
                <w:rFonts w:ascii="Arial" w:hAnsi="Arial" w:cs="Arial"/>
                <w:b/>
                <w:bCs/>
                <w:sz w:val="20"/>
                <w:szCs w:val="20"/>
              </w:rPr>
              <w:t>Erytropoetín parent. 3 000 IU</w:t>
            </w:r>
          </w:p>
          <w:p w14:paraId="1A1D7242" w14:textId="77777777" w:rsidR="00657ACA" w:rsidRDefault="00657ACA" w:rsidP="00657ACA">
            <w:pPr>
              <w:jc w:val="both"/>
              <w:rPr>
                <w:rFonts w:ascii="Arial" w:hAnsi="Arial" w:cs="Arial"/>
                <w:b/>
                <w:bCs/>
                <w:sz w:val="20"/>
                <w:szCs w:val="20"/>
              </w:rPr>
            </w:pPr>
            <w:r>
              <w:rPr>
                <w:rFonts w:ascii="Arial" w:hAnsi="Arial" w:cs="Arial"/>
                <w:b/>
                <w:bCs/>
                <w:sz w:val="20"/>
                <w:szCs w:val="20"/>
              </w:rPr>
              <w:t>Erytropoetín parent. 4 000 IU</w:t>
            </w:r>
          </w:p>
          <w:p w14:paraId="76B513BB" w14:textId="77777777" w:rsidR="00657ACA" w:rsidRDefault="00657ACA" w:rsidP="00657ACA">
            <w:pPr>
              <w:jc w:val="both"/>
              <w:rPr>
                <w:rFonts w:ascii="Arial" w:hAnsi="Arial" w:cs="Arial"/>
                <w:b/>
                <w:bCs/>
                <w:sz w:val="20"/>
                <w:szCs w:val="20"/>
              </w:rPr>
            </w:pPr>
            <w:r>
              <w:rPr>
                <w:rFonts w:ascii="Arial" w:hAnsi="Arial" w:cs="Arial"/>
                <w:b/>
                <w:bCs/>
                <w:sz w:val="20"/>
                <w:szCs w:val="20"/>
              </w:rPr>
              <w:t>Erytropoetín parent. 5 000 IU</w:t>
            </w:r>
          </w:p>
          <w:p w14:paraId="20AE426D" w14:textId="77777777" w:rsidR="00657ACA" w:rsidRDefault="00657ACA" w:rsidP="00657ACA">
            <w:pPr>
              <w:jc w:val="both"/>
              <w:rPr>
                <w:rFonts w:ascii="Arial" w:hAnsi="Arial" w:cs="Arial"/>
                <w:b/>
                <w:bCs/>
                <w:sz w:val="20"/>
                <w:szCs w:val="20"/>
              </w:rPr>
            </w:pPr>
            <w:r>
              <w:rPr>
                <w:rFonts w:ascii="Arial" w:hAnsi="Arial" w:cs="Arial"/>
                <w:b/>
                <w:bCs/>
                <w:sz w:val="20"/>
                <w:szCs w:val="20"/>
              </w:rPr>
              <w:lastRenderedPageBreak/>
              <w:t>Erytropoetín parent. 10 000 IU</w:t>
            </w:r>
          </w:p>
          <w:p w14:paraId="5837141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Erytropoetín parent. </w:t>
            </w:r>
            <w:r>
              <w:rPr>
                <w:rFonts w:ascii="Arial" w:hAnsi="Arial" w:cs="Arial"/>
                <w:b/>
                <w:bCs/>
                <w:sz w:val="20"/>
                <w:szCs w:val="20"/>
              </w:rPr>
              <w:t>20 000 IU</w:t>
            </w:r>
          </w:p>
          <w:p w14:paraId="540A4437" w14:textId="77777777" w:rsidR="00657ACA" w:rsidRPr="0000591E" w:rsidRDefault="00657ACA" w:rsidP="00657ACA">
            <w:pPr>
              <w:jc w:val="both"/>
              <w:rPr>
                <w:rFonts w:ascii="Arial" w:hAnsi="Arial" w:cs="Arial"/>
                <w:b/>
                <w:bCs/>
                <w:sz w:val="20"/>
                <w:szCs w:val="20"/>
              </w:rPr>
            </w:pPr>
            <w:r>
              <w:rPr>
                <w:rFonts w:ascii="Arial" w:hAnsi="Arial" w:cs="Arial"/>
                <w:b/>
                <w:sz w:val="20"/>
                <w:szCs w:val="20"/>
              </w:rPr>
              <w:t xml:space="preserve">Erytropoetín parent. </w:t>
            </w:r>
            <w:r w:rsidRPr="0000591E">
              <w:rPr>
                <w:rFonts w:ascii="Arial" w:hAnsi="Arial" w:cs="Arial"/>
                <w:b/>
                <w:sz w:val="20"/>
                <w:szCs w:val="20"/>
              </w:rPr>
              <w:t>30</w:t>
            </w:r>
            <w:r>
              <w:rPr>
                <w:rFonts w:ascii="Arial" w:hAnsi="Arial" w:cs="Arial"/>
                <w:b/>
                <w:sz w:val="20"/>
                <w:szCs w:val="20"/>
              </w:rPr>
              <w:t> </w:t>
            </w:r>
            <w:r w:rsidRPr="0000591E">
              <w:rPr>
                <w:rFonts w:ascii="Arial" w:hAnsi="Arial" w:cs="Arial"/>
                <w:b/>
                <w:sz w:val="20"/>
                <w:szCs w:val="20"/>
              </w:rPr>
              <w:t>000</w:t>
            </w:r>
            <w:r>
              <w:rPr>
                <w:rFonts w:ascii="Arial" w:hAnsi="Arial" w:cs="Arial"/>
                <w:b/>
                <w:sz w:val="20"/>
                <w:szCs w:val="20"/>
              </w:rPr>
              <w:t xml:space="preserve"> IU</w:t>
            </w:r>
          </w:p>
        </w:tc>
      </w:tr>
      <w:tr w:rsidR="00657ACA" w:rsidRPr="0000591E" w14:paraId="1F149635" w14:textId="77777777" w:rsidTr="003F7925">
        <w:trPr>
          <w:gridAfter w:val="2"/>
          <w:wAfter w:w="154" w:type="dxa"/>
          <w:trHeight w:val="20"/>
        </w:trPr>
        <w:tc>
          <w:tcPr>
            <w:tcW w:w="1256" w:type="dxa"/>
            <w:tcBorders>
              <w:top w:val="single" w:sz="4" w:space="0" w:color="auto"/>
            </w:tcBorders>
            <w:noWrap/>
            <w:vAlign w:val="bottom"/>
          </w:tcPr>
          <w:p w14:paraId="62FB40FF" w14:textId="77777777" w:rsidR="00657ACA" w:rsidRPr="0000591E" w:rsidRDefault="00657ACA" w:rsidP="00657ACA">
            <w:pPr>
              <w:jc w:val="both"/>
              <w:rPr>
                <w:rFonts w:ascii="Arial" w:hAnsi="Arial" w:cs="Arial"/>
                <w:sz w:val="20"/>
                <w:szCs w:val="20"/>
              </w:rPr>
            </w:pPr>
          </w:p>
          <w:p w14:paraId="5BF96EF8" w14:textId="77777777" w:rsidR="00657ACA" w:rsidRPr="0000591E" w:rsidRDefault="00657ACA" w:rsidP="00657ACA">
            <w:pPr>
              <w:jc w:val="both"/>
              <w:rPr>
                <w:rFonts w:ascii="Arial" w:hAnsi="Arial" w:cs="Arial"/>
                <w:sz w:val="20"/>
                <w:szCs w:val="20"/>
              </w:rPr>
            </w:pPr>
          </w:p>
          <w:p w14:paraId="0B23155C" w14:textId="77777777" w:rsidR="00657ACA" w:rsidRPr="0000591E" w:rsidRDefault="00657ACA" w:rsidP="00657ACA">
            <w:pPr>
              <w:jc w:val="both"/>
              <w:rPr>
                <w:rFonts w:ascii="Arial" w:hAnsi="Arial" w:cs="Arial"/>
                <w:sz w:val="20"/>
                <w:szCs w:val="20"/>
              </w:rPr>
            </w:pPr>
          </w:p>
          <w:p w14:paraId="5BF72829" w14:textId="77777777" w:rsidR="00657ACA" w:rsidRPr="0000591E" w:rsidRDefault="00657ACA" w:rsidP="00657ACA">
            <w:pPr>
              <w:jc w:val="both"/>
              <w:rPr>
                <w:rFonts w:ascii="Arial" w:hAnsi="Arial" w:cs="Arial"/>
                <w:sz w:val="20"/>
                <w:szCs w:val="20"/>
              </w:rPr>
            </w:pPr>
          </w:p>
          <w:p w14:paraId="33CCA083" w14:textId="77777777" w:rsidR="00657ACA" w:rsidRPr="0000591E" w:rsidRDefault="00657ACA" w:rsidP="00657ACA">
            <w:pPr>
              <w:jc w:val="both"/>
              <w:rPr>
                <w:rFonts w:ascii="Arial" w:hAnsi="Arial" w:cs="Arial"/>
                <w:sz w:val="20"/>
                <w:szCs w:val="20"/>
              </w:rPr>
            </w:pPr>
          </w:p>
          <w:p w14:paraId="4C367F7B" w14:textId="77777777" w:rsidR="00657ACA" w:rsidRPr="0000591E" w:rsidRDefault="00657ACA" w:rsidP="00657ACA">
            <w:pPr>
              <w:jc w:val="both"/>
              <w:rPr>
                <w:rFonts w:ascii="Arial" w:hAnsi="Arial" w:cs="Arial"/>
                <w:sz w:val="20"/>
                <w:szCs w:val="20"/>
              </w:rPr>
            </w:pPr>
          </w:p>
          <w:p w14:paraId="61C56CDF" w14:textId="77777777" w:rsidR="00657ACA" w:rsidRPr="0000591E" w:rsidRDefault="00657ACA" w:rsidP="00657ACA">
            <w:pPr>
              <w:jc w:val="both"/>
              <w:rPr>
                <w:rFonts w:ascii="Arial" w:hAnsi="Arial" w:cs="Arial"/>
                <w:sz w:val="20"/>
                <w:szCs w:val="20"/>
              </w:rPr>
            </w:pPr>
          </w:p>
          <w:p w14:paraId="6DEE830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225591D"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w:t>
            </w:r>
          </w:p>
          <w:p w14:paraId="1DD8A8F2"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pri anémii (s hladinou hemoglobínu pod 90 g/l, s vyššími hodnotami pri manifestných príznakoch anémie) u pacientov s chronickým ochorením obličiek a onkologických pacientov po radikálnej cytostatickej liečbe alebo ožiarení; podmienkou začatia liečby erytropoetínom je dostatočná zásoba železa (serový feritín pacienta minimálne 100 μg/l), bez ktorej je liečba anémie erytropoetínom neefektívna a neúčelná; liečba erytropoetínom sa ukončuje pri dosiahnutí hladiny hemoglobínu 110g/l (u nefrologických pacientov vyžadujúcich optimálne podmienky - fyzicky pracujúci, matky s deťmi a pod., je prípustná hodnota 120g/l); ak sa u onkologických pacientov nedosiahne požadované zvýšenie hemoglobínu do ôsmich týždňov od začatia podávania erytropoetínu, liečba erytropoetínom sa ukončí,</w:t>
            </w:r>
          </w:p>
          <w:p w14:paraId="1BD605B0"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pri ťažkej anémii nezrelých detí,</w:t>
            </w:r>
          </w:p>
          <w:p w14:paraId="7CA4E622"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pri anémii u pacientov s hematologickými poruchami proliferácie alebo maturácie erytrocytového radu (myelodysplastický syndróm, aplastická anémia, stav po transplantácii krvotvorných buniek),</w:t>
            </w:r>
          </w:p>
          <w:p w14:paraId="5D1DA534"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u chorých so stredne ťažkým stupňom anémie, zaradených do programu autotransfúzie pred plánovaným veľkým chirurgickým výkonom; efektivita liečby sa priebežne sleduje dostupnými prostriedkami a výsledok sa zaznamenáva do zdravotnej dokumentácie.</w:t>
            </w:r>
          </w:p>
          <w:p w14:paraId="5557A9A9" w14:textId="77777777" w:rsidR="00657ACA" w:rsidRPr="0000591E" w:rsidRDefault="00657ACA" w:rsidP="00657ACA">
            <w:pPr>
              <w:ind w:left="360"/>
              <w:jc w:val="both"/>
              <w:rPr>
                <w:rFonts w:ascii="Arial" w:hAnsi="Arial" w:cs="Arial"/>
                <w:sz w:val="20"/>
                <w:szCs w:val="20"/>
              </w:rPr>
            </w:pPr>
          </w:p>
        </w:tc>
      </w:tr>
      <w:tr w:rsidR="00657ACA" w:rsidRPr="0000591E" w14:paraId="0A1391AC" w14:textId="77777777" w:rsidTr="003F7925">
        <w:trPr>
          <w:gridAfter w:val="2"/>
          <w:wAfter w:w="154" w:type="dxa"/>
          <w:trHeight w:val="20"/>
        </w:trPr>
        <w:tc>
          <w:tcPr>
            <w:tcW w:w="1256" w:type="dxa"/>
            <w:tcBorders>
              <w:bottom w:val="single" w:sz="4" w:space="0" w:color="auto"/>
            </w:tcBorders>
            <w:noWrap/>
            <w:vAlign w:val="center"/>
          </w:tcPr>
          <w:p w14:paraId="73D3329D"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B03XA01</w:t>
            </w:r>
          </w:p>
        </w:tc>
        <w:tc>
          <w:tcPr>
            <w:tcW w:w="9452" w:type="dxa"/>
            <w:tcBorders>
              <w:bottom w:val="single" w:sz="4" w:space="0" w:color="auto"/>
            </w:tcBorders>
            <w:noWrap/>
            <w:vAlign w:val="bottom"/>
          </w:tcPr>
          <w:p w14:paraId="08499631"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Erytropoetín parent. 40</w:t>
            </w:r>
            <w:r>
              <w:rPr>
                <w:rFonts w:ascii="Arial" w:hAnsi="Arial" w:cs="Arial"/>
                <w:b/>
                <w:bCs/>
                <w:sz w:val="20"/>
                <w:szCs w:val="20"/>
              </w:rPr>
              <w:t> </w:t>
            </w:r>
            <w:r w:rsidRPr="0000591E">
              <w:rPr>
                <w:rFonts w:ascii="Arial" w:hAnsi="Arial" w:cs="Arial"/>
                <w:b/>
                <w:bCs/>
                <w:sz w:val="20"/>
                <w:szCs w:val="20"/>
              </w:rPr>
              <w:t>000</w:t>
            </w:r>
            <w:r>
              <w:rPr>
                <w:rFonts w:ascii="Arial" w:hAnsi="Arial" w:cs="Arial"/>
                <w:b/>
                <w:bCs/>
                <w:sz w:val="20"/>
                <w:szCs w:val="20"/>
              </w:rPr>
              <w:t xml:space="preserve"> IU</w:t>
            </w:r>
          </w:p>
        </w:tc>
      </w:tr>
      <w:tr w:rsidR="00657ACA" w:rsidRPr="0000591E" w14:paraId="463C317A" w14:textId="77777777" w:rsidTr="003F7925">
        <w:trPr>
          <w:gridAfter w:val="2"/>
          <w:wAfter w:w="154" w:type="dxa"/>
          <w:trHeight w:val="20"/>
        </w:trPr>
        <w:tc>
          <w:tcPr>
            <w:tcW w:w="1256" w:type="dxa"/>
            <w:tcBorders>
              <w:top w:val="single" w:sz="4" w:space="0" w:color="auto"/>
            </w:tcBorders>
            <w:noWrap/>
            <w:vAlign w:val="center"/>
          </w:tcPr>
          <w:p w14:paraId="2BC82BFB" w14:textId="77777777" w:rsidR="00657ACA" w:rsidRPr="0000591E" w:rsidRDefault="00657ACA" w:rsidP="00657ACA">
            <w:pPr>
              <w:jc w:val="center"/>
              <w:rPr>
                <w:rFonts w:ascii="Arial" w:hAnsi="Arial" w:cs="Arial"/>
                <w:b/>
                <w:bCs/>
                <w:sz w:val="20"/>
                <w:szCs w:val="20"/>
              </w:rPr>
            </w:pPr>
          </w:p>
        </w:tc>
        <w:tc>
          <w:tcPr>
            <w:tcW w:w="9452" w:type="dxa"/>
            <w:tcBorders>
              <w:top w:val="single" w:sz="4" w:space="0" w:color="auto"/>
            </w:tcBorders>
            <w:noWrap/>
            <w:vAlign w:val="bottom"/>
          </w:tcPr>
          <w:p w14:paraId="394C1460"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pri</w:t>
            </w:r>
          </w:p>
          <w:p w14:paraId="36B678B3" w14:textId="77777777" w:rsidR="00657ACA" w:rsidRPr="0000591E" w:rsidRDefault="00657ACA">
            <w:pPr>
              <w:numPr>
                <w:ilvl w:val="0"/>
                <w:numId w:val="41"/>
              </w:numPr>
              <w:jc w:val="both"/>
              <w:rPr>
                <w:rFonts w:ascii="Arial" w:hAnsi="Arial" w:cs="Arial"/>
                <w:sz w:val="20"/>
                <w:szCs w:val="20"/>
              </w:rPr>
            </w:pPr>
            <w:r w:rsidRPr="0000591E">
              <w:rPr>
                <w:rFonts w:ascii="Arial" w:hAnsi="Arial" w:cs="Arial"/>
                <w:sz w:val="20"/>
                <w:szCs w:val="20"/>
              </w:rPr>
              <w:t>anémii (s hladinou hemoglobínu pod 90 g/l, s vyššími hodnotami pri manifestných príznakoch anémie) a onkologických pacientov po radikálnej cytostatickej liečbe alebo ožiarení; podmienkou začatia liečby erytropoetínom je dostatočná zásoba železa (serový feritín pacienta minimálne 100 μg/l), bez ktorej je liečba anémie erytropoetínom neefektívna a neúčelná; liečba erytropoetínom sa ukončuje pri dosiahnutí hladiny hemoglobínu 110g/l (u nefrologických pacientov vyžadujúcich optimálne podmienky - fyzicky pracujúci, matky s deťmi a pod., je prípustná hodnota 120g/l); ak sa u onkologických pacientov nedosiahne požadované zvýšenie hemoglobínu do ôsmich týždňov od začatia podávania erytropoetínu, liečba erytropoetínom sa ukončí,</w:t>
            </w:r>
          </w:p>
          <w:p w14:paraId="11412BFE" w14:textId="77777777" w:rsidR="00657ACA" w:rsidRPr="0000591E" w:rsidRDefault="00657ACA">
            <w:pPr>
              <w:numPr>
                <w:ilvl w:val="0"/>
                <w:numId w:val="41"/>
              </w:numPr>
              <w:jc w:val="both"/>
              <w:rPr>
                <w:rFonts w:ascii="Arial" w:hAnsi="Arial" w:cs="Arial"/>
                <w:sz w:val="20"/>
                <w:szCs w:val="20"/>
              </w:rPr>
            </w:pPr>
            <w:r w:rsidRPr="0000591E">
              <w:rPr>
                <w:rFonts w:ascii="Arial" w:hAnsi="Arial" w:cs="Arial"/>
                <w:sz w:val="20"/>
                <w:szCs w:val="20"/>
              </w:rPr>
              <w:t>anémii u pacientov s hematologickými poruchami proliferácie alebo maturácie erytrocytového radu (myelodysplastický syndróm, aplastická anémia, stav po transplantácii krvotvorných buniek).</w:t>
            </w:r>
          </w:p>
          <w:p w14:paraId="0C417543" w14:textId="77777777" w:rsidR="00657ACA" w:rsidRPr="0000591E" w:rsidRDefault="00657ACA" w:rsidP="00657ACA">
            <w:pPr>
              <w:jc w:val="both"/>
              <w:rPr>
                <w:rFonts w:ascii="Arial" w:hAnsi="Arial" w:cs="Arial"/>
                <w:b/>
                <w:bCs/>
                <w:sz w:val="20"/>
                <w:szCs w:val="20"/>
              </w:rPr>
            </w:pPr>
          </w:p>
        </w:tc>
      </w:tr>
      <w:tr w:rsidR="00657ACA" w:rsidRPr="0000591E" w14:paraId="4C5D8E77" w14:textId="77777777" w:rsidTr="003F7925">
        <w:trPr>
          <w:gridAfter w:val="2"/>
          <w:wAfter w:w="154" w:type="dxa"/>
          <w:trHeight w:val="20"/>
        </w:trPr>
        <w:tc>
          <w:tcPr>
            <w:tcW w:w="1256" w:type="dxa"/>
            <w:tcBorders>
              <w:bottom w:val="single" w:sz="4" w:space="0" w:color="auto"/>
            </w:tcBorders>
            <w:noWrap/>
            <w:vAlign w:val="center"/>
          </w:tcPr>
          <w:p w14:paraId="489DDA56" w14:textId="77777777" w:rsidR="00657ACA" w:rsidRDefault="00657ACA" w:rsidP="00657ACA">
            <w:pPr>
              <w:rPr>
                <w:rFonts w:ascii="Arial" w:hAnsi="Arial" w:cs="Arial"/>
                <w:b/>
                <w:bCs/>
                <w:sz w:val="20"/>
                <w:szCs w:val="20"/>
              </w:rPr>
            </w:pPr>
          </w:p>
          <w:p w14:paraId="6F51B1C4" w14:textId="77777777" w:rsidR="00657ACA" w:rsidRDefault="00657ACA" w:rsidP="00657ACA">
            <w:pPr>
              <w:rPr>
                <w:rFonts w:ascii="Arial" w:hAnsi="Arial" w:cs="Arial"/>
                <w:b/>
                <w:bCs/>
                <w:sz w:val="20"/>
                <w:szCs w:val="20"/>
              </w:rPr>
            </w:pPr>
          </w:p>
          <w:p w14:paraId="199EC8DD" w14:textId="77777777" w:rsidR="00657ACA" w:rsidRDefault="00657ACA" w:rsidP="00657ACA">
            <w:pPr>
              <w:rPr>
                <w:rFonts w:ascii="Arial" w:hAnsi="Arial" w:cs="Arial"/>
                <w:b/>
                <w:bCs/>
                <w:sz w:val="20"/>
                <w:szCs w:val="20"/>
              </w:rPr>
            </w:pPr>
          </w:p>
          <w:p w14:paraId="215F4DE1" w14:textId="77777777" w:rsidR="00657ACA" w:rsidRDefault="00657ACA" w:rsidP="00657ACA">
            <w:pPr>
              <w:rPr>
                <w:rFonts w:ascii="Arial" w:hAnsi="Arial" w:cs="Arial"/>
                <w:b/>
                <w:bCs/>
                <w:sz w:val="20"/>
                <w:szCs w:val="20"/>
              </w:rPr>
            </w:pPr>
          </w:p>
          <w:p w14:paraId="0B4CE0C0" w14:textId="77777777" w:rsidR="00657ACA" w:rsidRDefault="00657ACA" w:rsidP="00657ACA">
            <w:pPr>
              <w:rPr>
                <w:rFonts w:ascii="Arial" w:hAnsi="Arial" w:cs="Arial"/>
                <w:b/>
                <w:bCs/>
                <w:sz w:val="20"/>
                <w:szCs w:val="20"/>
              </w:rPr>
            </w:pPr>
          </w:p>
          <w:p w14:paraId="5577D300" w14:textId="77777777" w:rsidR="00657ACA" w:rsidRDefault="00657ACA" w:rsidP="00657ACA">
            <w:pPr>
              <w:rPr>
                <w:rFonts w:ascii="Arial" w:hAnsi="Arial" w:cs="Arial"/>
                <w:b/>
                <w:bCs/>
                <w:sz w:val="20"/>
                <w:szCs w:val="20"/>
              </w:rPr>
            </w:pPr>
          </w:p>
          <w:p w14:paraId="498EE096" w14:textId="77777777" w:rsidR="00657ACA" w:rsidRDefault="00657ACA" w:rsidP="00657ACA">
            <w:pPr>
              <w:rPr>
                <w:rFonts w:ascii="Arial" w:hAnsi="Arial" w:cs="Arial"/>
                <w:b/>
                <w:bCs/>
                <w:sz w:val="20"/>
                <w:szCs w:val="20"/>
              </w:rPr>
            </w:pPr>
          </w:p>
          <w:p w14:paraId="0E43009F" w14:textId="1741921B" w:rsidR="00657ACA" w:rsidRPr="0000591E" w:rsidRDefault="00657ACA" w:rsidP="00657ACA">
            <w:pPr>
              <w:rPr>
                <w:rFonts w:ascii="Arial" w:hAnsi="Arial" w:cs="Arial"/>
                <w:b/>
                <w:bCs/>
                <w:sz w:val="20"/>
                <w:szCs w:val="20"/>
              </w:rPr>
            </w:pPr>
            <w:r w:rsidRPr="0000591E">
              <w:rPr>
                <w:rFonts w:ascii="Arial" w:hAnsi="Arial" w:cs="Arial"/>
                <w:b/>
                <w:bCs/>
                <w:sz w:val="20"/>
                <w:szCs w:val="20"/>
              </w:rPr>
              <w:t>B03XA02</w:t>
            </w:r>
          </w:p>
        </w:tc>
        <w:tc>
          <w:tcPr>
            <w:tcW w:w="9452" w:type="dxa"/>
            <w:tcBorders>
              <w:bottom w:val="single" w:sz="4" w:space="0" w:color="auto"/>
            </w:tcBorders>
            <w:noWrap/>
            <w:vAlign w:val="bottom"/>
          </w:tcPr>
          <w:p w14:paraId="3B7B8B6F" w14:textId="77777777" w:rsidR="00657ACA" w:rsidRDefault="00657ACA" w:rsidP="00657ACA">
            <w:pPr>
              <w:jc w:val="both"/>
              <w:rPr>
                <w:rFonts w:ascii="Arial" w:hAnsi="Arial" w:cs="Arial"/>
                <w:b/>
                <w:bCs/>
                <w:sz w:val="20"/>
                <w:szCs w:val="20"/>
              </w:rPr>
            </w:pPr>
            <w:r>
              <w:rPr>
                <w:rFonts w:ascii="Arial" w:hAnsi="Arial" w:cs="Arial"/>
                <w:b/>
                <w:bCs/>
                <w:sz w:val="20"/>
                <w:szCs w:val="20"/>
              </w:rPr>
              <w:t>Darbepoetín alfa parent. 10 mcg</w:t>
            </w:r>
          </w:p>
          <w:p w14:paraId="0DA0F998" w14:textId="77777777" w:rsidR="00657ACA" w:rsidRDefault="00657ACA" w:rsidP="00657ACA">
            <w:pPr>
              <w:jc w:val="both"/>
              <w:rPr>
                <w:rFonts w:ascii="Arial" w:hAnsi="Arial" w:cs="Arial"/>
                <w:b/>
                <w:bCs/>
                <w:sz w:val="20"/>
                <w:szCs w:val="20"/>
              </w:rPr>
            </w:pPr>
            <w:r>
              <w:rPr>
                <w:rFonts w:ascii="Arial" w:hAnsi="Arial" w:cs="Arial"/>
                <w:b/>
                <w:bCs/>
                <w:sz w:val="20"/>
                <w:szCs w:val="20"/>
              </w:rPr>
              <w:t>Darbepoetín alfa parent. 20 mcg</w:t>
            </w:r>
          </w:p>
          <w:p w14:paraId="7393EEA5" w14:textId="77777777" w:rsidR="00657ACA" w:rsidRDefault="00657ACA" w:rsidP="00657ACA">
            <w:pPr>
              <w:jc w:val="both"/>
              <w:rPr>
                <w:rFonts w:ascii="Arial" w:hAnsi="Arial" w:cs="Arial"/>
                <w:b/>
                <w:bCs/>
                <w:sz w:val="20"/>
                <w:szCs w:val="20"/>
              </w:rPr>
            </w:pPr>
            <w:r>
              <w:rPr>
                <w:rFonts w:ascii="Arial" w:hAnsi="Arial" w:cs="Arial"/>
                <w:b/>
                <w:bCs/>
                <w:sz w:val="20"/>
                <w:szCs w:val="20"/>
              </w:rPr>
              <w:t>Darbepoetín alfa parent.  60 mcg</w:t>
            </w:r>
          </w:p>
          <w:p w14:paraId="0D371326" w14:textId="77777777" w:rsidR="00657ACA" w:rsidRDefault="00657ACA" w:rsidP="00657ACA">
            <w:pPr>
              <w:jc w:val="both"/>
              <w:rPr>
                <w:rFonts w:ascii="Arial" w:hAnsi="Arial" w:cs="Arial"/>
                <w:b/>
                <w:bCs/>
                <w:sz w:val="20"/>
                <w:szCs w:val="20"/>
              </w:rPr>
            </w:pPr>
            <w:r>
              <w:rPr>
                <w:rFonts w:ascii="Arial" w:hAnsi="Arial" w:cs="Arial"/>
                <w:b/>
                <w:bCs/>
                <w:sz w:val="20"/>
                <w:szCs w:val="20"/>
              </w:rPr>
              <w:t>Darbepoetín alfa parent. 80 mcg</w:t>
            </w:r>
          </w:p>
          <w:p w14:paraId="14E65F2A"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Darbepoetín alfa parent</w:t>
            </w:r>
            <w:r w:rsidRPr="0000591E">
              <w:rPr>
                <w:rFonts w:ascii="Arial" w:hAnsi="Arial" w:cs="Arial"/>
                <w:b/>
                <w:bCs/>
                <w:sz w:val="20"/>
                <w:szCs w:val="20"/>
              </w:rPr>
              <w:t xml:space="preserve"> </w:t>
            </w:r>
            <w:r>
              <w:rPr>
                <w:rFonts w:ascii="Arial" w:hAnsi="Arial" w:cs="Arial"/>
                <w:b/>
                <w:bCs/>
                <w:sz w:val="20"/>
                <w:szCs w:val="20"/>
              </w:rPr>
              <w:t>100 mcg</w:t>
            </w:r>
          </w:p>
          <w:p w14:paraId="64DD973C"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Darbepoe</w:t>
            </w:r>
            <w:r>
              <w:rPr>
                <w:rFonts w:ascii="Arial" w:hAnsi="Arial" w:cs="Arial"/>
                <w:b/>
                <w:bCs/>
                <w:sz w:val="20"/>
                <w:szCs w:val="20"/>
              </w:rPr>
              <w:t>tín alfa parent. 150 mcg</w:t>
            </w:r>
          </w:p>
          <w:p w14:paraId="23FFD5DB"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Darbepoetín alfa parent. 300 mcg</w:t>
            </w:r>
          </w:p>
          <w:p w14:paraId="28BBEC1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Dar</w:t>
            </w:r>
            <w:r>
              <w:rPr>
                <w:rFonts w:ascii="Arial" w:hAnsi="Arial" w:cs="Arial"/>
                <w:b/>
                <w:bCs/>
                <w:sz w:val="20"/>
                <w:szCs w:val="20"/>
              </w:rPr>
              <w:t>bepoetín alfa parent. 500 mcg</w:t>
            </w:r>
          </w:p>
        </w:tc>
      </w:tr>
      <w:tr w:rsidR="00657ACA" w:rsidRPr="0000591E" w14:paraId="49273654" w14:textId="77777777" w:rsidTr="003F7925">
        <w:trPr>
          <w:gridAfter w:val="2"/>
          <w:wAfter w:w="154" w:type="dxa"/>
          <w:trHeight w:val="20"/>
        </w:trPr>
        <w:tc>
          <w:tcPr>
            <w:tcW w:w="1256" w:type="dxa"/>
            <w:tcBorders>
              <w:top w:val="single" w:sz="4" w:space="0" w:color="auto"/>
            </w:tcBorders>
            <w:noWrap/>
            <w:vAlign w:val="center"/>
          </w:tcPr>
          <w:p w14:paraId="3F65548E"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098FEA43" w14:textId="77777777" w:rsidR="00657ACA" w:rsidRPr="000D16CA" w:rsidRDefault="00657ACA" w:rsidP="00657ACA">
            <w:pPr>
              <w:jc w:val="both"/>
              <w:rPr>
                <w:rFonts w:ascii="Arial" w:hAnsi="Arial" w:cs="Arial"/>
                <w:bCs/>
                <w:sz w:val="20"/>
                <w:szCs w:val="20"/>
              </w:rPr>
            </w:pPr>
            <w:r w:rsidRPr="000D16CA">
              <w:rPr>
                <w:rFonts w:ascii="Arial" w:hAnsi="Arial" w:cs="Arial"/>
                <w:bCs/>
                <w:sz w:val="20"/>
                <w:szCs w:val="20"/>
              </w:rPr>
              <w:t>Hradená liečba sa môže indikovať pri</w:t>
            </w:r>
          </w:p>
          <w:p w14:paraId="711AAF54" w14:textId="77777777" w:rsidR="00657ACA" w:rsidRPr="000D16CA" w:rsidRDefault="00657ACA" w:rsidP="00657ACA">
            <w:pPr>
              <w:jc w:val="both"/>
              <w:rPr>
                <w:rFonts w:ascii="Arial" w:hAnsi="Arial" w:cs="Arial"/>
                <w:bCs/>
                <w:sz w:val="20"/>
                <w:szCs w:val="20"/>
              </w:rPr>
            </w:pPr>
            <w:r w:rsidRPr="000D16CA">
              <w:rPr>
                <w:rFonts w:ascii="Arial" w:hAnsi="Arial" w:cs="Arial"/>
                <w:bCs/>
                <w:sz w:val="20"/>
                <w:szCs w:val="20"/>
              </w:rPr>
              <w:t>a)</w:t>
            </w:r>
            <w:r w:rsidRPr="000D16CA">
              <w:rPr>
                <w:rFonts w:ascii="Arial" w:hAnsi="Arial" w:cs="Arial"/>
                <w:bCs/>
                <w:sz w:val="20"/>
                <w:szCs w:val="20"/>
              </w:rPr>
              <w:tab/>
              <w:t>anémii (s hladinou hemoglobínu pod 90 g/l, s vyššími hodnotami pri manifestných príznakoch anémie) u pacientov s chronickým ochorením obličiek a onkologických pacientov po radikálnej cytostatickej liečbe alebo ožiarení; podmienkou začatia liečby erytropoetínom je dostatočná zásoba železa (serový feritín pacienta minimálne 100 μg/l), bez ktorej je liečba anémie erytropoetínom neefektívna a neúčelná; liečba erytropoetínom sa ukončuje pri dosiahnutí hladiny hemoglobínu 110g/l (u nefrologických pacientov vyžadujúcich optimálne podmienky - fyzicky pracujúci, matky s deťmi a pod., je prípustná hodnota 120g/l); ak sa u onkologických pacientov nedosiahne požadované zvýšenie hemoglobínu do ôsmich týždňov od začatia podávania erytropoetínu, liečba erytropoetínom sa ukončí,</w:t>
            </w:r>
          </w:p>
          <w:p w14:paraId="27C5230D" w14:textId="77777777" w:rsidR="00657ACA" w:rsidRPr="000D16CA" w:rsidRDefault="00657ACA" w:rsidP="00657ACA">
            <w:pPr>
              <w:jc w:val="both"/>
              <w:rPr>
                <w:rFonts w:ascii="Arial" w:hAnsi="Arial" w:cs="Arial"/>
                <w:bCs/>
                <w:sz w:val="20"/>
                <w:szCs w:val="20"/>
              </w:rPr>
            </w:pPr>
            <w:r w:rsidRPr="000D16CA">
              <w:rPr>
                <w:rFonts w:ascii="Arial" w:hAnsi="Arial" w:cs="Arial"/>
                <w:bCs/>
                <w:sz w:val="20"/>
                <w:szCs w:val="20"/>
              </w:rPr>
              <w:t>b)</w:t>
            </w:r>
            <w:r w:rsidRPr="000D16CA">
              <w:rPr>
                <w:rFonts w:ascii="Arial" w:hAnsi="Arial" w:cs="Arial"/>
                <w:bCs/>
                <w:sz w:val="20"/>
                <w:szCs w:val="20"/>
              </w:rPr>
              <w:tab/>
              <w:t>ťažkej anémii nezrelých detí,</w:t>
            </w:r>
          </w:p>
          <w:p w14:paraId="3A5593DE" w14:textId="77777777" w:rsidR="00657ACA" w:rsidRDefault="00657ACA" w:rsidP="00657ACA">
            <w:pPr>
              <w:jc w:val="both"/>
              <w:rPr>
                <w:rFonts w:ascii="Arial" w:hAnsi="Arial" w:cs="Arial"/>
                <w:bCs/>
                <w:sz w:val="20"/>
                <w:szCs w:val="20"/>
              </w:rPr>
            </w:pPr>
            <w:r w:rsidRPr="000D16CA">
              <w:rPr>
                <w:rFonts w:ascii="Arial" w:hAnsi="Arial" w:cs="Arial"/>
                <w:bCs/>
                <w:sz w:val="20"/>
                <w:szCs w:val="20"/>
              </w:rPr>
              <w:t>c)</w:t>
            </w:r>
            <w:r w:rsidRPr="000D16CA">
              <w:rPr>
                <w:rFonts w:ascii="Arial" w:hAnsi="Arial" w:cs="Arial"/>
                <w:bCs/>
                <w:sz w:val="20"/>
                <w:szCs w:val="20"/>
              </w:rPr>
              <w:tab/>
              <w:t>anémii u pacientov s hematologickými poruchami proliferácie alebo maturácie erytrocytového radu (myelodysplastický syndróm, aplastická anémia, stav po transplantácii krvotvorných buniek).</w:t>
            </w:r>
          </w:p>
          <w:p w14:paraId="65B6C498" w14:textId="77777777" w:rsidR="00657ACA" w:rsidRDefault="00657ACA" w:rsidP="00657ACA">
            <w:pPr>
              <w:jc w:val="both"/>
              <w:rPr>
                <w:rFonts w:ascii="Arial" w:hAnsi="Arial" w:cs="Arial"/>
                <w:bCs/>
                <w:sz w:val="20"/>
                <w:szCs w:val="20"/>
              </w:rPr>
            </w:pPr>
          </w:p>
          <w:p w14:paraId="4B8CEA6B" w14:textId="77777777" w:rsidR="00845EE0" w:rsidRDefault="00845EE0" w:rsidP="00657ACA">
            <w:pPr>
              <w:jc w:val="both"/>
              <w:rPr>
                <w:rFonts w:ascii="Arial" w:hAnsi="Arial" w:cs="Arial"/>
                <w:bCs/>
                <w:sz w:val="20"/>
                <w:szCs w:val="20"/>
              </w:rPr>
            </w:pPr>
          </w:p>
          <w:p w14:paraId="2D69A68D" w14:textId="75F104E4" w:rsidR="00845EE0" w:rsidRPr="000D16CA" w:rsidRDefault="00845EE0" w:rsidP="00657ACA">
            <w:pPr>
              <w:jc w:val="both"/>
              <w:rPr>
                <w:rFonts w:ascii="Arial" w:hAnsi="Arial" w:cs="Arial"/>
                <w:bCs/>
                <w:sz w:val="20"/>
                <w:szCs w:val="20"/>
              </w:rPr>
            </w:pPr>
          </w:p>
        </w:tc>
      </w:tr>
      <w:tr w:rsidR="00657ACA" w:rsidRPr="0000591E" w14:paraId="7938B2FD" w14:textId="77777777" w:rsidTr="003F7925">
        <w:trPr>
          <w:gridAfter w:val="2"/>
          <w:wAfter w:w="154" w:type="dxa"/>
          <w:trHeight w:val="20"/>
        </w:trPr>
        <w:tc>
          <w:tcPr>
            <w:tcW w:w="1256" w:type="dxa"/>
            <w:tcBorders>
              <w:bottom w:val="single" w:sz="4" w:space="0" w:color="auto"/>
            </w:tcBorders>
            <w:noWrap/>
            <w:vAlign w:val="center"/>
          </w:tcPr>
          <w:p w14:paraId="7D945BE3" w14:textId="7A38B192" w:rsidR="00657ACA" w:rsidRPr="0000591E" w:rsidRDefault="00657ACA" w:rsidP="00657ACA">
            <w:pPr>
              <w:rPr>
                <w:rFonts w:ascii="Arial" w:hAnsi="Arial" w:cs="Arial"/>
                <w:b/>
                <w:bCs/>
                <w:sz w:val="20"/>
                <w:szCs w:val="20"/>
              </w:rPr>
            </w:pPr>
            <w:r w:rsidRPr="002E5226">
              <w:rPr>
                <w:rFonts w:ascii="Arial" w:hAnsi="Arial" w:cs="Arial"/>
                <w:b/>
                <w:bCs/>
                <w:sz w:val="20"/>
                <w:szCs w:val="20"/>
              </w:rPr>
              <w:t>B03XA03</w:t>
            </w:r>
          </w:p>
        </w:tc>
        <w:tc>
          <w:tcPr>
            <w:tcW w:w="9452" w:type="dxa"/>
            <w:tcBorders>
              <w:bottom w:val="single" w:sz="4" w:space="0" w:color="auto"/>
            </w:tcBorders>
            <w:noWrap/>
            <w:vAlign w:val="bottom"/>
          </w:tcPr>
          <w:p w14:paraId="3F960488" w14:textId="7237B19A" w:rsidR="00657ACA" w:rsidRPr="002E5226" w:rsidRDefault="00657ACA" w:rsidP="00657ACA">
            <w:pPr>
              <w:jc w:val="both"/>
              <w:rPr>
                <w:rFonts w:ascii="Arial" w:hAnsi="Arial" w:cs="Arial"/>
                <w:b/>
                <w:bCs/>
                <w:sz w:val="20"/>
                <w:szCs w:val="20"/>
              </w:rPr>
            </w:pPr>
            <w:r w:rsidRPr="002E5226">
              <w:rPr>
                <w:rFonts w:ascii="Arial" w:hAnsi="Arial" w:cs="Arial"/>
                <w:b/>
                <w:bCs/>
                <w:sz w:val="20"/>
                <w:szCs w:val="20"/>
              </w:rPr>
              <w:t>Metoxypolyetylénglykol epoetín beta parent. 50 mcg</w:t>
            </w:r>
          </w:p>
        </w:tc>
      </w:tr>
      <w:tr w:rsidR="00657ACA" w:rsidRPr="0000591E" w14:paraId="6D73C7F4" w14:textId="77777777" w:rsidTr="003F7925">
        <w:trPr>
          <w:gridAfter w:val="2"/>
          <w:wAfter w:w="154" w:type="dxa"/>
          <w:trHeight w:val="20"/>
        </w:trPr>
        <w:tc>
          <w:tcPr>
            <w:tcW w:w="1256" w:type="dxa"/>
            <w:tcBorders>
              <w:top w:val="single" w:sz="4" w:space="0" w:color="auto"/>
            </w:tcBorders>
            <w:noWrap/>
            <w:vAlign w:val="center"/>
          </w:tcPr>
          <w:p w14:paraId="7F86A608"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18A0027F" w14:textId="77777777" w:rsidR="00657ACA" w:rsidRPr="002E5226" w:rsidRDefault="00657ACA" w:rsidP="00657ACA">
            <w:pPr>
              <w:jc w:val="both"/>
              <w:rPr>
                <w:rFonts w:ascii="Arial" w:hAnsi="Arial" w:cs="Arial"/>
                <w:bCs/>
                <w:sz w:val="20"/>
                <w:szCs w:val="20"/>
              </w:rPr>
            </w:pPr>
            <w:r w:rsidRPr="002E5226">
              <w:rPr>
                <w:rFonts w:ascii="Arial" w:hAnsi="Arial" w:cs="Arial"/>
                <w:bCs/>
                <w:sz w:val="20"/>
                <w:szCs w:val="20"/>
              </w:rPr>
              <w:t>Hradená liečba sa môže indikovať pri anémii (s hladinou hemoglobínu pod 90 g/l, s vyššími hodnotami pri manifestných príznakoch anémie) u pacientov s chronickým ochorením obličiek.</w:t>
            </w:r>
          </w:p>
          <w:p w14:paraId="2EA64B25" w14:textId="77777777" w:rsidR="00657ACA" w:rsidRDefault="00657ACA" w:rsidP="00657ACA">
            <w:pPr>
              <w:jc w:val="both"/>
              <w:rPr>
                <w:rFonts w:ascii="Arial" w:hAnsi="Arial" w:cs="Arial"/>
                <w:bCs/>
                <w:sz w:val="20"/>
                <w:szCs w:val="20"/>
              </w:rPr>
            </w:pPr>
            <w:r w:rsidRPr="002E5226">
              <w:rPr>
                <w:rFonts w:ascii="Arial" w:hAnsi="Arial" w:cs="Arial"/>
                <w:bCs/>
                <w:sz w:val="20"/>
                <w:szCs w:val="20"/>
              </w:rPr>
              <w:lastRenderedPageBreak/>
              <w:t>Podmienkou začatia liečby metoxypolyetylénglykol epoetínom beta je dostatočná zásoba železa (sérový feritín pacienta minimálne 100 μg/l), bez ktorej je liečba anémie metoxypolyetylénglykol epoetínom beta neefektívna a neúčelná; liečba metoxypolyetylénglykol epoetínom beta sa ukončuje pri dosiahnutí hladiny hemoglobínu 110 g/l a u pacientov vyžadujúcich optimálne podmienky (napríklad fyzicky pracujúci, matky s deťmi), je prípustná hodnota 120 g/l.</w:t>
            </w:r>
          </w:p>
          <w:p w14:paraId="6B9C7CFC" w14:textId="4D8C79E2" w:rsidR="00845EE0" w:rsidRPr="000D16CA" w:rsidRDefault="00845EE0" w:rsidP="00657ACA">
            <w:pPr>
              <w:jc w:val="both"/>
              <w:rPr>
                <w:rFonts w:ascii="Arial" w:hAnsi="Arial" w:cs="Arial"/>
                <w:bCs/>
                <w:sz w:val="20"/>
                <w:szCs w:val="20"/>
              </w:rPr>
            </w:pPr>
          </w:p>
        </w:tc>
      </w:tr>
      <w:tr w:rsidR="00657ACA" w:rsidRPr="0000591E" w14:paraId="4493D281" w14:textId="77777777" w:rsidTr="003F7925">
        <w:trPr>
          <w:gridAfter w:val="2"/>
          <w:wAfter w:w="154" w:type="dxa"/>
          <w:trHeight w:val="20"/>
        </w:trPr>
        <w:tc>
          <w:tcPr>
            <w:tcW w:w="1256" w:type="dxa"/>
            <w:tcBorders>
              <w:bottom w:val="single" w:sz="4" w:space="0" w:color="auto"/>
            </w:tcBorders>
            <w:noWrap/>
            <w:vAlign w:val="bottom"/>
          </w:tcPr>
          <w:p w14:paraId="798AF0DA" w14:textId="77777777" w:rsidR="00657ACA" w:rsidRPr="008447C0" w:rsidRDefault="00657ACA" w:rsidP="00657ACA">
            <w:pPr>
              <w:pStyle w:val="Nadpis2"/>
              <w:jc w:val="both"/>
              <w:rPr>
                <w:rFonts w:cs="Times New Roman"/>
              </w:rPr>
            </w:pPr>
            <w:r w:rsidRPr="008447C0">
              <w:rPr>
                <w:rFonts w:cs="Times New Roman"/>
              </w:rPr>
              <w:lastRenderedPageBreak/>
              <w:t>B03XA05</w:t>
            </w:r>
          </w:p>
        </w:tc>
        <w:tc>
          <w:tcPr>
            <w:tcW w:w="9452" w:type="dxa"/>
            <w:tcBorders>
              <w:bottom w:val="single" w:sz="4" w:space="0" w:color="auto"/>
            </w:tcBorders>
            <w:noWrap/>
            <w:vAlign w:val="bottom"/>
          </w:tcPr>
          <w:p w14:paraId="6246C79D" w14:textId="77777777" w:rsidR="00657ACA" w:rsidRPr="00C6593F" w:rsidRDefault="00657ACA" w:rsidP="00657ACA">
            <w:pPr>
              <w:rPr>
                <w:rFonts w:ascii="Arial" w:hAnsi="Arial" w:cs="Arial"/>
                <w:b/>
                <w:sz w:val="20"/>
                <w:szCs w:val="20"/>
              </w:rPr>
            </w:pPr>
            <w:r w:rsidRPr="00C6593F">
              <w:rPr>
                <w:rFonts w:ascii="Arial" w:hAnsi="Arial" w:cs="Arial"/>
                <w:b/>
                <w:sz w:val="20"/>
                <w:szCs w:val="20"/>
              </w:rPr>
              <w:t>Roxadustát p.o. 150 mg</w:t>
            </w:r>
          </w:p>
          <w:p w14:paraId="5064CBF1" w14:textId="77777777" w:rsidR="00657ACA" w:rsidRPr="00C6593F" w:rsidRDefault="00657ACA" w:rsidP="00657ACA">
            <w:pPr>
              <w:rPr>
                <w:rFonts w:ascii="Arial" w:hAnsi="Arial" w:cs="Arial"/>
                <w:b/>
                <w:sz w:val="20"/>
                <w:szCs w:val="20"/>
              </w:rPr>
            </w:pPr>
            <w:r w:rsidRPr="00C6593F">
              <w:rPr>
                <w:rFonts w:ascii="Arial" w:hAnsi="Arial" w:cs="Arial"/>
                <w:b/>
                <w:sz w:val="20"/>
                <w:szCs w:val="20"/>
              </w:rPr>
              <w:t>Roxadustát p.o. 100 mg</w:t>
            </w:r>
          </w:p>
          <w:p w14:paraId="45F0CAB2" w14:textId="77777777" w:rsidR="00657ACA" w:rsidRPr="00C6593F" w:rsidRDefault="00657ACA" w:rsidP="00657ACA">
            <w:pPr>
              <w:rPr>
                <w:rFonts w:ascii="Arial" w:hAnsi="Arial" w:cs="Arial"/>
                <w:b/>
                <w:sz w:val="20"/>
                <w:szCs w:val="20"/>
              </w:rPr>
            </w:pPr>
            <w:r w:rsidRPr="00C6593F">
              <w:rPr>
                <w:rFonts w:ascii="Arial" w:hAnsi="Arial" w:cs="Arial"/>
                <w:b/>
                <w:sz w:val="20"/>
                <w:szCs w:val="20"/>
              </w:rPr>
              <w:t>Roxadustát p.o. 70 mg</w:t>
            </w:r>
          </w:p>
          <w:p w14:paraId="419CE8F4" w14:textId="77777777" w:rsidR="00657ACA" w:rsidRPr="00C6593F" w:rsidRDefault="00657ACA" w:rsidP="00657ACA">
            <w:pPr>
              <w:rPr>
                <w:rFonts w:ascii="Arial" w:hAnsi="Arial" w:cs="Arial"/>
                <w:b/>
                <w:sz w:val="20"/>
                <w:szCs w:val="20"/>
              </w:rPr>
            </w:pPr>
            <w:r w:rsidRPr="00C6593F">
              <w:rPr>
                <w:rFonts w:ascii="Arial" w:hAnsi="Arial" w:cs="Arial"/>
                <w:b/>
                <w:sz w:val="20"/>
                <w:szCs w:val="20"/>
              </w:rPr>
              <w:t>Roxadustát p.o. 50 mg</w:t>
            </w:r>
          </w:p>
          <w:p w14:paraId="3BA1ADC2" w14:textId="77777777" w:rsidR="00657ACA" w:rsidRPr="005F20C8" w:rsidRDefault="00657ACA" w:rsidP="00657ACA">
            <w:pPr>
              <w:rPr>
                <w:rFonts w:ascii="Arial" w:hAnsi="Arial" w:cs="Arial"/>
                <w:b/>
                <w:sz w:val="20"/>
                <w:szCs w:val="20"/>
              </w:rPr>
            </w:pPr>
            <w:r w:rsidRPr="00C6593F">
              <w:rPr>
                <w:rFonts w:ascii="Arial" w:hAnsi="Arial" w:cs="Arial"/>
                <w:b/>
                <w:sz w:val="20"/>
                <w:szCs w:val="20"/>
              </w:rPr>
              <w:t>Roxadustát p.o. 20 mg</w:t>
            </w:r>
          </w:p>
        </w:tc>
      </w:tr>
      <w:tr w:rsidR="00657ACA" w:rsidRPr="0000591E" w14:paraId="0A92EDA5" w14:textId="77777777" w:rsidTr="003F7925">
        <w:trPr>
          <w:gridAfter w:val="2"/>
          <w:wAfter w:w="154" w:type="dxa"/>
          <w:trHeight w:val="20"/>
        </w:trPr>
        <w:tc>
          <w:tcPr>
            <w:tcW w:w="1256" w:type="dxa"/>
            <w:noWrap/>
            <w:vAlign w:val="bottom"/>
          </w:tcPr>
          <w:p w14:paraId="75FF6F55" w14:textId="77777777" w:rsidR="00657ACA" w:rsidRDefault="00657ACA" w:rsidP="00657ACA">
            <w:pPr>
              <w:pStyle w:val="Nadpis2"/>
              <w:jc w:val="both"/>
              <w:rPr>
                <w:rFonts w:cs="Times New Roman"/>
              </w:rPr>
            </w:pPr>
          </w:p>
        </w:tc>
        <w:tc>
          <w:tcPr>
            <w:tcW w:w="9452" w:type="dxa"/>
            <w:noWrap/>
            <w:vAlign w:val="bottom"/>
          </w:tcPr>
          <w:p w14:paraId="635F133A" w14:textId="77777777" w:rsidR="00657ACA" w:rsidRDefault="00657ACA" w:rsidP="00657ACA">
            <w:pPr>
              <w:jc w:val="both"/>
              <w:rPr>
                <w:rFonts w:ascii="Arial" w:hAnsi="Arial" w:cs="Arial"/>
                <w:sz w:val="20"/>
                <w:szCs w:val="20"/>
              </w:rPr>
            </w:pPr>
            <w:r w:rsidRPr="009A20B5">
              <w:rPr>
                <w:rFonts w:ascii="Arial" w:hAnsi="Arial" w:cs="Arial"/>
                <w:sz w:val="20"/>
                <w:szCs w:val="20"/>
              </w:rPr>
              <w:t>Hradená liečba sa môže indikovať pri anémii (s hladinou hemoglobínu pod 90 g/l, s vyššími hodnotami pri manifestných príznakoch anémie) u pacientov s chronickým ochorením obličiek v štádiu G3, G4 alebo G5 podľa KDIGO; liečba sa ukončuje pri dosiahnutí hladiny hemoglobínu 110g/l (u nefrologických pacientov vyžadujúcich optimálne podmienky - fyzicky pracujúci, matky s deťmi a pod., je prípustná hodnota 120g/l).</w:t>
            </w:r>
          </w:p>
          <w:p w14:paraId="517181F1" w14:textId="77777777" w:rsidR="00657ACA" w:rsidRPr="005F20C8" w:rsidRDefault="00657ACA" w:rsidP="00657ACA">
            <w:pPr>
              <w:rPr>
                <w:rFonts w:ascii="Arial" w:hAnsi="Arial" w:cs="Arial"/>
                <w:b/>
                <w:sz w:val="20"/>
                <w:szCs w:val="20"/>
              </w:rPr>
            </w:pPr>
          </w:p>
        </w:tc>
      </w:tr>
      <w:tr w:rsidR="00657ACA" w:rsidRPr="0000591E" w14:paraId="56DB15E2" w14:textId="77777777" w:rsidTr="003F7925">
        <w:trPr>
          <w:gridAfter w:val="2"/>
          <w:wAfter w:w="154" w:type="dxa"/>
          <w:trHeight w:val="20"/>
        </w:trPr>
        <w:tc>
          <w:tcPr>
            <w:tcW w:w="1256" w:type="dxa"/>
            <w:tcBorders>
              <w:bottom w:val="single" w:sz="4" w:space="0" w:color="auto"/>
            </w:tcBorders>
            <w:noWrap/>
            <w:vAlign w:val="bottom"/>
          </w:tcPr>
          <w:p w14:paraId="41B3866B" w14:textId="77777777" w:rsidR="00657ACA" w:rsidRPr="0000591E" w:rsidRDefault="00657ACA" w:rsidP="00657ACA">
            <w:pPr>
              <w:pStyle w:val="Nadpis2"/>
              <w:jc w:val="both"/>
              <w:rPr>
                <w:rFonts w:cs="Times New Roman"/>
              </w:rPr>
            </w:pPr>
            <w:r>
              <w:rPr>
                <w:rFonts w:cs="Times New Roman"/>
              </w:rPr>
              <w:t>B06AC01</w:t>
            </w:r>
          </w:p>
        </w:tc>
        <w:tc>
          <w:tcPr>
            <w:tcW w:w="9452" w:type="dxa"/>
            <w:tcBorders>
              <w:bottom w:val="single" w:sz="4" w:space="0" w:color="auto"/>
            </w:tcBorders>
            <w:noWrap/>
            <w:vAlign w:val="bottom"/>
          </w:tcPr>
          <w:p w14:paraId="1F38888C" w14:textId="77777777" w:rsidR="00657ACA" w:rsidRPr="00E0153F" w:rsidRDefault="00657ACA" w:rsidP="00657ACA">
            <w:pPr>
              <w:rPr>
                <w:rFonts w:ascii="Arial" w:hAnsi="Arial" w:cs="Arial"/>
                <w:b/>
                <w:sz w:val="20"/>
                <w:szCs w:val="20"/>
              </w:rPr>
            </w:pPr>
            <w:r w:rsidRPr="005F20C8">
              <w:rPr>
                <w:rFonts w:ascii="Arial" w:hAnsi="Arial" w:cs="Arial"/>
                <w:b/>
                <w:sz w:val="20"/>
                <w:szCs w:val="20"/>
              </w:rPr>
              <w:t>Ľudský inhibítor C1 esterázy parent. 500 IU</w:t>
            </w:r>
          </w:p>
        </w:tc>
      </w:tr>
      <w:tr w:rsidR="00657ACA" w:rsidRPr="0000591E" w14:paraId="0D2918B3" w14:textId="77777777" w:rsidTr="003F7925">
        <w:trPr>
          <w:gridAfter w:val="2"/>
          <w:wAfter w:w="154" w:type="dxa"/>
          <w:trHeight w:val="20"/>
        </w:trPr>
        <w:tc>
          <w:tcPr>
            <w:tcW w:w="1256" w:type="dxa"/>
            <w:tcBorders>
              <w:top w:val="single" w:sz="4" w:space="0" w:color="auto"/>
            </w:tcBorders>
            <w:noWrap/>
            <w:vAlign w:val="bottom"/>
          </w:tcPr>
          <w:p w14:paraId="2DE373B1"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6F7B8951" w14:textId="77777777" w:rsidR="00657ACA" w:rsidRDefault="00657ACA" w:rsidP="00657ACA">
            <w:pPr>
              <w:jc w:val="both"/>
              <w:rPr>
                <w:rFonts w:ascii="Arial" w:hAnsi="Arial" w:cs="Arial"/>
                <w:sz w:val="20"/>
                <w:szCs w:val="20"/>
              </w:rPr>
            </w:pPr>
            <w:r w:rsidRPr="00E0153F">
              <w:rPr>
                <w:rFonts w:ascii="Arial" w:hAnsi="Arial" w:cs="Arial"/>
                <w:sz w:val="20"/>
                <w:szCs w:val="20"/>
              </w:rPr>
              <w:t xml:space="preserve">Hradená liečba sa môže indikovať u dospelých pacientov s vrodeným angioedémom na symptomatickú liečbu akútneho záchvatu.  </w:t>
            </w:r>
          </w:p>
          <w:p w14:paraId="0EFFFA11" w14:textId="76713141" w:rsidR="00657ACA" w:rsidRPr="00E0153F" w:rsidRDefault="00657ACA" w:rsidP="00657ACA">
            <w:pPr>
              <w:jc w:val="both"/>
              <w:rPr>
                <w:rFonts w:ascii="Arial" w:hAnsi="Arial" w:cs="Arial"/>
                <w:sz w:val="20"/>
                <w:szCs w:val="20"/>
              </w:rPr>
            </w:pPr>
          </w:p>
        </w:tc>
      </w:tr>
      <w:tr w:rsidR="00657ACA" w:rsidRPr="0000591E" w14:paraId="446F7EFF" w14:textId="77777777" w:rsidTr="003F7925">
        <w:trPr>
          <w:gridAfter w:val="2"/>
          <w:wAfter w:w="154" w:type="dxa"/>
          <w:trHeight w:val="20"/>
        </w:trPr>
        <w:tc>
          <w:tcPr>
            <w:tcW w:w="1256" w:type="dxa"/>
            <w:tcBorders>
              <w:bottom w:val="single" w:sz="4" w:space="0" w:color="auto"/>
            </w:tcBorders>
            <w:noWrap/>
            <w:vAlign w:val="bottom"/>
          </w:tcPr>
          <w:p w14:paraId="7CA5392E"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B06AC0</w:t>
            </w:r>
            <w:r>
              <w:rPr>
                <w:rFonts w:ascii="Arial" w:hAnsi="Arial" w:cs="Arial"/>
                <w:b/>
                <w:bCs/>
                <w:sz w:val="20"/>
                <w:szCs w:val="20"/>
              </w:rPr>
              <w:t>2</w:t>
            </w:r>
          </w:p>
        </w:tc>
        <w:tc>
          <w:tcPr>
            <w:tcW w:w="9452" w:type="dxa"/>
            <w:tcBorders>
              <w:bottom w:val="single" w:sz="4" w:space="0" w:color="auto"/>
            </w:tcBorders>
            <w:noWrap/>
            <w:vAlign w:val="bottom"/>
          </w:tcPr>
          <w:p w14:paraId="698F95B7"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 xml:space="preserve">Ikatibant parent. </w:t>
            </w:r>
            <w:r w:rsidRPr="005F20C8">
              <w:rPr>
                <w:rFonts w:ascii="Arial" w:hAnsi="Arial" w:cs="Arial"/>
                <w:b/>
                <w:bCs/>
                <w:sz w:val="20"/>
                <w:szCs w:val="20"/>
              </w:rPr>
              <w:t>30 mg</w:t>
            </w:r>
          </w:p>
        </w:tc>
      </w:tr>
      <w:tr w:rsidR="00657ACA" w:rsidRPr="0000591E" w14:paraId="43A37F3F" w14:textId="77777777" w:rsidTr="003F7925">
        <w:trPr>
          <w:gridAfter w:val="2"/>
          <w:wAfter w:w="154" w:type="dxa"/>
          <w:trHeight w:val="20"/>
        </w:trPr>
        <w:tc>
          <w:tcPr>
            <w:tcW w:w="1256" w:type="dxa"/>
            <w:tcBorders>
              <w:top w:val="single" w:sz="4" w:space="0" w:color="auto"/>
            </w:tcBorders>
            <w:noWrap/>
            <w:vAlign w:val="bottom"/>
          </w:tcPr>
          <w:p w14:paraId="0467DD99"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FACEBB5" w14:textId="77777777" w:rsidR="00657ACA" w:rsidRPr="00ED0451" w:rsidRDefault="00657ACA" w:rsidP="00657ACA">
            <w:pPr>
              <w:jc w:val="both"/>
              <w:rPr>
                <w:rFonts w:ascii="Arial" w:hAnsi="Arial" w:cs="Arial"/>
                <w:sz w:val="20"/>
                <w:szCs w:val="20"/>
              </w:rPr>
            </w:pPr>
            <w:r w:rsidRPr="00ED0451">
              <w:rPr>
                <w:rFonts w:ascii="Arial" w:hAnsi="Arial" w:cs="Arial"/>
                <w:sz w:val="20"/>
                <w:szCs w:val="20"/>
              </w:rPr>
              <w:t xml:space="preserve">Hradená liečba sa môže indikovať u dospelých pacientov s vrodeným  angioedémom na symptomatickú liečbu akútneho záchvatu. </w:t>
            </w:r>
          </w:p>
          <w:p w14:paraId="47DB5047" w14:textId="77777777" w:rsidR="00657ACA" w:rsidRPr="0000591E" w:rsidRDefault="00657ACA" w:rsidP="00657ACA">
            <w:pPr>
              <w:jc w:val="both"/>
              <w:rPr>
                <w:rFonts w:ascii="Arial" w:hAnsi="Arial" w:cs="Arial"/>
                <w:b/>
                <w:bCs/>
                <w:sz w:val="20"/>
                <w:szCs w:val="20"/>
              </w:rPr>
            </w:pPr>
          </w:p>
        </w:tc>
      </w:tr>
      <w:tr w:rsidR="00657ACA" w:rsidRPr="0000591E" w14:paraId="4A4F68E8" w14:textId="77777777" w:rsidTr="003F7925">
        <w:trPr>
          <w:gridAfter w:val="2"/>
          <w:wAfter w:w="154" w:type="dxa"/>
          <w:trHeight w:val="20"/>
        </w:trPr>
        <w:tc>
          <w:tcPr>
            <w:tcW w:w="1256" w:type="dxa"/>
            <w:noWrap/>
            <w:vAlign w:val="bottom"/>
          </w:tcPr>
          <w:p w14:paraId="72556A5A" w14:textId="77777777" w:rsidR="00657ACA" w:rsidRPr="0000591E" w:rsidRDefault="00657ACA" w:rsidP="00657ACA">
            <w:pPr>
              <w:jc w:val="both"/>
              <w:rPr>
                <w:rFonts w:ascii="Arial" w:hAnsi="Arial" w:cs="Arial"/>
                <w:b/>
                <w:bCs/>
                <w:sz w:val="20"/>
                <w:szCs w:val="20"/>
              </w:rPr>
            </w:pPr>
            <w:r w:rsidRPr="00FA64DA">
              <w:rPr>
                <w:rFonts w:ascii="Arial" w:hAnsi="Arial" w:cs="Arial"/>
                <w:b/>
                <w:bCs/>
                <w:sz w:val="20"/>
                <w:szCs w:val="20"/>
              </w:rPr>
              <w:t>B06AC05</w:t>
            </w:r>
          </w:p>
        </w:tc>
        <w:tc>
          <w:tcPr>
            <w:tcW w:w="9452" w:type="dxa"/>
            <w:noWrap/>
            <w:vAlign w:val="bottom"/>
          </w:tcPr>
          <w:p w14:paraId="51DDF010" w14:textId="77777777" w:rsidR="00657ACA" w:rsidRPr="0000591E" w:rsidRDefault="00657ACA" w:rsidP="00657ACA">
            <w:pPr>
              <w:jc w:val="both"/>
              <w:rPr>
                <w:rFonts w:ascii="Arial" w:hAnsi="Arial" w:cs="Arial"/>
                <w:b/>
                <w:bCs/>
                <w:sz w:val="20"/>
                <w:szCs w:val="20"/>
              </w:rPr>
            </w:pPr>
            <w:r w:rsidRPr="00FA64DA">
              <w:rPr>
                <w:rFonts w:ascii="Arial" w:hAnsi="Arial" w:cs="Arial"/>
                <w:b/>
                <w:bCs/>
                <w:sz w:val="20"/>
                <w:szCs w:val="20"/>
              </w:rPr>
              <w:t>Lanadelumab</w:t>
            </w:r>
            <w:r>
              <w:rPr>
                <w:rFonts w:ascii="Arial" w:hAnsi="Arial" w:cs="Arial"/>
                <w:b/>
                <w:bCs/>
                <w:sz w:val="20"/>
                <w:szCs w:val="20"/>
              </w:rPr>
              <w:t xml:space="preserve"> s.c. 300 mg </w:t>
            </w:r>
          </w:p>
        </w:tc>
      </w:tr>
      <w:tr w:rsidR="00657ACA" w:rsidRPr="0000591E" w14:paraId="0C25C792" w14:textId="77777777" w:rsidTr="003F7925">
        <w:trPr>
          <w:gridAfter w:val="2"/>
          <w:wAfter w:w="154" w:type="dxa"/>
          <w:trHeight w:val="20"/>
        </w:trPr>
        <w:tc>
          <w:tcPr>
            <w:tcW w:w="1256" w:type="dxa"/>
            <w:tcBorders>
              <w:top w:val="single" w:sz="4" w:space="0" w:color="auto"/>
            </w:tcBorders>
            <w:noWrap/>
            <w:vAlign w:val="bottom"/>
          </w:tcPr>
          <w:p w14:paraId="637876F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F7947D6"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 Hradená liečba sa môže indikovať na rutinnú prevenciu opakujúcich sa záchvatov hereditárneho angioedému I. a II. typu (hereditary angioedema - HAE) u pacientov </w:t>
            </w:r>
            <w:r w:rsidRPr="00964D9A">
              <w:rPr>
                <w:rFonts w:ascii="Arial" w:hAnsi="Arial" w:cs="Arial"/>
                <w:b/>
                <w:sz w:val="20"/>
                <w:szCs w:val="20"/>
              </w:rPr>
              <w:t>vo veku 12 a viac rokov</w:t>
            </w:r>
            <w:r w:rsidRPr="00964D9A">
              <w:rPr>
                <w:rFonts w:ascii="Arial" w:hAnsi="Arial" w:cs="Arial"/>
                <w:sz w:val="20"/>
                <w:szCs w:val="20"/>
              </w:rPr>
              <w:t>, ktorí</w:t>
            </w:r>
          </w:p>
          <w:p w14:paraId="0AC5AF9E"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a) aj napriek primeranej liečbe androgénmi na túto liečbu neodpovedali, alebo ktorí túto liečbu netolerujú alebo je u nich táto liečba kontraindikovaná,</w:t>
            </w:r>
          </w:p>
          <w:p w14:paraId="5CEEEFD4"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b) mali za posledných 12 mesiacov aspoň 12 zdokumentovaných záchvatov</w:t>
            </w:r>
          </w:p>
          <w:p w14:paraId="55737108" w14:textId="77777777" w:rsidR="00657ACA" w:rsidRPr="00964D9A" w:rsidRDefault="00657ACA" w:rsidP="00657ACA">
            <w:pPr>
              <w:jc w:val="both"/>
              <w:rPr>
                <w:rFonts w:ascii="Arial" w:hAnsi="Arial" w:cs="Arial"/>
                <w:sz w:val="20"/>
                <w:szCs w:val="20"/>
              </w:rPr>
            </w:pPr>
          </w:p>
          <w:p w14:paraId="48C411A7"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Kritérium účinnosti liečby je minimálne 50 % redukcia počtu záchvatov za 12 mesiacov. V prípade, že k uvedenej redukcii nedôjde, liečba prestáva byť hradenou.</w:t>
            </w:r>
          </w:p>
          <w:p w14:paraId="24E61407" w14:textId="77777777" w:rsidR="00657ACA" w:rsidRPr="00964D9A" w:rsidRDefault="00657ACA" w:rsidP="00657ACA">
            <w:pPr>
              <w:jc w:val="both"/>
              <w:rPr>
                <w:rFonts w:ascii="Arial" w:hAnsi="Arial" w:cs="Arial"/>
                <w:sz w:val="20"/>
                <w:szCs w:val="20"/>
              </w:rPr>
            </w:pPr>
          </w:p>
          <w:p w14:paraId="299B1AA6"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Hradená liečba sa môže indikovať na pracoviskách:</w:t>
            </w:r>
          </w:p>
          <w:p w14:paraId="3E5A1E6F"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Centrum pre hereditárny angioedém, Klinika detí a dorastu v UNM a JLF UK Martin</w:t>
            </w:r>
          </w:p>
          <w:p w14:paraId="224E50C8"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Centrum pre hereditárny angioedém, Klinika pneumológie a ftizeológie UNM a JLF UK Martin</w:t>
            </w:r>
          </w:p>
          <w:p w14:paraId="317DD4EF"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Centrum pre hereditárny angioedém, ambulancia klinickej imunológie, V. interná klinika LF UK a UNBA Ružinov</w:t>
            </w:r>
          </w:p>
          <w:p w14:paraId="435EAB37"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Špecializovaná imunologická ambulancia Onkologického ústavu sv. Alžbety, Bratislava</w:t>
            </w:r>
          </w:p>
          <w:p w14:paraId="21DB4761" w14:textId="77777777" w:rsidR="00657ACA" w:rsidRPr="00964D9A" w:rsidRDefault="00657ACA" w:rsidP="00657ACA">
            <w:pPr>
              <w:jc w:val="both"/>
              <w:rPr>
                <w:rFonts w:ascii="Arial" w:hAnsi="Arial" w:cs="Arial"/>
                <w:sz w:val="20"/>
                <w:szCs w:val="20"/>
              </w:rPr>
            </w:pPr>
          </w:p>
          <w:p w14:paraId="744E2B61" w14:textId="77777777" w:rsidR="00657ACA" w:rsidRDefault="00657ACA" w:rsidP="00657ACA">
            <w:pPr>
              <w:jc w:val="both"/>
              <w:rPr>
                <w:rFonts w:ascii="Arial" w:hAnsi="Arial" w:cs="Arial"/>
                <w:sz w:val="20"/>
                <w:szCs w:val="20"/>
              </w:rPr>
            </w:pPr>
            <w:r w:rsidRPr="00964D9A">
              <w:rPr>
                <w:rFonts w:ascii="Arial" w:hAnsi="Arial" w:cs="Arial"/>
                <w:sz w:val="20"/>
                <w:szCs w:val="20"/>
              </w:rPr>
              <w:t>Hradená liečba podlieha predchádzajúcemu súhlasu zdravotnej poisťovne.</w:t>
            </w:r>
          </w:p>
          <w:p w14:paraId="75E30B97" w14:textId="77777777" w:rsidR="00657ACA" w:rsidRDefault="00657ACA" w:rsidP="00657ACA">
            <w:pPr>
              <w:jc w:val="both"/>
              <w:rPr>
                <w:rFonts w:ascii="Arial" w:hAnsi="Arial" w:cs="Arial"/>
                <w:sz w:val="20"/>
                <w:szCs w:val="20"/>
              </w:rPr>
            </w:pPr>
          </w:p>
          <w:p w14:paraId="22409AAA"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w:t>
            </w:r>
            <w:r w:rsidRPr="00964D9A">
              <w:rPr>
                <w:rFonts w:ascii="Arial" w:hAnsi="Arial" w:cs="Arial"/>
                <w:sz w:val="20"/>
                <w:szCs w:val="20"/>
              </w:rPr>
              <w:tab/>
              <w:t xml:space="preserve">Hradená liečba sa môže indikovať na rutinnú prevenciu opakujúcich sa záchvatov hereditárneho angioedému I. a II. typu (hereditary angioedema - HAE) u pacientov </w:t>
            </w:r>
            <w:r w:rsidRPr="00964D9A">
              <w:rPr>
                <w:rFonts w:ascii="Arial" w:hAnsi="Arial" w:cs="Arial"/>
                <w:b/>
                <w:sz w:val="20"/>
                <w:szCs w:val="20"/>
              </w:rPr>
              <w:t>vo veku 2 až 12 rokov</w:t>
            </w:r>
            <w:r w:rsidRPr="00964D9A">
              <w:rPr>
                <w:rFonts w:ascii="Arial" w:hAnsi="Arial" w:cs="Arial"/>
                <w:sz w:val="20"/>
                <w:szCs w:val="20"/>
              </w:rPr>
              <w:t xml:space="preserve">. </w:t>
            </w:r>
          </w:p>
          <w:p w14:paraId="237A3A82"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Hradená liečba sa môže indikovať na pracoviskách:</w:t>
            </w:r>
          </w:p>
          <w:p w14:paraId="23236365"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Centrum pre hereditárny angioedém, Klinika detí a dorastu v UNM a JLF UK Martin</w:t>
            </w:r>
          </w:p>
          <w:p w14:paraId="1FA8EF30"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Centrum pre hereditárny angioedém, Klinika pneumológie a ftizeológie UNM a JLF UK Martin</w:t>
            </w:r>
          </w:p>
          <w:p w14:paraId="2EECC195"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Centrum pre hereditárny angioedém, ambulancia klinickej imunológie, V. interná klinika LF UK a UNBA Ružinov</w:t>
            </w:r>
          </w:p>
          <w:p w14:paraId="4BCB2CFF"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Špecializovaná imunologická ambulancia Onkologického ústavu sv. Alžbety, Bratislava</w:t>
            </w:r>
          </w:p>
          <w:p w14:paraId="4C8A117F" w14:textId="77777777" w:rsidR="00657ACA" w:rsidRPr="00964D9A" w:rsidRDefault="00657ACA" w:rsidP="00657ACA">
            <w:pPr>
              <w:jc w:val="both"/>
              <w:rPr>
                <w:rFonts w:ascii="Arial" w:hAnsi="Arial" w:cs="Arial"/>
                <w:sz w:val="20"/>
                <w:szCs w:val="20"/>
              </w:rPr>
            </w:pPr>
          </w:p>
          <w:p w14:paraId="67CE0D53" w14:textId="77777777" w:rsidR="00657ACA" w:rsidRDefault="00657ACA" w:rsidP="00657ACA">
            <w:pPr>
              <w:jc w:val="both"/>
              <w:rPr>
                <w:rFonts w:ascii="Arial" w:hAnsi="Arial" w:cs="Arial"/>
                <w:sz w:val="20"/>
                <w:szCs w:val="20"/>
              </w:rPr>
            </w:pPr>
            <w:r w:rsidRPr="00964D9A">
              <w:rPr>
                <w:rFonts w:ascii="Arial" w:hAnsi="Arial" w:cs="Arial"/>
                <w:sz w:val="20"/>
                <w:szCs w:val="20"/>
              </w:rPr>
              <w:t>Hradená liečba podlieha predchádzajúcemu súhlasu zdravotnej poisťovne.</w:t>
            </w:r>
          </w:p>
          <w:p w14:paraId="038F540B" w14:textId="77777777" w:rsidR="00657ACA" w:rsidRDefault="00657ACA" w:rsidP="00657ACA">
            <w:pPr>
              <w:jc w:val="both"/>
              <w:rPr>
                <w:rFonts w:ascii="Arial" w:hAnsi="Arial" w:cs="Arial"/>
                <w:sz w:val="20"/>
                <w:szCs w:val="20"/>
              </w:rPr>
            </w:pPr>
          </w:p>
          <w:p w14:paraId="5979F83B" w14:textId="77777777" w:rsidR="00845EE0" w:rsidRDefault="00845EE0" w:rsidP="00657ACA">
            <w:pPr>
              <w:jc w:val="both"/>
              <w:rPr>
                <w:rFonts w:ascii="Arial" w:hAnsi="Arial" w:cs="Arial"/>
                <w:sz w:val="20"/>
                <w:szCs w:val="20"/>
              </w:rPr>
            </w:pPr>
          </w:p>
          <w:p w14:paraId="0108BDDD" w14:textId="77777777" w:rsidR="00845EE0" w:rsidRDefault="00845EE0" w:rsidP="00657ACA">
            <w:pPr>
              <w:jc w:val="both"/>
              <w:rPr>
                <w:rFonts w:ascii="Arial" w:hAnsi="Arial" w:cs="Arial"/>
                <w:sz w:val="20"/>
                <w:szCs w:val="20"/>
              </w:rPr>
            </w:pPr>
          </w:p>
          <w:p w14:paraId="66E22156" w14:textId="77777777" w:rsidR="00845EE0" w:rsidRPr="0000591E" w:rsidRDefault="00845EE0" w:rsidP="00657ACA">
            <w:pPr>
              <w:jc w:val="both"/>
              <w:rPr>
                <w:rFonts w:ascii="Arial" w:hAnsi="Arial" w:cs="Arial"/>
                <w:sz w:val="20"/>
                <w:szCs w:val="20"/>
              </w:rPr>
            </w:pPr>
          </w:p>
        </w:tc>
      </w:tr>
      <w:tr w:rsidR="00657ACA" w:rsidRPr="0000591E" w14:paraId="3941AA82" w14:textId="77777777" w:rsidTr="003F7925">
        <w:trPr>
          <w:gridAfter w:val="2"/>
          <w:wAfter w:w="154" w:type="dxa"/>
          <w:trHeight w:val="20"/>
        </w:trPr>
        <w:tc>
          <w:tcPr>
            <w:tcW w:w="1256" w:type="dxa"/>
            <w:tcBorders>
              <w:bottom w:val="single" w:sz="4" w:space="0" w:color="auto"/>
            </w:tcBorders>
            <w:noWrap/>
            <w:vAlign w:val="bottom"/>
          </w:tcPr>
          <w:p w14:paraId="2065F20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C01BD07</w:t>
            </w:r>
          </w:p>
        </w:tc>
        <w:tc>
          <w:tcPr>
            <w:tcW w:w="9452" w:type="dxa"/>
            <w:tcBorders>
              <w:bottom w:val="single" w:sz="4" w:space="0" w:color="auto"/>
            </w:tcBorders>
            <w:noWrap/>
            <w:vAlign w:val="bottom"/>
          </w:tcPr>
          <w:p w14:paraId="02029CB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Dronedarón p.o. 400 mg</w:t>
            </w:r>
          </w:p>
        </w:tc>
      </w:tr>
      <w:tr w:rsidR="00657ACA" w:rsidRPr="0000591E" w14:paraId="5BAFE41D" w14:textId="77777777" w:rsidTr="003F7925">
        <w:trPr>
          <w:gridAfter w:val="2"/>
          <w:wAfter w:w="154" w:type="dxa"/>
          <w:trHeight w:val="20"/>
        </w:trPr>
        <w:tc>
          <w:tcPr>
            <w:tcW w:w="1256" w:type="dxa"/>
            <w:tcBorders>
              <w:top w:val="single" w:sz="4" w:space="0" w:color="auto"/>
            </w:tcBorders>
            <w:noWrap/>
            <w:vAlign w:val="bottom"/>
          </w:tcPr>
          <w:p w14:paraId="27371B4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081DC89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Hradenú liečbu môže indikovať kardiológ hemodynamicky stabilným pacientom s nepermanentnou fibriláciou predsiení</w:t>
            </w:r>
            <w:r w:rsidRPr="0000591E">
              <w:rPr>
                <w:rFonts w:ascii="Arial" w:hAnsi="Arial" w:cs="Arial"/>
                <w:b/>
                <w:bCs/>
                <w:sz w:val="20"/>
                <w:szCs w:val="20"/>
              </w:rPr>
              <w:t xml:space="preserve">, </w:t>
            </w:r>
            <w:r w:rsidRPr="0000591E">
              <w:rPr>
                <w:rFonts w:ascii="Arial" w:hAnsi="Arial" w:cs="Arial"/>
                <w:sz w:val="20"/>
                <w:szCs w:val="20"/>
              </w:rPr>
              <w:t>u ktorých nebola dostatočne efektívna iná liečba, vrátane beta blokátorov, pri splnení týchto podmienok:</w:t>
            </w:r>
          </w:p>
          <w:p w14:paraId="79A5D864" w14:textId="77777777" w:rsidR="00657ACA" w:rsidRPr="0000591E" w:rsidRDefault="00657ACA">
            <w:pPr>
              <w:numPr>
                <w:ilvl w:val="0"/>
                <w:numId w:val="47"/>
              </w:numPr>
              <w:jc w:val="both"/>
              <w:rPr>
                <w:rFonts w:ascii="Arial" w:hAnsi="Arial" w:cs="Arial"/>
                <w:sz w:val="20"/>
                <w:szCs w:val="20"/>
              </w:rPr>
            </w:pPr>
            <w:r w:rsidRPr="0000591E">
              <w:rPr>
                <w:rFonts w:ascii="Arial" w:hAnsi="Arial" w:cs="Arial"/>
                <w:sz w:val="20"/>
                <w:szCs w:val="20"/>
              </w:rPr>
              <w:t>je prítomný aspoň jeden faktor zvýšeného KV rizika (hypertenzia, diabetes, ICHS, prekonaná NCMP/TIA),</w:t>
            </w:r>
          </w:p>
          <w:p w14:paraId="6A6B7EB8" w14:textId="77777777" w:rsidR="00657ACA" w:rsidRPr="0000591E" w:rsidRDefault="00657ACA">
            <w:pPr>
              <w:numPr>
                <w:ilvl w:val="0"/>
                <w:numId w:val="47"/>
              </w:numPr>
              <w:jc w:val="both"/>
              <w:rPr>
                <w:rFonts w:ascii="Arial" w:hAnsi="Arial" w:cs="Arial"/>
                <w:sz w:val="20"/>
                <w:szCs w:val="20"/>
              </w:rPr>
            </w:pPr>
            <w:r w:rsidRPr="0000591E">
              <w:rPr>
                <w:rFonts w:ascii="Arial" w:hAnsi="Arial" w:cs="Arial"/>
                <w:sz w:val="20"/>
                <w:szCs w:val="20"/>
              </w:rPr>
              <w:t>nie je prítomná chronická ťažká systolická dysfunkcia ĽK (EFĽK &lt; 35%),</w:t>
            </w:r>
          </w:p>
          <w:p w14:paraId="38E94591" w14:textId="77777777" w:rsidR="00657ACA" w:rsidRPr="0000591E" w:rsidRDefault="00657ACA">
            <w:pPr>
              <w:numPr>
                <w:ilvl w:val="0"/>
                <w:numId w:val="47"/>
              </w:numPr>
              <w:jc w:val="both"/>
              <w:rPr>
                <w:rFonts w:ascii="Arial" w:hAnsi="Arial" w:cs="Arial"/>
                <w:sz w:val="20"/>
                <w:szCs w:val="20"/>
              </w:rPr>
            </w:pPr>
            <w:r w:rsidRPr="0000591E">
              <w:rPr>
                <w:rFonts w:ascii="Arial" w:hAnsi="Arial" w:cs="Arial"/>
                <w:sz w:val="20"/>
                <w:szCs w:val="20"/>
              </w:rPr>
              <w:t>nebolo prítomné v posledných 3 mesiacoch závažné srdcové zlyhávanie na podklade ťažkej systolickej dysfunkcie (WHO III-IV).</w:t>
            </w:r>
          </w:p>
          <w:p w14:paraId="0B6BBCD9" w14:textId="77777777" w:rsidR="00657ACA" w:rsidRDefault="00657ACA" w:rsidP="008245D1">
            <w:pPr>
              <w:ind w:left="-44"/>
              <w:jc w:val="both"/>
            </w:pPr>
            <w:r w:rsidRPr="0000591E">
              <w:rPr>
                <w:rFonts w:ascii="Arial" w:hAnsi="Arial" w:cs="Arial"/>
                <w:sz w:val="20"/>
                <w:szCs w:val="20"/>
              </w:rPr>
              <w:t>Podmienkou hradenej liečby je dodržiavanie aktuálnych informácií pre sledovanie bezpečnostných rizík v zmysle platného súhrnu charakteristických vlastností lieku a ich zaznamenávanie do zdravotnej dokumentácie</w:t>
            </w:r>
            <w:r w:rsidRPr="0000591E">
              <w:t xml:space="preserve">. </w:t>
            </w:r>
          </w:p>
          <w:p w14:paraId="7839C7B8" w14:textId="1953E450" w:rsidR="00845EE0" w:rsidRPr="0000591E" w:rsidRDefault="00845EE0" w:rsidP="008245D1">
            <w:pPr>
              <w:ind w:left="-44"/>
              <w:jc w:val="both"/>
              <w:rPr>
                <w:rFonts w:ascii="Arial" w:hAnsi="Arial" w:cs="Arial"/>
                <w:b/>
                <w:bCs/>
                <w:sz w:val="20"/>
                <w:szCs w:val="20"/>
              </w:rPr>
            </w:pPr>
          </w:p>
        </w:tc>
      </w:tr>
      <w:tr w:rsidR="00657ACA" w:rsidRPr="0000591E" w14:paraId="40211925" w14:textId="77777777" w:rsidTr="003F7925">
        <w:trPr>
          <w:gridAfter w:val="2"/>
          <w:wAfter w:w="154" w:type="dxa"/>
          <w:trHeight w:val="20"/>
        </w:trPr>
        <w:tc>
          <w:tcPr>
            <w:tcW w:w="1256" w:type="dxa"/>
            <w:tcBorders>
              <w:bottom w:val="single" w:sz="4" w:space="0" w:color="auto"/>
            </w:tcBorders>
            <w:noWrap/>
            <w:vAlign w:val="bottom"/>
          </w:tcPr>
          <w:p w14:paraId="2AC74121" w14:textId="530D379E" w:rsidR="00657ACA" w:rsidRPr="0000591E" w:rsidRDefault="00657ACA" w:rsidP="00657ACA">
            <w:pPr>
              <w:jc w:val="both"/>
              <w:rPr>
                <w:rFonts w:ascii="Arial" w:hAnsi="Arial" w:cs="Arial"/>
                <w:b/>
                <w:bCs/>
                <w:sz w:val="20"/>
                <w:szCs w:val="20"/>
              </w:rPr>
            </w:pPr>
            <w:r w:rsidRPr="000D16CA">
              <w:rPr>
                <w:rFonts w:ascii="Arial" w:hAnsi="Arial" w:cs="Arial"/>
                <w:b/>
                <w:bCs/>
                <w:sz w:val="20"/>
                <w:szCs w:val="20"/>
              </w:rPr>
              <w:t>C01BG11</w:t>
            </w:r>
          </w:p>
        </w:tc>
        <w:tc>
          <w:tcPr>
            <w:tcW w:w="9452" w:type="dxa"/>
            <w:tcBorders>
              <w:bottom w:val="single" w:sz="4" w:space="0" w:color="auto"/>
            </w:tcBorders>
            <w:noWrap/>
            <w:vAlign w:val="bottom"/>
          </w:tcPr>
          <w:p w14:paraId="391A46F6" w14:textId="4034979A" w:rsidR="00657ACA" w:rsidRPr="0000591E" w:rsidRDefault="00657ACA" w:rsidP="00657ACA">
            <w:pPr>
              <w:jc w:val="both"/>
              <w:rPr>
                <w:rFonts w:ascii="Arial" w:hAnsi="Arial" w:cs="Arial"/>
                <w:sz w:val="20"/>
                <w:szCs w:val="20"/>
              </w:rPr>
            </w:pPr>
            <w:r w:rsidRPr="000D16CA">
              <w:rPr>
                <w:rFonts w:ascii="Arial" w:hAnsi="Arial" w:cs="Arial"/>
                <w:b/>
                <w:bCs/>
                <w:sz w:val="20"/>
                <w:szCs w:val="20"/>
              </w:rPr>
              <w:t>Vernakalant parent. 500 mg</w:t>
            </w:r>
          </w:p>
        </w:tc>
      </w:tr>
      <w:tr w:rsidR="00657ACA" w:rsidRPr="0000591E" w14:paraId="261840E4" w14:textId="77777777" w:rsidTr="003F7925">
        <w:trPr>
          <w:gridAfter w:val="2"/>
          <w:wAfter w:w="154" w:type="dxa"/>
          <w:trHeight w:val="20"/>
        </w:trPr>
        <w:tc>
          <w:tcPr>
            <w:tcW w:w="1256" w:type="dxa"/>
            <w:tcBorders>
              <w:top w:val="single" w:sz="4" w:space="0" w:color="auto"/>
            </w:tcBorders>
            <w:noWrap/>
            <w:vAlign w:val="bottom"/>
          </w:tcPr>
          <w:p w14:paraId="42BFF797"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6691614B" w14:textId="77777777" w:rsidR="00657ACA" w:rsidRPr="000D16CA" w:rsidRDefault="00657ACA" w:rsidP="00657ACA">
            <w:pPr>
              <w:jc w:val="both"/>
              <w:rPr>
                <w:rFonts w:ascii="Arial" w:hAnsi="Arial" w:cs="Arial"/>
                <w:sz w:val="20"/>
                <w:szCs w:val="20"/>
              </w:rPr>
            </w:pPr>
            <w:r w:rsidRPr="000D16CA">
              <w:rPr>
                <w:rFonts w:ascii="Arial" w:hAnsi="Arial" w:cs="Arial"/>
                <w:sz w:val="20"/>
                <w:szCs w:val="20"/>
              </w:rPr>
              <w:t>Hradená liečba sa môže indikovať na rýchlu konverziu nedávneho nástupu atriálnej fibrilácie na sínusový rytmus u dospelých:</w:t>
            </w:r>
          </w:p>
          <w:p w14:paraId="724E71FB" w14:textId="77777777" w:rsidR="00657ACA" w:rsidRPr="000D16CA" w:rsidRDefault="00657ACA" w:rsidP="00657ACA">
            <w:pPr>
              <w:jc w:val="both"/>
              <w:rPr>
                <w:rFonts w:ascii="Arial" w:hAnsi="Arial" w:cs="Arial"/>
                <w:sz w:val="20"/>
                <w:szCs w:val="20"/>
              </w:rPr>
            </w:pPr>
            <w:r w:rsidRPr="000D16CA">
              <w:rPr>
                <w:rFonts w:ascii="Arial" w:hAnsi="Arial" w:cs="Arial"/>
                <w:sz w:val="20"/>
                <w:szCs w:val="20"/>
              </w:rPr>
              <w:t>- neoperovaných pacientov: trvanie atriálnej fibrilácie ≤ 7 dní,</w:t>
            </w:r>
          </w:p>
          <w:p w14:paraId="46778E10" w14:textId="77777777" w:rsidR="00657ACA" w:rsidRPr="000D16CA" w:rsidRDefault="00657ACA" w:rsidP="00657ACA">
            <w:pPr>
              <w:jc w:val="both"/>
              <w:rPr>
                <w:rFonts w:ascii="Arial" w:hAnsi="Arial" w:cs="Arial"/>
                <w:sz w:val="20"/>
                <w:szCs w:val="20"/>
              </w:rPr>
            </w:pPr>
            <w:r w:rsidRPr="000D16CA">
              <w:rPr>
                <w:rFonts w:ascii="Arial" w:hAnsi="Arial" w:cs="Arial"/>
                <w:sz w:val="20"/>
                <w:szCs w:val="20"/>
              </w:rPr>
              <w:t xml:space="preserve">- pacientov po chirurgickom zákroku na srdci: trvanie atriálnej fibrilácie ≤ 3 dni.   </w:t>
            </w:r>
          </w:p>
          <w:p w14:paraId="5957467F" w14:textId="77777777" w:rsidR="00657ACA" w:rsidRDefault="00657ACA" w:rsidP="00657ACA">
            <w:pPr>
              <w:jc w:val="both"/>
              <w:rPr>
                <w:rFonts w:ascii="Arial" w:hAnsi="Arial" w:cs="Arial"/>
                <w:sz w:val="20"/>
                <w:szCs w:val="20"/>
              </w:rPr>
            </w:pPr>
            <w:r w:rsidRPr="000D16CA">
              <w:rPr>
                <w:rFonts w:ascii="Arial" w:hAnsi="Arial" w:cs="Arial"/>
                <w:sz w:val="20"/>
                <w:szCs w:val="20"/>
              </w:rPr>
              <w:t>Hradená liečba sa môže indikovať a podávať v Národnom ústave srdcových a cievnych chorôb, Bratislava, v Stredoslovenskom ústave srdcových a cievnych chorôb, Banská Bystrica a vo Východoslovenskom ústave srdcových chorôb, Košice.</w:t>
            </w:r>
          </w:p>
          <w:p w14:paraId="598A34CB" w14:textId="194A7AD7" w:rsidR="00657ACA" w:rsidRPr="0000591E" w:rsidRDefault="00657ACA" w:rsidP="00657ACA">
            <w:pPr>
              <w:jc w:val="both"/>
              <w:rPr>
                <w:rFonts w:ascii="Arial" w:hAnsi="Arial" w:cs="Arial"/>
                <w:sz w:val="20"/>
                <w:szCs w:val="20"/>
              </w:rPr>
            </w:pPr>
          </w:p>
        </w:tc>
      </w:tr>
      <w:tr w:rsidR="00657ACA" w:rsidRPr="0000591E" w14:paraId="084ECDEC" w14:textId="77777777" w:rsidTr="003F7925">
        <w:trPr>
          <w:gridAfter w:val="2"/>
          <w:wAfter w:w="154" w:type="dxa"/>
          <w:trHeight w:val="20"/>
        </w:trPr>
        <w:tc>
          <w:tcPr>
            <w:tcW w:w="1256" w:type="dxa"/>
            <w:tcBorders>
              <w:bottom w:val="single" w:sz="4" w:space="0" w:color="auto"/>
            </w:tcBorders>
            <w:noWrap/>
            <w:vAlign w:val="bottom"/>
          </w:tcPr>
          <w:p w14:paraId="2902B6B5" w14:textId="77777777" w:rsidR="00657ACA" w:rsidRPr="0000591E" w:rsidRDefault="00657ACA" w:rsidP="00657ACA">
            <w:pPr>
              <w:pStyle w:val="Nadpis2"/>
              <w:jc w:val="both"/>
            </w:pPr>
            <w:r>
              <w:t>C01DX22</w:t>
            </w:r>
          </w:p>
        </w:tc>
        <w:tc>
          <w:tcPr>
            <w:tcW w:w="9452" w:type="dxa"/>
            <w:tcBorders>
              <w:bottom w:val="single" w:sz="4" w:space="0" w:color="auto"/>
            </w:tcBorders>
            <w:noWrap/>
            <w:vAlign w:val="bottom"/>
          </w:tcPr>
          <w:p w14:paraId="6828163E" w14:textId="77777777" w:rsidR="00657ACA" w:rsidRDefault="00657ACA" w:rsidP="00657ACA">
            <w:pPr>
              <w:jc w:val="both"/>
              <w:rPr>
                <w:rFonts w:ascii="Arial" w:hAnsi="Arial" w:cs="Arial"/>
                <w:b/>
                <w:bCs/>
                <w:sz w:val="20"/>
                <w:szCs w:val="20"/>
              </w:rPr>
            </w:pPr>
            <w:r>
              <w:rPr>
                <w:rFonts w:ascii="Arial" w:hAnsi="Arial" w:cs="Arial"/>
                <w:b/>
                <w:bCs/>
                <w:sz w:val="20"/>
                <w:szCs w:val="20"/>
              </w:rPr>
              <w:t>Vericiguat p.o. 2,5 mg</w:t>
            </w:r>
          </w:p>
          <w:p w14:paraId="64EA3637" w14:textId="77777777" w:rsidR="00657ACA" w:rsidRDefault="00657ACA" w:rsidP="00657ACA">
            <w:pPr>
              <w:jc w:val="both"/>
              <w:rPr>
                <w:rFonts w:ascii="Arial" w:hAnsi="Arial" w:cs="Arial"/>
                <w:b/>
                <w:bCs/>
                <w:sz w:val="20"/>
                <w:szCs w:val="20"/>
              </w:rPr>
            </w:pPr>
            <w:r>
              <w:rPr>
                <w:rFonts w:ascii="Arial" w:hAnsi="Arial" w:cs="Arial"/>
                <w:b/>
                <w:bCs/>
                <w:sz w:val="20"/>
                <w:szCs w:val="20"/>
              </w:rPr>
              <w:t>Vericiguat p.o. 5 mg</w:t>
            </w:r>
          </w:p>
          <w:p w14:paraId="082ED93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Vericiguat p.o. 10 mg</w:t>
            </w:r>
          </w:p>
        </w:tc>
      </w:tr>
      <w:tr w:rsidR="00657ACA" w:rsidRPr="0000591E" w14:paraId="2167DC43" w14:textId="77777777" w:rsidTr="003F7925">
        <w:trPr>
          <w:gridAfter w:val="2"/>
          <w:wAfter w:w="154" w:type="dxa"/>
          <w:trHeight w:val="20"/>
        </w:trPr>
        <w:tc>
          <w:tcPr>
            <w:tcW w:w="1256" w:type="dxa"/>
            <w:noWrap/>
            <w:vAlign w:val="bottom"/>
          </w:tcPr>
          <w:p w14:paraId="523E9526" w14:textId="77777777" w:rsidR="00657ACA" w:rsidRPr="0000591E" w:rsidRDefault="00657ACA" w:rsidP="00657ACA">
            <w:pPr>
              <w:pStyle w:val="Nadpis2"/>
              <w:jc w:val="both"/>
            </w:pPr>
          </w:p>
        </w:tc>
        <w:tc>
          <w:tcPr>
            <w:tcW w:w="9452" w:type="dxa"/>
            <w:noWrap/>
            <w:vAlign w:val="bottom"/>
          </w:tcPr>
          <w:p w14:paraId="45ECB868" w14:textId="77777777" w:rsidR="00657ACA" w:rsidRDefault="00657ACA" w:rsidP="00657ACA">
            <w:pPr>
              <w:jc w:val="both"/>
              <w:rPr>
                <w:rFonts w:ascii="Arial" w:hAnsi="Arial" w:cs="Arial"/>
                <w:sz w:val="20"/>
                <w:szCs w:val="20"/>
              </w:rPr>
            </w:pPr>
            <w:r w:rsidRPr="00402FD4">
              <w:rPr>
                <w:rFonts w:ascii="Arial" w:hAnsi="Arial" w:cs="Arial"/>
                <w:sz w:val="20"/>
                <w:szCs w:val="20"/>
              </w:rPr>
              <w:t>Hradená liečba sa môže indikovať u dospelých pacientov so symptomatickým chronickým srdcovým zlyhávaním so zníženou ejekčnou frakciou ľavej komory nižšou ako 45%, ktorí sú stabilizovaní po nedávnej dekompenzačnej udalosti vyžadujúcej hospitalizáciu pre srdcové zlyhávanie v predchádzajúcich 6 mesiacoch alebo ambulantné používanie i.v. diuretík na srdcové zlyhávanie v predchádzajúcich 3 mesiacoch.</w:t>
            </w:r>
          </w:p>
          <w:p w14:paraId="256B5350" w14:textId="77777777" w:rsidR="00657ACA" w:rsidRPr="00402FD4" w:rsidRDefault="00657ACA" w:rsidP="00657ACA">
            <w:pPr>
              <w:jc w:val="both"/>
              <w:rPr>
                <w:rFonts w:ascii="Arial" w:hAnsi="Arial" w:cs="Arial"/>
                <w:b/>
                <w:bCs/>
                <w:sz w:val="20"/>
                <w:szCs w:val="20"/>
              </w:rPr>
            </w:pPr>
          </w:p>
        </w:tc>
      </w:tr>
      <w:tr w:rsidR="00657ACA" w:rsidRPr="0000591E" w14:paraId="75A8CC9B" w14:textId="77777777" w:rsidTr="003F7925">
        <w:trPr>
          <w:gridAfter w:val="2"/>
          <w:wAfter w:w="154" w:type="dxa"/>
          <w:trHeight w:val="20"/>
        </w:trPr>
        <w:tc>
          <w:tcPr>
            <w:tcW w:w="1256" w:type="dxa"/>
            <w:tcBorders>
              <w:bottom w:val="single" w:sz="4" w:space="0" w:color="auto"/>
            </w:tcBorders>
            <w:noWrap/>
            <w:vAlign w:val="bottom"/>
          </w:tcPr>
          <w:p w14:paraId="2879B2A9" w14:textId="77777777" w:rsidR="00657ACA" w:rsidRPr="0000591E" w:rsidRDefault="00657ACA" w:rsidP="00657ACA">
            <w:pPr>
              <w:pStyle w:val="Nadpis2"/>
              <w:jc w:val="both"/>
            </w:pPr>
            <w:r w:rsidRPr="0000591E">
              <w:t>C01EA01</w:t>
            </w:r>
          </w:p>
        </w:tc>
        <w:tc>
          <w:tcPr>
            <w:tcW w:w="9452" w:type="dxa"/>
            <w:tcBorders>
              <w:bottom w:val="single" w:sz="4" w:space="0" w:color="auto"/>
            </w:tcBorders>
            <w:noWrap/>
            <w:vAlign w:val="bottom"/>
          </w:tcPr>
          <w:p w14:paraId="5FC7B956" w14:textId="77777777" w:rsidR="00657ACA" w:rsidRPr="00F13693" w:rsidRDefault="00657ACA" w:rsidP="00657ACA">
            <w:pPr>
              <w:jc w:val="both"/>
              <w:rPr>
                <w:rStyle w:val="ui-provider"/>
                <w:rFonts w:ascii="Arial" w:hAnsi="Arial" w:cs="Arial"/>
                <w:sz w:val="20"/>
                <w:szCs w:val="20"/>
              </w:rPr>
            </w:pPr>
            <w:r w:rsidRPr="00F13693">
              <w:rPr>
                <w:rFonts w:ascii="Arial" w:hAnsi="Arial" w:cs="Arial"/>
                <w:b/>
                <w:bCs/>
                <w:sz w:val="20"/>
                <w:szCs w:val="20"/>
              </w:rPr>
              <w:t>Alprostadil parent. 20</w:t>
            </w:r>
            <w:r w:rsidRPr="00F13693">
              <w:rPr>
                <w:rStyle w:val="Nadpis1Char"/>
                <w:rFonts w:ascii="Arial" w:hAnsi="Arial" w:cs="Arial"/>
                <w:sz w:val="20"/>
                <w:szCs w:val="20"/>
              </w:rPr>
              <w:t xml:space="preserve"> </w:t>
            </w:r>
            <w:r w:rsidRPr="00F13693">
              <w:rPr>
                <w:rStyle w:val="ui-provider"/>
                <w:rFonts w:ascii="Arial" w:hAnsi="Arial" w:cs="Arial"/>
                <w:sz w:val="20"/>
                <w:szCs w:val="20"/>
              </w:rPr>
              <w:t>µg</w:t>
            </w:r>
          </w:p>
          <w:p w14:paraId="0C1DFE13" w14:textId="77777777" w:rsidR="00657ACA" w:rsidRPr="00F13693" w:rsidRDefault="00657ACA" w:rsidP="00657ACA">
            <w:pPr>
              <w:jc w:val="both"/>
              <w:rPr>
                <w:rFonts w:ascii="Arial" w:hAnsi="Arial" w:cs="Arial"/>
                <w:sz w:val="20"/>
                <w:szCs w:val="20"/>
              </w:rPr>
            </w:pPr>
            <w:r w:rsidRPr="00F13693">
              <w:rPr>
                <w:rFonts w:ascii="Arial" w:hAnsi="Arial" w:cs="Arial"/>
                <w:b/>
                <w:bCs/>
                <w:sz w:val="20"/>
                <w:szCs w:val="20"/>
              </w:rPr>
              <w:t>Alprostadil parent. 100</w:t>
            </w:r>
            <w:r w:rsidRPr="00F13693">
              <w:rPr>
                <w:rStyle w:val="Nadpis1Char"/>
                <w:rFonts w:ascii="Arial" w:hAnsi="Arial" w:cs="Arial"/>
                <w:sz w:val="20"/>
                <w:szCs w:val="20"/>
              </w:rPr>
              <w:t xml:space="preserve"> </w:t>
            </w:r>
            <w:r w:rsidRPr="00F13693">
              <w:rPr>
                <w:rStyle w:val="ui-provider"/>
                <w:rFonts w:ascii="Arial" w:hAnsi="Arial" w:cs="Arial"/>
                <w:sz w:val="20"/>
                <w:szCs w:val="20"/>
              </w:rPr>
              <w:t>µg</w:t>
            </w:r>
          </w:p>
        </w:tc>
      </w:tr>
      <w:tr w:rsidR="00657ACA" w:rsidRPr="0000591E" w14:paraId="2052B95F" w14:textId="77777777" w:rsidTr="003F7925">
        <w:trPr>
          <w:gridAfter w:val="2"/>
          <w:wAfter w:w="154" w:type="dxa"/>
          <w:trHeight w:val="675"/>
        </w:trPr>
        <w:tc>
          <w:tcPr>
            <w:tcW w:w="1256" w:type="dxa"/>
            <w:tcBorders>
              <w:top w:val="single" w:sz="4" w:space="0" w:color="auto"/>
            </w:tcBorders>
            <w:noWrap/>
            <w:vAlign w:val="bottom"/>
          </w:tcPr>
          <w:p w14:paraId="67BE4ED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AE47E8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chronických uzáveroch tepien v štádiu III a IV a pri dokumentovanej kontraindikácii chirurgického revaskularizačného výkonu. </w:t>
            </w:r>
          </w:p>
          <w:p w14:paraId="7AD6DFC0" w14:textId="77777777" w:rsidR="00657ACA" w:rsidRPr="0000591E" w:rsidRDefault="00657ACA" w:rsidP="00657ACA">
            <w:pPr>
              <w:jc w:val="both"/>
              <w:rPr>
                <w:rFonts w:ascii="Arial" w:hAnsi="Arial" w:cs="Arial"/>
                <w:sz w:val="20"/>
                <w:szCs w:val="20"/>
              </w:rPr>
            </w:pPr>
          </w:p>
        </w:tc>
      </w:tr>
      <w:tr w:rsidR="00657ACA" w:rsidRPr="0000591E" w14:paraId="25B01B58" w14:textId="77777777" w:rsidTr="003F7925">
        <w:trPr>
          <w:gridAfter w:val="2"/>
          <w:wAfter w:w="154" w:type="dxa"/>
          <w:trHeight w:val="20"/>
        </w:trPr>
        <w:tc>
          <w:tcPr>
            <w:tcW w:w="1256" w:type="dxa"/>
            <w:tcBorders>
              <w:bottom w:val="single" w:sz="4" w:space="0" w:color="auto"/>
            </w:tcBorders>
            <w:noWrap/>
            <w:vAlign w:val="center"/>
          </w:tcPr>
          <w:p w14:paraId="6129458B" w14:textId="77777777" w:rsidR="008C12D0" w:rsidRDefault="008C12D0" w:rsidP="00657ACA">
            <w:pPr>
              <w:rPr>
                <w:rFonts w:ascii="Arial" w:hAnsi="Arial" w:cs="Arial"/>
                <w:b/>
                <w:bCs/>
                <w:sz w:val="20"/>
                <w:szCs w:val="20"/>
              </w:rPr>
            </w:pPr>
          </w:p>
          <w:p w14:paraId="79788D4C" w14:textId="78D36727" w:rsidR="00657ACA" w:rsidRPr="0000591E" w:rsidRDefault="00657ACA" w:rsidP="00657ACA">
            <w:pPr>
              <w:rPr>
                <w:rFonts w:ascii="Arial" w:hAnsi="Arial" w:cs="Arial"/>
                <w:b/>
                <w:bCs/>
                <w:sz w:val="20"/>
                <w:szCs w:val="20"/>
              </w:rPr>
            </w:pPr>
            <w:r w:rsidRPr="0000591E">
              <w:rPr>
                <w:rFonts w:ascii="Arial" w:hAnsi="Arial" w:cs="Arial"/>
                <w:b/>
                <w:bCs/>
                <w:sz w:val="20"/>
                <w:szCs w:val="20"/>
              </w:rPr>
              <w:t>C01EB17</w:t>
            </w:r>
          </w:p>
        </w:tc>
        <w:tc>
          <w:tcPr>
            <w:tcW w:w="9452" w:type="dxa"/>
            <w:tcBorders>
              <w:bottom w:val="single" w:sz="4" w:space="0" w:color="auto"/>
            </w:tcBorders>
          </w:tcPr>
          <w:p w14:paraId="1AE0B2AA" w14:textId="57DE2F83" w:rsidR="00657ACA" w:rsidRPr="001D55AC" w:rsidRDefault="00657ACA" w:rsidP="00657ACA">
            <w:pPr>
              <w:autoSpaceDE w:val="0"/>
              <w:autoSpaceDN w:val="0"/>
              <w:adjustRightInd w:val="0"/>
              <w:jc w:val="both"/>
              <w:rPr>
                <w:rFonts w:ascii="Arial" w:hAnsi="Arial" w:cs="Arial"/>
                <w:b/>
                <w:bCs/>
                <w:sz w:val="20"/>
                <w:szCs w:val="20"/>
              </w:rPr>
            </w:pPr>
            <w:r w:rsidRPr="001D55AC">
              <w:rPr>
                <w:rFonts w:ascii="Arial" w:hAnsi="Arial" w:cs="Arial"/>
                <w:b/>
                <w:bCs/>
                <w:sz w:val="20"/>
                <w:szCs w:val="20"/>
              </w:rPr>
              <w:t>Ivabradín p.o. 5 mg</w:t>
            </w:r>
          </w:p>
          <w:p w14:paraId="20D1A4E8" w14:textId="3932E1B9" w:rsidR="00657ACA" w:rsidRPr="0000591E" w:rsidRDefault="00657ACA" w:rsidP="00657ACA">
            <w:pPr>
              <w:autoSpaceDE w:val="0"/>
              <w:autoSpaceDN w:val="0"/>
              <w:adjustRightInd w:val="0"/>
              <w:jc w:val="both"/>
              <w:rPr>
                <w:rFonts w:ascii="Arial" w:hAnsi="Arial" w:cs="Arial"/>
                <w:b/>
                <w:bCs/>
                <w:sz w:val="20"/>
                <w:szCs w:val="20"/>
              </w:rPr>
            </w:pPr>
            <w:r w:rsidRPr="001D55AC">
              <w:rPr>
                <w:rFonts w:ascii="Arial" w:hAnsi="Arial" w:cs="Arial"/>
                <w:b/>
                <w:bCs/>
                <w:sz w:val="20"/>
                <w:szCs w:val="20"/>
              </w:rPr>
              <w:t>Ivabradín p.o. 7,5 mg</w:t>
            </w:r>
          </w:p>
        </w:tc>
      </w:tr>
      <w:tr w:rsidR="00657ACA" w:rsidRPr="0000591E" w14:paraId="446E5B23" w14:textId="77777777" w:rsidTr="008245D1">
        <w:trPr>
          <w:gridAfter w:val="2"/>
          <w:wAfter w:w="154" w:type="dxa"/>
          <w:trHeight w:val="20"/>
        </w:trPr>
        <w:tc>
          <w:tcPr>
            <w:tcW w:w="1256" w:type="dxa"/>
            <w:tcBorders>
              <w:top w:val="single" w:sz="4" w:space="0" w:color="auto"/>
            </w:tcBorders>
            <w:noWrap/>
            <w:vAlign w:val="center"/>
          </w:tcPr>
          <w:p w14:paraId="70CDE063"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tcPr>
          <w:p w14:paraId="18482C06" w14:textId="77777777" w:rsidR="00657ACA" w:rsidRPr="001D55AC" w:rsidRDefault="00657ACA" w:rsidP="00657ACA">
            <w:pPr>
              <w:autoSpaceDE w:val="0"/>
              <w:autoSpaceDN w:val="0"/>
              <w:adjustRightInd w:val="0"/>
              <w:jc w:val="both"/>
              <w:rPr>
                <w:rFonts w:ascii="Arial" w:hAnsi="Arial" w:cs="Arial"/>
                <w:bCs/>
                <w:sz w:val="20"/>
                <w:szCs w:val="20"/>
              </w:rPr>
            </w:pPr>
            <w:r w:rsidRPr="001D55AC">
              <w:rPr>
                <w:rFonts w:ascii="Arial" w:hAnsi="Arial" w:cs="Arial"/>
                <w:bCs/>
                <w:sz w:val="20"/>
                <w:szCs w:val="20"/>
              </w:rPr>
              <w:t>Hradená liečba sa môže indikovať pri chronickej stabilnej angine pectoris na podklade verifikovanej koronárnej choroby srdca u pacientov so sínusovým rytmom s pokojovou pulzovou frekvenciou meranou po ležiačky 70/min. a viac dokumentovanou EKG po predchádzajúcom päťminútovom pokoji, u ktorých je kontraindikované alebo nie je tolerované podávanie betablokátorov v terapeutickej dávke alebo kalciové blokátory non-dihydropyridinového typu nemajú terapeutický efekt alebo klinický stav zhoršujú (hypotenzia, srdcové zlyhanie, A-V blok, pretrvávanie srdcovej frekvencie 70/min a viac).</w:t>
            </w:r>
          </w:p>
          <w:p w14:paraId="23CD9B6D" w14:textId="77777777" w:rsidR="00657ACA" w:rsidRPr="001D55AC" w:rsidRDefault="00657ACA" w:rsidP="00657ACA">
            <w:pPr>
              <w:autoSpaceDE w:val="0"/>
              <w:autoSpaceDN w:val="0"/>
              <w:adjustRightInd w:val="0"/>
              <w:jc w:val="both"/>
              <w:rPr>
                <w:rFonts w:ascii="Arial" w:hAnsi="Arial" w:cs="Arial"/>
                <w:bCs/>
                <w:sz w:val="20"/>
                <w:szCs w:val="20"/>
              </w:rPr>
            </w:pPr>
            <w:r w:rsidRPr="001D55AC">
              <w:rPr>
                <w:rFonts w:ascii="Arial" w:hAnsi="Arial" w:cs="Arial"/>
                <w:bCs/>
                <w:sz w:val="20"/>
                <w:szCs w:val="20"/>
              </w:rPr>
              <w:t>Podmienkou hradenej liečby je preukázanie neprítomnosti iných chorobných stavov zapríčiňujúcich tachykardiu, napríklad hypertyreóza, anémia, A-V fistuly a iné.</w:t>
            </w:r>
          </w:p>
          <w:p w14:paraId="21D075BF" w14:textId="77777777" w:rsidR="00657ACA" w:rsidRPr="001D55AC" w:rsidRDefault="00657ACA" w:rsidP="00657ACA">
            <w:pPr>
              <w:autoSpaceDE w:val="0"/>
              <w:autoSpaceDN w:val="0"/>
              <w:adjustRightInd w:val="0"/>
              <w:jc w:val="both"/>
              <w:rPr>
                <w:rFonts w:ascii="Arial" w:hAnsi="Arial" w:cs="Arial"/>
                <w:bCs/>
                <w:sz w:val="20"/>
                <w:szCs w:val="20"/>
              </w:rPr>
            </w:pPr>
          </w:p>
          <w:p w14:paraId="3B65244A" w14:textId="77777777" w:rsidR="00657ACA" w:rsidRDefault="00657ACA" w:rsidP="00657ACA">
            <w:pPr>
              <w:autoSpaceDE w:val="0"/>
              <w:autoSpaceDN w:val="0"/>
              <w:adjustRightInd w:val="0"/>
              <w:jc w:val="both"/>
              <w:rPr>
                <w:rFonts w:ascii="Arial" w:hAnsi="Arial" w:cs="Arial"/>
                <w:bCs/>
                <w:sz w:val="20"/>
                <w:szCs w:val="20"/>
              </w:rPr>
            </w:pPr>
            <w:r w:rsidRPr="001D55AC">
              <w:rPr>
                <w:rFonts w:ascii="Arial" w:hAnsi="Arial" w:cs="Arial"/>
                <w:bCs/>
                <w:sz w:val="20"/>
                <w:szCs w:val="20"/>
              </w:rPr>
              <w:t>Chronické srdcové zlyhanie NYHA trieda II až IV so systolickou dysfunkciou (EF ≤ 35%), u pacientov so sínusovým rytmom, a pokojovou srdcovou frekvenciou ≥ 75 úderov za minútu, v kombinácii so štandardnou liečbou vrátane liečby betablokátormi, alebo ak liečba betablokátormi je kontraindikovaná alebo nie je tolerovaná.</w:t>
            </w:r>
          </w:p>
          <w:p w14:paraId="25262BE3" w14:textId="13082AF8" w:rsidR="00657ACA" w:rsidRPr="001D55AC" w:rsidRDefault="00657ACA" w:rsidP="00657ACA">
            <w:pPr>
              <w:autoSpaceDE w:val="0"/>
              <w:autoSpaceDN w:val="0"/>
              <w:adjustRightInd w:val="0"/>
              <w:jc w:val="both"/>
              <w:rPr>
                <w:rFonts w:ascii="Arial" w:hAnsi="Arial" w:cs="Arial"/>
                <w:bCs/>
                <w:sz w:val="20"/>
                <w:szCs w:val="20"/>
              </w:rPr>
            </w:pPr>
          </w:p>
        </w:tc>
      </w:tr>
      <w:tr w:rsidR="008245D1" w:rsidRPr="0000591E" w14:paraId="57390520" w14:textId="77777777" w:rsidTr="008245D1">
        <w:trPr>
          <w:gridAfter w:val="2"/>
          <w:wAfter w:w="154" w:type="dxa"/>
          <w:trHeight w:val="20"/>
        </w:trPr>
        <w:tc>
          <w:tcPr>
            <w:tcW w:w="1256" w:type="dxa"/>
            <w:tcBorders>
              <w:bottom w:val="single" w:sz="4" w:space="0" w:color="auto"/>
            </w:tcBorders>
            <w:noWrap/>
            <w:vAlign w:val="center"/>
          </w:tcPr>
          <w:p w14:paraId="3B9250D2" w14:textId="77777777" w:rsidR="008245D1" w:rsidRDefault="008245D1" w:rsidP="00657ACA">
            <w:pPr>
              <w:rPr>
                <w:rFonts w:ascii="Arial" w:hAnsi="Arial" w:cs="Arial"/>
                <w:b/>
                <w:bCs/>
                <w:sz w:val="20"/>
                <w:szCs w:val="20"/>
              </w:rPr>
            </w:pPr>
          </w:p>
          <w:p w14:paraId="0AA14E25" w14:textId="77777777" w:rsidR="008245D1" w:rsidRDefault="008245D1" w:rsidP="00657ACA">
            <w:pPr>
              <w:rPr>
                <w:rFonts w:ascii="Arial" w:hAnsi="Arial" w:cs="Arial"/>
                <w:b/>
                <w:bCs/>
                <w:sz w:val="20"/>
                <w:szCs w:val="20"/>
              </w:rPr>
            </w:pPr>
          </w:p>
          <w:p w14:paraId="47D64651" w14:textId="77777777" w:rsidR="008245D1" w:rsidRDefault="008245D1" w:rsidP="00657ACA">
            <w:pPr>
              <w:rPr>
                <w:rFonts w:ascii="Arial" w:hAnsi="Arial" w:cs="Arial"/>
                <w:b/>
                <w:bCs/>
                <w:sz w:val="20"/>
                <w:szCs w:val="20"/>
              </w:rPr>
            </w:pPr>
          </w:p>
          <w:p w14:paraId="402C4C09" w14:textId="693F98D0" w:rsidR="008245D1" w:rsidRPr="0000591E" w:rsidRDefault="008245D1" w:rsidP="00657ACA">
            <w:pPr>
              <w:rPr>
                <w:rFonts w:ascii="Arial" w:hAnsi="Arial" w:cs="Arial"/>
                <w:b/>
                <w:bCs/>
                <w:sz w:val="20"/>
                <w:szCs w:val="20"/>
              </w:rPr>
            </w:pPr>
            <w:r w:rsidRPr="008245D1">
              <w:rPr>
                <w:rFonts w:ascii="Arial" w:hAnsi="Arial" w:cs="Arial"/>
                <w:b/>
                <w:bCs/>
                <w:sz w:val="20"/>
                <w:szCs w:val="20"/>
              </w:rPr>
              <w:t>C01EB24</w:t>
            </w:r>
          </w:p>
        </w:tc>
        <w:tc>
          <w:tcPr>
            <w:tcW w:w="9452" w:type="dxa"/>
            <w:tcBorders>
              <w:bottom w:val="single" w:sz="4" w:space="0" w:color="auto"/>
            </w:tcBorders>
          </w:tcPr>
          <w:p w14:paraId="4CE411F8" w14:textId="77777777" w:rsidR="008245D1" w:rsidRPr="008245D1" w:rsidRDefault="008245D1" w:rsidP="008245D1">
            <w:pPr>
              <w:autoSpaceDE w:val="0"/>
              <w:autoSpaceDN w:val="0"/>
              <w:adjustRightInd w:val="0"/>
              <w:jc w:val="both"/>
              <w:rPr>
                <w:rFonts w:ascii="Arial" w:hAnsi="Arial" w:cs="Arial"/>
                <w:b/>
                <w:sz w:val="20"/>
                <w:szCs w:val="20"/>
              </w:rPr>
            </w:pPr>
            <w:r w:rsidRPr="008245D1">
              <w:rPr>
                <w:rFonts w:ascii="Arial" w:hAnsi="Arial" w:cs="Arial"/>
                <w:b/>
                <w:sz w:val="20"/>
                <w:szCs w:val="20"/>
              </w:rPr>
              <w:t>Mavakamten p.o. 2,5 mg</w:t>
            </w:r>
          </w:p>
          <w:p w14:paraId="6492440A" w14:textId="77777777" w:rsidR="008245D1" w:rsidRPr="008245D1" w:rsidRDefault="008245D1" w:rsidP="008245D1">
            <w:pPr>
              <w:autoSpaceDE w:val="0"/>
              <w:autoSpaceDN w:val="0"/>
              <w:adjustRightInd w:val="0"/>
              <w:jc w:val="both"/>
              <w:rPr>
                <w:rFonts w:ascii="Arial" w:hAnsi="Arial" w:cs="Arial"/>
                <w:b/>
                <w:sz w:val="20"/>
                <w:szCs w:val="20"/>
              </w:rPr>
            </w:pPr>
            <w:r w:rsidRPr="008245D1">
              <w:rPr>
                <w:rFonts w:ascii="Arial" w:hAnsi="Arial" w:cs="Arial"/>
                <w:b/>
                <w:sz w:val="20"/>
                <w:szCs w:val="20"/>
              </w:rPr>
              <w:t>Mavakamten p.o. 5 mg</w:t>
            </w:r>
          </w:p>
          <w:p w14:paraId="5A491184" w14:textId="77777777" w:rsidR="008245D1" w:rsidRPr="008245D1" w:rsidRDefault="008245D1" w:rsidP="008245D1">
            <w:pPr>
              <w:autoSpaceDE w:val="0"/>
              <w:autoSpaceDN w:val="0"/>
              <w:adjustRightInd w:val="0"/>
              <w:jc w:val="both"/>
              <w:rPr>
                <w:rFonts w:ascii="Arial" w:hAnsi="Arial" w:cs="Arial"/>
                <w:b/>
                <w:sz w:val="20"/>
                <w:szCs w:val="20"/>
              </w:rPr>
            </w:pPr>
            <w:r w:rsidRPr="008245D1">
              <w:rPr>
                <w:rFonts w:ascii="Arial" w:hAnsi="Arial" w:cs="Arial"/>
                <w:b/>
                <w:sz w:val="20"/>
                <w:szCs w:val="20"/>
              </w:rPr>
              <w:t>Mavakamten p.o. 10 mg</w:t>
            </w:r>
          </w:p>
          <w:p w14:paraId="7E6DD95F" w14:textId="4031E5A5" w:rsidR="008245D1" w:rsidRPr="001D55AC" w:rsidRDefault="008245D1" w:rsidP="008245D1">
            <w:pPr>
              <w:autoSpaceDE w:val="0"/>
              <w:autoSpaceDN w:val="0"/>
              <w:adjustRightInd w:val="0"/>
              <w:jc w:val="both"/>
              <w:rPr>
                <w:rFonts w:ascii="Arial" w:hAnsi="Arial" w:cs="Arial"/>
                <w:bCs/>
                <w:sz w:val="20"/>
                <w:szCs w:val="20"/>
              </w:rPr>
            </w:pPr>
            <w:r w:rsidRPr="008245D1">
              <w:rPr>
                <w:rFonts w:ascii="Arial" w:hAnsi="Arial" w:cs="Arial"/>
                <w:b/>
                <w:sz w:val="20"/>
                <w:szCs w:val="20"/>
              </w:rPr>
              <w:t>Mavakamten p.o. 15 mg</w:t>
            </w:r>
          </w:p>
        </w:tc>
      </w:tr>
      <w:tr w:rsidR="008245D1" w:rsidRPr="0000591E" w14:paraId="0B1AAE83" w14:textId="77777777" w:rsidTr="008245D1">
        <w:trPr>
          <w:gridAfter w:val="2"/>
          <w:wAfter w:w="154" w:type="dxa"/>
          <w:trHeight w:val="20"/>
        </w:trPr>
        <w:tc>
          <w:tcPr>
            <w:tcW w:w="1256" w:type="dxa"/>
            <w:tcBorders>
              <w:top w:val="single" w:sz="4" w:space="0" w:color="auto"/>
            </w:tcBorders>
            <w:noWrap/>
            <w:vAlign w:val="center"/>
          </w:tcPr>
          <w:p w14:paraId="12285401" w14:textId="77777777" w:rsidR="008245D1" w:rsidRPr="0000591E" w:rsidRDefault="008245D1" w:rsidP="00657ACA">
            <w:pPr>
              <w:rPr>
                <w:rFonts w:ascii="Arial" w:hAnsi="Arial" w:cs="Arial"/>
                <w:b/>
                <w:bCs/>
                <w:sz w:val="20"/>
                <w:szCs w:val="20"/>
              </w:rPr>
            </w:pPr>
          </w:p>
        </w:tc>
        <w:tc>
          <w:tcPr>
            <w:tcW w:w="9452" w:type="dxa"/>
            <w:tcBorders>
              <w:top w:val="single" w:sz="4" w:space="0" w:color="auto"/>
            </w:tcBorders>
          </w:tcPr>
          <w:p w14:paraId="339450B4" w14:textId="77777777" w:rsidR="008245D1" w:rsidRP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 xml:space="preserve">Hradená liečba sa môže indikovať ako pridaná terapia k liečbe beta-blokátormi alebo blokátormi kalciových kanálov u dospelých pacientov na liečbu symptomatickej obštrukčnej hypertrofickej kardiomyopatie (oHKM) triedy NYHA II-III (podľa Newyorskej kardiologickej asociácie), u ktorých predchádzajúca štandardná liečba nebola dostatočne účinná, alebo ako monoterapia u pacientov, u ktorých je liečba beta-blokátormi alebo blokátormi kalciových kanálov netolerovaná alebo kontraindikovaná. </w:t>
            </w:r>
          </w:p>
          <w:p w14:paraId="5BE8E1E1" w14:textId="77777777" w:rsidR="008245D1" w:rsidRPr="008245D1" w:rsidRDefault="008245D1" w:rsidP="008245D1">
            <w:pPr>
              <w:autoSpaceDE w:val="0"/>
              <w:autoSpaceDN w:val="0"/>
              <w:adjustRightInd w:val="0"/>
              <w:jc w:val="both"/>
              <w:rPr>
                <w:rFonts w:ascii="Arial" w:hAnsi="Arial" w:cs="Arial"/>
                <w:bCs/>
                <w:sz w:val="20"/>
                <w:szCs w:val="20"/>
              </w:rPr>
            </w:pPr>
          </w:p>
          <w:p w14:paraId="102E6270" w14:textId="77777777" w:rsidR="008245D1" w:rsidRP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Ďalšia liečba nie je hradenou liečbou u pacientov, u ktorých dôjde k zhoršeniu triedy NYHA po 4 – 6 mesiacoch pri maximálnej tolerovanej dávke.</w:t>
            </w:r>
          </w:p>
          <w:p w14:paraId="5E83132A" w14:textId="77777777" w:rsidR="008245D1" w:rsidRP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Hradená liečba sa môže indikovať na pracoviskách Národný ústav srdcových a cievnych chorôb, a.s, Bratislava, Stredoslovenský ústav srdcových a cievnych chorôb, a.s. Banská Bystrica, Východoslovenský ústav srdcových a cievnych chorôb, a.s. Košice, Kardiocentrum Nitra, s.r.o., Kardiologické oddelenie Univerzitnej nemocnice Martin, Kardiocentrum Fakultnej nemocnice s poliklinikou J. A. Reimana Prešov, Kardiocentrum Nemocnica AGEL Košice-Šaca, CINRE (Centrum intervenčnej neurorádiológie a endovaskulárnej liečby), Nemocnica Bory, Bratislava, Kardiocentrum TN, s.r.o. Fakultnej nemocnice Trenčín.</w:t>
            </w:r>
          </w:p>
          <w:p w14:paraId="770A72ED" w14:textId="77777777" w:rsid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Hradená liečba podlieha predchádzajúcemu súhlasu zdravotnej poisťovne.</w:t>
            </w:r>
          </w:p>
          <w:p w14:paraId="302B6050" w14:textId="6583201A" w:rsidR="00845EE0" w:rsidRPr="001D55AC" w:rsidRDefault="00845EE0" w:rsidP="008245D1">
            <w:pPr>
              <w:autoSpaceDE w:val="0"/>
              <w:autoSpaceDN w:val="0"/>
              <w:adjustRightInd w:val="0"/>
              <w:jc w:val="both"/>
              <w:rPr>
                <w:rFonts w:ascii="Arial" w:hAnsi="Arial" w:cs="Arial"/>
                <w:bCs/>
                <w:sz w:val="20"/>
                <w:szCs w:val="20"/>
              </w:rPr>
            </w:pPr>
          </w:p>
        </w:tc>
      </w:tr>
      <w:tr w:rsidR="00657ACA" w:rsidRPr="0000591E" w14:paraId="2ED89C66" w14:textId="77777777" w:rsidTr="008245D1">
        <w:trPr>
          <w:gridAfter w:val="2"/>
          <w:wAfter w:w="154" w:type="dxa"/>
          <w:trHeight w:val="20"/>
        </w:trPr>
        <w:tc>
          <w:tcPr>
            <w:tcW w:w="1256" w:type="dxa"/>
            <w:tcBorders>
              <w:bottom w:val="single" w:sz="4" w:space="0" w:color="auto"/>
            </w:tcBorders>
            <w:noWrap/>
            <w:vAlign w:val="bottom"/>
          </w:tcPr>
          <w:p w14:paraId="521DE4BA" w14:textId="42FF0B06" w:rsidR="00657ACA" w:rsidRPr="0000591E" w:rsidRDefault="00657ACA" w:rsidP="00657ACA">
            <w:pPr>
              <w:pStyle w:val="Nadpis6"/>
              <w:rPr>
                <w:color w:val="auto"/>
              </w:rPr>
            </w:pPr>
            <w:r w:rsidRPr="0000591E">
              <w:rPr>
                <w:color w:val="auto"/>
              </w:rPr>
              <w:lastRenderedPageBreak/>
              <w:t>C02KX01</w:t>
            </w:r>
          </w:p>
        </w:tc>
        <w:tc>
          <w:tcPr>
            <w:tcW w:w="9452" w:type="dxa"/>
            <w:tcBorders>
              <w:bottom w:val="single" w:sz="4" w:space="0" w:color="auto"/>
            </w:tcBorders>
            <w:vAlign w:val="bottom"/>
          </w:tcPr>
          <w:p w14:paraId="02776395" w14:textId="66C38FF4" w:rsidR="00657ACA" w:rsidRPr="00474C83" w:rsidRDefault="00657ACA" w:rsidP="00657ACA">
            <w:pPr>
              <w:jc w:val="both"/>
              <w:rPr>
                <w:rFonts w:ascii="Arial" w:hAnsi="Arial" w:cs="Arial"/>
                <w:b/>
                <w:bCs/>
                <w:sz w:val="20"/>
                <w:szCs w:val="20"/>
              </w:rPr>
            </w:pPr>
            <w:r w:rsidRPr="00474C83">
              <w:rPr>
                <w:rFonts w:ascii="Arial" w:hAnsi="Arial" w:cs="Arial"/>
                <w:b/>
                <w:bCs/>
                <w:sz w:val="20"/>
                <w:szCs w:val="20"/>
              </w:rPr>
              <w:t>Bosentan p.o. 62,5 mg</w:t>
            </w:r>
          </w:p>
          <w:p w14:paraId="5FDCA5FC" w14:textId="3933F9BC" w:rsidR="00657ACA" w:rsidRPr="0000591E" w:rsidRDefault="00657ACA" w:rsidP="00657ACA">
            <w:pPr>
              <w:jc w:val="both"/>
              <w:rPr>
                <w:rFonts w:ascii="Arial" w:hAnsi="Arial" w:cs="Arial"/>
                <w:b/>
                <w:bCs/>
                <w:sz w:val="20"/>
                <w:szCs w:val="20"/>
              </w:rPr>
            </w:pPr>
            <w:r w:rsidRPr="00474C83">
              <w:rPr>
                <w:rFonts w:ascii="Arial" w:hAnsi="Arial" w:cs="Arial"/>
                <w:b/>
                <w:bCs/>
                <w:sz w:val="20"/>
                <w:szCs w:val="20"/>
              </w:rPr>
              <w:t>Bosentan p.o. 125 mg</w:t>
            </w:r>
          </w:p>
        </w:tc>
      </w:tr>
      <w:tr w:rsidR="00657ACA" w:rsidRPr="0000591E" w14:paraId="63241D63" w14:textId="77777777" w:rsidTr="003F7925">
        <w:trPr>
          <w:gridAfter w:val="2"/>
          <w:wAfter w:w="154" w:type="dxa"/>
          <w:trHeight w:val="20"/>
        </w:trPr>
        <w:tc>
          <w:tcPr>
            <w:tcW w:w="1256" w:type="dxa"/>
            <w:tcBorders>
              <w:top w:val="single" w:sz="4" w:space="0" w:color="auto"/>
            </w:tcBorders>
            <w:noWrap/>
            <w:vAlign w:val="bottom"/>
          </w:tcPr>
          <w:p w14:paraId="1C84A906" w14:textId="77777777" w:rsidR="00657ACA" w:rsidRPr="0000591E" w:rsidRDefault="00657ACA" w:rsidP="00657ACA">
            <w:pPr>
              <w:pStyle w:val="Nadpis6"/>
              <w:rPr>
                <w:color w:val="auto"/>
              </w:rPr>
            </w:pPr>
          </w:p>
        </w:tc>
        <w:tc>
          <w:tcPr>
            <w:tcW w:w="9452" w:type="dxa"/>
            <w:tcBorders>
              <w:top w:val="single" w:sz="4" w:space="0" w:color="auto"/>
            </w:tcBorders>
            <w:vAlign w:val="bottom"/>
          </w:tcPr>
          <w:p w14:paraId="4119C2A0" w14:textId="77777777" w:rsidR="00657ACA" w:rsidRDefault="00657ACA" w:rsidP="00657ACA">
            <w:pPr>
              <w:jc w:val="both"/>
              <w:rPr>
                <w:rFonts w:ascii="Arial" w:hAnsi="Arial" w:cs="Arial"/>
                <w:bCs/>
                <w:sz w:val="20"/>
                <w:szCs w:val="20"/>
              </w:rPr>
            </w:pPr>
            <w:r w:rsidRPr="00474C83">
              <w:rPr>
                <w:rFonts w:ascii="Arial" w:hAnsi="Arial" w:cs="Arial"/>
                <w:bCs/>
                <w:sz w:val="20"/>
                <w:szCs w:val="20"/>
              </w:rPr>
              <w:t>Hradená liečba sa môže indikovať u pacientov s pľúcnou arteriálnou hypertenziou (PAH) v Národnom ústave srdcových a cievnych chorôb a. s., Bratislava, v Stredoslovenskom ústave srdcových a cievnych chorôb, a.s., Banská Bystrica a vo Východoslovenskom ústave srdcových chorôb, Košice.</w:t>
            </w:r>
          </w:p>
          <w:p w14:paraId="2855156F" w14:textId="0CBCC68D" w:rsidR="00657ACA" w:rsidRPr="00474C83" w:rsidRDefault="00657ACA" w:rsidP="00657ACA">
            <w:pPr>
              <w:jc w:val="both"/>
              <w:rPr>
                <w:rFonts w:ascii="Arial" w:hAnsi="Arial" w:cs="Arial"/>
                <w:bCs/>
                <w:sz w:val="20"/>
                <w:szCs w:val="20"/>
              </w:rPr>
            </w:pPr>
          </w:p>
        </w:tc>
      </w:tr>
      <w:tr w:rsidR="00657ACA" w:rsidRPr="0000591E" w14:paraId="746B51BA" w14:textId="77777777" w:rsidTr="003F7925">
        <w:trPr>
          <w:gridAfter w:val="2"/>
          <w:wAfter w:w="154" w:type="dxa"/>
          <w:trHeight w:val="20"/>
        </w:trPr>
        <w:tc>
          <w:tcPr>
            <w:tcW w:w="1256" w:type="dxa"/>
            <w:tcBorders>
              <w:bottom w:val="single" w:sz="4" w:space="0" w:color="auto"/>
            </w:tcBorders>
            <w:noWrap/>
            <w:vAlign w:val="bottom"/>
          </w:tcPr>
          <w:p w14:paraId="3B96D92F" w14:textId="77777777" w:rsidR="00657ACA" w:rsidRPr="0000591E" w:rsidRDefault="00657ACA" w:rsidP="00657ACA">
            <w:pPr>
              <w:jc w:val="both"/>
              <w:rPr>
                <w:rFonts w:ascii="Arial" w:hAnsi="Arial" w:cs="Arial"/>
                <w:b/>
                <w:bCs/>
                <w:sz w:val="20"/>
                <w:szCs w:val="20"/>
              </w:rPr>
            </w:pPr>
            <w:r w:rsidRPr="0000591E">
              <w:rPr>
                <w:rFonts w:ascii="Arial" w:hAnsi="Arial" w:cs="Arial"/>
                <w:b/>
                <w:sz w:val="20"/>
                <w:szCs w:val="20"/>
              </w:rPr>
              <w:t>C02KX02</w:t>
            </w:r>
          </w:p>
        </w:tc>
        <w:tc>
          <w:tcPr>
            <w:tcW w:w="9452" w:type="dxa"/>
            <w:tcBorders>
              <w:bottom w:val="single" w:sz="4" w:space="0" w:color="auto"/>
            </w:tcBorders>
            <w:noWrap/>
          </w:tcPr>
          <w:p w14:paraId="2516BD5D" w14:textId="77777777" w:rsidR="00657ACA" w:rsidRPr="00317946" w:rsidRDefault="00657ACA" w:rsidP="00657ACA">
            <w:pPr>
              <w:pStyle w:val="Zkladntext2"/>
              <w:rPr>
                <w:b/>
              </w:rPr>
            </w:pPr>
            <w:r w:rsidRPr="0000591E">
              <w:rPr>
                <w:b/>
              </w:rPr>
              <w:t>Ambrisentan p.o. 5 mg</w:t>
            </w:r>
          </w:p>
        </w:tc>
      </w:tr>
      <w:tr w:rsidR="00657ACA" w:rsidRPr="0000591E" w14:paraId="12EEBEEA" w14:textId="77777777" w:rsidTr="003F7925">
        <w:trPr>
          <w:gridAfter w:val="2"/>
          <w:wAfter w:w="154" w:type="dxa"/>
          <w:trHeight w:val="20"/>
        </w:trPr>
        <w:tc>
          <w:tcPr>
            <w:tcW w:w="1256" w:type="dxa"/>
            <w:noWrap/>
            <w:vAlign w:val="bottom"/>
          </w:tcPr>
          <w:p w14:paraId="542B4E92" w14:textId="77777777" w:rsidR="00657ACA" w:rsidRPr="0000591E" w:rsidRDefault="00657ACA" w:rsidP="00657ACA">
            <w:pPr>
              <w:jc w:val="both"/>
              <w:rPr>
                <w:rFonts w:ascii="Arial" w:hAnsi="Arial" w:cs="Arial"/>
                <w:b/>
                <w:bCs/>
                <w:sz w:val="20"/>
                <w:szCs w:val="20"/>
              </w:rPr>
            </w:pPr>
          </w:p>
        </w:tc>
        <w:tc>
          <w:tcPr>
            <w:tcW w:w="9452" w:type="dxa"/>
            <w:noWrap/>
          </w:tcPr>
          <w:p w14:paraId="1C721693" w14:textId="77777777" w:rsidR="00657ACA" w:rsidRPr="00205539" w:rsidRDefault="00657ACA" w:rsidP="00657ACA">
            <w:pPr>
              <w:jc w:val="both"/>
              <w:rPr>
                <w:rFonts w:ascii="Arial" w:hAnsi="Arial" w:cs="Arial"/>
                <w:sz w:val="20"/>
                <w:szCs w:val="20"/>
              </w:rPr>
            </w:pPr>
            <w:r w:rsidRPr="00205539">
              <w:rPr>
                <w:rFonts w:ascii="Arial" w:hAnsi="Arial" w:cs="Arial"/>
                <w:sz w:val="20"/>
                <w:szCs w:val="20"/>
              </w:rPr>
              <w:t>Hradená liečba sa môže indikovať u pacientov s pľúcnou artériovou hypertenziou (PAH)</w:t>
            </w:r>
          </w:p>
          <w:p w14:paraId="5FD8CF94" w14:textId="77777777" w:rsidR="00657ACA" w:rsidRPr="00205539" w:rsidRDefault="00657ACA" w:rsidP="00657ACA">
            <w:pPr>
              <w:jc w:val="both"/>
              <w:rPr>
                <w:rFonts w:ascii="Arial" w:hAnsi="Arial" w:cs="Arial"/>
                <w:sz w:val="20"/>
                <w:szCs w:val="20"/>
              </w:rPr>
            </w:pPr>
            <w:r w:rsidRPr="00205539">
              <w:rPr>
                <w:rFonts w:ascii="Arial" w:hAnsi="Arial" w:cs="Arial"/>
                <w:sz w:val="20"/>
                <w:szCs w:val="20"/>
              </w:rPr>
              <w:t>v Národnom ústave srdcových a cievnych chorôb a. s. Bratislava, v Stredoslovenskom ústave</w:t>
            </w:r>
          </w:p>
          <w:p w14:paraId="1BA05A3A" w14:textId="77777777" w:rsidR="00657ACA" w:rsidRPr="00205539" w:rsidRDefault="00657ACA" w:rsidP="00657ACA">
            <w:pPr>
              <w:jc w:val="both"/>
              <w:rPr>
                <w:rFonts w:ascii="Arial" w:hAnsi="Arial" w:cs="Arial"/>
                <w:sz w:val="20"/>
                <w:szCs w:val="20"/>
              </w:rPr>
            </w:pPr>
            <w:r w:rsidRPr="00205539">
              <w:rPr>
                <w:rFonts w:ascii="Arial" w:hAnsi="Arial" w:cs="Arial"/>
                <w:sz w:val="20"/>
                <w:szCs w:val="20"/>
              </w:rPr>
              <w:t>srdcových a cievnych chorôb, a.s., Banská Bystrica a vo Východoslovenskom ústave</w:t>
            </w:r>
          </w:p>
          <w:p w14:paraId="71B22767" w14:textId="77777777" w:rsidR="00657ACA" w:rsidRDefault="00657ACA" w:rsidP="00657ACA">
            <w:pPr>
              <w:jc w:val="both"/>
            </w:pPr>
            <w:r w:rsidRPr="00205539">
              <w:rPr>
                <w:rFonts w:ascii="Arial" w:hAnsi="Arial" w:cs="Arial"/>
                <w:sz w:val="20"/>
                <w:szCs w:val="20"/>
              </w:rPr>
              <w:t>srdcových chorôb, Košice</w:t>
            </w:r>
            <w:r>
              <w:rPr>
                <w:rFonts w:ascii="Arial" w:hAnsi="Arial" w:cs="Arial"/>
                <w:sz w:val="20"/>
                <w:szCs w:val="20"/>
              </w:rPr>
              <w:t>.</w:t>
            </w:r>
          </w:p>
          <w:p w14:paraId="3BBE69D4" w14:textId="2C45A521" w:rsidR="00657ACA" w:rsidRPr="0000591E" w:rsidRDefault="00657ACA" w:rsidP="00657ACA">
            <w:pPr>
              <w:pStyle w:val="Zkladntext2"/>
              <w:rPr>
                <w:b/>
                <w:bCs/>
              </w:rPr>
            </w:pPr>
          </w:p>
        </w:tc>
      </w:tr>
      <w:tr w:rsidR="00657ACA" w:rsidRPr="0000591E" w14:paraId="15AE7993" w14:textId="77777777" w:rsidTr="003F7925">
        <w:trPr>
          <w:gridAfter w:val="2"/>
          <w:wAfter w:w="154" w:type="dxa"/>
          <w:trHeight w:val="20"/>
        </w:trPr>
        <w:tc>
          <w:tcPr>
            <w:tcW w:w="1256" w:type="dxa"/>
            <w:tcBorders>
              <w:bottom w:val="single" w:sz="4" w:space="0" w:color="auto"/>
            </w:tcBorders>
            <w:noWrap/>
            <w:vAlign w:val="bottom"/>
          </w:tcPr>
          <w:p w14:paraId="6C1EC2C3" w14:textId="77777777" w:rsidR="00657ACA" w:rsidRPr="0000591E" w:rsidRDefault="00657ACA" w:rsidP="00657ACA">
            <w:pPr>
              <w:jc w:val="both"/>
              <w:rPr>
                <w:rFonts w:ascii="Arial" w:hAnsi="Arial" w:cs="Arial"/>
                <w:b/>
                <w:bCs/>
                <w:sz w:val="20"/>
                <w:szCs w:val="20"/>
              </w:rPr>
            </w:pPr>
            <w:r w:rsidRPr="0000591E">
              <w:rPr>
                <w:rFonts w:ascii="Arial" w:hAnsi="Arial" w:cs="Arial"/>
                <w:b/>
                <w:sz w:val="20"/>
                <w:szCs w:val="20"/>
              </w:rPr>
              <w:t>C02KX0</w:t>
            </w:r>
            <w:r>
              <w:rPr>
                <w:rFonts w:ascii="Arial" w:hAnsi="Arial" w:cs="Arial"/>
                <w:b/>
                <w:sz w:val="20"/>
                <w:szCs w:val="20"/>
              </w:rPr>
              <w:t>4</w:t>
            </w:r>
          </w:p>
        </w:tc>
        <w:tc>
          <w:tcPr>
            <w:tcW w:w="9452" w:type="dxa"/>
            <w:tcBorders>
              <w:bottom w:val="single" w:sz="4" w:space="0" w:color="auto"/>
            </w:tcBorders>
            <w:noWrap/>
          </w:tcPr>
          <w:p w14:paraId="7322B609" w14:textId="77777777" w:rsidR="00657ACA" w:rsidRPr="0000591E" w:rsidRDefault="00657ACA" w:rsidP="00657ACA">
            <w:pPr>
              <w:pStyle w:val="Zkladntext2"/>
              <w:rPr>
                <w:b/>
                <w:bCs/>
              </w:rPr>
            </w:pPr>
            <w:r w:rsidRPr="00FE00CE">
              <w:rPr>
                <w:b/>
              </w:rPr>
              <w:t>Macitentan p.o. 10 mg</w:t>
            </w:r>
          </w:p>
        </w:tc>
      </w:tr>
      <w:tr w:rsidR="00657ACA" w:rsidRPr="0000591E" w14:paraId="6EAB94C5" w14:textId="77777777" w:rsidTr="003F7925">
        <w:trPr>
          <w:gridAfter w:val="2"/>
          <w:wAfter w:w="154" w:type="dxa"/>
          <w:trHeight w:val="20"/>
        </w:trPr>
        <w:tc>
          <w:tcPr>
            <w:tcW w:w="1256" w:type="dxa"/>
            <w:tcBorders>
              <w:top w:val="single" w:sz="4" w:space="0" w:color="auto"/>
            </w:tcBorders>
            <w:noWrap/>
            <w:vAlign w:val="bottom"/>
          </w:tcPr>
          <w:p w14:paraId="617AAB15"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3A0224B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u pacientov s pľúcnou artériovou hypertenziou (PAH) v Národnom ústave srdcových a cievnych chorôb a. s. Bratislava, </w:t>
            </w:r>
            <w:r w:rsidRPr="0000591E">
              <w:rPr>
                <w:rFonts w:ascii="Arial" w:eastAsia="SimSun" w:hAnsi="Arial" w:cs="Arial"/>
                <w:sz w:val="20"/>
                <w:szCs w:val="20"/>
              </w:rPr>
              <w:t>v Stredoslovenskom ústave srdcových a cievnych chorôb, a.s., Banská Bystrica</w:t>
            </w:r>
            <w:r w:rsidRPr="0000591E">
              <w:rPr>
                <w:rFonts w:ascii="Arial" w:hAnsi="Arial" w:cs="Arial"/>
                <w:sz w:val="20"/>
                <w:szCs w:val="20"/>
              </w:rPr>
              <w:t xml:space="preserve"> a vo Východoslovenskom ústave srdcových chorôb, Košice.</w:t>
            </w:r>
          </w:p>
          <w:p w14:paraId="46596604" w14:textId="09B836FA" w:rsidR="00657ACA" w:rsidRPr="0000591E" w:rsidRDefault="00657ACA" w:rsidP="00657ACA">
            <w:pPr>
              <w:pStyle w:val="Zkladntext2"/>
              <w:rPr>
                <w:b/>
                <w:bCs/>
              </w:rPr>
            </w:pPr>
          </w:p>
        </w:tc>
      </w:tr>
      <w:tr w:rsidR="00657ACA" w:rsidRPr="0000591E" w14:paraId="286FE965" w14:textId="77777777" w:rsidTr="003F7925">
        <w:trPr>
          <w:gridAfter w:val="2"/>
          <w:wAfter w:w="154" w:type="dxa"/>
          <w:trHeight w:val="20"/>
        </w:trPr>
        <w:tc>
          <w:tcPr>
            <w:tcW w:w="1256" w:type="dxa"/>
            <w:tcBorders>
              <w:bottom w:val="single" w:sz="4" w:space="0" w:color="auto"/>
            </w:tcBorders>
            <w:noWrap/>
            <w:vAlign w:val="bottom"/>
          </w:tcPr>
          <w:p w14:paraId="3D5806FE" w14:textId="5CD6EB06" w:rsidR="00657ACA" w:rsidRPr="0000591E" w:rsidRDefault="00657ACA" w:rsidP="00657ACA">
            <w:pPr>
              <w:jc w:val="both"/>
              <w:rPr>
                <w:rFonts w:ascii="Arial" w:hAnsi="Arial" w:cs="Arial"/>
                <w:b/>
                <w:bCs/>
                <w:sz w:val="20"/>
                <w:szCs w:val="20"/>
              </w:rPr>
            </w:pPr>
            <w:r>
              <w:rPr>
                <w:rFonts w:ascii="Arial" w:hAnsi="Arial" w:cs="Arial"/>
                <w:b/>
                <w:sz w:val="20"/>
                <w:szCs w:val="20"/>
              </w:rPr>
              <w:t>C02KX05</w:t>
            </w:r>
          </w:p>
        </w:tc>
        <w:tc>
          <w:tcPr>
            <w:tcW w:w="9452" w:type="dxa"/>
            <w:tcBorders>
              <w:bottom w:val="single" w:sz="4" w:space="0" w:color="auto"/>
            </w:tcBorders>
            <w:noWrap/>
          </w:tcPr>
          <w:p w14:paraId="3D2BA3B3" w14:textId="77777777" w:rsidR="00657ACA" w:rsidRPr="007610F4" w:rsidRDefault="00657ACA" w:rsidP="00657ACA">
            <w:pPr>
              <w:jc w:val="both"/>
              <w:rPr>
                <w:rFonts w:ascii="Arial" w:hAnsi="Arial" w:cs="Arial"/>
                <w:b/>
                <w:sz w:val="20"/>
                <w:szCs w:val="20"/>
              </w:rPr>
            </w:pPr>
            <w:r w:rsidRPr="007610F4">
              <w:rPr>
                <w:rFonts w:ascii="Arial" w:hAnsi="Arial" w:cs="Arial"/>
                <w:b/>
                <w:sz w:val="20"/>
                <w:szCs w:val="20"/>
              </w:rPr>
              <w:t>Riociguát p.o. 1 mg,</w:t>
            </w:r>
          </w:p>
          <w:p w14:paraId="75E5E4B3" w14:textId="77777777" w:rsidR="00657ACA" w:rsidRDefault="00657ACA" w:rsidP="00657ACA">
            <w:pPr>
              <w:jc w:val="both"/>
              <w:rPr>
                <w:rFonts w:ascii="Arial" w:hAnsi="Arial" w:cs="Arial"/>
                <w:b/>
                <w:sz w:val="20"/>
                <w:szCs w:val="20"/>
              </w:rPr>
            </w:pPr>
            <w:r w:rsidRPr="007610F4">
              <w:rPr>
                <w:rFonts w:ascii="Arial" w:hAnsi="Arial" w:cs="Arial"/>
                <w:b/>
                <w:sz w:val="20"/>
                <w:szCs w:val="20"/>
              </w:rPr>
              <w:t>Riociguát p.o. 1,5 mg</w:t>
            </w:r>
            <w:r>
              <w:rPr>
                <w:rFonts w:ascii="Arial" w:hAnsi="Arial" w:cs="Arial"/>
                <w:b/>
                <w:sz w:val="20"/>
                <w:szCs w:val="20"/>
              </w:rPr>
              <w:t>,</w:t>
            </w:r>
          </w:p>
          <w:p w14:paraId="07FB81D5" w14:textId="77777777" w:rsidR="00657ACA" w:rsidRDefault="00657ACA" w:rsidP="00657ACA">
            <w:pPr>
              <w:jc w:val="both"/>
              <w:rPr>
                <w:rFonts w:ascii="Arial" w:hAnsi="Arial" w:cs="Arial"/>
                <w:b/>
                <w:sz w:val="20"/>
                <w:szCs w:val="20"/>
              </w:rPr>
            </w:pPr>
            <w:r w:rsidRPr="007610F4">
              <w:rPr>
                <w:rFonts w:ascii="Arial" w:hAnsi="Arial" w:cs="Arial"/>
                <w:b/>
                <w:sz w:val="20"/>
                <w:szCs w:val="20"/>
              </w:rPr>
              <w:t>Riociguát p.o. 2 mg</w:t>
            </w:r>
            <w:r>
              <w:rPr>
                <w:rFonts w:ascii="Arial" w:hAnsi="Arial" w:cs="Arial"/>
                <w:b/>
                <w:sz w:val="20"/>
                <w:szCs w:val="20"/>
              </w:rPr>
              <w:t>,</w:t>
            </w:r>
          </w:p>
          <w:p w14:paraId="75110168" w14:textId="5901A0CF" w:rsidR="00657ACA" w:rsidRPr="007610F4" w:rsidRDefault="00657ACA" w:rsidP="00657ACA">
            <w:pPr>
              <w:jc w:val="both"/>
              <w:rPr>
                <w:rFonts w:ascii="Arial" w:hAnsi="Arial" w:cs="Arial"/>
                <w:b/>
                <w:sz w:val="20"/>
                <w:szCs w:val="20"/>
              </w:rPr>
            </w:pPr>
            <w:r w:rsidRPr="007610F4">
              <w:rPr>
                <w:rFonts w:ascii="Arial" w:hAnsi="Arial" w:cs="Arial"/>
                <w:b/>
                <w:sz w:val="20"/>
                <w:szCs w:val="20"/>
              </w:rPr>
              <w:t>Riociguát p.o. 2,5 mg</w:t>
            </w:r>
          </w:p>
        </w:tc>
      </w:tr>
      <w:tr w:rsidR="00657ACA" w:rsidRPr="0000591E" w14:paraId="151361A3" w14:textId="77777777" w:rsidTr="003F7925">
        <w:trPr>
          <w:gridAfter w:val="2"/>
          <w:wAfter w:w="154" w:type="dxa"/>
          <w:trHeight w:val="20"/>
        </w:trPr>
        <w:tc>
          <w:tcPr>
            <w:tcW w:w="1256" w:type="dxa"/>
            <w:tcBorders>
              <w:top w:val="single" w:sz="4" w:space="0" w:color="auto"/>
            </w:tcBorders>
            <w:noWrap/>
            <w:vAlign w:val="bottom"/>
          </w:tcPr>
          <w:p w14:paraId="4D892343"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358BC04B"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 xml:space="preserve">Hradená liečba sa môže indikovať na liečbu dospelých pacientov s funkčnou triedou WHO II-III </w:t>
            </w:r>
          </w:p>
          <w:p w14:paraId="4D5CD669"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 xml:space="preserve">1. s neoperovateľnou CTEPH, </w:t>
            </w:r>
          </w:p>
          <w:p w14:paraId="7D9A59D3"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2. s pretrvávajúcou alebo recidivujúcou CTEPH po chirurgickej liečbe, na zlepšenie tolerancie záťaže.</w:t>
            </w:r>
          </w:p>
          <w:p w14:paraId="2574F222"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Hradená liečba sa môže indikovať na Expertíznom pracovisku so zameraním sa na CTEPH, Klinika kardiológie a angiológie LF SZU NÚSCH a.s., Bratislava.</w:t>
            </w:r>
          </w:p>
          <w:p w14:paraId="78955761" w14:textId="66E7F3EB" w:rsidR="00657ACA" w:rsidRDefault="00657ACA" w:rsidP="00657ACA">
            <w:pPr>
              <w:jc w:val="both"/>
              <w:rPr>
                <w:rFonts w:ascii="Arial" w:hAnsi="Arial" w:cs="Arial"/>
                <w:sz w:val="20"/>
                <w:szCs w:val="20"/>
              </w:rPr>
            </w:pPr>
            <w:r w:rsidRPr="007610F4">
              <w:rPr>
                <w:rFonts w:ascii="Arial" w:hAnsi="Arial" w:cs="Arial"/>
                <w:sz w:val="20"/>
                <w:szCs w:val="20"/>
              </w:rPr>
              <w:t>Hradená liečba podlieha predchádzajúcemu súhlasu zdravotnej poisťovne.</w:t>
            </w:r>
          </w:p>
          <w:p w14:paraId="211A9D5B" w14:textId="405ADB21" w:rsidR="00657ACA" w:rsidRPr="0000591E" w:rsidRDefault="00657ACA" w:rsidP="00657ACA">
            <w:pPr>
              <w:jc w:val="both"/>
              <w:rPr>
                <w:rFonts w:ascii="Arial" w:hAnsi="Arial" w:cs="Arial"/>
                <w:sz w:val="20"/>
                <w:szCs w:val="20"/>
              </w:rPr>
            </w:pPr>
          </w:p>
        </w:tc>
      </w:tr>
      <w:tr w:rsidR="00657ACA" w:rsidRPr="0000591E" w14:paraId="374210C5" w14:textId="77777777" w:rsidTr="003F7925">
        <w:trPr>
          <w:gridAfter w:val="2"/>
          <w:wAfter w:w="154" w:type="dxa"/>
          <w:trHeight w:val="20"/>
        </w:trPr>
        <w:tc>
          <w:tcPr>
            <w:tcW w:w="1256" w:type="dxa"/>
            <w:tcBorders>
              <w:bottom w:val="single" w:sz="4" w:space="0" w:color="auto"/>
            </w:tcBorders>
            <w:noWrap/>
            <w:vAlign w:val="bottom"/>
          </w:tcPr>
          <w:p w14:paraId="7EF10465" w14:textId="49D65328"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C03DA04</w:t>
            </w:r>
          </w:p>
        </w:tc>
        <w:tc>
          <w:tcPr>
            <w:tcW w:w="9452" w:type="dxa"/>
            <w:tcBorders>
              <w:bottom w:val="single" w:sz="4" w:space="0" w:color="auto"/>
            </w:tcBorders>
            <w:noWrap/>
          </w:tcPr>
          <w:p w14:paraId="03291256" w14:textId="77777777" w:rsidR="00657ACA" w:rsidRPr="0000591E" w:rsidRDefault="00657ACA" w:rsidP="00657ACA">
            <w:pPr>
              <w:pStyle w:val="Zkladntext2"/>
              <w:rPr>
                <w:b/>
                <w:bCs/>
              </w:rPr>
            </w:pPr>
            <w:r w:rsidRPr="0000591E">
              <w:rPr>
                <w:b/>
                <w:bCs/>
              </w:rPr>
              <w:t>Eplerenón p.o. 25 mg,</w:t>
            </w:r>
          </w:p>
          <w:p w14:paraId="7F428DAD" w14:textId="59B12CDB" w:rsidR="00657ACA" w:rsidRPr="0000591E" w:rsidRDefault="00657ACA" w:rsidP="00657ACA">
            <w:pPr>
              <w:pStyle w:val="Zkladntext2"/>
              <w:rPr>
                <w:b/>
                <w:bCs/>
              </w:rPr>
            </w:pPr>
            <w:r w:rsidRPr="0000591E">
              <w:rPr>
                <w:b/>
                <w:bCs/>
              </w:rPr>
              <w:t>Eplerenón p.o. 50 mg</w:t>
            </w:r>
          </w:p>
        </w:tc>
      </w:tr>
      <w:tr w:rsidR="00657ACA" w:rsidRPr="0000591E" w14:paraId="5CD408B7" w14:textId="77777777" w:rsidTr="003F7925">
        <w:trPr>
          <w:gridAfter w:val="2"/>
          <w:wAfter w:w="154" w:type="dxa"/>
          <w:trHeight w:val="20"/>
        </w:trPr>
        <w:tc>
          <w:tcPr>
            <w:tcW w:w="1256" w:type="dxa"/>
            <w:tcBorders>
              <w:top w:val="single" w:sz="4" w:space="0" w:color="auto"/>
            </w:tcBorders>
            <w:noWrap/>
            <w:vAlign w:val="bottom"/>
          </w:tcPr>
          <w:p w14:paraId="3BB31270" w14:textId="77777777" w:rsidR="00657ACA" w:rsidRPr="00746331" w:rsidRDefault="00657ACA" w:rsidP="00657ACA">
            <w:pPr>
              <w:jc w:val="both"/>
              <w:rPr>
                <w:rFonts w:ascii="Arial" w:hAnsi="Arial" w:cs="Arial"/>
                <w:bCs/>
                <w:sz w:val="20"/>
                <w:szCs w:val="20"/>
              </w:rPr>
            </w:pPr>
          </w:p>
        </w:tc>
        <w:tc>
          <w:tcPr>
            <w:tcW w:w="9452" w:type="dxa"/>
            <w:tcBorders>
              <w:top w:val="single" w:sz="4" w:space="0" w:color="auto"/>
            </w:tcBorders>
            <w:noWrap/>
          </w:tcPr>
          <w:p w14:paraId="39BD4BDC" w14:textId="77777777" w:rsidR="00657ACA" w:rsidRPr="00746331" w:rsidRDefault="00657ACA" w:rsidP="00657ACA">
            <w:pPr>
              <w:pStyle w:val="Zkladntext2"/>
              <w:rPr>
                <w:bCs/>
              </w:rPr>
            </w:pPr>
            <w:r w:rsidRPr="00746331">
              <w:rPr>
                <w:bCs/>
              </w:rPr>
              <w:t>Hradená liečba sa môže indikovať u pacientov:</w:t>
            </w:r>
          </w:p>
          <w:p w14:paraId="2E140260" w14:textId="77777777" w:rsidR="00657ACA" w:rsidRPr="00746331" w:rsidRDefault="00657ACA" w:rsidP="00657ACA">
            <w:pPr>
              <w:pStyle w:val="Zkladntext2"/>
              <w:rPr>
                <w:bCs/>
              </w:rPr>
            </w:pPr>
            <w:r w:rsidRPr="00746331">
              <w:rPr>
                <w:bCs/>
              </w:rPr>
              <w:t>a)</w:t>
            </w:r>
            <w:r w:rsidRPr="00746331">
              <w:rPr>
                <w:bCs/>
              </w:rPr>
              <w:tab/>
              <w:t xml:space="preserve">s prekonaným akútnym infarktom myokardu (AIM) a prejavmi ľavokomorovej dysfunkcie/srdcového zlyhávania, zahŕňajúcej betablokátory, ACE inhibítory alebo sartany u stabilizovaných pacientov s dysfunkciou ľavej komory (ejekčná frakcia ľavej komory LVEF ≤ 40%) alebo s klinickými znakmi srdcového zlyhávania už od tretieho dňa po prekonanom infarkte myokardu. </w:t>
            </w:r>
          </w:p>
          <w:p w14:paraId="50ABF357" w14:textId="77777777" w:rsidR="00657ACA" w:rsidRPr="00746331" w:rsidRDefault="00657ACA" w:rsidP="00657ACA">
            <w:pPr>
              <w:pStyle w:val="Zkladntext2"/>
              <w:rPr>
                <w:bCs/>
              </w:rPr>
            </w:pPr>
            <w:r w:rsidRPr="00746331">
              <w:rPr>
                <w:bCs/>
              </w:rPr>
              <w:t>Hradenú liečbu môže indikovať lekár zdravotníckeho zariadenia ústavnej zdravotnej starostlivosti.</w:t>
            </w:r>
          </w:p>
          <w:p w14:paraId="6FA341F8" w14:textId="77777777" w:rsidR="00657ACA" w:rsidRPr="00746331" w:rsidRDefault="00657ACA" w:rsidP="00657ACA">
            <w:pPr>
              <w:pStyle w:val="Zkladntext2"/>
              <w:rPr>
                <w:bCs/>
              </w:rPr>
            </w:pPr>
            <w:r w:rsidRPr="00746331">
              <w:rPr>
                <w:bCs/>
              </w:rPr>
              <w:t>Úspešnosť liečby sa prehodnotí po uplynutí šiestich mesiacov od začatia liečby; ak hladina draslíka v sére vystúpi nad 6,0 mmol/l, ďalšia liečba nie je hradenou liečbou.</w:t>
            </w:r>
          </w:p>
          <w:p w14:paraId="0637EC2E" w14:textId="77777777" w:rsidR="00657ACA" w:rsidRDefault="00657ACA" w:rsidP="00657ACA">
            <w:pPr>
              <w:pStyle w:val="Zkladntext2"/>
              <w:rPr>
                <w:bCs/>
              </w:rPr>
            </w:pPr>
            <w:r w:rsidRPr="00746331">
              <w:rPr>
                <w:bCs/>
              </w:rPr>
              <w:t>b)</w:t>
            </w:r>
            <w:r w:rsidRPr="00746331">
              <w:rPr>
                <w:bCs/>
              </w:rPr>
              <w:tab/>
              <w:t>so srdcovým zlyhávaním triedy NYHA II (chronickým) a systolickou dysfunkciou ľavej komory (LVEF≤30%) na zníženie rizika kardiovaskulárnej mortality a morbidity u dospelých pacientov.</w:t>
            </w:r>
          </w:p>
          <w:p w14:paraId="77F745DE" w14:textId="77777777" w:rsidR="00657ACA" w:rsidRDefault="00657ACA" w:rsidP="00657ACA">
            <w:pPr>
              <w:pStyle w:val="Zkladntext2"/>
              <w:rPr>
                <w:bCs/>
              </w:rPr>
            </w:pPr>
          </w:p>
          <w:p w14:paraId="146C4F76" w14:textId="77777777" w:rsidR="00845EE0" w:rsidRDefault="00845EE0" w:rsidP="00657ACA">
            <w:pPr>
              <w:pStyle w:val="Zkladntext2"/>
              <w:rPr>
                <w:bCs/>
              </w:rPr>
            </w:pPr>
          </w:p>
          <w:p w14:paraId="68D8B975" w14:textId="77777777" w:rsidR="00845EE0" w:rsidRDefault="00845EE0" w:rsidP="00657ACA">
            <w:pPr>
              <w:pStyle w:val="Zkladntext2"/>
              <w:rPr>
                <w:bCs/>
              </w:rPr>
            </w:pPr>
          </w:p>
          <w:p w14:paraId="5381A4B7" w14:textId="77777777" w:rsidR="00845EE0" w:rsidRDefault="00845EE0" w:rsidP="00657ACA">
            <w:pPr>
              <w:pStyle w:val="Zkladntext2"/>
              <w:rPr>
                <w:bCs/>
              </w:rPr>
            </w:pPr>
          </w:p>
          <w:p w14:paraId="5FD72C86" w14:textId="52BF0BE3" w:rsidR="00845EE0" w:rsidRPr="00746331" w:rsidRDefault="00845EE0" w:rsidP="00657ACA">
            <w:pPr>
              <w:pStyle w:val="Zkladntext2"/>
              <w:rPr>
                <w:bCs/>
              </w:rPr>
            </w:pPr>
          </w:p>
        </w:tc>
      </w:tr>
      <w:tr w:rsidR="00657ACA" w:rsidRPr="007D3509" w14:paraId="3680D06C" w14:textId="77777777" w:rsidTr="003F7925">
        <w:trPr>
          <w:gridAfter w:val="2"/>
          <w:wAfter w:w="154" w:type="dxa"/>
          <w:trHeight w:val="20"/>
        </w:trPr>
        <w:tc>
          <w:tcPr>
            <w:tcW w:w="1256" w:type="dxa"/>
            <w:tcBorders>
              <w:bottom w:val="single" w:sz="4" w:space="0" w:color="auto"/>
            </w:tcBorders>
            <w:noWrap/>
            <w:vAlign w:val="center"/>
          </w:tcPr>
          <w:p w14:paraId="25851E45" w14:textId="77777777" w:rsidR="00657ACA" w:rsidRDefault="00657ACA" w:rsidP="00657ACA">
            <w:pPr>
              <w:rPr>
                <w:rFonts w:ascii="Arial" w:hAnsi="Arial" w:cs="Arial"/>
                <w:b/>
                <w:bCs/>
                <w:sz w:val="20"/>
                <w:szCs w:val="20"/>
              </w:rPr>
            </w:pPr>
          </w:p>
          <w:p w14:paraId="78FB6A77" w14:textId="367E4761" w:rsidR="00657ACA" w:rsidRDefault="00657ACA" w:rsidP="00657ACA">
            <w:pPr>
              <w:rPr>
                <w:rFonts w:ascii="Arial" w:hAnsi="Arial" w:cs="Arial"/>
                <w:b/>
                <w:bCs/>
                <w:sz w:val="20"/>
                <w:szCs w:val="20"/>
              </w:rPr>
            </w:pPr>
            <w:r>
              <w:rPr>
                <w:rFonts w:ascii="Arial" w:hAnsi="Arial" w:cs="Arial"/>
                <w:b/>
                <w:bCs/>
                <w:sz w:val="20"/>
                <w:szCs w:val="20"/>
              </w:rPr>
              <w:t xml:space="preserve">C03DA05     </w:t>
            </w:r>
          </w:p>
        </w:tc>
        <w:tc>
          <w:tcPr>
            <w:tcW w:w="9452" w:type="dxa"/>
            <w:tcBorders>
              <w:bottom w:val="single" w:sz="4" w:space="0" w:color="auto"/>
            </w:tcBorders>
            <w:noWrap/>
            <w:vAlign w:val="bottom"/>
          </w:tcPr>
          <w:p w14:paraId="603047FF" w14:textId="77777777" w:rsidR="00657ACA" w:rsidRDefault="00657ACA" w:rsidP="00657ACA">
            <w:pPr>
              <w:rPr>
                <w:rFonts w:ascii="Arial" w:hAnsi="Arial" w:cs="Arial"/>
                <w:b/>
                <w:bCs/>
                <w:sz w:val="20"/>
                <w:szCs w:val="20"/>
              </w:rPr>
            </w:pPr>
            <w:r>
              <w:rPr>
                <w:rFonts w:ascii="Arial" w:hAnsi="Arial" w:cs="Arial"/>
                <w:b/>
                <w:bCs/>
                <w:sz w:val="20"/>
                <w:szCs w:val="20"/>
              </w:rPr>
              <w:t>Finerenón p.o. 10 mg</w:t>
            </w:r>
          </w:p>
          <w:p w14:paraId="3746E9B7" w14:textId="77777777" w:rsidR="00657ACA" w:rsidRDefault="00657ACA" w:rsidP="00657ACA">
            <w:pPr>
              <w:rPr>
                <w:rFonts w:ascii="Arial" w:hAnsi="Arial" w:cs="Arial"/>
                <w:b/>
                <w:bCs/>
                <w:sz w:val="20"/>
                <w:szCs w:val="20"/>
              </w:rPr>
            </w:pPr>
            <w:r>
              <w:rPr>
                <w:rFonts w:ascii="Arial" w:hAnsi="Arial" w:cs="Arial"/>
                <w:b/>
                <w:bCs/>
                <w:sz w:val="20"/>
                <w:szCs w:val="20"/>
              </w:rPr>
              <w:t>Finerenón p.o. 20 mg</w:t>
            </w:r>
          </w:p>
        </w:tc>
      </w:tr>
      <w:tr w:rsidR="00657ACA" w:rsidRPr="007D3509" w14:paraId="3D1D2BE1" w14:textId="77777777" w:rsidTr="003F7925">
        <w:trPr>
          <w:gridAfter w:val="2"/>
          <w:wAfter w:w="154" w:type="dxa"/>
          <w:trHeight w:val="20"/>
        </w:trPr>
        <w:tc>
          <w:tcPr>
            <w:tcW w:w="1256" w:type="dxa"/>
            <w:noWrap/>
            <w:vAlign w:val="center"/>
          </w:tcPr>
          <w:p w14:paraId="06C888E5" w14:textId="77777777" w:rsidR="00657ACA" w:rsidRDefault="00657ACA" w:rsidP="00657ACA">
            <w:pPr>
              <w:rPr>
                <w:rFonts w:ascii="Arial" w:hAnsi="Arial" w:cs="Arial"/>
                <w:b/>
                <w:bCs/>
                <w:sz w:val="20"/>
                <w:szCs w:val="20"/>
              </w:rPr>
            </w:pPr>
          </w:p>
        </w:tc>
        <w:tc>
          <w:tcPr>
            <w:tcW w:w="9452" w:type="dxa"/>
            <w:noWrap/>
            <w:vAlign w:val="bottom"/>
          </w:tcPr>
          <w:p w14:paraId="56385B82" w14:textId="77777777" w:rsidR="00657ACA" w:rsidRPr="00204640" w:rsidRDefault="00657ACA" w:rsidP="00657ACA">
            <w:pPr>
              <w:rPr>
                <w:rFonts w:ascii="Arial" w:hAnsi="Arial" w:cs="Arial"/>
                <w:bCs/>
                <w:sz w:val="20"/>
                <w:szCs w:val="20"/>
              </w:rPr>
            </w:pPr>
            <w:r w:rsidRPr="00204640">
              <w:rPr>
                <w:rFonts w:ascii="Arial" w:hAnsi="Arial" w:cs="Arial"/>
                <w:bCs/>
                <w:sz w:val="20"/>
                <w:szCs w:val="20"/>
              </w:rPr>
              <w:t>Hradená liečba sa môže indikovať dospelým pacientom na liečbu chronickej choroby obličiek s eGFR ≥ 25 - &lt; 60</w:t>
            </w:r>
          </w:p>
          <w:p w14:paraId="4B1B6B69" w14:textId="77777777" w:rsidR="00657ACA" w:rsidRPr="00204640" w:rsidRDefault="00657ACA" w:rsidP="00657ACA">
            <w:pPr>
              <w:rPr>
                <w:rFonts w:ascii="Arial" w:hAnsi="Arial" w:cs="Arial"/>
                <w:bCs/>
                <w:sz w:val="20"/>
                <w:szCs w:val="20"/>
              </w:rPr>
            </w:pPr>
            <w:r w:rsidRPr="00204640">
              <w:rPr>
                <w:rFonts w:ascii="Arial" w:hAnsi="Arial" w:cs="Arial"/>
                <w:bCs/>
                <w:sz w:val="20"/>
                <w:szCs w:val="20"/>
              </w:rPr>
              <w:t>ml/min/1,73 m2 (≥ 0,42 – &lt; 1 ml/s/1,73 m2 ) a s albuminúriou UACR ≥ 30 – ≤ 5 000 mg/g (≥ 3 - ≤ 500 mg/mmol)</w:t>
            </w:r>
          </w:p>
          <w:p w14:paraId="75F4652C" w14:textId="77777777" w:rsidR="00657ACA" w:rsidRDefault="00657ACA" w:rsidP="00657ACA">
            <w:pPr>
              <w:rPr>
                <w:rFonts w:ascii="Arial" w:hAnsi="Arial" w:cs="Arial"/>
                <w:bCs/>
                <w:sz w:val="20"/>
                <w:szCs w:val="20"/>
              </w:rPr>
            </w:pPr>
            <w:r w:rsidRPr="00204640">
              <w:rPr>
                <w:rFonts w:ascii="Arial" w:hAnsi="Arial" w:cs="Arial"/>
                <w:bCs/>
                <w:sz w:val="20"/>
                <w:szCs w:val="20"/>
              </w:rPr>
              <w:t>spojenej s diabetes mellitus 2. typu, ktorí sú liečení maximálnou tolerovanou dávkou ACEI alebo ARB.</w:t>
            </w:r>
          </w:p>
          <w:p w14:paraId="3BDA3482" w14:textId="77777777" w:rsidR="00657ACA" w:rsidRDefault="00657ACA" w:rsidP="00657ACA">
            <w:pPr>
              <w:rPr>
                <w:rFonts w:ascii="Arial" w:hAnsi="Arial" w:cs="Arial"/>
                <w:b/>
                <w:bCs/>
                <w:sz w:val="20"/>
                <w:szCs w:val="20"/>
              </w:rPr>
            </w:pPr>
          </w:p>
        </w:tc>
      </w:tr>
      <w:tr w:rsidR="00657ACA" w:rsidRPr="007D3509" w14:paraId="6CE07D3E" w14:textId="77777777" w:rsidTr="003F7925">
        <w:trPr>
          <w:gridAfter w:val="2"/>
          <w:wAfter w:w="154" w:type="dxa"/>
          <w:trHeight w:val="20"/>
        </w:trPr>
        <w:tc>
          <w:tcPr>
            <w:tcW w:w="1256" w:type="dxa"/>
            <w:tcBorders>
              <w:bottom w:val="single" w:sz="4" w:space="0" w:color="auto"/>
            </w:tcBorders>
            <w:noWrap/>
            <w:vAlign w:val="center"/>
          </w:tcPr>
          <w:p w14:paraId="2329299C" w14:textId="77777777" w:rsidR="00657ACA" w:rsidRPr="0000591E" w:rsidRDefault="00657ACA" w:rsidP="00657ACA">
            <w:pPr>
              <w:rPr>
                <w:rFonts w:ascii="Arial" w:hAnsi="Arial" w:cs="Arial"/>
                <w:b/>
                <w:bCs/>
                <w:sz w:val="20"/>
                <w:szCs w:val="20"/>
              </w:rPr>
            </w:pPr>
            <w:r>
              <w:rPr>
                <w:rFonts w:ascii="Arial" w:hAnsi="Arial" w:cs="Arial"/>
                <w:b/>
                <w:bCs/>
                <w:sz w:val="20"/>
                <w:szCs w:val="20"/>
              </w:rPr>
              <w:t>C07AA05</w:t>
            </w:r>
          </w:p>
        </w:tc>
        <w:tc>
          <w:tcPr>
            <w:tcW w:w="9452" w:type="dxa"/>
            <w:tcBorders>
              <w:bottom w:val="single" w:sz="4" w:space="0" w:color="auto"/>
            </w:tcBorders>
            <w:noWrap/>
            <w:vAlign w:val="bottom"/>
          </w:tcPr>
          <w:p w14:paraId="7D2E1B76" w14:textId="77777777" w:rsidR="00657ACA" w:rsidRPr="007D3509" w:rsidRDefault="00657ACA" w:rsidP="00657ACA">
            <w:pPr>
              <w:rPr>
                <w:rFonts w:ascii="Arial" w:hAnsi="Arial" w:cs="Arial"/>
                <w:b/>
                <w:bCs/>
                <w:strike/>
                <w:sz w:val="20"/>
                <w:szCs w:val="20"/>
              </w:rPr>
            </w:pPr>
            <w:r>
              <w:rPr>
                <w:rFonts w:ascii="Arial" w:hAnsi="Arial" w:cs="Arial"/>
                <w:b/>
                <w:bCs/>
                <w:sz w:val="20"/>
                <w:szCs w:val="20"/>
              </w:rPr>
              <w:t>Propranolol</w:t>
            </w:r>
            <w:r w:rsidRPr="007D3509">
              <w:rPr>
                <w:rFonts w:ascii="Arial" w:hAnsi="Arial" w:cs="Arial"/>
                <w:b/>
                <w:bCs/>
                <w:sz w:val="20"/>
                <w:szCs w:val="20"/>
              </w:rPr>
              <w:t xml:space="preserve"> p.o. 3,75 mg/ml</w:t>
            </w:r>
            <w:r w:rsidRPr="0000591E">
              <w:rPr>
                <w:rFonts w:ascii="Arial" w:hAnsi="Arial" w:cs="Arial"/>
                <w:b/>
                <w:bCs/>
                <w:sz w:val="20"/>
                <w:szCs w:val="20"/>
              </w:rPr>
              <w:t xml:space="preserve"> </w:t>
            </w:r>
          </w:p>
        </w:tc>
      </w:tr>
      <w:tr w:rsidR="00657ACA" w:rsidRPr="0000591E" w14:paraId="76F48218" w14:textId="77777777" w:rsidTr="003F7925">
        <w:trPr>
          <w:gridAfter w:val="2"/>
          <w:wAfter w:w="154" w:type="dxa"/>
          <w:trHeight w:val="20"/>
        </w:trPr>
        <w:tc>
          <w:tcPr>
            <w:tcW w:w="1256" w:type="dxa"/>
            <w:noWrap/>
            <w:vAlign w:val="bottom"/>
          </w:tcPr>
          <w:p w14:paraId="7B31ABA1" w14:textId="77777777" w:rsidR="00657ACA" w:rsidRPr="0000591E" w:rsidRDefault="00657ACA" w:rsidP="00657ACA">
            <w:pPr>
              <w:jc w:val="both"/>
              <w:rPr>
                <w:rFonts w:ascii="Arial" w:hAnsi="Arial" w:cs="Arial"/>
                <w:sz w:val="20"/>
                <w:szCs w:val="20"/>
              </w:rPr>
            </w:pPr>
          </w:p>
        </w:tc>
        <w:tc>
          <w:tcPr>
            <w:tcW w:w="9452" w:type="dxa"/>
          </w:tcPr>
          <w:p w14:paraId="3B924649" w14:textId="77777777" w:rsidR="00657ACA" w:rsidRPr="0000591E" w:rsidRDefault="00657ACA" w:rsidP="00657ACA">
            <w:pPr>
              <w:jc w:val="both"/>
              <w:rPr>
                <w:rFonts w:ascii="Arial" w:hAnsi="Arial" w:cs="Arial"/>
                <w:sz w:val="20"/>
                <w:szCs w:val="20"/>
              </w:rPr>
            </w:pPr>
            <w:r w:rsidRPr="007D3509">
              <w:rPr>
                <w:rFonts w:ascii="Arial" w:hAnsi="Arial" w:cs="Arial"/>
                <w:sz w:val="20"/>
                <w:szCs w:val="20"/>
              </w:rPr>
              <w:t>Hradená liečba je indikovaná u dojčiat s komplikovaným proliferujúcim infantilným hemangiómom vyžadujúcim systémovú terapiu. Liečba je podávaná počas 6 mesiacov. Liečba sa má začať u dojčiat vo veku 5 týždňov až 5 mesiacov.</w:t>
            </w:r>
          </w:p>
          <w:p w14:paraId="759F2FAA" w14:textId="77777777" w:rsidR="00657ACA" w:rsidRPr="0000591E" w:rsidRDefault="00657ACA" w:rsidP="00657ACA">
            <w:pPr>
              <w:jc w:val="both"/>
              <w:rPr>
                <w:rFonts w:ascii="Arial" w:hAnsi="Arial" w:cs="Arial"/>
                <w:sz w:val="20"/>
                <w:szCs w:val="20"/>
              </w:rPr>
            </w:pPr>
          </w:p>
        </w:tc>
      </w:tr>
      <w:tr w:rsidR="00657ACA" w:rsidRPr="0000591E" w14:paraId="6C2C72A7" w14:textId="77777777" w:rsidTr="003F7925">
        <w:trPr>
          <w:gridAfter w:val="2"/>
          <w:wAfter w:w="154" w:type="dxa"/>
          <w:trHeight w:val="20"/>
        </w:trPr>
        <w:tc>
          <w:tcPr>
            <w:tcW w:w="1256" w:type="dxa"/>
            <w:tcBorders>
              <w:bottom w:val="single" w:sz="4" w:space="0" w:color="auto"/>
            </w:tcBorders>
            <w:noWrap/>
            <w:vAlign w:val="center"/>
          </w:tcPr>
          <w:p w14:paraId="1D2FBDF2"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C08CA06</w:t>
            </w:r>
          </w:p>
        </w:tc>
        <w:tc>
          <w:tcPr>
            <w:tcW w:w="9452" w:type="dxa"/>
            <w:tcBorders>
              <w:bottom w:val="single" w:sz="4" w:space="0" w:color="auto"/>
            </w:tcBorders>
            <w:noWrap/>
            <w:vAlign w:val="bottom"/>
          </w:tcPr>
          <w:p w14:paraId="4B969DB1"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Nimodipín p.o. 30 mg</w:t>
            </w:r>
          </w:p>
        </w:tc>
      </w:tr>
      <w:tr w:rsidR="00657ACA" w:rsidRPr="0000591E" w14:paraId="1D74F13B" w14:textId="77777777" w:rsidTr="003F7925">
        <w:trPr>
          <w:gridAfter w:val="2"/>
          <w:wAfter w:w="154" w:type="dxa"/>
          <w:trHeight w:val="20"/>
        </w:trPr>
        <w:tc>
          <w:tcPr>
            <w:tcW w:w="1256" w:type="dxa"/>
            <w:tcBorders>
              <w:top w:val="single" w:sz="4" w:space="0" w:color="auto"/>
            </w:tcBorders>
            <w:noWrap/>
            <w:vAlign w:val="bottom"/>
          </w:tcPr>
          <w:p w14:paraId="00376B5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91D365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ischemického postihnutia CNS, pri vazospasme a pri subarachnoidálnom krvácaní. Hradená liečba podlieha dvojmesačnému prípadne trojmesačnému vyhodnoteniu efektivity liečby a výsledok sa zaznamenáva do zdravotnej dokumentácie pacienta.</w:t>
            </w:r>
          </w:p>
          <w:p w14:paraId="20BA12EE" w14:textId="77777777" w:rsidR="00657ACA" w:rsidRPr="0000591E" w:rsidRDefault="00657ACA" w:rsidP="00657ACA">
            <w:pPr>
              <w:jc w:val="both"/>
              <w:rPr>
                <w:rFonts w:ascii="Arial" w:hAnsi="Arial" w:cs="Arial"/>
                <w:sz w:val="20"/>
                <w:szCs w:val="20"/>
              </w:rPr>
            </w:pPr>
          </w:p>
        </w:tc>
      </w:tr>
      <w:tr w:rsidR="00657ACA" w:rsidRPr="0000591E" w14:paraId="1BB20690" w14:textId="77777777" w:rsidTr="003F7925">
        <w:trPr>
          <w:gridAfter w:val="2"/>
          <w:wAfter w:w="154" w:type="dxa"/>
          <w:trHeight w:val="20"/>
        </w:trPr>
        <w:tc>
          <w:tcPr>
            <w:tcW w:w="1256" w:type="dxa"/>
            <w:tcBorders>
              <w:bottom w:val="single" w:sz="4" w:space="0" w:color="auto"/>
            </w:tcBorders>
            <w:noWrap/>
            <w:vAlign w:val="bottom"/>
          </w:tcPr>
          <w:p w14:paraId="61FF8B64" w14:textId="77777777" w:rsidR="00657ACA" w:rsidRPr="0000591E" w:rsidRDefault="00657ACA" w:rsidP="00657ACA">
            <w:pPr>
              <w:pStyle w:val="Nadpis3"/>
              <w:rPr>
                <w:rFonts w:cs="Times New Roman"/>
                <w:lang w:val="sk-SK" w:eastAsia="sk-SK"/>
              </w:rPr>
            </w:pPr>
            <w:r w:rsidRPr="0000591E">
              <w:rPr>
                <w:rFonts w:cs="Times New Roman"/>
                <w:lang w:val="sk-SK" w:eastAsia="sk-SK"/>
              </w:rPr>
              <w:t>C09CA04</w:t>
            </w:r>
          </w:p>
        </w:tc>
        <w:tc>
          <w:tcPr>
            <w:tcW w:w="9452" w:type="dxa"/>
            <w:tcBorders>
              <w:bottom w:val="single" w:sz="4" w:space="0" w:color="auto"/>
            </w:tcBorders>
            <w:noWrap/>
            <w:vAlign w:val="bottom"/>
          </w:tcPr>
          <w:p w14:paraId="2393569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Irbesartan p.o. 150 mg, </w:t>
            </w:r>
          </w:p>
          <w:p w14:paraId="666DC1D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Irbesartan p.o. 300 mg</w:t>
            </w:r>
          </w:p>
        </w:tc>
      </w:tr>
      <w:tr w:rsidR="00657ACA" w:rsidRPr="0000591E" w14:paraId="004A8C62" w14:textId="77777777" w:rsidTr="003F7925">
        <w:trPr>
          <w:gridAfter w:val="2"/>
          <w:wAfter w:w="154" w:type="dxa"/>
          <w:trHeight w:val="20"/>
        </w:trPr>
        <w:tc>
          <w:tcPr>
            <w:tcW w:w="1256" w:type="dxa"/>
            <w:tcBorders>
              <w:top w:val="single" w:sz="4" w:space="0" w:color="auto"/>
            </w:tcBorders>
            <w:noWrap/>
            <w:vAlign w:val="bottom"/>
          </w:tcPr>
          <w:p w14:paraId="17B2714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3B11FD1"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lang w:eastAsia="cs-CZ"/>
              </w:rPr>
              <w:t xml:space="preserve">Hradená liečba sa môže indikovať v súlade s indikáciami uvedenými v súhrne charakteristických vlastností lieku. V indikáciách zhodných pre sartany aj ACE inhibítory sa prednostne indikuje liečba ACE inhibítorom, ak ho pacienti tolerujú. </w:t>
            </w:r>
          </w:p>
          <w:p w14:paraId="2D1E5909" w14:textId="77777777" w:rsidR="00657ACA" w:rsidRPr="0000591E" w:rsidRDefault="00657ACA" w:rsidP="00657ACA">
            <w:pPr>
              <w:ind w:left="360"/>
              <w:jc w:val="both"/>
              <w:rPr>
                <w:rFonts w:ascii="Arial" w:hAnsi="Arial" w:cs="Arial"/>
                <w:sz w:val="20"/>
                <w:szCs w:val="20"/>
              </w:rPr>
            </w:pPr>
          </w:p>
        </w:tc>
      </w:tr>
      <w:tr w:rsidR="00657ACA" w:rsidRPr="0000591E" w14:paraId="50ECD79A" w14:textId="77777777" w:rsidTr="003F7925">
        <w:trPr>
          <w:gridAfter w:val="2"/>
          <w:wAfter w:w="154" w:type="dxa"/>
          <w:trHeight w:val="20"/>
        </w:trPr>
        <w:tc>
          <w:tcPr>
            <w:tcW w:w="1256" w:type="dxa"/>
            <w:tcBorders>
              <w:bottom w:val="single" w:sz="4" w:space="0" w:color="auto"/>
            </w:tcBorders>
            <w:noWrap/>
            <w:vAlign w:val="center"/>
          </w:tcPr>
          <w:p w14:paraId="32E7C370" w14:textId="77777777" w:rsidR="00657ACA" w:rsidRDefault="00657ACA" w:rsidP="00657ACA">
            <w:pPr>
              <w:rPr>
                <w:rFonts w:ascii="Arial" w:hAnsi="Arial" w:cs="Arial"/>
                <w:b/>
                <w:bCs/>
                <w:sz w:val="20"/>
                <w:szCs w:val="20"/>
              </w:rPr>
            </w:pPr>
          </w:p>
          <w:p w14:paraId="53FD4142" w14:textId="77777777" w:rsidR="00657ACA" w:rsidRDefault="00657ACA" w:rsidP="00657ACA">
            <w:pPr>
              <w:rPr>
                <w:rFonts w:ascii="Arial" w:hAnsi="Arial" w:cs="Arial"/>
                <w:b/>
                <w:bCs/>
                <w:sz w:val="20"/>
                <w:szCs w:val="20"/>
              </w:rPr>
            </w:pPr>
          </w:p>
          <w:p w14:paraId="46F84479" w14:textId="48C8A20A" w:rsidR="00657ACA" w:rsidRPr="0000591E" w:rsidRDefault="00657ACA" w:rsidP="00657ACA">
            <w:pPr>
              <w:rPr>
                <w:rFonts w:ascii="Arial" w:hAnsi="Arial" w:cs="Arial"/>
                <w:b/>
                <w:bCs/>
                <w:sz w:val="20"/>
                <w:szCs w:val="20"/>
              </w:rPr>
            </w:pPr>
            <w:r w:rsidRPr="0000591E">
              <w:rPr>
                <w:rFonts w:ascii="Arial" w:hAnsi="Arial" w:cs="Arial"/>
                <w:b/>
                <w:bCs/>
                <w:sz w:val="20"/>
                <w:szCs w:val="20"/>
              </w:rPr>
              <w:t>C09CA06</w:t>
            </w:r>
          </w:p>
        </w:tc>
        <w:tc>
          <w:tcPr>
            <w:tcW w:w="9452" w:type="dxa"/>
            <w:tcBorders>
              <w:bottom w:val="single" w:sz="4" w:space="0" w:color="auto"/>
            </w:tcBorders>
            <w:noWrap/>
            <w:vAlign w:val="bottom"/>
          </w:tcPr>
          <w:p w14:paraId="3D67AAA1"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w:t>
            </w:r>
            <w:r w:rsidRPr="0000591E">
              <w:rPr>
                <w:rFonts w:ascii="Arial" w:hAnsi="Arial" w:cs="Arial"/>
                <w:b/>
                <w:bCs/>
                <w:sz w:val="20"/>
                <w:szCs w:val="20"/>
              </w:rPr>
              <w:t>andesartan p.o. 8 mg,</w:t>
            </w:r>
          </w:p>
          <w:p w14:paraId="4D09AE17"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w:t>
            </w:r>
            <w:r w:rsidRPr="0000591E">
              <w:rPr>
                <w:rFonts w:ascii="Arial" w:hAnsi="Arial" w:cs="Arial"/>
                <w:b/>
                <w:bCs/>
                <w:sz w:val="20"/>
                <w:szCs w:val="20"/>
              </w:rPr>
              <w:t>andesartan p.o. 16 mg,</w:t>
            </w:r>
          </w:p>
          <w:p w14:paraId="07688CC3"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w:t>
            </w:r>
            <w:r w:rsidRPr="0000591E">
              <w:rPr>
                <w:rFonts w:ascii="Arial" w:hAnsi="Arial" w:cs="Arial"/>
                <w:b/>
                <w:bCs/>
                <w:sz w:val="20"/>
                <w:szCs w:val="20"/>
              </w:rPr>
              <w:t xml:space="preserve">andesartan p.o. 32 mg </w:t>
            </w:r>
          </w:p>
        </w:tc>
      </w:tr>
      <w:tr w:rsidR="00657ACA" w:rsidRPr="0000591E" w14:paraId="09080F1B" w14:textId="77777777" w:rsidTr="003F7925">
        <w:trPr>
          <w:gridAfter w:val="2"/>
          <w:wAfter w:w="154" w:type="dxa"/>
          <w:trHeight w:val="20"/>
        </w:trPr>
        <w:tc>
          <w:tcPr>
            <w:tcW w:w="1256" w:type="dxa"/>
            <w:tcBorders>
              <w:top w:val="single" w:sz="4" w:space="0" w:color="auto"/>
            </w:tcBorders>
            <w:noWrap/>
            <w:vAlign w:val="bottom"/>
          </w:tcPr>
          <w:p w14:paraId="291802B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192D032B"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lang w:eastAsia="cs-CZ"/>
              </w:rPr>
              <w:t xml:space="preserve">Hradená liečba sa môže indikovať v súlade s indikáciami uvedenými v súhrne charakteristických vlastností lieku. V indikáciách, zhodných pre sartany aj ACE inhibítory, sa prednostne indikuje liečba ACE inhibítorom, ak ho pacienti tolerujú. </w:t>
            </w:r>
          </w:p>
          <w:p w14:paraId="6EDF568B" w14:textId="77777777" w:rsidR="00657ACA" w:rsidRPr="0000591E" w:rsidRDefault="00657ACA" w:rsidP="00657ACA">
            <w:pPr>
              <w:jc w:val="both"/>
              <w:rPr>
                <w:rFonts w:ascii="Arial" w:hAnsi="Arial" w:cs="Arial"/>
                <w:sz w:val="20"/>
                <w:szCs w:val="20"/>
                <w:lang w:eastAsia="cs-CZ"/>
              </w:rPr>
            </w:pPr>
          </w:p>
        </w:tc>
      </w:tr>
      <w:tr w:rsidR="00657ACA" w:rsidRPr="0000591E" w14:paraId="7C758652" w14:textId="77777777" w:rsidTr="003F7925">
        <w:trPr>
          <w:gridAfter w:val="2"/>
          <w:wAfter w:w="154" w:type="dxa"/>
          <w:trHeight w:val="20"/>
        </w:trPr>
        <w:tc>
          <w:tcPr>
            <w:tcW w:w="1256" w:type="dxa"/>
            <w:tcBorders>
              <w:bottom w:val="single" w:sz="4" w:space="0" w:color="auto"/>
            </w:tcBorders>
            <w:noWrap/>
            <w:vAlign w:val="bottom"/>
          </w:tcPr>
          <w:p w14:paraId="153834F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C09CA07</w:t>
            </w:r>
          </w:p>
        </w:tc>
        <w:tc>
          <w:tcPr>
            <w:tcW w:w="9452" w:type="dxa"/>
            <w:tcBorders>
              <w:bottom w:val="single" w:sz="4" w:space="0" w:color="auto"/>
            </w:tcBorders>
            <w:vAlign w:val="bottom"/>
          </w:tcPr>
          <w:p w14:paraId="2855678A" w14:textId="77777777" w:rsidR="00657ACA" w:rsidRPr="0000591E" w:rsidRDefault="00657ACA" w:rsidP="00657ACA">
            <w:pPr>
              <w:jc w:val="both"/>
              <w:rPr>
                <w:rFonts w:ascii="Arial" w:hAnsi="Arial" w:cs="Arial"/>
                <w:b/>
                <w:sz w:val="20"/>
                <w:szCs w:val="20"/>
              </w:rPr>
            </w:pPr>
            <w:r w:rsidRPr="0000591E">
              <w:rPr>
                <w:rFonts w:ascii="Arial" w:hAnsi="Arial" w:cs="Arial"/>
                <w:b/>
                <w:sz w:val="20"/>
                <w:szCs w:val="20"/>
              </w:rPr>
              <w:t xml:space="preserve">Telmisartan p.o. 40 mg, </w:t>
            </w:r>
          </w:p>
          <w:p w14:paraId="6F71D140" w14:textId="77777777" w:rsidR="00657ACA" w:rsidRPr="0000591E" w:rsidRDefault="00657ACA" w:rsidP="00657ACA">
            <w:pPr>
              <w:pStyle w:val="Nadpis2"/>
              <w:jc w:val="both"/>
            </w:pPr>
            <w:r w:rsidRPr="0000591E">
              <w:t>Telmisartan p.o. 80 mg</w:t>
            </w:r>
          </w:p>
        </w:tc>
      </w:tr>
      <w:tr w:rsidR="00657ACA" w:rsidRPr="0000591E" w14:paraId="410B8F84" w14:textId="77777777" w:rsidTr="003F7925">
        <w:trPr>
          <w:gridAfter w:val="2"/>
          <w:wAfter w:w="154" w:type="dxa"/>
          <w:trHeight w:val="20"/>
        </w:trPr>
        <w:tc>
          <w:tcPr>
            <w:tcW w:w="1256" w:type="dxa"/>
            <w:tcBorders>
              <w:top w:val="single" w:sz="4" w:space="0" w:color="auto"/>
            </w:tcBorders>
            <w:noWrap/>
            <w:vAlign w:val="bottom"/>
          </w:tcPr>
          <w:p w14:paraId="43AF049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3C54DEA2" w14:textId="77777777" w:rsidR="00657ACA" w:rsidRDefault="00657ACA" w:rsidP="00657ACA">
            <w:pPr>
              <w:jc w:val="both"/>
              <w:rPr>
                <w:rFonts w:ascii="Arial" w:hAnsi="Arial" w:cs="Arial"/>
                <w:sz w:val="20"/>
                <w:szCs w:val="20"/>
                <w:lang w:eastAsia="cs-CZ"/>
              </w:rPr>
            </w:pPr>
            <w:r w:rsidRPr="0000591E">
              <w:rPr>
                <w:rFonts w:ascii="Arial" w:hAnsi="Arial" w:cs="Arial"/>
                <w:sz w:val="20"/>
                <w:szCs w:val="20"/>
                <w:lang w:eastAsia="cs-CZ"/>
              </w:rPr>
              <w:t xml:space="preserve">Hradená liečba sa môže indikovať v súlade s indikáciami uvedenými v súhrne charakteristických vlastností lieku. V indikáciách zhodných pre sartany aj ACE inhibítory sa prednostne indikuje liečba ACE inhibítorom, ak ho pacienti tolerujú. </w:t>
            </w:r>
          </w:p>
          <w:p w14:paraId="020626CF" w14:textId="4B7E0364" w:rsidR="00657ACA" w:rsidRPr="0000591E" w:rsidRDefault="00657ACA" w:rsidP="00657ACA">
            <w:pPr>
              <w:jc w:val="both"/>
              <w:rPr>
                <w:rFonts w:ascii="Arial" w:hAnsi="Arial" w:cs="Arial"/>
                <w:sz w:val="20"/>
                <w:szCs w:val="20"/>
              </w:rPr>
            </w:pPr>
          </w:p>
        </w:tc>
      </w:tr>
      <w:tr w:rsidR="00657ACA" w:rsidRPr="0000591E" w14:paraId="0EA6DEA8" w14:textId="77777777" w:rsidTr="003F7925">
        <w:trPr>
          <w:gridAfter w:val="2"/>
          <w:wAfter w:w="154" w:type="dxa"/>
          <w:trHeight w:val="20"/>
        </w:trPr>
        <w:tc>
          <w:tcPr>
            <w:tcW w:w="1256" w:type="dxa"/>
            <w:tcBorders>
              <w:bottom w:val="single" w:sz="4" w:space="0" w:color="auto"/>
            </w:tcBorders>
            <w:noWrap/>
            <w:vAlign w:val="center"/>
          </w:tcPr>
          <w:p w14:paraId="0370AB02" w14:textId="77777777" w:rsidR="00657ACA" w:rsidRDefault="00657ACA" w:rsidP="00657ACA">
            <w:pPr>
              <w:rPr>
                <w:rFonts w:ascii="Arial" w:hAnsi="Arial" w:cs="Arial"/>
                <w:b/>
                <w:bCs/>
                <w:sz w:val="20"/>
                <w:szCs w:val="20"/>
              </w:rPr>
            </w:pPr>
          </w:p>
          <w:p w14:paraId="738D9D42" w14:textId="67D22209" w:rsidR="00657ACA" w:rsidRPr="0000591E" w:rsidRDefault="00657ACA" w:rsidP="00657ACA">
            <w:pPr>
              <w:rPr>
                <w:rFonts w:ascii="Arial" w:hAnsi="Arial" w:cs="Arial"/>
                <w:b/>
                <w:bCs/>
                <w:sz w:val="20"/>
                <w:szCs w:val="20"/>
              </w:rPr>
            </w:pPr>
            <w:r w:rsidRPr="0000591E">
              <w:rPr>
                <w:rFonts w:ascii="Arial" w:hAnsi="Arial" w:cs="Arial"/>
                <w:b/>
                <w:bCs/>
                <w:sz w:val="20"/>
                <w:szCs w:val="20"/>
              </w:rPr>
              <w:t>C09DA04</w:t>
            </w:r>
          </w:p>
        </w:tc>
        <w:tc>
          <w:tcPr>
            <w:tcW w:w="9452" w:type="dxa"/>
            <w:tcBorders>
              <w:bottom w:val="single" w:sz="4" w:space="0" w:color="auto"/>
            </w:tcBorders>
            <w:vAlign w:val="bottom"/>
          </w:tcPr>
          <w:p w14:paraId="1AD6E9C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Irbesartan a diuretiká p.o. 300/12,5 mg,</w:t>
            </w:r>
          </w:p>
          <w:p w14:paraId="41D4755A"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Irbesartan a diuretiká p.o. 300/25 mg</w:t>
            </w:r>
          </w:p>
        </w:tc>
      </w:tr>
      <w:tr w:rsidR="00657ACA" w:rsidRPr="0000591E" w14:paraId="3A9250AD" w14:textId="77777777" w:rsidTr="003F7925">
        <w:trPr>
          <w:gridAfter w:val="2"/>
          <w:wAfter w:w="154" w:type="dxa"/>
          <w:trHeight w:val="20"/>
        </w:trPr>
        <w:tc>
          <w:tcPr>
            <w:tcW w:w="1256" w:type="dxa"/>
            <w:tcBorders>
              <w:top w:val="single" w:sz="4" w:space="0" w:color="auto"/>
            </w:tcBorders>
            <w:noWrap/>
            <w:vAlign w:val="bottom"/>
          </w:tcPr>
          <w:p w14:paraId="32B8882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6C4C380D"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v súlade s indikáciami uvedenými v súhrne charakteristických vlastností lieku. V indikáciách zhodných pre sartany aj ACE inhibítory sa prednostne indikuje liečba ACE inhibítorom, ak ho pacienti tolerujú. </w:t>
            </w:r>
          </w:p>
          <w:p w14:paraId="430F3C8A" w14:textId="5659BFD5" w:rsidR="00657ACA" w:rsidRPr="0000591E" w:rsidRDefault="00657ACA" w:rsidP="00657ACA">
            <w:pPr>
              <w:jc w:val="both"/>
              <w:rPr>
                <w:rFonts w:ascii="Arial" w:hAnsi="Arial" w:cs="Arial"/>
                <w:sz w:val="20"/>
                <w:szCs w:val="20"/>
              </w:rPr>
            </w:pPr>
          </w:p>
        </w:tc>
      </w:tr>
      <w:tr w:rsidR="00657ACA" w:rsidRPr="0000591E" w14:paraId="2D2384C5" w14:textId="77777777" w:rsidTr="003F7925">
        <w:trPr>
          <w:gridAfter w:val="2"/>
          <w:wAfter w:w="154" w:type="dxa"/>
          <w:trHeight w:val="20"/>
        </w:trPr>
        <w:tc>
          <w:tcPr>
            <w:tcW w:w="1256" w:type="dxa"/>
            <w:tcBorders>
              <w:bottom w:val="single" w:sz="4" w:space="0" w:color="auto"/>
            </w:tcBorders>
            <w:noWrap/>
            <w:vAlign w:val="bottom"/>
          </w:tcPr>
          <w:p w14:paraId="1A2DCED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C09DA06</w:t>
            </w:r>
          </w:p>
        </w:tc>
        <w:tc>
          <w:tcPr>
            <w:tcW w:w="9452" w:type="dxa"/>
            <w:tcBorders>
              <w:bottom w:val="single" w:sz="4" w:space="0" w:color="auto"/>
            </w:tcBorders>
            <w:noWrap/>
            <w:vAlign w:val="bottom"/>
          </w:tcPr>
          <w:p w14:paraId="6A641D30" w14:textId="77777777" w:rsidR="00657ACA" w:rsidRDefault="00657ACA" w:rsidP="00657ACA">
            <w:pPr>
              <w:jc w:val="both"/>
              <w:rPr>
                <w:rFonts w:ascii="Arial" w:hAnsi="Arial" w:cs="Arial"/>
                <w:b/>
                <w:bCs/>
                <w:sz w:val="20"/>
                <w:szCs w:val="20"/>
              </w:rPr>
            </w:pPr>
            <w:r>
              <w:rPr>
                <w:rFonts w:ascii="Arial" w:hAnsi="Arial" w:cs="Arial"/>
                <w:b/>
                <w:bCs/>
                <w:sz w:val="20"/>
                <w:szCs w:val="20"/>
              </w:rPr>
              <w:t>Kandesartan a diuretiká p.o. 8/12,5 mg,</w:t>
            </w:r>
          </w:p>
          <w:p w14:paraId="1DC09E8B" w14:textId="77777777" w:rsidR="00657ACA" w:rsidRDefault="00657ACA" w:rsidP="00657ACA">
            <w:pPr>
              <w:jc w:val="both"/>
              <w:rPr>
                <w:rFonts w:ascii="Arial" w:hAnsi="Arial" w:cs="Arial"/>
                <w:b/>
                <w:bCs/>
                <w:sz w:val="20"/>
                <w:szCs w:val="20"/>
              </w:rPr>
            </w:pPr>
            <w:r>
              <w:rPr>
                <w:rFonts w:ascii="Arial" w:hAnsi="Arial" w:cs="Arial"/>
                <w:b/>
                <w:bCs/>
                <w:sz w:val="20"/>
                <w:szCs w:val="20"/>
              </w:rPr>
              <w:t>K</w:t>
            </w:r>
            <w:r w:rsidRPr="0000591E">
              <w:rPr>
                <w:rFonts w:ascii="Arial" w:hAnsi="Arial" w:cs="Arial"/>
                <w:b/>
                <w:bCs/>
                <w:sz w:val="20"/>
                <w:szCs w:val="20"/>
              </w:rPr>
              <w:t>andesartan a diuretiká p.o. 16/12,5 mg,</w:t>
            </w:r>
          </w:p>
          <w:p w14:paraId="018F07C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Kandesartan a diuretiká p.o. 32/12,</w:t>
            </w:r>
            <w:r w:rsidRPr="0000591E">
              <w:rPr>
                <w:rFonts w:ascii="Arial" w:hAnsi="Arial" w:cs="Arial"/>
                <w:b/>
                <w:bCs/>
                <w:sz w:val="20"/>
                <w:szCs w:val="20"/>
              </w:rPr>
              <w:t>5 mg</w:t>
            </w:r>
          </w:p>
          <w:p w14:paraId="67290EA4"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w:t>
            </w:r>
            <w:r w:rsidRPr="0000591E">
              <w:rPr>
                <w:rFonts w:ascii="Arial" w:hAnsi="Arial" w:cs="Arial"/>
                <w:b/>
                <w:bCs/>
                <w:sz w:val="20"/>
                <w:szCs w:val="20"/>
              </w:rPr>
              <w:t>andesartan a diuretiká p.o. 32/25 mg</w:t>
            </w:r>
          </w:p>
        </w:tc>
      </w:tr>
      <w:tr w:rsidR="00657ACA" w:rsidRPr="0000591E" w14:paraId="5EFDB9B8" w14:textId="77777777" w:rsidTr="003F7925">
        <w:trPr>
          <w:gridAfter w:val="2"/>
          <w:wAfter w:w="154" w:type="dxa"/>
          <w:trHeight w:val="20"/>
        </w:trPr>
        <w:tc>
          <w:tcPr>
            <w:tcW w:w="1256" w:type="dxa"/>
            <w:tcBorders>
              <w:top w:val="single" w:sz="4" w:space="0" w:color="auto"/>
            </w:tcBorders>
            <w:noWrap/>
            <w:vAlign w:val="bottom"/>
          </w:tcPr>
          <w:p w14:paraId="46A93AA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653CF921"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rPr>
              <w:t xml:space="preserve">Hradená liečba sa môže indikovať v súlade s indikáciami uvedenými v súhrne charakteristických vlastností lieku. V indikáciách zhodných pre sartany aj ACE inhibítory sa prednostne indikuje liečba ACE inhibítorom, ak ho pacienti tolerujú. </w:t>
            </w:r>
          </w:p>
          <w:p w14:paraId="6F2E519C" w14:textId="77777777" w:rsidR="00657ACA" w:rsidRPr="0000591E" w:rsidRDefault="00657ACA" w:rsidP="00657ACA">
            <w:pPr>
              <w:jc w:val="both"/>
              <w:rPr>
                <w:rFonts w:ascii="Arial" w:hAnsi="Arial" w:cs="Arial"/>
                <w:sz w:val="20"/>
                <w:szCs w:val="20"/>
              </w:rPr>
            </w:pPr>
          </w:p>
        </w:tc>
      </w:tr>
      <w:tr w:rsidR="00657ACA" w:rsidRPr="0000591E" w14:paraId="5DFAFCEC" w14:textId="77777777" w:rsidTr="003F7925">
        <w:trPr>
          <w:gridAfter w:val="2"/>
          <w:wAfter w:w="154" w:type="dxa"/>
          <w:trHeight w:val="20"/>
        </w:trPr>
        <w:tc>
          <w:tcPr>
            <w:tcW w:w="1256" w:type="dxa"/>
            <w:tcBorders>
              <w:bottom w:val="single" w:sz="4" w:space="0" w:color="auto"/>
            </w:tcBorders>
            <w:noWrap/>
            <w:vAlign w:val="center"/>
          </w:tcPr>
          <w:p w14:paraId="36E6E501" w14:textId="77777777" w:rsidR="00657ACA" w:rsidRDefault="00657ACA" w:rsidP="00657ACA">
            <w:pPr>
              <w:rPr>
                <w:rFonts w:ascii="Arial" w:hAnsi="Arial" w:cs="Arial"/>
                <w:b/>
                <w:bCs/>
                <w:sz w:val="20"/>
                <w:szCs w:val="20"/>
              </w:rPr>
            </w:pPr>
          </w:p>
          <w:p w14:paraId="3A5CEA83" w14:textId="77777777" w:rsidR="00657ACA" w:rsidRDefault="00657ACA" w:rsidP="00657ACA">
            <w:pPr>
              <w:rPr>
                <w:rFonts w:ascii="Arial" w:hAnsi="Arial" w:cs="Arial"/>
                <w:b/>
                <w:bCs/>
                <w:sz w:val="20"/>
                <w:szCs w:val="20"/>
              </w:rPr>
            </w:pPr>
          </w:p>
          <w:p w14:paraId="01BC1432" w14:textId="77777777" w:rsidR="00657ACA" w:rsidRDefault="00657ACA" w:rsidP="00657ACA">
            <w:pPr>
              <w:rPr>
                <w:rFonts w:ascii="Arial" w:hAnsi="Arial" w:cs="Arial"/>
                <w:b/>
                <w:bCs/>
                <w:sz w:val="20"/>
                <w:szCs w:val="20"/>
              </w:rPr>
            </w:pPr>
          </w:p>
          <w:p w14:paraId="2C799192" w14:textId="77777777" w:rsidR="00657ACA" w:rsidRDefault="00657ACA" w:rsidP="00657ACA">
            <w:pPr>
              <w:rPr>
                <w:rFonts w:ascii="Arial" w:hAnsi="Arial" w:cs="Arial"/>
                <w:b/>
                <w:bCs/>
                <w:sz w:val="20"/>
                <w:szCs w:val="20"/>
              </w:rPr>
            </w:pPr>
          </w:p>
          <w:p w14:paraId="46CA9EFC" w14:textId="1CF635C5" w:rsidR="00657ACA" w:rsidRPr="0000591E" w:rsidRDefault="00657ACA" w:rsidP="00657ACA">
            <w:pPr>
              <w:rPr>
                <w:rFonts w:ascii="Arial" w:hAnsi="Arial" w:cs="Arial"/>
                <w:b/>
                <w:bCs/>
                <w:sz w:val="20"/>
                <w:szCs w:val="20"/>
              </w:rPr>
            </w:pPr>
            <w:r w:rsidRPr="0000591E">
              <w:rPr>
                <w:rFonts w:ascii="Arial" w:hAnsi="Arial" w:cs="Arial"/>
                <w:b/>
                <w:bCs/>
                <w:sz w:val="20"/>
                <w:szCs w:val="20"/>
              </w:rPr>
              <w:t>C09DA07</w:t>
            </w:r>
          </w:p>
        </w:tc>
        <w:tc>
          <w:tcPr>
            <w:tcW w:w="9452" w:type="dxa"/>
            <w:tcBorders>
              <w:bottom w:val="single" w:sz="4" w:space="0" w:color="auto"/>
            </w:tcBorders>
            <w:noWrap/>
            <w:vAlign w:val="bottom"/>
          </w:tcPr>
          <w:p w14:paraId="66420CE6"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Telmisartan a diuretiká p.o.</w:t>
            </w:r>
            <w:r>
              <w:rPr>
                <w:rFonts w:ascii="Arial" w:hAnsi="Arial" w:cs="Arial"/>
                <w:b/>
                <w:bCs/>
                <w:sz w:val="20"/>
                <w:szCs w:val="20"/>
              </w:rPr>
              <w:t xml:space="preserve"> 40 mg/1,5 mg,</w:t>
            </w:r>
            <w:r w:rsidRPr="0000591E">
              <w:rPr>
                <w:rFonts w:ascii="Arial" w:hAnsi="Arial" w:cs="Arial"/>
                <w:b/>
                <w:bCs/>
                <w:sz w:val="20"/>
                <w:szCs w:val="20"/>
              </w:rPr>
              <w:t xml:space="preserve"> </w:t>
            </w:r>
          </w:p>
          <w:p w14:paraId="0EF5CE37"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Telmisartan a diuretiká p.o.</w:t>
            </w:r>
            <w:r>
              <w:rPr>
                <w:rFonts w:ascii="Arial" w:hAnsi="Arial" w:cs="Arial"/>
                <w:b/>
                <w:bCs/>
                <w:sz w:val="20"/>
                <w:szCs w:val="20"/>
              </w:rPr>
              <w:t xml:space="preserve"> 80 mg/1,5 mg,</w:t>
            </w:r>
          </w:p>
          <w:p w14:paraId="06F4D4B9"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Telmisartan a diuretiká p.o.</w:t>
            </w:r>
            <w:r>
              <w:rPr>
                <w:rFonts w:ascii="Arial" w:hAnsi="Arial" w:cs="Arial"/>
                <w:b/>
                <w:bCs/>
                <w:sz w:val="20"/>
                <w:szCs w:val="20"/>
              </w:rPr>
              <w:t xml:space="preserve"> 80 mg/2,5 mg,</w:t>
            </w:r>
          </w:p>
          <w:p w14:paraId="79916E4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Telmisartan a diuretiká p.o. 80/12,5 mg, </w:t>
            </w:r>
          </w:p>
          <w:p w14:paraId="5B40BF6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Telmisartan a diuretiká p.o. 80/25 mg </w:t>
            </w:r>
          </w:p>
        </w:tc>
      </w:tr>
      <w:tr w:rsidR="00657ACA" w:rsidRPr="0000591E" w14:paraId="6029EE98" w14:textId="77777777" w:rsidTr="003F7925">
        <w:trPr>
          <w:gridAfter w:val="2"/>
          <w:wAfter w:w="154" w:type="dxa"/>
          <w:trHeight w:val="20"/>
        </w:trPr>
        <w:tc>
          <w:tcPr>
            <w:tcW w:w="1256" w:type="dxa"/>
            <w:tcBorders>
              <w:top w:val="single" w:sz="4" w:space="0" w:color="auto"/>
            </w:tcBorders>
            <w:noWrap/>
            <w:vAlign w:val="center"/>
          </w:tcPr>
          <w:p w14:paraId="00C5E046"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42399E8B"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rPr>
              <w:t xml:space="preserve">Hradená liečba sa môže indikovať v súlade s indikáciami uvedenými v súhrne charakteristických vlastností lieku. V indikáciách zhodných pre sartany aj ACE inhibítory sa prednostne indikuje liečba ACE inhibítorom, ak ho pacienti tolerujú. </w:t>
            </w:r>
          </w:p>
          <w:p w14:paraId="37840E6B" w14:textId="77777777" w:rsidR="00657ACA" w:rsidRPr="0000591E" w:rsidRDefault="00657ACA" w:rsidP="00657ACA">
            <w:pPr>
              <w:jc w:val="both"/>
              <w:rPr>
                <w:rFonts w:ascii="Arial" w:hAnsi="Arial" w:cs="Arial"/>
                <w:b/>
                <w:bCs/>
                <w:sz w:val="20"/>
                <w:szCs w:val="20"/>
              </w:rPr>
            </w:pPr>
          </w:p>
        </w:tc>
      </w:tr>
      <w:tr w:rsidR="00657ACA" w:rsidRPr="0000591E" w14:paraId="4AA39521" w14:textId="77777777" w:rsidTr="003F7925">
        <w:trPr>
          <w:gridAfter w:val="2"/>
          <w:wAfter w:w="154" w:type="dxa"/>
          <w:trHeight w:val="20"/>
        </w:trPr>
        <w:tc>
          <w:tcPr>
            <w:tcW w:w="1256" w:type="dxa"/>
            <w:tcBorders>
              <w:bottom w:val="single" w:sz="4" w:space="0" w:color="auto"/>
            </w:tcBorders>
            <w:noWrap/>
            <w:vAlign w:val="bottom"/>
          </w:tcPr>
          <w:p w14:paraId="43B3214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C09DX</w:t>
            </w:r>
            <w:r w:rsidRPr="0000591E">
              <w:rPr>
                <w:rFonts w:ascii="Arial" w:hAnsi="Arial" w:cs="Arial"/>
                <w:b/>
                <w:bCs/>
                <w:sz w:val="20"/>
                <w:szCs w:val="20"/>
              </w:rPr>
              <w:t>04</w:t>
            </w:r>
          </w:p>
        </w:tc>
        <w:tc>
          <w:tcPr>
            <w:tcW w:w="9452" w:type="dxa"/>
            <w:tcBorders>
              <w:bottom w:val="single" w:sz="4" w:space="0" w:color="auto"/>
            </w:tcBorders>
            <w:noWrap/>
            <w:vAlign w:val="bottom"/>
          </w:tcPr>
          <w:p w14:paraId="4A0F5A88" w14:textId="77777777" w:rsidR="00657ACA" w:rsidRDefault="00657ACA" w:rsidP="00657ACA">
            <w:pPr>
              <w:jc w:val="both"/>
              <w:rPr>
                <w:rFonts w:ascii="Arial" w:hAnsi="Arial" w:cs="Arial"/>
                <w:b/>
                <w:sz w:val="20"/>
                <w:szCs w:val="20"/>
              </w:rPr>
            </w:pPr>
            <w:r w:rsidRPr="00B623E4">
              <w:rPr>
                <w:rFonts w:ascii="Arial" w:hAnsi="Arial" w:cs="Arial"/>
                <w:b/>
                <w:sz w:val="20"/>
                <w:szCs w:val="20"/>
              </w:rPr>
              <w:t>Valsartan a sakubitril p.o. 24/26 mg</w:t>
            </w:r>
            <w:r w:rsidRPr="0000591E">
              <w:rPr>
                <w:rFonts w:ascii="Arial" w:hAnsi="Arial" w:cs="Arial"/>
                <w:b/>
                <w:sz w:val="20"/>
                <w:szCs w:val="20"/>
              </w:rPr>
              <w:t>,</w:t>
            </w:r>
          </w:p>
          <w:p w14:paraId="4A10FBC8" w14:textId="77777777" w:rsidR="00657ACA" w:rsidRDefault="00657ACA" w:rsidP="00657ACA">
            <w:pPr>
              <w:jc w:val="both"/>
              <w:rPr>
                <w:rFonts w:ascii="Arial" w:hAnsi="Arial" w:cs="Arial"/>
                <w:b/>
                <w:sz w:val="20"/>
                <w:szCs w:val="20"/>
              </w:rPr>
            </w:pPr>
            <w:r w:rsidRPr="00536ECE">
              <w:rPr>
                <w:rFonts w:ascii="Arial" w:hAnsi="Arial" w:cs="Arial"/>
                <w:b/>
                <w:sz w:val="20"/>
                <w:szCs w:val="20"/>
              </w:rPr>
              <w:t>Valsartan a sakubitril p.o. 49/51 mg</w:t>
            </w:r>
            <w:r>
              <w:rPr>
                <w:rFonts w:ascii="Arial" w:hAnsi="Arial" w:cs="Arial"/>
                <w:b/>
                <w:sz w:val="20"/>
                <w:szCs w:val="20"/>
              </w:rPr>
              <w:t>,</w:t>
            </w:r>
          </w:p>
          <w:p w14:paraId="08980279" w14:textId="77777777" w:rsidR="00657ACA" w:rsidRPr="0000591E" w:rsidRDefault="00657ACA" w:rsidP="00657ACA">
            <w:pPr>
              <w:jc w:val="both"/>
              <w:rPr>
                <w:rFonts w:ascii="Arial" w:hAnsi="Arial" w:cs="Arial"/>
                <w:b/>
                <w:sz w:val="20"/>
                <w:szCs w:val="20"/>
              </w:rPr>
            </w:pPr>
            <w:r w:rsidRPr="00B623E4">
              <w:rPr>
                <w:rFonts w:ascii="Arial" w:hAnsi="Arial" w:cs="Arial"/>
                <w:b/>
                <w:sz w:val="20"/>
                <w:szCs w:val="20"/>
              </w:rPr>
              <w:lastRenderedPageBreak/>
              <w:t>Valsartan a sakubitril p.o. 97/103 mg</w:t>
            </w:r>
          </w:p>
        </w:tc>
      </w:tr>
      <w:tr w:rsidR="00657ACA" w:rsidRPr="0000591E" w14:paraId="38939FA3" w14:textId="77777777" w:rsidTr="003F7925">
        <w:trPr>
          <w:gridAfter w:val="2"/>
          <w:wAfter w:w="154" w:type="dxa"/>
          <w:trHeight w:val="20"/>
        </w:trPr>
        <w:tc>
          <w:tcPr>
            <w:tcW w:w="1256" w:type="dxa"/>
            <w:tcBorders>
              <w:top w:val="single" w:sz="4" w:space="0" w:color="auto"/>
            </w:tcBorders>
            <w:noWrap/>
            <w:vAlign w:val="bottom"/>
          </w:tcPr>
          <w:p w14:paraId="009CDD2C"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CDD8DB8" w14:textId="77777777" w:rsidR="00657ACA" w:rsidRPr="00B623E4" w:rsidRDefault="00657ACA" w:rsidP="00657ACA">
            <w:pPr>
              <w:jc w:val="both"/>
              <w:rPr>
                <w:rFonts w:ascii="Arial" w:hAnsi="Arial" w:cs="Arial"/>
                <w:sz w:val="20"/>
                <w:szCs w:val="20"/>
              </w:rPr>
            </w:pPr>
            <w:r w:rsidRPr="00B623E4">
              <w:rPr>
                <w:rFonts w:ascii="Arial" w:hAnsi="Arial" w:cs="Arial"/>
                <w:sz w:val="20"/>
                <w:szCs w:val="20"/>
              </w:rPr>
              <w:t>Hradená liečba sa môže indikovať u dospelých pacientov so symptomatickým chronickým srdcovým zlyhávaním pri splnení nasledujúcich kritérií:</w:t>
            </w:r>
          </w:p>
          <w:p w14:paraId="7A92902D" w14:textId="77777777" w:rsidR="00657ACA" w:rsidRPr="00B623E4" w:rsidRDefault="00657ACA">
            <w:pPr>
              <w:numPr>
                <w:ilvl w:val="0"/>
                <w:numId w:val="92"/>
              </w:numPr>
              <w:jc w:val="both"/>
              <w:rPr>
                <w:rFonts w:ascii="Arial" w:hAnsi="Arial" w:cs="Arial"/>
                <w:sz w:val="20"/>
                <w:szCs w:val="20"/>
              </w:rPr>
            </w:pPr>
            <w:r w:rsidRPr="00B623E4">
              <w:rPr>
                <w:rFonts w:ascii="Arial" w:hAnsi="Arial" w:cs="Arial"/>
                <w:sz w:val="20"/>
                <w:szCs w:val="20"/>
              </w:rPr>
              <w:t xml:space="preserve">ejekčná frakcia ľavej komory ≤ </w:t>
            </w:r>
            <w:r>
              <w:rPr>
                <w:rFonts w:ascii="Arial" w:hAnsi="Arial" w:cs="Arial"/>
                <w:sz w:val="20"/>
                <w:szCs w:val="20"/>
              </w:rPr>
              <w:t>40</w:t>
            </w:r>
            <w:r w:rsidRPr="00B623E4">
              <w:rPr>
                <w:rFonts w:ascii="Arial" w:hAnsi="Arial" w:cs="Arial"/>
                <w:sz w:val="20"/>
                <w:szCs w:val="20"/>
              </w:rPr>
              <w:t xml:space="preserve"> %,</w:t>
            </w:r>
          </w:p>
          <w:p w14:paraId="63B20CDD" w14:textId="77777777" w:rsidR="00657ACA" w:rsidRPr="00B623E4" w:rsidRDefault="00657ACA">
            <w:pPr>
              <w:numPr>
                <w:ilvl w:val="0"/>
                <w:numId w:val="92"/>
              </w:numPr>
              <w:jc w:val="both"/>
              <w:rPr>
                <w:rFonts w:ascii="Arial" w:hAnsi="Arial" w:cs="Arial"/>
                <w:sz w:val="20"/>
                <w:szCs w:val="20"/>
              </w:rPr>
            </w:pPr>
            <w:r w:rsidRPr="00B623E4">
              <w:rPr>
                <w:rFonts w:ascii="Arial" w:hAnsi="Arial" w:cs="Arial"/>
                <w:sz w:val="20"/>
                <w:szCs w:val="20"/>
              </w:rPr>
              <w:t>symptomatické srdcové zlyhávanie funkčnej triedy II a III podľa NYHA,</w:t>
            </w:r>
          </w:p>
          <w:p w14:paraId="40A45BEB" w14:textId="77777777" w:rsidR="00657ACA" w:rsidRDefault="00657ACA">
            <w:pPr>
              <w:numPr>
                <w:ilvl w:val="0"/>
                <w:numId w:val="92"/>
              </w:numPr>
              <w:jc w:val="both"/>
              <w:rPr>
                <w:rFonts w:ascii="Arial" w:hAnsi="Arial" w:cs="Arial"/>
                <w:sz w:val="20"/>
                <w:szCs w:val="20"/>
              </w:rPr>
            </w:pPr>
            <w:r w:rsidRPr="00B623E4">
              <w:rPr>
                <w:rFonts w:ascii="Arial" w:hAnsi="Arial" w:cs="Arial"/>
                <w:sz w:val="20"/>
                <w:szCs w:val="20"/>
              </w:rPr>
              <w:t>predchádzajúca liečba RAS inhibítorom (ACEI alebo ARB) v trvaní minimálne 4 týždne,</w:t>
            </w:r>
          </w:p>
          <w:p w14:paraId="7C6713D8" w14:textId="77777777" w:rsidR="00657ACA" w:rsidRPr="00B623E4" w:rsidRDefault="00657ACA">
            <w:pPr>
              <w:numPr>
                <w:ilvl w:val="0"/>
                <w:numId w:val="92"/>
              </w:numPr>
              <w:jc w:val="both"/>
              <w:rPr>
                <w:rFonts w:ascii="Arial" w:hAnsi="Arial" w:cs="Arial"/>
                <w:sz w:val="20"/>
                <w:szCs w:val="20"/>
              </w:rPr>
            </w:pPr>
            <w:r w:rsidRPr="00B623E4">
              <w:rPr>
                <w:rFonts w:ascii="Arial" w:hAnsi="Arial" w:cs="Arial"/>
                <w:sz w:val="20"/>
                <w:szCs w:val="20"/>
              </w:rPr>
              <w:t>napriek liečbe pretrvávajú symptómy srdcového zlyhávania (definované ako znaky a príznaky v odporúčaniach Európskej kardiologickej spoločnosti).</w:t>
            </w:r>
          </w:p>
          <w:p w14:paraId="08D6EECB" w14:textId="53B03DE0" w:rsidR="00657ACA" w:rsidRPr="0000591E" w:rsidRDefault="00657ACA" w:rsidP="00657ACA">
            <w:pPr>
              <w:rPr>
                <w:rFonts w:ascii="Arial" w:hAnsi="Arial" w:cs="Arial"/>
                <w:b/>
                <w:sz w:val="20"/>
                <w:szCs w:val="20"/>
              </w:rPr>
            </w:pPr>
          </w:p>
        </w:tc>
      </w:tr>
      <w:tr w:rsidR="00657ACA" w:rsidRPr="0000591E" w14:paraId="320E39E6" w14:textId="77777777" w:rsidTr="003F7925">
        <w:trPr>
          <w:gridAfter w:val="2"/>
          <w:wAfter w:w="154" w:type="dxa"/>
          <w:trHeight w:val="20"/>
        </w:trPr>
        <w:tc>
          <w:tcPr>
            <w:tcW w:w="1256" w:type="dxa"/>
            <w:tcBorders>
              <w:bottom w:val="single" w:sz="4" w:space="0" w:color="auto"/>
            </w:tcBorders>
            <w:noWrap/>
            <w:vAlign w:val="bottom"/>
          </w:tcPr>
          <w:p w14:paraId="12600B68"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C10AX13</w:t>
            </w:r>
          </w:p>
        </w:tc>
        <w:tc>
          <w:tcPr>
            <w:tcW w:w="9452" w:type="dxa"/>
            <w:tcBorders>
              <w:bottom w:val="single" w:sz="4" w:space="0" w:color="auto"/>
            </w:tcBorders>
            <w:vAlign w:val="bottom"/>
          </w:tcPr>
          <w:p w14:paraId="09A24A6F" w14:textId="77777777" w:rsidR="00657ACA" w:rsidRPr="0000591E" w:rsidRDefault="00657ACA" w:rsidP="00657ACA">
            <w:pPr>
              <w:jc w:val="both"/>
              <w:rPr>
                <w:rFonts w:ascii="Arial" w:hAnsi="Arial" w:cs="Arial"/>
                <w:b/>
                <w:bCs/>
                <w:sz w:val="20"/>
                <w:szCs w:val="20"/>
              </w:rPr>
            </w:pPr>
            <w:r w:rsidRPr="000A4741">
              <w:rPr>
                <w:rFonts w:ascii="Arial" w:hAnsi="Arial" w:cs="Arial"/>
                <w:b/>
                <w:bCs/>
                <w:sz w:val="20"/>
                <w:szCs w:val="20"/>
              </w:rPr>
              <w:t>Evolokumab s. c. 140 mg</w:t>
            </w:r>
          </w:p>
        </w:tc>
      </w:tr>
      <w:tr w:rsidR="00657ACA" w:rsidRPr="0000591E" w14:paraId="2A119C54" w14:textId="77777777" w:rsidTr="003F7925">
        <w:trPr>
          <w:gridAfter w:val="2"/>
          <w:wAfter w:w="154" w:type="dxa"/>
          <w:trHeight w:val="20"/>
        </w:trPr>
        <w:tc>
          <w:tcPr>
            <w:tcW w:w="1256" w:type="dxa"/>
            <w:tcBorders>
              <w:top w:val="single" w:sz="4" w:space="0" w:color="auto"/>
            </w:tcBorders>
            <w:noWrap/>
            <w:vAlign w:val="bottom"/>
          </w:tcPr>
          <w:p w14:paraId="66D00185" w14:textId="77777777" w:rsidR="00657ACA" w:rsidRPr="0000591E" w:rsidRDefault="00657ACA" w:rsidP="00657ACA">
            <w:pPr>
              <w:jc w:val="both"/>
              <w:rPr>
                <w:rFonts w:ascii="Arial" w:hAnsi="Arial" w:cs="Arial"/>
                <w:sz w:val="20"/>
                <w:szCs w:val="20"/>
              </w:rPr>
            </w:pPr>
          </w:p>
          <w:p w14:paraId="54D74AC5" w14:textId="77777777" w:rsidR="00657ACA" w:rsidRPr="0000591E" w:rsidRDefault="00657ACA" w:rsidP="00657ACA">
            <w:pPr>
              <w:jc w:val="both"/>
              <w:rPr>
                <w:rFonts w:ascii="Arial" w:hAnsi="Arial" w:cs="Arial"/>
                <w:sz w:val="20"/>
                <w:szCs w:val="20"/>
              </w:rPr>
            </w:pPr>
          </w:p>
          <w:p w14:paraId="625C4048" w14:textId="77777777" w:rsidR="00657ACA" w:rsidRPr="0000591E" w:rsidRDefault="00657ACA" w:rsidP="00657ACA">
            <w:pPr>
              <w:jc w:val="both"/>
              <w:rPr>
                <w:rFonts w:ascii="Arial" w:hAnsi="Arial" w:cs="Arial"/>
                <w:sz w:val="20"/>
                <w:szCs w:val="20"/>
              </w:rPr>
            </w:pPr>
          </w:p>
          <w:p w14:paraId="081AE666" w14:textId="77777777" w:rsidR="00657ACA" w:rsidRPr="0000591E" w:rsidRDefault="00657ACA" w:rsidP="00657ACA">
            <w:pPr>
              <w:jc w:val="both"/>
              <w:rPr>
                <w:rFonts w:ascii="Arial" w:hAnsi="Arial" w:cs="Arial"/>
                <w:sz w:val="20"/>
                <w:szCs w:val="20"/>
              </w:rPr>
            </w:pPr>
          </w:p>
          <w:p w14:paraId="0B057B2C" w14:textId="77777777" w:rsidR="00657ACA" w:rsidRPr="0000591E" w:rsidRDefault="00657ACA" w:rsidP="00657ACA">
            <w:pPr>
              <w:jc w:val="both"/>
              <w:rPr>
                <w:rFonts w:ascii="Arial" w:hAnsi="Arial" w:cs="Arial"/>
                <w:sz w:val="20"/>
                <w:szCs w:val="20"/>
              </w:rPr>
            </w:pPr>
          </w:p>
          <w:p w14:paraId="6C530F96" w14:textId="77777777" w:rsidR="00657ACA" w:rsidRPr="0000591E" w:rsidRDefault="00657ACA" w:rsidP="00657ACA">
            <w:pPr>
              <w:jc w:val="both"/>
              <w:rPr>
                <w:rFonts w:ascii="Arial" w:hAnsi="Arial" w:cs="Arial"/>
                <w:sz w:val="20"/>
                <w:szCs w:val="20"/>
              </w:rPr>
            </w:pPr>
          </w:p>
          <w:p w14:paraId="4989EE12" w14:textId="77777777" w:rsidR="00657ACA" w:rsidRPr="0000591E" w:rsidRDefault="00657ACA" w:rsidP="00657ACA">
            <w:pPr>
              <w:jc w:val="both"/>
              <w:rPr>
                <w:rFonts w:ascii="Arial" w:hAnsi="Arial" w:cs="Arial"/>
                <w:sz w:val="20"/>
                <w:szCs w:val="20"/>
              </w:rPr>
            </w:pPr>
          </w:p>
          <w:p w14:paraId="4B7EF6B0" w14:textId="77777777" w:rsidR="00657ACA" w:rsidRPr="0000591E" w:rsidRDefault="00657ACA" w:rsidP="00657ACA">
            <w:pPr>
              <w:jc w:val="both"/>
              <w:rPr>
                <w:rFonts w:ascii="Arial" w:hAnsi="Arial" w:cs="Arial"/>
                <w:sz w:val="20"/>
                <w:szCs w:val="20"/>
              </w:rPr>
            </w:pPr>
          </w:p>
          <w:p w14:paraId="60CAA915" w14:textId="77777777" w:rsidR="00657ACA" w:rsidRPr="0000591E" w:rsidRDefault="00657ACA" w:rsidP="00657ACA">
            <w:pPr>
              <w:jc w:val="both"/>
              <w:rPr>
                <w:rFonts w:ascii="Arial" w:hAnsi="Arial" w:cs="Arial"/>
                <w:sz w:val="20"/>
                <w:szCs w:val="20"/>
              </w:rPr>
            </w:pPr>
          </w:p>
          <w:p w14:paraId="59C58117" w14:textId="77777777" w:rsidR="00657ACA" w:rsidRPr="0000591E" w:rsidRDefault="00657ACA" w:rsidP="00657ACA">
            <w:pPr>
              <w:jc w:val="both"/>
              <w:rPr>
                <w:rFonts w:ascii="Arial" w:hAnsi="Arial" w:cs="Arial"/>
                <w:sz w:val="20"/>
                <w:szCs w:val="20"/>
              </w:rPr>
            </w:pPr>
          </w:p>
          <w:p w14:paraId="08F62FD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67970953"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Hradená liečba sa môže indikovať u pacientov po zlyhaní hypolipidemickej liečby v maximálnych tolerovaných dávkach v trvaní minimálne sedem mesiacov (šesť mesiacov liečby statínom a jeden mesiac liečby ezetimibom) alebo v trvaní minimálne jeden mesiac s ezetimibom u pacientov s dokumentovanou intoleranciou alebo kontraindikáciou na statíny:</w:t>
            </w:r>
          </w:p>
          <w:p w14:paraId="284D9F67" w14:textId="77777777" w:rsidR="00657ACA" w:rsidRPr="00B6042D" w:rsidRDefault="00657ACA">
            <w:pPr>
              <w:numPr>
                <w:ilvl w:val="0"/>
                <w:numId w:val="105"/>
              </w:numPr>
              <w:jc w:val="both"/>
              <w:rPr>
                <w:rFonts w:ascii="Arial" w:hAnsi="Arial" w:cs="Arial"/>
                <w:bCs/>
                <w:sz w:val="20"/>
                <w:szCs w:val="20"/>
              </w:rPr>
            </w:pPr>
            <w:r w:rsidRPr="00B6042D">
              <w:rPr>
                <w:rFonts w:ascii="Arial" w:hAnsi="Arial" w:cs="Arial"/>
                <w:bCs/>
                <w:sz w:val="20"/>
                <w:szCs w:val="20"/>
              </w:rPr>
              <w:t>s nonfamiliárnou hypercholesterolémiou alebo zmiešanou dyslipidémiou a vysokým rizikom kardiovaskulárnej príhody, ktorí majú invazívnym alebo neinvazívnym vyšetrením (napr. koronarografia, záťažová echokardiografia, USG) dokumentované kardiovaskulárne ochorenie, akútny koronárny syndróm (predchádzajúci infarkt myokardu alebo nestabilnú angínu pectoris vyžad</w:t>
            </w:r>
            <w:r>
              <w:rPr>
                <w:rFonts w:ascii="Arial" w:hAnsi="Arial" w:cs="Arial"/>
                <w:bCs/>
                <w:sz w:val="20"/>
                <w:szCs w:val="20"/>
              </w:rPr>
              <w:t xml:space="preserve">ujúcu hospitalizáciu), chronickú ischemickú </w:t>
            </w:r>
            <w:r w:rsidRPr="00B6042D">
              <w:rPr>
                <w:rFonts w:ascii="Arial" w:hAnsi="Arial" w:cs="Arial"/>
                <w:bCs/>
                <w:sz w:val="20"/>
                <w:szCs w:val="20"/>
              </w:rPr>
              <w:t>chor</w:t>
            </w:r>
            <w:r>
              <w:rPr>
                <w:rFonts w:ascii="Arial" w:hAnsi="Arial" w:cs="Arial"/>
                <w:bCs/>
                <w:sz w:val="20"/>
                <w:szCs w:val="20"/>
              </w:rPr>
              <w:t xml:space="preserve">obu </w:t>
            </w:r>
            <w:r w:rsidRPr="00B6042D">
              <w:rPr>
                <w:rFonts w:ascii="Arial" w:hAnsi="Arial" w:cs="Arial"/>
                <w:bCs/>
                <w:sz w:val="20"/>
                <w:szCs w:val="20"/>
              </w:rPr>
              <w:t xml:space="preserve">srdca, ischemickú náhlu cievnu mozgovú príhodu, periférne arteriálne ochorenie alebo revaskularizačné výkony na koronárnych (PCI alebo CABG) a ostatných artériách, a u ktorých pretrváva hladina LDL-C ≥ 4 mmol/l, </w:t>
            </w:r>
          </w:p>
          <w:p w14:paraId="44E8FB9F" w14:textId="77777777" w:rsidR="00657ACA" w:rsidRPr="00B6042D" w:rsidRDefault="00657ACA">
            <w:pPr>
              <w:numPr>
                <w:ilvl w:val="0"/>
                <w:numId w:val="105"/>
              </w:numPr>
              <w:jc w:val="both"/>
              <w:rPr>
                <w:rFonts w:ascii="Arial" w:hAnsi="Arial" w:cs="Arial"/>
                <w:bCs/>
                <w:sz w:val="20"/>
                <w:szCs w:val="20"/>
              </w:rPr>
            </w:pPr>
            <w:r w:rsidRPr="00B6042D">
              <w:rPr>
                <w:rFonts w:ascii="Arial" w:hAnsi="Arial" w:cs="Arial"/>
                <w:bCs/>
                <w:sz w:val="20"/>
                <w:szCs w:val="20"/>
              </w:rPr>
              <w:t xml:space="preserve">s nonfamiliárnou hypercholesterolémiou alebo zmiešanou dyslipidémiou a veľmi vysokým rizikom kardiovaskulárnej príhody, t.j. s najmenej dvomi predchádzajúcimi kardiovaskulárnymi príhodami alebo polyvaskulárnym ochorením, a u ktorých pretrváva hladina LDL-C ≥ 3,5 mmol/l, </w:t>
            </w:r>
          </w:p>
          <w:p w14:paraId="3909EE5C" w14:textId="77777777" w:rsidR="00657ACA" w:rsidRPr="00B6042D" w:rsidRDefault="00657ACA">
            <w:pPr>
              <w:numPr>
                <w:ilvl w:val="0"/>
                <w:numId w:val="105"/>
              </w:numPr>
              <w:jc w:val="both"/>
              <w:rPr>
                <w:rFonts w:ascii="Arial" w:hAnsi="Arial" w:cs="Arial"/>
                <w:bCs/>
                <w:sz w:val="20"/>
                <w:szCs w:val="20"/>
              </w:rPr>
            </w:pPr>
            <w:r w:rsidRPr="00B6042D">
              <w:rPr>
                <w:rFonts w:ascii="Arial" w:hAnsi="Arial" w:cs="Arial"/>
                <w:bCs/>
                <w:sz w:val="20"/>
                <w:szCs w:val="20"/>
              </w:rPr>
              <w:t xml:space="preserve">s familiárnou hypercholesterolémiou a vysokým rizikom kardiovaskulárnej príhody, ktorí majú invazívnym alebo neinvazívnym vyšetrením (napr. koronarografia, záťažová echokardiografia, USG) dokumentované kardiovaskulárne ochorenie, akútny koronárny syndróm ( predchádzajúci infarkt myokardu alebo nestabilnú angínu pectoris vyžadujúcu hospitalizáciu), </w:t>
            </w:r>
            <w:r>
              <w:rPr>
                <w:rFonts w:ascii="Arial" w:hAnsi="Arial" w:cs="Arial"/>
                <w:bCs/>
                <w:sz w:val="20"/>
                <w:szCs w:val="20"/>
              </w:rPr>
              <w:t xml:space="preserve">chronickú ischemickú </w:t>
            </w:r>
            <w:r w:rsidRPr="00B6042D">
              <w:rPr>
                <w:rFonts w:ascii="Arial" w:hAnsi="Arial" w:cs="Arial"/>
                <w:bCs/>
                <w:sz w:val="20"/>
                <w:szCs w:val="20"/>
              </w:rPr>
              <w:t>chor</w:t>
            </w:r>
            <w:r>
              <w:rPr>
                <w:rFonts w:ascii="Arial" w:hAnsi="Arial" w:cs="Arial"/>
                <w:bCs/>
                <w:sz w:val="20"/>
                <w:szCs w:val="20"/>
              </w:rPr>
              <w:t xml:space="preserve">obu </w:t>
            </w:r>
            <w:r w:rsidRPr="00B6042D">
              <w:rPr>
                <w:rFonts w:ascii="Arial" w:hAnsi="Arial" w:cs="Arial"/>
                <w:bCs/>
                <w:sz w:val="20"/>
                <w:szCs w:val="20"/>
              </w:rPr>
              <w:t xml:space="preserve">srdca, ischemickú náhlu cievnu mozgovú príhodu, periférne arteriálne ochorenie alebo revaskularizačné výkony na koronárnych (PCI alebo CABG) a ostatných artériách, alebo s veľmi vysokým rizikom kardiovaskulárnej príhody, t.j. s najmenej dvomi predchádzajúcimi kardiovaskulárnymi príhodami alebo polyvaskulárnym ochorením, a u ktorých pretrváva hladina LDL-C ≥ 3,5 mmol/l </w:t>
            </w:r>
          </w:p>
          <w:p w14:paraId="16867BE1" w14:textId="7BA84B10" w:rsidR="00657ACA" w:rsidRPr="002B1D77" w:rsidRDefault="00657ACA">
            <w:pPr>
              <w:numPr>
                <w:ilvl w:val="0"/>
                <w:numId w:val="105"/>
              </w:numPr>
              <w:jc w:val="both"/>
              <w:rPr>
                <w:rFonts w:ascii="Arial" w:hAnsi="Arial" w:cs="Arial"/>
                <w:bCs/>
                <w:sz w:val="20"/>
                <w:szCs w:val="20"/>
              </w:rPr>
            </w:pPr>
            <w:r w:rsidRPr="002B1D77">
              <w:rPr>
                <w:rFonts w:ascii="Arial" w:hAnsi="Arial" w:cs="Arial"/>
                <w:bCs/>
                <w:sz w:val="20"/>
                <w:szCs w:val="20"/>
              </w:rPr>
              <w:t xml:space="preserve">s familiárnou hypercholesterolémiou bez kardiovaskulárneho ochorenia, u ktorých pretrváva hladina LDL-C ≥ 5 mmol/l. </w:t>
            </w:r>
          </w:p>
          <w:p w14:paraId="404B1AAA"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 xml:space="preserve">Podmienkou hradenej liečby je abstinencia alkoholu, fajčenia a nedostatočný efekt minimálne trojmesačného diétneho stravovania s nízkym obsahom cholesterolu a živočíšnych tukov spolu s trojmesačným pravidelným telesným cvičením. Pri hodnotách BMI nad 30 je podmienkou začiatku hradenej liečby hypolipidemikami pokles hmotnosti najmenej o tri kg po trojmesačnom diétnom režime. Ak po mesačnej liečbe nedôjde k zlepšeniu klinického stavu pacienta, ďalšia liečba nie je hradenou liečbou. </w:t>
            </w:r>
          </w:p>
          <w:p w14:paraId="1C4AC0E1" w14:textId="77777777" w:rsidR="00657ACA" w:rsidRDefault="00657ACA" w:rsidP="00657ACA">
            <w:pPr>
              <w:jc w:val="both"/>
              <w:rPr>
                <w:rFonts w:ascii="Arial" w:hAnsi="Arial" w:cs="Arial"/>
                <w:sz w:val="20"/>
                <w:szCs w:val="20"/>
              </w:rPr>
            </w:pPr>
          </w:p>
          <w:p w14:paraId="7AD63866" w14:textId="77777777" w:rsidR="00657ACA" w:rsidRDefault="00657ACA" w:rsidP="00657ACA">
            <w:pPr>
              <w:jc w:val="both"/>
              <w:rPr>
                <w:rFonts w:ascii="Arial" w:hAnsi="Arial" w:cs="Arial"/>
                <w:sz w:val="20"/>
                <w:szCs w:val="20"/>
              </w:rPr>
            </w:pPr>
            <w:r w:rsidRPr="00721828">
              <w:rPr>
                <w:rFonts w:ascii="Arial" w:hAnsi="Arial" w:cs="Arial"/>
                <w:sz w:val="20"/>
                <w:szCs w:val="20"/>
              </w:rPr>
              <w:t>Na základe verejného zdravotného poistenia sa uhrádza dávka 140 mg každé dva týždne v indikáciách nonfamiliárna hypercholesterolémia a zmiešaná dyslipidémia.</w:t>
            </w:r>
          </w:p>
          <w:p w14:paraId="073E97E5" w14:textId="77777777" w:rsidR="00657ACA" w:rsidRPr="00B6042D" w:rsidRDefault="00657ACA" w:rsidP="00657ACA">
            <w:pPr>
              <w:jc w:val="both"/>
              <w:rPr>
                <w:rFonts w:ascii="Arial" w:hAnsi="Arial" w:cs="Arial"/>
                <w:sz w:val="20"/>
                <w:szCs w:val="20"/>
              </w:rPr>
            </w:pPr>
          </w:p>
          <w:p w14:paraId="0755E2F8" w14:textId="77777777" w:rsidR="00657ACA" w:rsidRDefault="00657ACA" w:rsidP="00657ACA">
            <w:pPr>
              <w:jc w:val="both"/>
              <w:rPr>
                <w:rFonts w:ascii="Arial" w:hAnsi="Arial" w:cs="Arial"/>
                <w:sz w:val="20"/>
                <w:szCs w:val="20"/>
              </w:rPr>
            </w:pPr>
            <w:r w:rsidRPr="00B6042D">
              <w:rPr>
                <w:rFonts w:ascii="Arial" w:hAnsi="Arial" w:cs="Arial"/>
                <w:sz w:val="20"/>
                <w:szCs w:val="20"/>
              </w:rPr>
              <w:t>Hradená liečba podlieha predchádzajúcemu súhlasu zdravotnej poisťovne.</w:t>
            </w:r>
          </w:p>
          <w:p w14:paraId="04F0EF1B" w14:textId="77777777" w:rsidR="00657ACA" w:rsidRPr="0000591E" w:rsidRDefault="00657ACA" w:rsidP="00657ACA">
            <w:pPr>
              <w:jc w:val="both"/>
              <w:rPr>
                <w:rFonts w:ascii="Arial" w:hAnsi="Arial" w:cs="Arial"/>
                <w:sz w:val="20"/>
                <w:szCs w:val="20"/>
              </w:rPr>
            </w:pPr>
          </w:p>
        </w:tc>
      </w:tr>
      <w:tr w:rsidR="00657ACA" w:rsidRPr="0000591E" w14:paraId="14EC4033" w14:textId="77777777" w:rsidTr="003F7925">
        <w:trPr>
          <w:gridAfter w:val="2"/>
          <w:wAfter w:w="154" w:type="dxa"/>
          <w:trHeight w:val="20"/>
        </w:trPr>
        <w:tc>
          <w:tcPr>
            <w:tcW w:w="1256" w:type="dxa"/>
            <w:tcBorders>
              <w:bottom w:val="single" w:sz="4" w:space="0" w:color="auto"/>
            </w:tcBorders>
            <w:noWrap/>
            <w:vAlign w:val="bottom"/>
          </w:tcPr>
          <w:p w14:paraId="00A6FADE"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C10AX14</w:t>
            </w:r>
          </w:p>
        </w:tc>
        <w:tc>
          <w:tcPr>
            <w:tcW w:w="9452" w:type="dxa"/>
            <w:tcBorders>
              <w:bottom w:val="single" w:sz="4" w:space="0" w:color="auto"/>
            </w:tcBorders>
            <w:vAlign w:val="bottom"/>
          </w:tcPr>
          <w:p w14:paraId="20F2BA8B" w14:textId="77777777" w:rsidR="00657ACA" w:rsidRDefault="00657ACA" w:rsidP="00657ACA">
            <w:pPr>
              <w:jc w:val="both"/>
              <w:rPr>
                <w:rFonts w:ascii="Arial" w:hAnsi="Arial" w:cs="Arial"/>
                <w:b/>
                <w:bCs/>
                <w:sz w:val="20"/>
                <w:szCs w:val="20"/>
              </w:rPr>
            </w:pPr>
            <w:r>
              <w:rPr>
                <w:rFonts w:ascii="Arial" w:hAnsi="Arial" w:cs="Arial"/>
                <w:b/>
                <w:bCs/>
                <w:sz w:val="20"/>
                <w:szCs w:val="20"/>
              </w:rPr>
              <w:t xml:space="preserve">Alirokumab s.c. </w:t>
            </w:r>
            <w:r w:rsidRPr="00C15C81">
              <w:rPr>
                <w:rFonts w:ascii="Arial" w:hAnsi="Arial" w:cs="Arial"/>
                <w:b/>
                <w:bCs/>
                <w:sz w:val="20"/>
                <w:szCs w:val="20"/>
              </w:rPr>
              <w:t>75 mg</w:t>
            </w:r>
            <w:r>
              <w:rPr>
                <w:rFonts w:ascii="Arial" w:hAnsi="Arial" w:cs="Arial"/>
                <w:b/>
                <w:bCs/>
                <w:sz w:val="20"/>
                <w:szCs w:val="20"/>
              </w:rPr>
              <w:t>,</w:t>
            </w:r>
          </w:p>
          <w:p w14:paraId="1AEB1A33" w14:textId="77777777" w:rsidR="00657ACA" w:rsidRDefault="00657ACA" w:rsidP="00657ACA">
            <w:pPr>
              <w:jc w:val="both"/>
              <w:rPr>
                <w:rFonts w:ascii="Arial" w:hAnsi="Arial" w:cs="Arial"/>
                <w:b/>
                <w:bCs/>
                <w:sz w:val="20"/>
                <w:szCs w:val="20"/>
              </w:rPr>
            </w:pPr>
            <w:r>
              <w:rPr>
                <w:rFonts w:ascii="Arial" w:hAnsi="Arial" w:cs="Arial"/>
                <w:b/>
                <w:bCs/>
                <w:sz w:val="20"/>
                <w:szCs w:val="20"/>
              </w:rPr>
              <w:t>Alirokumab s.c. 1</w:t>
            </w:r>
            <w:r w:rsidRPr="00B6042D">
              <w:rPr>
                <w:rFonts w:ascii="Arial" w:hAnsi="Arial" w:cs="Arial"/>
                <w:b/>
                <w:bCs/>
                <w:sz w:val="20"/>
                <w:szCs w:val="20"/>
              </w:rPr>
              <w:t>5</w:t>
            </w:r>
            <w:r>
              <w:rPr>
                <w:rFonts w:ascii="Arial" w:hAnsi="Arial" w:cs="Arial"/>
                <w:b/>
                <w:bCs/>
                <w:sz w:val="20"/>
                <w:szCs w:val="20"/>
              </w:rPr>
              <w:t>0</w:t>
            </w:r>
            <w:r w:rsidRPr="00B6042D">
              <w:rPr>
                <w:rFonts w:ascii="Arial" w:hAnsi="Arial" w:cs="Arial"/>
                <w:b/>
                <w:bCs/>
                <w:sz w:val="20"/>
                <w:szCs w:val="20"/>
              </w:rPr>
              <w:t xml:space="preserve"> mg</w:t>
            </w:r>
          </w:p>
          <w:p w14:paraId="4858E23E" w14:textId="77777777" w:rsidR="00657ACA" w:rsidRPr="0000591E" w:rsidRDefault="00657ACA" w:rsidP="00657ACA">
            <w:pPr>
              <w:jc w:val="both"/>
              <w:rPr>
                <w:rFonts w:ascii="Arial" w:hAnsi="Arial" w:cs="Arial"/>
                <w:b/>
                <w:bCs/>
                <w:sz w:val="20"/>
                <w:szCs w:val="20"/>
              </w:rPr>
            </w:pPr>
            <w:r w:rsidRPr="00274BF4">
              <w:rPr>
                <w:rFonts w:ascii="Arial" w:hAnsi="Arial" w:cs="Arial"/>
                <w:b/>
                <w:bCs/>
                <w:sz w:val="20"/>
                <w:szCs w:val="20"/>
              </w:rPr>
              <w:t xml:space="preserve">Alirokumab s.c. </w:t>
            </w:r>
            <w:r>
              <w:rPr>
                <w:rFonts w:ascii="Arial" w:hAnsi="Arial" w:cs="Arial"/>
                <w:b/>
                <w:bCs/>
                <w:sz w:val="20"/>
                <w:szCs w:val="20"/>
              </w:rPr>
              <w:t>300</w:t>
            </w:r>
            <w:r w:rsidRPr="00274BF4">
              <w:rPr>
                <w:rFonts w:ascii="Arial" w:hAnsi="Arial" w:cs="Arial"/>
                <w:b/>
                <w:bCs/>
                <w:sz w:val="20"/>
                <w:szCs w:val="20"/>
              </w:rPr>
              <w:t xml:space="preserve"> mg</w:t>
            </w:r>
          </w:p>
        </w:tc>
      </w:tr>
      <w:tr w:rsidR="00657ACA" w:rsidRPr="0000591E" w14:paraId="084CAB3D" w14:textId="77777777" w:rsidTr="003F7925">
        <w:trPr>
          <w:gridAfter w:val="2"/>
          <w:wAfter w:w="154" w:type="dxa"/>
          <w:trHeight w:val="20"/>
        </w:trPr>
        <w:tc>
          <w:tcPr>
            <w:tcW w:w="1256" w:type="dxa"/>
            <w:tcBorders>
              <w:top w:val="single" w:sz="4" w:space="0" w:color="auto"/>
            </w:tcBorders>
            <w:noWrap/>
            <w:vAlign w:val="bottom"/>
          </w:tcPr>
          <w:p w14:paraId="4667B440" w14:textId="77777777" w:rsidR="00657ACA" w:rsidRPr="0000591E" w:rsidRDefault="00657ACA" w:rsidP="00657ACA">
            <w:pPr>
              <w:jc w:val="both"/>
              <w:rPr>
                <w:rFonts w:ascii="Arial" w:hAnsi="Arial" w:cs="Arial"/>
                <w:sz w:val="20"/>
                <w:szCs w:val="20"/>
              </w:rPr>
            </w:pPr>
          </w:p>
          <w:p w14:paraId="137ADF48" w14:textId="77777777" w:rsidR="00657ACA" w:rsidRPr="0000591E" w:rsidRDefault="00657ACA" w:rsidP="00657ACA">
            <w:pPr>
              <w:jc w:val="both"/>
              <w:rPr>
                <w:rFonts w:ascii="Arial" w:hAnsi="Arial" w:cs="Arial"/>
                <w:sz w:val="20"/>
                <w:szCs w:val="20"/>
              </w:rPr>
            </w:pPr>
          </w:p>
          <w:p w14:paraId="6BD49370" w14:textId="77777777" w:rsidR="00657ACA" w:rsidRPr="0000591E" w:rsidRDefault="00657ACA" w:rsidP="00657ACA">
            <w:pPr>
              <w:jc w:val="both"/>
              <w:rPr>
                <w:rFonts w:ascii="Arial" w:hAnsi="Arial" w:cs="Arial"/>
                <w:sz w:val="20"/>
                <w:szCs w:val="20"/>
              </w:rPr>
            </w:pPr>
          </w:p>
          <w:p w14:paraId="55291810" w14:textId="77777777" w:rsidR="00657ACA" w:rsidRPr="0000591E" w:rsidRDefault="00657ACA" w:rsidP="00657ACA">
            <w:pPr>
              <w:jc w:val="both"/>
              <w:rPr>
                <w:rFonts w:ascii="Arial" w:hAnsi="Arial" w:cs="Arial"/>
                <w:sz w:val="20"/>
                <w:szCs w:val="20"/>
              </w:rPr>
            </w:pPr>
          </w:p>
          <w:p w14:paraId="248CF8B4" w14:textId="77777777" w:rsidR="00657ACA" w:rsidRPr="0000591E" w:rsidRDefault="00657ACA" w:rsidP="00657ACA">
            <w:pPr>
              <w:jc w:val="both"/>
              <w:rPr>
                <w:rFonts w:ascii="Arial" w:hAnsi="Arial" w:cs="Arial"/>
                <w:sz w:val="20"/>
                <w:szCs w:val="20"/>
              </w:rPr>
            </w:pPr>
          </w:p>
          <w:p w14:paraId="4F2DD187" w14:textId="77777777" w:rsidR="00657ACA" w:rsidRPr="0000591E" w:rsidRDefault="00657ACA" w:rsidP="00657ACA">
            <w:pPr>
              <w:jc w:val="both"/>
              <w:rPr>
                <w:rFonts w:ascii="Arial" w:hAnsi="Arial" w:cs="Arial"/>
                <w:sz w:val="20"/>
                <w:szCs w:val="20"/>
              </w:rPr>
            </w:pPr>
          </w:p>
          <w:p w14:paraId="2BCC1477" w14:textId="77777777" w:rsidR="00657ACA" w:rsidRPr="0000591E" w:rsidRDefault="00657ACA" w:rsidP="00657ACA">
            <w:pPr>
              <w:jc w:val="both"/>
              <w:rPr>
                <w:rFonts w:ascii="Arial" w:hAnsi="Arial" w:cs="Arial"/>
                <w:sz w:val="20"/>
                <w:szCs w:val="20"/>
              </w:rPr>
            </w:pPr>
          </w:p>
          <w:p w14:paraId="4F39ECB3" w14:textId="77777777" w:rsidR="00657ACA" w:rsidRPr="0000591E" w:rsidRDefault="00657ACA" w:rsidP="00657ACA">
            <w:pPr>
              <w:jc w:val="both"/>
              <w:rPr>
                <w:rFonts w:ascii="Arial" w:hAnsi="Arial" w:cs="Arial"/>
                <w:sz w:val="20"/>
                <w:szCs w:val="20"/>
              </w:rPr>
            </w:pPr>
          </w:p>
          <w:p w14:paraId="7C3A7633" w14:textId="77777777" w:rsidR="00657ACA" w:rsidRPr="0000591E" w:rsidRDefault="00657ACA" w:rsidP="00657ACA">
            <w:pPr>
              <w:jc w:val="both"/>
              <w:rPr>
                <w:rFonts w:ascii="Arial" w:hAnsi="Arial" w:cs="Arial"/>
                <w:sz w:val="20"/>
                <w:szCs w:val="20"/>
              </w:rPr>
            </w:pPr>
          </w:p>
          <w:p w14:paraId="69D5874C" w14:textId="77777777" w:rsidR="00657ACA" w:rsidRPr="0000591E" w:rsidRDefault="00657ACA" w:rsidP="00657ACA">
            <w:pPr>
              <w:jc w:val="both"/>
              <w:rPr>
                <w:rFonts w:ascii="Arial" w:hAnsi="Arial" w:cs="Arial"/>
                <w:sz w:val="20"/>
                <w:szCs w:val="20"/>
              </w:rPr>
            </w:pPr>
          </w:p>
          <w:p w14:paraId="3FB469B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07487C08"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Hradená liečba sa môže indikovať u pacientov po zlyhaní hypolipidemickej liečby v maximálnych tolerovaných dávkach v trvaní minimálne sedem mesiacov (šesť mesiacov liečby statínom a jeden mesiac liečby ezetimibom) alebo v trvaní minimálne jeden mesiac s ezetimibom u pacientov s dokumentovanou intoleranciou alebo kontraindikáciou na statíny:</w:t>
            </w:r>
          </w:p>
          <w:p w14:paraId="02CAFDA0"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t xml:space="preserve">s nonfamiliárnou hypercholesterolémiou alebo zmiešanou dyslipidémiou a vysokým rizikom kardiovaskulárnej príhody, ktorí majú invazívnym alebo neinvazívnym vyšetrením (napr. koronarografia, záťažová echokardiografia, USG) dokumentované kardiovaskulárne ochorenie, akútny koronárny syndróm (predchádzajúci infarkt myokardu alebo nestabilnú angínu pectoris vyžadujúcu hospitalizáciu), chronické ochorenie srdca, ischemickú náhlu cievnu mozgovú príhodu, periférne arteriálne ochorenie alebo revaskularizačné výkony na koronárnych (PCI alebo CABG) a ostatných artériách, a u ktorých pretrváva hladina LDL-C ≥ 4 mmol/l, </w:t>
            </w:r>
          </w:p>
          <w:p w14:paraId="407097E0"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lastRenderedPageBreak/>
              <w:t xml:space="preserve">s nonfamiliárnou hypercholesterolémiou alebo zmiešanou dyslipidémiou a veľmi vysokým rizikom kardiovaskulárnej príhody, t.j. s najmenej dvomi predchádzajúcimi kardiovaskulárnymi príhodami alebo polyvaskulárnym ochorením, a u ktorých pretrváva hladina LDL-C ≥ 3,5 mmol/l, </w:t>
            </w:r>
          </w:p>
          <w:p w14:paraId="3A7F416C"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t xml:space="preserve">s familiárnou hypercholesterolémiou a vysokým rizikom kardiovaskulárnej príhody, ktorí majú invazívnym alebo neinvazívnym vyšetrením (napr. koronarografia, záťažová echokardiografia, USG) dokumentované kardiovaskulárne ochorenie, akútny koronárny syndróm ( predchádzajúci infarkt myokardu alebo nestabilnú angínu pectoris vyžadujúcu hospitalizáciu), chronické ochorenie srdca, ischemickú náhlu cievnu mozgovú príhodu, periférne arteriálne ochorenie alebo revaskularizačné výkony na koronárnych (PCI alebo CABG) a ostatných artériách, alebo s veľmi vysokým rizikom kardiovaskulárnej príhody, t.j. s najmenej dvomi predchádzajúcimi kardiovaskulárnymi príhodami alebo polyvaskulárnym ochorením, a u ktorých pretrváva hladina LDL-C ≥ 3,5 mmol/l </w:t>
            </w:r>
          </w:p>
          <w:p w14:paraId="3EFD9CEF"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t xml:space="preserve">s familiárnou hypercholesterolémiou bez kardiovaskulárneho ochorenia, u ktorých pretrváva hladina LDL-C ≥ 5 mmol/l. </w:t>
            </w:r>
          </w:p>
          <w:p w14:paraId="227A485B" w14:textId="77777777" w:rsidR="00657ACA" w:rsidRPr="00B6042D" w:rsidRDefault="00657ACA" w:rsidP="00657ACA">
            <w:pPr>
              <w:jc w:val="both"/>
              <w:rPr>
                <w:rFonts w:ascii="Arial" w:hAnsi="Arial" w:cs="Arial"/>
                <w:bCs/>
                <w:sz w:val="20"/>
                <w:szCs w:val="20"/>
              </w:rPr>
            </w:pPr>
          </w:p>
          <w:p w14:paraId="48368221" w14:textId="77777777" w:rsidR="00657ACA" w:rsidRDefault="00657ACA" w:rsidP="00657ACA">
            <w:pPr>
              <w:jc w:val="both"/>
              <w:rPr>
                <w:rFonts w:ascii="Arial" w:hAnsi="Arial" w:cs="Arial"/>
                <w:bCs/>
                <w:sz w:val="20"/>
                <w:szCs w:val="20"/>
              </w:rPr>
            </w:pPr>
            <w:r w:rsidRPr="00B6042D">
              <w:rPr>
                <w:rFonts w:ascii="Arial" w:hAnsi="Arial" w:cs="Arial"/>
                <w:bCs/>
                <w:sz w:val="20"/>
                <w:szCs w:val="20"/>
              </w:rPr>
              <w:t>Podmienkou hradenej liečby je abstinencia alkoholu, fajčenia a nedostatočný efekt minimálne trojmesačného diétneho stravovania s nízkym obsahom cholesterolu a živočíšnych tukov spolu s</w:t>
            </w:r>
            <w:r>
              <w:rPr>
                <w:rFonts w:ascii="Arial" w:hAnsi="Arial" w:cs="Arial"/>
                <w:bCs/>
                <w:sz w:val="20"/>
                <w:szCs w:val="20"/>
              </w:rPr>
              <w:t> </w:t>
            </w:r>
            <w:r w:rsidRPr="00B6042D">
              <w:rPr>
                <w:rFonts w:ascii="Arial" w:hAnsi="Arial" w:cs="Arial"/>
                <w:bCs/>
                <w:sz w:val="20"/>
                <w:szCs w:val="20"/>
              </w:rPr>
              <w:t>trojmesačným</w:t>
            </w:r>
          </w:p>
          <w:p w14:paraId="6E2B193B"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 xml:space="preserve"> pravidelným telesným cvičením. Pri hodnotách BMI nad 30 je podmienkou začiatku hradenej liečby hypolipidemikami pokles hmotnosti najmenej o tri kg po trojmesačnom diétnom režime. Ak po mesačnej liečbe nedôjde k zlepšeniu klinického stavu pacienta, ďalšia liečba nie je hradenou liečbou. </w:t>
            </w:r>
          </w:p>
          <w:p w14:paraId="0673E632" w14:textId="77777777" w:rsidR="00657ACA" w:rsidRPr="00B6042D" w:rsidRDefault="00657ACA" w:rsidP="00657ACA">
            <w:pPr>
              <w:jc w:val="both"/>
              <w:rPr>
                <w:rFonts w:ascii="Arial" w:hAnsi="Arial" w:cs="Arial"/>
                <w:sz w:val="20"/>
                <w:szCs w:val="20"/>
              </w:rPr>
            </w:pPr>
          </w:p>
          <w:p w14:paraId="2752C616" w14:textId="77777777" w:rsidR="00657ACA" w:rsidRDefault="00657ACA" w:rsidP="00657ACA">
            <w:pPr>
              <w:jc w:val="both"/>
              <w:rPr>
                <w:rFonts w:ascii="Arial" w:hAnsi="Arial" w:cs="Arial"/>
                <w:sz w:val="20"/>
                <w:szCs w:val="20"/>
              </w:rPr>
            </w:pPr>
            <w:r w:rsidRPr="00B6042D">
              <w:rPr>
                <w:rFonts w:ascii="Arial" w:hAnsi="Arial" w:cs="Arial"/>
                <w:sz w:val="20"/>
                <w:szCs w:val="20"/>
              </w:rPr>
              <w:t>Hradená liečba podlieha predchádzajúcemu súhlasu zdravotnej poisťovne.</w:t>
            </w:r>
          </w:p>
          <w:p w14:paraId="2D85FD21" w14:textId="77777777" w:rsidR="00657ACA" w:rsidRPr="0000591E" w:rsidRDefault="00657ACA" w:rsidP="00657ACA">
            <w:pPr>
              <w:jc w:val="both"/>
              <w:rPr>
                <w:rFonts w:ascii="Arial" w:hAnsi="Arial" w:cs="Arial"/>
                <w:sz w:val="20"/>
                <w:szCs w:val="20"/>
              </w:rPr>
            </w:pPr>
          </w:p>
        </w:tc>
      </w:tr>
      <w:tr w:rsidR="00657ACA" w:rsidRPr="00CA6C31" w14:paraId="418649CA" w14:textId="77777777" w:rsidTr="003F7925">
        <w:trPr>
          <w:gridAfter w:val="2"/>
          <w:wAfter w:w="154" w:type="dxa"/>
          <w:trHeight w:val="20"/>
        </w:trPr>
        <w:tc>
          <w:tcPr>
            <w:tcW w:w="1256" w:type="dxa"/>
            <w:tcBorders>
              <w:bottom w:val="single" w:sz="4" w:space="0" w:color="auto"/>
            </w:tcBorders>
            <w:noWrap/>
            <w:vAlign w:val="bottom"/>
          </w:tcPr>
          <w:p w14:paraId="00520B3F" w14:textId="77777777" w:rsidR="00657ACA" w:rsidRPr="0060328F" w:rsidRDefault="00657ACA" w:rsidP="00657ACA">
            <w:pPr>
              <w:jc w:val="both"/>
              <w:rPr>
                <w:rFonts w:ascii="Arial" w:hAnsi="Arial" w:cs="Arial"/>
                <w:b/>
                <w:sz w:val="20"/>
                <w:szCs w:val="20"/>
              </w:rPr>
            </w:pPr>
            <w:r w:rsidRPr="0060328F">
              <w:rPr>
                <w:rFonts w:ascii="Arial" w:hAnsi="Arial" w:cs="Arial"/>
                <w:b/>
                <w:sz w:val="20"/>
                <w:szCs w:val="20"/>
              </w:rPr>
              <w:lastRenderedPageBreak/>
              <w:t>C10AX15</w:t>
            </w:r>
          </w:p>
        </w:tc>
        <w:tc>
          <w:tcPr>
            <w:tcW w:w="9452" w:type="dxa"/>
            <w:tcBorders>
              <w:bottom w:val="single" w:sz="4" w:space="0" w:color="auto"/>
            </w:tcBorders>
            <w:noWrap/>
          </w:tcPr>
          <w:p w14:paraId="66861952" w14:textId="77777777" w:rsidR="00657ACA" w:rsidRPr="0060328F" w:rsidRDefault="00657ACA" w:rsidP="00657ACA">
            <w:pPr>
              <w:jc w:val="both"/>
              <w:rPr>
                <w:rFonts w:ascii="Arial" w:hAnsi="Arial" w:cs="Arial"/>
                <w:b/>
                <w:sz w:val="20"/>
                <w:szCs w:val="20"/>
              </w:rPr>
            </w:pPr>
            <w:r w:rsidRPr="0060328F">
              <w:rPr>
                <w:rFonts w:ascii="Arial" w:hAnsi="Arial" w:cs="Arial"/>
                <w:b/>
                <w:sz w:val="20"/>
                <w:szCs w:val="20"/>
              </w:rPr>
              <w:t xml:space="preserve">Kyselina bempedoová p.o. 180 mg </w:t>
            </w:r>
          </w:p>
        </w:tc>
      </w:tr>
      <w:tr w:rsidR="00657ACA" w:rsidRPr="00CA6C31" w14:paraId="2C1EDB45" w14:textId="77777777" w:rsidTr="003F7925">
        <w:trPr>
          <w:gridAfter w:val="2"/>
          <w:wAfter w:w="154" w:type="dxa"/>
          <w:trHeight w:val="20"/>
        </w:trPr>
        <w:tc>
          <w:tcPr>
            <w:tcW w:w="1256" w:type="dxa"/>
            <w:noWrap/>
            <w:vAlign w:val="bottom"/>
          </w:tcPr>
          <w:p w14:paraId="57C99AEE" w14:textId="77777777" w:rsidR="00657ACA" w:rsidRPr="00CA5EFC" w:rsidRDefault="00657ACA" w:rsidP="00657ACA">
            <w:pPr>
              <w:jc w:val="both"/>
              <w:rPr>
                <w:rFonts w:ascii="Arial" w:hAnsi="Arial" w:cs="Arial"/>
                <w:b/>
                <w:sz w:val="20"/>
                <w:szCs w:val="20"/>
              </w:rPr>
            </w:pPr>
          </w:p>
        </w:tc>
        <w:tc>
          <w:tcPr>
            <w:tcW w:w="9452" w:type="dxa"/>
            <w:noWrap/>
          </w:tcPr>
          <w:p w14:paraId="6C49806A" w14:textId="77777777" w:rsidR="00657ACA" w:rsidRDefault="00657ACA" w:rsidP="00657ACA">
            <w:pPr>
              <w:jc w:val="both"/>
              <w:rPr>
                <w:rFonts w:ascii="Arial" w:hAnsi="Arial" w:cs="Arial"/>
                <w:sz w:val="20"/>
                <w:szCs w:val="20"/>
              </w:rPr>
            </w:pPr>
            <w:r w:rsidRPr="00B82605">
              <w:rPr>
                <w:rFonts w:ascii="Arial" w:hAnsi="Arial" w:cs="Arial"/>
                <w:sz w:val="20"/>
                <w:szCs w:val="20"/>
              </w:rPr>
              <w:t>Hradená liečba sa môže indikovať dospelým s primárnou hypercholesterolémiou (heterozygotnou</w:t>
            </w:r>
            <w:r>
              <w:rPr>
                <w:rFonts w:ascii="Arial" w:hAnsi="Arial" w:cs="Arial"/>
                <w:sz w:val="20"/>
                <w:szCs w:val="20"/>
              </w:rPr>
              <w:t xml:space="preserve"> </w:t>
            </w:r>
            <w:r w:rsidRPr="00B82605">
              <w:rPr>
                <w:rFonts w:ascii="Arial" w:hAnsi="Arial" w:cs="Arial"/>
                <w:sz w:val="20"/>
                <w:szCs w:val="20"/>
              </w:rPr>
              <w:t>familiárnou a non-familiárnou) alebo zmiešanou dyslipidémiou, u ktorých je statín považovaný za nevhodný</w:t>
            </w:r>
            <w:r>
              <w:rPr>
                <w:rFonts w:ascii="Arial" w:hAnsi="Arial" w:cs="Arial"/>
                <w:sz w:val="20"/>
                <w:szCs w:val="20"/>
              </w:rPr>
              <w:t xml:space="preserve"> </w:t>
            </w:r>
            <w:r w:rsidRPr="00B82605">
              <w:rPr>
                <w:rFonts w:ascii="Arial" w:hAnsi="Arial" w:cs="Arial"/>
                <w:sz w:val="20"/>
                <w:szCs w:val="20"/>
              </w:rPr>
              <w:t>alebo nie je tolerovaný, pri nedostatočnej účinnosti monoterapiou ezetimibom v trvaní minimálne 1 mesiac</w:t>
            </w:r>
            <w:r>
              <w:rPr>
                <w:rFonts w:ascii="Arial" w:hAnsi="Arial" w:cs="Arial"/>
                <w:sz w:val="20"/>
                <w:szCs w:val="20"/>
              </w:rPr>
              <w:t xml:space="preserve"> </w:t>
            </w:r>
            <w:r w:rsidRPr="00B82605">
              <w:rPr>
                <w:rFonts w:ascii="Arial" w:hAnsi="Arial" w:cs="Arial"/>
                <w:sz w:val="20"/>
                <w:szCs w:val="20"/>
              </w:rPr>
              <w:t>a súčasne pacienti nie sú vhodní na liečbu inklisiranom a PCSK9 inhibítormi.</w:t>
            </w:r>
          </w:p>
          <w:p w14:paraId="5AD0482F" w14:textId="77777777" w:rsidR="00657ACA" w:rsidRPr="00B82605" w:rsidRDefault="00657ACA" w:rsidP="00657ACA">
            <w:pPr>
              <w:jc w:val="both"/>
              <w:rPr>
                <w:rFonts w:ascii="Arial" w:hAnsi="Arial" w:cs="Arial"/>
                <w:sz w:val="20"/>
                <w:szCs w:val="20"/>
              </w:rPr>
            </w:pPr>
          </w:p>
          <w:p w14:paraId="036E1FA6" w14:textId="77777777" w:rsidR="00657ACA" w:rsidRDefault="00657ACA" w:rsidP="00657ACA">
            <w:pPr>
              <w:jc w:val="both"/>
              <w:rPr>
                <w:rFonts w:ascii="Arial" w:hAnsi="Arial" w:cs="Arial"/>
                <w:sz w:val="20"/>
                <w:szCs w:val="20"/>
              </w:rPr>
            </w:pPr>
            <w:r w:rsidRPr="00B82605">
              <w:rPr>
                <w:rFonts w:ascii="Arial" w:hAnsi="Arial" w:cs="Arial"/>
                <w:sz w:val="20"/>
                <w:szCs w:val="20"/>
              </w:rPr>
              <w:t>Kyselina bempedoová s ezetimibom sa môže používať ako samostatné tablety alebo ako fixná kombinácia.</w:t>
            </w:r>
          </w:p>
          <w:p w14:paraId="32C0DE59" w14:textId="2BFE550C" w:rsidR="00657ACA" w:rsidRPr="00CA5EFC" w:rsidRDefault="00657ACA" w:rsidP="00657ACA">
            <w:pPr>
              <w:jc w:val="both"/>
              <w:rPr>
                <w:rFonts w:ascii="Arial" w:hAnsi="Arial" w:cs="Arial"/>
                <w:b/>
                <w:sz w:val="20"/>
                <w:szCs w:val="20"/>
              </w:rPr>
            </w:pPr>
          </w:p>
        </w:tc>
      </w:tr>
      <w:tr w:rsidR="00657ACA" w:rsidRPr="00CA6C31" w14:paraId="40A3183F" w14:textId="77777777" w:rsidTr="003F7925">
        <w:trPr>
          <w:gridAfter w:val="2"/>
          <w:wAfter w:w="154" w:type="dxa"/>
          <w:trHeight w:val="20"/>
        </w:trPr>
        <w:tc>
          <w:tcPr>
            <w:tcW w:w="1256" w:type="dxa"/>
            <w:tcBorders>
              <w:bottom w:val="single" w:sz="4" w:space="0" w:color="auto"/>
            </w:tcBorders>
            <w:noWrap/>
            <w:vAlign w:val="bottom"/>
          </w:tcPr>
          <w:p w14:paraId="36CE9EDD" w14:textId="77777777" w:rsidR="00657ACA" w:rsidRDefault="00657ACA" w:rsidP="00657ACA">
            <w:pPr>
              <w:jc w:val="both"/>
              <w:rPr>
                <w:rFonts w:ascii="Arial" w:hAnsi="Arial" w:cs="Arial"/>
                <w:b/>
                <w:sz w:val="20"/>
                <w:szCs w:val="20"/>
              </w:rPr>
            </w:pPr>
            <w:r w:rsidRPr="00CA5EFC">
              <w:rPr>
                <w:rFonts w:ascii="Arial" w:hAnsi="Arial" w:cs="Arial"/>
                <w:b/>
                <w:sz w:val="20"/>
                <w:szCs w:val="20"/>
              </w:rPr>
              <w:t>C10AX16</w:t>
            </w:r>
          </w:p>
        </w:tc>
        <w:tc>
          <w:tcPr>
            <w:tcW w:w="9452" w:type="dxa"/>
            <w:tcBorders>
              <w:bottom w:val="single" w:sz="4" w:space="0" w:color="auto"/>
            </w:tcBorders>
            <w:noWrap/>
          </w:tcPr>
          <w:p w14:paraId="2FB151FD" w14:textId="77777777" w:rsidR="00657ACA" w:rsidRPr="000830BA" w:rsidRDefault="00657ACA" w:rsidP="00657ACA">
            <w:pPr>
              <w:jc w:val="both"/>
              <w:rPr>
                <w:rFonts w:ascii="Arial" w:hAnsi="Arial" w:cs="Arial"/>
                <w:b/>
                <w:sz w:val="20"/>
                <w:szCs w:val="20"/>
              </w:rPr>
            </w:pPr>
            <w:r w:rsidRPr="00CA5EFC">
              <w:rPr>
                <w:rFonts w:ascii="Arial" w:hAnsi="Arial" w:cs="Arial"/>
                <w:b/>
                <w:sz w:val="20"/>
                <w:szCs w:val="20"/>
              </w:rPr>
              <w:t>Inklisiran</w:t>
            </w:r>
            <w:r>
              <w:rPr>
                <w:rFonts w:ascii="Arial" w:hAnsi="Arial" w:cs="Arial"/>
                <w:b/>
                <w:sz w:val="20"/>
                <w:szCs w:val="20"/>
              </w:rPr>
              <w:t xml:space="preserve"> </w:t>
            </w:r>
            <w:r w:rsidRPr="00CA5EFC">
              <w:rPr>
                <w:rFonts w:ascii="Arial" w:hAnsi="Arial" w:cs="Arial"/>
                <w:b/>
                <w:sz w:val="20"/>
                <w:szCs w:val="20"/>
              </w:rPr>
              <w:t>s.c. 284 mg</w:t>
            </w:r>
          </w:p>
        </w:tc>
      </w:tr>
      <w:tr w:rsidR="00657ACA" w:rsidRPr="00CA6C31" w14:paraId="48E54EBC" w14:textId="77777777" w:rsidTr="003F7925">
        <w:trPr>
          <w:gridAfter w:val="2"/>
          <w:wAfter w:w="154" w:type="dxa"/>
          <w:trHeight w:val="20"/>
        </w:trPr>
        <w:tc>
          <w:tcPr>
            <w:tcW w:w="1256" w:type="dxa"/>
            <w:noWrap/>
            <w:vAlign w:val="bottom"/>
          </w:tcPr>
          <w:p w14:paraId="4BE611B6" w14:textId="77777777" w:rsidR="00657ACA" w:rsidRPr="0060328F" w:rsidRDefault="00657ACA" w:rsidP="00657ACA">
            <w:pPr>
              <w:jc w:val="both"/>
              <w:rPr>
                <w:rFonts w:ascii="Arial" w:hAnsi="Arial" w:cs="Arial"/>
                <w:b/>
                <w:sz w:val="20"/>
                <w:szCs w:val="20"/>
              </w:rPr>
            </w:pPr>
          </w:p>
        </w:tc>
        <w:tc>
          <w:tcPr>
            <w:tcW w:w="9452" w:type="dxa"/>
            <w:noWrap/>
          </w:tcPr>
          <w:p w14:paraId="54425160"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Hradená liečba sa môže indikovať u pacientov:</w:t>
            </w:r>
          </w:p>
          <w:p w14:paraId="0F38BD0C" w14:textId="77777777" w:rsidR="00657ACA" w:rsidRDefault="00657ACA" w:rsidP="00657ACA">
            <w:pPr>
              <w:jc w:val="both"/>
              <w:rPr>
                <w:rFonts w:ascii="Arial" w:hAnsi="Arial" w:cs="Arial"/>
                <w:sz w:val="20"/>
                <w:szCs w:val="20"/>
              </w:rPr>
            </w:pPr>
            <w:r w:rsidRPr="00425980">
              <w:rPr>
                <w:rFonts w:ascii="Arial" w:hAnsi="Arial" w:cs="Arial"/>
                <w:sz w:val="20"/>
                <w:szCs w:val="20"/>
              </w:rPr>
              <w:t>s familiárnou alebo nonfamiliárnou hypercholesterolémiou alebo zmiešanou dyslipidémiou a veľmi vysokým rizikom kardiovaskulárnej príhody, ktorí majú zároveň invazívnym alebo neinvazívnym vyšetrením (napr. koronarografia, záťažová echokardiografia, USG) dokumentované aterosklerotické kardiovaskulárne ochorenie, akútny koronárny syndróm (predchádzajúci infarkt myokardu alebo nestabilnú angínu pectoris vyžadujúcu hospitalizáciu), ischemickú náhlu cievnu mozgovú príhodu alebo revaskularizačné výkony na koronárnych (PCI alebo CABG) a ostatných artériách.</w:t>
            </w:r>
          </w:p>
          <w:p w14:paraId="0EB941CA" w14:textId="77777777" w:rsidR="00657ACA" w:rsidRPr="00425980" w:rsidRDefault="00657ACA" w:rsidP="00657ACA">
            <w:pPr>
              <w:jc w:val="both"/>
              <w:rPr>
                <w:rFonts w:ascii="Arial" w:hAnsi="Arial" w:cs="Arial"/>
                <w:sz w:val="20"/>
                <w:szCs w:val="20"/>
              </w:rPr>
            </w:pPr>
          </w:p>
          <w:p w14:paraId="741DA058"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Pri indikácii sa vyžaduje súčasné splnenie aspoň jednej z týchto podmienok:</w:t>
            </w:r>
          </w:p>
          <w:p w14:paraId="2F9D587D"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1. Pacient liečený maximálne tolerovanými dávkami hypolipidemickej liečby v trvaní minimálne jeden mesiac (liečba statínom alebo liečba statínom a ezetimibom), u ktorého aj napriek liečbe pretrváva hladina LDL-C ≥ 1,8 mmol/l,</w:t>
            </w:r>
          </w:p>
          <w:p w14:paraId="42588B73" w14:textId="77777777" w:rsidR="00657ACA" w:rsidRDefault="00657ACA" w:rsidP="00657ACA">
            <w:pPr>
              <w:jc w:val="both"/>
              <w:rPr>
                <w:rFonts w:ascii="Arial" w:hAnsi="Arial" w:cs="Arial"/>
                <w:sz w:val="20"/>
                <w:szCs w:val="20"/>
              </w:rPr>
            </w:pPr>
          </w:p>
          <w:p w14:paraId="59EAA506" w14:textId="77777777" w:rsidR="00657ACA" w:rsidRDefault="00657ACA" w:rsidP="00657ACA">
            <w:pPr>
              <w:jc w:val="both"/>
              <w:rPr>
                <w:rFonts w:ascii="Arial" w:hAnsi="Arial" w:cs="Arial"/>
                <w:sz w:val="20"/>
                <w:szCs w:val="20"/>
              </w:rPr>
            </w:pPr>
            <w:r w:rsidRPr="00425980">
              <w:rPr>
                <w:rFonts w:ascii="Arial" w:hAnsi="Arial" w:cs="Arial"/>
                <w:sz w:val="20"/>
                <w:szCs w:val="20"/>
              </w:rPr>
              <w:t>2. Pacient s dokumentovanou kontraindikáciou na statíny alebo intoleranciou na minimálne dva rozličné statíny v najvyšších tolerovaných dávkach, u ktorého pretrváva hladina LDL-C ≥ 2,6 mmol/l,</w:t>
            </w:r>
          </w:p>
          <w:p w14:paraId="19C9C6C0" w14:textId="77777777" w:rsidR="00657ACA" w:rsidRPr="00425980" w:rsidRDefault="00657ACA" w:rsidP="00657ACA">
            <w:pPr>
              <w:jc w:val="both"/>
              <w:rPr>
                <w:rFonts w:ascii="Arial" w:hAnsi="Arial" w:cs="Arial"/>
                <w:sz w:val="20"/>
                <w:szCs w:val="20"/>
              </w:rPr>
            </w:pPr>
          </w:p>
          <w:p w14:paraId="6CDA78FB"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3. Pacient s dokumentovaným terapeutickým efektom biologickej hypolipidemickej liečby.</w:t>
            </w:r>
          </w:p>
          <w:p w14:paraId="14602F18"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Podmienkou hradenej liečby je abstinencia alkoholu a fajčenia.</w:t>
            </w:r>
          </w:p>
          <w:p w14:paraId="48FB7393" w14:textId="77777777" w:rsidR="00657ACA" w:rsidRDefault="00657ACA" w:rsidP="00657ACA">
            <w:pPr>
              <w:jc w:val="both"/>
              <w:rPr>
                <w:rFonts w:ascii="Arial" w:hAnsi="Arial" w:cs="Arial"/>
                <w:sz w:val="20"/>
                <w:szCs w:val="20"/>
              </w:rPr>
            </w:pPr>
          </w:p>
          <w:p w14:paraId="718DAFA8" w14:textId="77777777" w:rsidR="00657ACA" w:rsidRDefault="00657ACA" w:rsidP="00657ACA">
            <w:pPr>
              <w:jc w:val="both"/>
              <w:rPr>
                <w:rFonts w:ascii="Arial" w:hAnsi="Arial" w:cs="Arial"/>
                <w:sz w:val="20"/>
                <w:szCs w:val="20"/>
              </w:rPr>
            </w:pPr>
            <w:r w:rsidRPr="00425980">
              <w:rPr>
                <w:rFonts w:ascii="Arial" w:hAnsi="Arial" w:cs="Arial"/>
                <w:sz w:val="20"/>
                <w:szCs w:val="20"/>
              </w:rPr>
              <w:t>Ak do 6 mesiacov od úvodu terapie nedôjde k poklesu LDL cholesterolu aspoň o 40% z východiskovej hodnoty u pacientov bez predchádzajúcej biologickej hypolipidemickej liečby alebo aspoň o 35% z východiskovej hodnoty u pacientov bez inej súbežnej hypolipidemickej liečby, ďalšia liečba nie je hradenou liečbou. </w:t>
            </w:r>
          </w:p>
          <w:p w14:paraId="6398B764" w14:textId="77777777" w:rsidR="00657ACA" w:rsidRPr="00425980" w:rsidRDefault="00657ACA" w:rsidP="00657ACA">
            <w:pPr>
              <w:jc w:val="both"/>
              <w:rPr>
                <w:rFonts w:ascii="Arial" w:hAnsi="Arial" w:cs="Arial"/>
                <w:sz w:val="20"/>
                <w:szCs w:val="20"/>
              </w:rPr>
            </w:pPr>
          </w:p>
          <w:p w14:paraId="1301D8C2" w14:textId="2F98DEBE" w:rsidR="00657ACA" w:rsidRPr="0060328F" w:rsidRDefault="00657ACA" w:rsidP="00845EE0">
            <w:pPr>
              <w:jc w:val="both"/>
              <w:rPr>
                <w:rFonts w:ascii="Arial" w:hAnsi="Arial" w:cs="Arial"/>
                <w:b/>
                <w:sz w:val="20"/>
                <w:szCs w:val="20"/>
              </w:rPr>
            </w:pPr>
            <w:r w:rsidRPr="00425980">
              <w:rPr>
                <w:rFonts w:ascii="Arial" w:hAnsi="Arial" w:cs="Arial"/>
                <w:sz w:val="20"/>
                <w:szCs w:val="20"/>
              </w:rPr>
              <w:t>Hradená liečba podlieha predchádzajúcemu súhlasu zdravotnej poisťovne.</w:t>
            </w:r>
          </w:p>
        </w:tc>
      </w:tr>
      <w:tr w:rsidR="00657ACA" w:rsidRPr="0000591E" w14:paraId="3DF03EC9" w14:textId="77777777" w:rsidTr="003F7925">
        <w:trPr>
          <w:gridAfter w:val="2"/>
          <w:wAfter w:w="154" w:type="dxa"/>
          <w:trHeight w:val="20"/>
        </w:trPr>
        <w:tc>
          <w:tcPr>
            <w:tcW w:w="1256" w:type="dxa"/>
            <w:tcBorders>
              <w:bottom w:val="single" w:sz="4" w:space="0" w:color="auto"/>
            </w:tcBorders>
            <w:noWrap/>
            <w:vAlign w:val="bottom"/>
          </w:tcPr>
          <w:p w14:paraId="200A6E59" w14:textId="77777777" w:rsidR="00657ACA" w:rsidRPr="0060328F" w:rsidRDefault="00657ACA" w:rsidP="00657ACA">
            <w:pPr>
              <w:jc w:val="both"/>
              <w:rPr>
                <w:rFonts w:ascii="Arial" w:hAnsi="Arial" w:cs="Arial"/>
                <w:b/>
                <w:sz w:val="20"/>
                <w:szCs w:val="20"/>
              </w:rPr>
            </w:pPr>
            <w:r w:rsidRPr="0060328F">
              <w:rPr>
                <w:rFonts w:ascii="Arial" w:hAnsi="Arial" w:cs="Arial"/>
                <w:b/>
                <w:sz w:val="20"/>
                <w:szCs w:val="20"/>
              </w:rPr>
              <w:t>C10BA10</w:t>
            </w:r>
          </w:p>
        </w:tc>
        <w:tc>
          <w:tcPr>
            <w:tcW w:w="9452" w:type="dxa"/>
            <w:tcBorders>
              <w:bottom w:val="single" w:sz="4" w:space="0" w:color="auto"/>
            </w:tcBorders>
            <w:noWrap/>
          </w:tcPr>
          <w:p w14:paraId="4B37FCF6" w14:textId="77777777" w:rsidR="00657ACA" w:rsidRPr="0060328F" w:rsidRDefault="00657ACA" w:rsidP="00657ACA">
            <w:pPr>
              <w:rPr>
                <w:rFonts w:ascii="Arial" w:hAnsi="Arial" w:cs="Arial"/>
                <w:b/>
                <w:sz w:val="20"/>
                <w:szCs w:val="20"/>
              </w:rPr>
            </w:pPr>
            <w:r w:rsidRPr="0060328F">
              <w:rPr>
                <w:rFonts w:ascii="Arial" w:hAnsi="Arial" w:cs="Arial"/>
                <w:b/>
                <w:sz w:val="20"/>
                <w:szCs w:val="20"/>
              </w:rPr>
              <w:t>Kyselina bempedoová a ezetimib p.o. 180 mg/10 mg</w:t>
            </w:r>
          </w:p>
        </w:tc>
      </w:tr>
      <w:tr w:rsidR="00657ACA" w:rsidRPr="0000591E" w14:paraId="4E93DD32" w14:textId="77777777" w:rsidTr="003F7925">
        <w:trPr>
          <w:gridAfter w:val="2"/>
          <w:wAfter w:w="154" w:type="dxa"/>
          <w:trHeight w:val="20"/>
        </w:trPr>
        <w:tc>
          <w:tcPr>
            <w:tcW w:w="1256" w:type="dxa"/>
            <w:tcBorders>
              <w:top w:val="single" w:sz="4" w:space="0" w:color="auto"/>
            </w:tcBorders>
            <w:noWrap/>
            <w:vAlign w:val="bottom"/>
          </w:tcPr>
          <w:p w14:paraId="44A5818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1C680AF1" w14:textId="77777777" w:rsidR="00657ACA" w:rsidRPr="00B748EB" w:rsidRDefault="00657ACA" w:rsidP="00657ACA">
            <w:pPr>
              <w:jc w:val="both"/>
              <w:rPr>
                <w:rFonts w:ascii="Arial" w:hAnsi="Arial" w:cs="Arial"/>
                <w:sz w:val="20"/>
                <w:szCs w:val="20"/>
              </w:rPr>
            </w:pPr>
            <w:r w:rsidRPr="00B748EB">
              <w:rPr>
                <w:rFonts w:ascii="Arial" w:hAnsi="Arial" w:cs="Arial"/>
                <w:sz w:val="20"/>
                <w:szCs w:val="20"/>
              </w:rPr>
              <w:t>Hradená liečba sa môže indikovať dospelým s primárnou hypercholesterolémiou (heterozygotnou</w:t>
            </w:r>
          </w:p>
          <w:p w14:paraId="3BA0E450" w14:textId="77777777" w:rsidR="00657ACA" w:rsidRDefault="00657ACA" w:rsidP="00657ACA">
            <w:pPr>
              <w:jc w:val="both"/>
              <w:rPr>
                <w:rFonts w:ascii="Arial" w:hAnsi="Arial" w:cs="Arial"/>
                <w:sz w:val="20"/>
                <w:szCs w:val="20"/>
              </w:rPr>
            </w:pPr>
            <w:r w:rsidRPr="00B748EB">
              <w:rPr>
                <w:rFonts w:ascii="Arial" w:hAnsi="Arial" w:cs="Arial"/>
                <w:sz w:val="20"/>
                <w:szCs w:val="20"/>
              </w:rPr>
              <w:lastRenderedPageBreak/>
              <w:t>familiárnou a non-familiárnou) alebo zmiešanou dyslipidémiou, u ktorých je statín považovaný za nevhodný</w:t>
            </w:r>
            <w:r>
              <w:rPr>
                <w:rFonts w:ascii="Arial" w:hAnsi="Arial" w:cs="Arial"/>
                <w:sz w:val="20"/>
                <w:szCs w:val="20"/>
              </w:rPr>
              <w:t xml:space="preserve"> </w:t>
            </w:r>
            <w:r w:rsidRPr="00B748EB">
              <w:rPr>
                <w:rFonts w:ascii="Arial" w:hAnsi="Arial" w:cs="Arial"/>
                <w:sz w:val="20"/>
                <w:szCs w:val="20"/>
              </w:rPr>
              <w:t>alebo nie je tolerovaný, pri nedostatočnej účinnosti monoterapiou ezetimibom v trvaní minimálne 1 mesiac</w:t>
            </w:r>
            <w:r>
              <w:rPr>
                <w:rFonts w:ascii="Arial" w:hAnsi="Arial" w:cs="Arial"/>
                <w:sz w:val="20"/>
                <w:szCs w:val="20"/>
              </w:rPr>
              <w:t xml:space="preserve"> </w:t>
            </w:r>
            <w:r w:rsidRPr="00B748EB">
              <w:rPr>
                <w:rFonts w:ascii="Arial" w:hAnsi="Arial" w:cs="Arial"/>
                <w:sz w:val="20"/>
                <w:szCs w:val="20"/>
              </w:rPr>
              <w:t>a súčasne pacienti nie sú vhodní na liečbu inklisiranom a PCSK9 inhibítormi.</w:t>
            </w:r>
            <w:r>
              <w:rPr>
                <w:rFonts w:ascii="Arial" w:hAnsi="Arial" w:cs="Arial"/>
                <w:sz w:val="20"/>
                <w:szCs w:val="20"/>
              </w:rPr>
              <w:t xml:space="preserve"> </w:t>
            </w:r>
            <w:r w:rsidRPr="00B748EB">
              <w:rPr>
                <w:rFonts w:ascii="Arial" w:hAnsi="Arial" w:cs="Arial"/>
                <w:sz w:val="20"/>
                <w:szCs w:val="20"/>
              </w:rPr>
              <w:t>Kyselina bempedoová s ezetimibom sa môže používať ako samostatné tablety alebo ako fixná kombinácia</w:t>
            </w:r>
            <w:r>
              <w:rPr>
                <w:rFonts w:ascii="Arial" w:hAnsi="Arial" w:cs="Arial"/>
                <w:sz w:val="20"/>
                <w:szCs w:val="20"/>
              </w:rPr>
              <w:t>.</w:t>
            </w:r>
          </w:p>
          <w:p w14:paraId="5E7877AC" w14:textId="70EFD3E5" w:rsidR="00657ACA" w:rsidRDefault="00657ACA" w:rsidP="00657ACA">
            <w:pPr>
              <w:jc w:val="both"/>
              <w:rPr>
                <w:rFonts w:ascii="Arial" w:hAnsi="Arial" w:cs="Arial"/>
                <w:sz w:val="20"/>
                <w:szCs w:val="20"/>
              </w:rPr>
            </w:pPr>
          </w:p>
        </w:tc>
      </w:tr>
      <w:tr w:rsidR="00657ACA" w:rsidRPr="0000591E" w14:paraId="159CA737" w14:textId="77777777" w:rsidTr="003F7925">
        <w:trPr>
          <w:gridAfter w:val="2"/>
          <w:wAfter w:w="154" w:type="dxa"/>
          <w:trHeight w:val="20"/>
        </w:trPr>
        <w:tc>
          <w:tcPr>
            <w:tcW w:w="1256" w:type="dxa"/>
            <w:tcBorders>
              <w:bottom w:val="single" w:sz="4" w:space="0" w:color="auto"/>
            </w:tcBorders>
            <w:noWrap/>
            <w:vAlign w:val="bottom"/>
          </w:tcPr>
          <w:p w14:paraId="45DDCAA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D01BA02</w:t>
            </w:r>
          </w:p>
        </w:tc>
        <w:tc>
          <w:tcPr>
            <w:tcW w:w="9452" w:type="dxa"/>
            <w:tcBorders>
              <w:bottom w:val="single" w:sz="4" w:space="0" w:color="auto"/>
            </w:tcBorders>
            <w:noWrap/>
            <w:vAlign w:val="bottom"/>
          </w:tcPr>
          <w:p w14:paraId="68B57D81"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Terbinafín p.o. 250 mg</w:t>
            </w:r>
          </w:p>
        </w:tc>
      </w:tr>
      <w:tr w:rsidR="00657ACA" w:rsidRPr="0000591E" w14:paraId="5245FE41" w14:textId="77777777" w:rsidTr="003F7925">
        <w:trPr>
          <w:gridAfter w:val="2"/>
          <w:wAfter w:w="154" w:type="dxa"/>
          <w:trHeight w:val="20"/>
        </w:trPr>
        <w:tc>
          <w:tcPr>
            <w:tcW w:w="1256" w:type="dxa"/>
            <w:tcBorders>
              <w:top w:val="single" w:sz="4" w:space="0" w:color="auto"/>
            </w:tcBorders>
            <w:noWrap/>
            <w:vAlign w:val="bottom"/>
          </w:tcPr>
          <w:p w14:paraId="35C7AB4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48032C9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w:t>
            </w:r>
          </w:p>
          <w:p w14:paraId="3CD1AC17" w14:textId="77777777" w:rsidR="00657ACA" w:rsidRPr="0000591E" w:rsidRDefault="00657ACA">
            <w:pPr>
              <w:numPr>
                <w:ilvl w:val="0"/>
                <w:numId w:val="10"/>
              </w:numPr>
              <w:jc w:val="both"/>
              <w:rPr>
                <w:rFonts w:ascii="Arial" w:hAnsi="Arial" w:cs="Arial"/>
                <w:sz w:val="20"/>
                <w:szCs w:val="20"/>
              </w:rPr>
            </w:pPr>
            <w:r w:rsidRPr="0000591E">
              <w:rPr>
                <w:rFonts w:ascii="Arial" w:hAnsi="Arial" w:cs="Arial"/>
                <w:sz w:val="20"/>
                <w:szCs w:val="20"/>
              </w:rPr>
              <w:t>onychomykóze,</w:t>
            </w:r>
          </w:p>
          <w:p w14:paraId="52C3BA08" w14:textId="77777777" w:rsidR="00657ACA" w:rsidRPr="0000591E" w:rsidRDefault="00657ACA">
            <w:pPr>
              <w:numPr>
                <w:ilvl w:val="0"/>
                <w:numId w:val="10"/>
              </w:numPr>
              <w:jc w:val="both"/>
              <w:rPr>
                <w:rFonts w:ascii="Arial" w:hAnsi="Arial" w:cs="Arial"/>
                <w:sz w:val="20"/>
                <w:szCs w:val="20"/>
              </w:rPr>
            </w:pPr>
            <w:r w:rsidRPr="0000591E">
              <w:rPr>
                <w:rFonts w:ascii="Arial" w:hAnsi="Arial" w:cs="Arial"/>
                <w:sz w:val="20"/>
                <w:szCs w:val="20"/>
              </w:rPr>
              <w:t>rozsiahlych alebo chronických formách dermatofytóz.</w:t>
            </w:r>
          </w:p>
          <w:p w14:paraId="39C4B047"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 xml:space="preserve">Podmienkou hradenej liečby je pozitívny mikroskopický nález a odber na mykologickú kultiváciu pred jej začatím. </w:t>
            </w:r>
          </w:p>
          <w:p w14:paraId="49AB78CC" w14:textId="77777777" w:rsidR="00657ACA" w:rsidRPr="0000591E" w:rsidRDefault="00657ACA" w:rsidP="00657ACA">
            <w:pPr>
              <w:jc w:val="both"/>
              <w:rPr>
                <w:rFonts w:ascii="Arial" w:hAnsi="Arial" w:cs="Arial"/>
                <w:sz w:val="20"/>
                <w:szCs w:val="20"/>
              </w:rPr>
            </w:pPr>
          </w:p>
        </w:tc>
      </w:tr>
      <w:tr w:rsidR="00657ACA" w:rsidRPr="0000591E" w14:paraId="4F4257EF" w14:textId="77777777" w:rsidTr="003F7925">
        <w:trPr>
          <w:gridAfter w:val="2"/>
          <w:wAfter w:w="154" w:type="dxa"/>
          <w:trHeight w:val="20"/>
        </w:trPr>
        <w:tc>
          <w:tcPr>
            <w:tcW w:w="1256" w:type="dxa"/>
            <w:tcBorders>
              <w:bottom w:val="single" w:sz="4" w:space="0" w:color="auto"/>
            </w:tcBorders>
            <w:noWrap/>
            <w:vAlign w:val="bottom"/>
          </w:tcPr>
          <w:p w14:paraId="6237DCC7"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lang w:eastAsia="cs-CZ"/>
              </w:rPr>
              <w:t>D06BB10</w:t>
            </w:r>
          </w:p>
        </w:tc>
        <w:tc>
          <w:tcPr>
            <w:tcW w:w="9452" w:type="dxa"/>
            <w:tcBorders>
              <w:bottom w:val="single" w:sz="4" w:space="0" w:color="auto"/>
            </w:tcBorders>
            <w:vAlign w:val="bottom"/>
          </w:tcPr>
          <w:p w14:paraId="141D9DFB"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lang w:eastAsia="cs-CZ"/>
              </w:rPr>
              <w:t>Imikvimod loc. crm. 5%</w:t>
            </w:r>
          </w:p>
        </w:tc>
      </w:tr>
      <w:tr w:rsidR="00657ACA" w:rsidRPr="0000591E" w14:paraId="7B242609" w14:textId="77777777" w:rsidTr="003F7925">
        <w:trPr>
          <w:gridBefore w:val="1"/>
          <w:gridAfter w:val="2"/>
          <w:wBefore w:w="1256" w:type="dxa"/>
          <w:wAfter w:w="154" w:type="dxa"/>
          <w:trHeight w:val="20"/>
        </w:trPr>
        <w:tc>
          <w:tcPr>
            <w:tcW w:w="9452" w:type="dxa"/>
            <w:noWrap/>
          </w:tcPr>
          <w:p w14:paraId="3F345D0B" w14:textId="77777777" w:rsidR="00657ACA" w:rsidRPr="00494B70" w:rsidRDefault="00657ACA" w:rsidP="00657ACA">
            <w:pPr>
              <w:pStyle w:val="Obyajntext"/>
              <w:jc w:val="both"/>
              <w:rPr>
                <w:rFonts w:ascii="Arial" w:hAnsi="Arial" w:cs="Arial"/>
              </w:rPr>
            </w:pPr>
            <w:r w:rsidRPr="00494B70">
              <w:rPr>
                <w:rFonts w:ascii="Arial" w:hAnsi="Arial" w:cs="Arial"/>
              </w:rPr>
              <w:t>Hradená liečba sa môže indikovať pri</w:t>
            </w:r>
          </w:p>
          <w:p w14:paraId="56E23414" w14:textId="77777777" w:rsidR="00657ACA" w:rsidRDefault="00657ACA">
            <w:pPr>
              <w:pStyle w:val="Obyajntext"/>
              <w:numPr>
                <w:ilvl w:val="0"/>
                <w:numId w:val="88"/>
              </w:numPr>
              <w:jc w:val="both"/>
              <w:rPr>
                <w:rFonts w:ascii="Arial" w:hAnsi="Arial" w:cs="Arial"/>
              </w:rPr>
            </w:pPr>
            <w:r w:rsidRPr="00494B70">
              <w:rPr>
                <w:rFonts w:ascii="Arial" w:hAnsi="Arial" w:cs="Arial"/>
              </w:rPr>
              <w:t>cytologicky alebo dermatoskopicky verifikovaných povrchových a nodulárnych bazaliómoch lokalizovaných na ušnici alebo na tvári; podmienkou hradenej liečby je fotodokumentácia postihnutého miesta,</w:t>
            </w:r>
          </w:p>
          <w:p w14:paraId="3EF4CF3D" w14:textId="77777777" w:rsidR="00657ACA" w:rsidRDefault="00657ACA">
            <w:pPr>
              <w:pStyle w:val="Obyajntext"/>
              <w:numPr>
                <w:ilvl w:val="0"/>
                <w:numId w:val="88"/>
              </w:numPr>
              <w:jc w:val="both"/>
              <w:rPr>
                <w:rFonts w:ascii="Arial" w:hAnsi="Arial" w:cs="Arial"/>
              </w:rPr>
            </w:pPr>
            <w:r w:rsidRPr="00494B70">
              <w:rPr>
                <w:rFonts w:ascii="Arial" w:hAnsi="Arial" w:cs="Arial"/>
              </w:rPr>
              <w:t>klinicky charakteristických aktinických keratózach (AK) na tvári alebo na koži na temene hlavy u dospelých imunokompetentných pacientov, keď rozsah alebo počet lézii limituje účinnosť alebo akceptovateľnosť kryoterapie a iné postupy lokálnej liečby sú kontraindikované alebo menej vhodné; podmienkou hradenej liečby je fotodokumentácia postihnutého miesta,</w:t>
            </w:r>
          </w:p>
          <w:p w14:paraId="50BF272F" w14:textId="77777777" w:rsidR="00657ACA" w:rsidRPr="008F3A8A" w:rsidRDefault="00657ACA">
            <w:pPr>
              <w:pStyle w:val="Obyajntext"/>
              <w:numPr>
                <w:ilvl w:val="0"/>
                <w:numId w:val="88"/>
              </w:numPr>
              <w:jc w:val="both"/>
              <w:rPr>
                <w:rFonts w:ascii="Arial" w:hAnsi="Arial" w:cs="Arial"/>
              </w:rPr>
            </w:pPr>
            <w:r w:rsidRPr="00494B70">
              <w:rPr>
                <w:rFonts w:ascii="Arial" w:hAnsi="Arial" w:cs="Arial"/>
              </w:rPr>
              <w:t>vonkajších genitálnych a perianálnych bradaviciach (condylomata acuminata) u dospelých po zlyhaní konvenčných postupov (kryoterapia alebo elektrokauterizácia) a ako liečba voľby pr</w:t>
            </w:r>
            <w:r>
              <w:rPr>
                <w:rFonts w:ascii="Arial" w:hAnsi="Arial" w:cs="Arial"/>
              </w:rPr>
              <w:t>i rozsiahlych léziách (nad 4 cm</w:t>
            </w:r>
            <w:r>
              <w:rPr>
                <w:rFonts w:ascii="Arial" w:hAnsi="Arial" w:cs="Arial"/>
                <w:vertAlign w:val="superscript"/>
              </w:rPr>
              <w:t>2</w:t>
            </w:r>
            <w:r w:rsidRPr="00494B70">
              <w:rPr>
                <w:rFonts w:ascii="Arial" w:hAnsi="Arial" w:cs="Arial"/>
              </w:rPr>
              <w:t>), mnohopočetných léziách (nad 5 afekcií) alebo deformujúcich léziách.</w:t>
            </w:r>
          </w:p>
          <w:p w14:paraId="0416D633" w14:textId="77777777" w:rsidR="00657ACA" w:rsidRPr="00494B70" w:rsidRDefault="00657ACA" w:rsidP="00657ACA">
            <w:pPr>
              <w:pStyle w:val="Obyajntext"/>
              <w:ind w:left="720"/>
              <w:jc w:val="both"/>
              <w:rPr>
                <w:rFonts w:ascii="Arial" w:hAnsi="Arial" w:cs="Arial"/>
              </w:rPr>
            </w:pPr>
          </w:p>
        </w:tc>
      </w:tr>
      <w:tr w:rsidR="00657ACA" w:rsidRPr="0000591E" w14:paraId="10B8B57C" w14:textId="77777777" w:rsidTr="003F7925">
        <w:trPr>
          <w:gridAfter w:val="2"/>
          <w:wAfter w:w="154" w:type="dxa"/>
          <w:trHeight w:val="20"/>
        </w:trPr>
        <w:tc>
          <w:tcPr>
            <w:tcW w:w="1256" w:type="dxa"/>
            <w:tcBorders>
              <w:bottom w:val="single" w:sz="4" w:space="0" w:color="auto"/>
            </w:tcBorders>
            <w:noWrap/>
            <w:vAlign w:val="center"/>
          </w:tcPr>
          <w:p w14:paraId="6947F12C" w14:textId="77777777" w:rsidR="00657ACA" w:rsidRDefault="00657ACA" w:rsidP="00657ACA">
            <w:pPr>
              <w:rPr>
                <w:rFonts w:ascii="Arial" w:hAnsi="Arial" w:cs="Arial"/>
                <w:b/>
                <w:bCs/>
                <w:sz w:val="20"/>
                <w:szCs w:val="20"/>
              </w:rPr>
            </w:pPr>
          </w:p>
          <w:p w14:paraId="34D41A5C" w14:textId="031F77EA" w:rsidR="00657ACA" w:rsidRPr="0000591E" w:rsidRDefault="00657ACA" w:rsidP="00657ACA">
            <w:pPr>
              <w:rPr>
                <w:rFonts w:ascii="Arial" w:hAnsi="Arial" w:cs="Arial"/>
                <w:b/>
                <w:bCs/>
                <w:sz w:val="20"/>
                <w:szCs w:val="20"/>
              </w:rPr>
            </w:pPr>
            <w:r w:rsidRPr="0000591E">
              <w:rPr>
                <w:rFonts w:ascii="Arial" w:hAnsi="Arial" w:cs="Arial"/>
                <w:b/>
                <w:bCs/>
                <w:sz w:val="20"/>
                <w:szCs w:val="20"/>
              </w:rPr>
              <w:t>D10BA01</w:t>
            </w:r>
          </w:p>
        </w:tc>
        <w:tc>
          <w:tcPr>
            <w:tcW w:w="9452" w:type="dxa"/>
            <w:tcBorders>
              <w:bottom w:val="single" w:sz="4" w:space="0" w:color="auto"/>
            </w:tcBorders>
            <w:noWrap/>
            <w:vAlign w:val="bottom"/>
          </w:tcPr>
          <w:p w14:paraId="4804154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Izotretinoín p.o. </w:t>
            </w:r>
            <w:r>
              <w:rPr>
                <w:rFonts w:ascii="Arial" w:hAnsi="Arial" w:cs="Arial"/>
                <w:b/>
                <w:bCs/>
                <w:sz w:val="20"/>
                <w:szCs w:val="20"/>
              </w:rPr>
              <w:t>1</w:t>
            </w:r>
            <w:r w:rsidRPr="0000591E">
              <w:rPr>
                <w:rFonts w:ascii="Arial" w:hAnsi="Arial" w:cs="Arial"/>
                <w:b/>
                <w:bCs/>
                <w:sz w:val="20"/>
                <w:szCs w:val="20"/>
              </w:rPr>
              <w:t>0 mg,</w:t>
            </w:r>
          </w:p>
          <w:p w14:paraId="5FB07D0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Izotretinoín p.o. 20 mg,</w:t>
            </w:r>
          </w:p>
        </w:tc>
      </w:tr>
      <w:tr w:rsidR="00657ACA" w:rsidRPr="0000591E" w14:paraId="615598FA" w14:textId="77777777" w:rsidTr="003F7925">
        <w:trPr>
          <w:gridAfter w:val="2"/>
          <w:wAfter w:w="154" w:type="dxa"/>
          <w:trHeight w:val="20"/>
        </w:trPr>
        <w:tc>
          <w:tcPr>
            <w:tcW w:w="1256" w:type="dxa"/>
            <w:tcBorders>
              <w:top w:val="single" w:sz="4" w:space="0" w:color="auto"/>
            </w:tcBorders>
            <w:noWrap/>
            <w:vAlign w:val="bottom"/>
          </w:tcPr>
          <w:p w14:paraId="1916FDE9" w14:textId="77777777" w:rsidR="00657ACA" w:rsidRPr="0000591E" w:rsidRDefault="00657ACA" w:rsidP="00657ACA">
            <w:pPr>
              <w:jc w:val="both"/>
              <w:rPr>
                <w:rFonts w:ascii="Arial" w:hAnsi="Arial" w:cs="Arial"/>
                <w:sz w:val="20"/>
                <w:szCs w:val="20"/>
              </w:rPr>
            </w:pPr>
          </w:p>
          <w:p w14:paraId="22179F66"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F4AD807"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ťažkej forme acne (nodulárne acne alebo acne conglobata s rizikom trvalého zjazvenia), ktoré sú rezistentné na terapiu systémovými antibiotikami a na lokálnu terapiu.</w:t>
            </w:r>
          </w:p>
          <w:p w14:paraId="754E8BC9" w14:textId="77777777" w:rsidR="00657ACA" w:rsidRPr="0000591E" w:rsidRDefault="00657ACA" w:rsidP="00657ACA">
            <w:pPr>
              <w:jc w:val="both"/>
              <w:rPr>
                <w:rFonts w:ascii="Arial" w:hAnsi="Arial" w:cs="Arial"/>
                <w:sz w:val="20"/>
                <w:szCs w:val="20"/>
              </w:rPr>
            </w:pPr>
          </w:p>
        </w:tc>
      </w:tr>
      <w:tr w:rsidR="00657ACA" w:rsidRPr="0000591E" w14:paraId="78D4D6AE" w14:textId="77777777" w:rsidTr="003F7925">
        <w:trPr>
          <w:gridAfter w:val="2"/>
          <w:wAfter w:w="154" w:type="dxa"/>
          <w:trHeight w:val="20"/>
        </w:trPr>
        <w:tc>
          <w:tcPr>
            <w:tcW w:w="1256" w:type="dxa"/>
            <w:tcBorders>
              <w:bottom w:val="single" w:sz="4" w:space="0" w:color="auto"/>
            </w:tcBorders>
            <w:noWrap/>
            <w:vAlign w:val="bottom"/>
          </w:tcPr>
          <w:p w14:paraId="2BDA8B8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D11AH01</w:t>
            </w:r>
          </w:p>
        </w:tc>
        <w:tc>
          <w:tcPr>
            <w:tcW w:w="9452" w:type="dxa"/>
            <w:tcBorders>
              <w:bottom w:val="single" w:sz="4" w:space="0" w:color="auto"/>
            </w:tcBorders>
            <w:vAlign w:val="bottom"/>
          </w:tcPr>
          <w:p w14:paraId="7A26C82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Tacrolimus monohydrát  loc. 0,03% </w:t>
            </w:r>
          </w:p>
          <w:p w14:paraId="3CD9566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Tacrolimus monohydrát  loc. 0,1%  </w:t>
            </w:r>
          </w:p>
        </w:tc>
      </w:tr>
      <w:tr w:rsidR="00657ACA" w:rsidRPr="0000591E" w14:paraId="4C590E28" w14:textId="77777777" w:rsidTr="003F7925">
        <w:trPr>
          <w:gridAfter w:val="2"/>
          <w:wAfter w:w="154" w:type="dxa"/>
          <w:trHeight w:val="20"/>
        </w:trPr>
        <w:tc>
          <w:tcPr>
            <w:tcW w:w="1256" w:type="dxa"/>
            <w:tcBorders>
              <w:top w:val="single" w:sz="4" w:space="0" w:color="auto"/>
            </w:tcBorders>
            <w:noWrap/>
            <w:vAlign w:val="bottom"/>
          </w:tcPr>
          <w:p w14:paraId="183CB791"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6C5AEDF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atopickej dermatitíde po zlyhaní alebo kontraindikácii liečby kortikoidmi u pacientov od dovŕšenia druhého roku veku s aplikáciou výhradne na predilekčné miesta (tvár, krk, kubitálne a popliteálne jamky).</w:t>
            </w:r>
          </w:p>
          <w:p w14:paraId="7767468F"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Na základe verejného zdravotného poistenia sa uhrádza maximálne 120 g masti na jeden liečebný cyklus.</w:t>
            </w:r>
          </w:p>
          <w:p w14:paraId="7A5265A2" w14:textId="77777777" w:rsidR="00657ACA" w:rsidRDefault="00657ACA" w:rsidP="00657ACA">
            <w:pPr>
              <w:jc w:val="both"/>
              <w:rPr>
                <w:rFonts w:ascii="Arial" w:hAnsi="Arial" w:cs="Arial"/>
                <w:b/>
                <w:bCs/>
                <w:sz w:val="20"/>
                <w:szCs w:val="20"/>
              </w:rPr>
            </w:pPr>
          </w:p>
          <w:p w14:paraId="500AE0A6" w14:textId="6DCA05EE" w:rsidR="00657ACA" w:rsidRPr="0000591E" w:rsidRDefault="00657ACA" w:rsidP="00657ACA">
            <w:pPr>
              <w:jc w:val="both"/>
              <w:rPr>
                <w:rFonts w:ascii="Arial" w:hAnsi="Arial" w:cs="Arial"/>
                <w:b/>
                <w:bCs/>
                <w:sz w:val="20"/>
                <w:szCs w:val="20"/>
              </w:rPr>
            </w:pPr>
          </w:p>
        </w:tc>
      </w:tr>
      <w:tr w:rsidR="00657ACA" w:rsidRPr="0000591E" w14:paraId="6387A9F4" w14:textId="77777777" w:rsidTr="003F7925">
        <w:trPr>
          <w:gridAfter w:val="2"/>
          <w:wAfter w:w="154" w:type="dxa"/>
          <w:trHeight w:val="20"/>
        </w:trPr>
        <w:tc>
          <w:tcPr>
            <w:tcW w:w="1256" w:type="dxa"/>
            <w:tcBorders>
              <w:bottom w:val="single" w:sz="4" w:space="0" w:color="auto"/>
            </w:tcBorders>
            <w:noWrap/>
            <w:vAlign w:val="bottom"/>
          </w:tcPr>
          <w:p w14:paraId="3EFE75AF" w14:textId="425D7020" w:rsidR="00657ACA" w:rsidRPr="0000591E" w:rsidRDefault="00657ACA" w:rsidP="00657ACA">
            <w:pPr>
              <w:jc w:val="both"/>
              <w:rPr>
                <w:rFonts w:ascii="Arial" w:hAnsi="Arial" w:cs="Arial"/>
                <w:b/>
                <w:bCs/>
                <w:sz w:val="20"/>
                <w:szCs w:val="20"/>
              </w:rPr>
            </w:pPr>
            <w:r w:rsidRPr="002B1D77">
              <w:rPr>
                <w:rFonts w:ascii="Arial" w:hAnsi="Arial" w:cs="Arial"/>
                <w:b/>
                <w:bCs/>
                <w:sz w:val="20"/>
                <w:szCs w:val="20"/>
              </w:rPr>
              <w:t>D11AH02</w:t>
            </w:r>
          </w:p>
        </w:tc>
        <w:tc>
          <w:tcPr>
            <w:tcW w:w="9452" w:type="dxa"/>
            <w:tcBorders>
              <w:bottom w:val="single" w:sz="4" w:space="0" w:color="auto"/>
            </w:tcBorders>
            <w:vAlign w:val="bottom"/>
          </w:tcPr>
          <w:p w14:paraId="42F59CA8" w14:textId="1598FF9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Pimekrolimus loc. 1%</w:t>
            </w:r>
          </w:p>
        </w:tc>
      </w:tr>
      <w:tr w:rsidR="00657ACA" w:rsidRPr="0000591E" w14:paraId="292485E2" w14:textId="77777777" w:rsidTr="003F7925">
        <w:trPr>
          <w:gridAfter w:val="2"/>
          <w:wAfter w:w="154" w:type="dxa"/>
          <w:trHeight w:val="20"/>
        </w:trPr>
        <w:tc>
          <w:tcPr>
            <w:tcW w:w="1256" w:type="dxa"/>
            <w:tcBorders>
              <w:top w:val="single" w:sz="4" w:space="0" w:color="auto"/>
            </w:tcBorders>
            <w:noWrap/>
            <w:vAlign w:val="bottom"/>
          </w:tcPr>
          <w:p w14:paraId="0F80E3CF" w14:textId="5088A49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2C3C1B47" w14:textId="77777777" w:rsidR="00657ACA" w:rsidRPr="002B1D77" w:rsidRDefault="00657ACA" w:rsidP="00657ACA">
            <w:pPr>
              <w:jc w:val="both"/>
              <w:rPr>
                <w:rFonts w:ascii="Arial" w:hAnsi="Arial" w:cs="Arial"/>
                <w:bCs/>
                <w:sz w:val="20"/>
                <w:szCs w:val="20"/>
              </w:rPr>
            </w:pPr>
            <w:r w:rsidRPr="002B1D77">
              <w:rPr>
                <w:rFonts w:ascii="Arial" w:hAnsi="Arial" w:cs="Arial"/>
                <w:bCs/>
                <w:sz w:val="20"/>
                <w:szCs w:val="20"/>
              </w:rPr>
              <w:t>Hradená liečba sa môže indikovať pri atopickej dermatitíde po zlyhaní alebo kontraindikácii liečby kortikoidmi u pacientov od dovŕšenia druhého roku veku s aplikáciou výhradne na predilekčné miesta (tvár, krk, kubitálne a popliteálne jamky).</w:t>
            </w:r>
          </w:p>
          <w:p w14:paraId="6C9EE587" w14:textId="77777777" w:rsidR="00657ACA" w:rsidRDefault="00657ACA" w:rsidP="00657ACA">
            <w:pPr>
              <w:jc w:val="both"/>
              <w:rPr>
                <w:rFonts w:ascii="Arial" w:hAnsi="Arial" w:cs="Arial"/>
                <w:bCs/>
                <w:sz w:val="20"/>
                <w:szCs w:val="20"/>
              </w:rPr>
            </w:pPr>
            <w:r w:rsidRPr="002B1D77">
              <w:rPr>
                <w:rFonts w:ascii="Arial" w:hAnsi="Arial" w:cs="Arial"/>
                <w:bCs/>
                <w:sz w:val="20"/>
                <w:szCs w:val="20"/>
              </w:rPr>
              <w:t>Na základe verejného zdravotného poistenia sa uhrádza maximálne 120 g krému na jeden liečebný cyklus.</w:t>
            </w:r>
          </w:p>
          <w:p w14:paraId="5EB0366B" w14:textId="32972CD0" w:rsidR="00657ACA" w:rsidRPr="002B1D77" w:rsidRDefault="00657ACA" w:rsidP="00657ACA">
            <w:pPr>
              <w:jc w:val="both"/>
              <w:rPr>
                <w:rFonts w:ascii="Arial" w:hAnsi="Arial" w:cs="Arial"/>
                <w:bCs/>
                <w:sz w:val="20"/>
                <w:szCs w:val="20"/>
              </w:rPr>
            </w:pPr>
          </w:p>
        </w:tc>
      </w:tr>
      <w:tr w:rsidR="00657ACA" w:rsidRPr="00BF33A3" w14:paraId="11ABC403" w14:textId="77777777" w:rsidTr="003F7925">
        <w:trPr>
          <w:gridAfter w:val="2"/>
          <w:wAfter w:w="154" w:type="dxa"/>
          <w:trHeight w:val="20"/>
        </w:trPr>
        <w:tc>
          <w:tcPr>
            <w:tcW w:w="1256" w:type="dxa"/>
            <w:tcBorders>
              <w:bottom w:val="single" w:sz="4" w:space="0" w:color="auto"/>
            </w:tcBorders>
            <w:noWrap/>
            <w:vAlign w:val="bottom"/>
          </w:tcPr>
          <w:p w14:paraId="6564D717" w14:textId="77777777" w:rsidR="00657ACA" w:rsidRDefault="00657ACA" w:rsidP="00657ACA">
            <w:pPr>
              <w:jc w:val="both"/>
              <w:rPr>
                <w:rFonts w:ascii="Arial" w:hAnsi="Arial" w:cs="Arial"/>
                <w:b/>
                <w:sz w:val="20"/>
                <w:szCs w:val="20"/>
              </w:rPr>
            </w:pPr>
            <w:r w:rsidRPr="00350451">
              <w:rPr>
                <w:rFonts w:ascii="Arial" w:hAnsi="Arial" w:cs="Arial"/>
                <w:b/>
                <w:sz w:val="20"/>
                <w:szCs w:val="20"/>
              </w:rPr>
              <w:t>D11AH05</w:t>
            </w:r>
          </w:p>
        </w:tc>
        <w:tc>
          <w:tcPr>
            <w:tcW w:w="9452" w:type="dxa"/>
            <w:tcBorders>
              <w:bottom w:val="single" w:sz="4" w:space="0" w:color="auto"/>
            </w:tcBorders>
          </w:tcPr>
          <w:p w14:paraId="689C877D" w14:textId="77777777" w:rsidR="00657ACA" w:rsidRPr="00350451" w:rsidRDefault="00657ACA" w:rsidP="00657ACA">
            <w:pPr>
              <w:jc w:val="both"/>
              <w:rPr>
                <w:rFonts w:ascii="Arial" w:hAnsi="Arial" w:cs="Arial"/>
                <w:b/>
                <w:sz w:val="20"/>
                <w:szCs w:val="20"/>
              </w:rPr>
            </w:pPr>
            <w:r w:rsidRPr="00350451">
              <w:rPr>
                <w:rFonts w:ascii="Arial" w:hAnsi="Arial" w:cs="Arial"/>
                <w:b/>
                <w:sz w:val="20"/>
                <w:szCs w:val="20"/>
              </w:rPr>
              <w:t>Dupilumab s.c. 200 mg</w:t>
            </w:r>
          </w:p>
          <w:p w14:paraId="5806A318" w14:textId="77777777" w:rsidR="00657ACA" w:rsidRPr="00BF33A3" w:rsidRDefault="00657ACA" w:rsidP="00657ACA">
            <w:pPr>
              <w:jc w:val="both"/>
              <w:rPr>
                <w:rFonts w:ascii="Arial" w:hAnsi="Arial" w:cs="Arial"/>
                <w:sz w:val="20"/>
                <w:szCs w:val="20"/>
              </w:rPr>
            </w:pPr>
            <w:r w:rsidRPr="00350451">
              <w:rPr>
                <w:rFonts w:ascii="Arial" w:hAnsi="Arial" w:cs="Arial"/>
                <w:b/>
                <w:sz w:val="20"/>
                <w:szCs w:val="20"/>
              </w:rPr>
              <w:t>Dupilumab s.c. 300 mg</w:t>
            </w:r>
          </w:p>
        </w:tc>
      </w:tr>
      <w:tr w:rsidR="00657ACA" w:rsidRPr="00BF33A3" w14:paraId="79BE9ABC" w14:textId="77777777" w:rsidTr="003F7925">
        <w:trPr>
          <w:gridAfter w:val="2"/>
          <w:wAfter w:w="154" w:type="dxa"/>
          <w:trHeight w:val="20"/>
        </w:trPr>
        <w:tc>
          <w:tcPr>
            <w:tcW w:w="1256" w:type="dxa"/>
            <w:tcBorders>
              <w:top w:val="single" w:sz="4" w:space="0" w:color="auto"/>
            </w:tcBorders>
            <w:noWrap/>
            <w:vAlign w:val="bottom"/>
          </w:tcPr>
          <w:p w14:paraId="354BEA8D" w14:textId="77777777" w:rsidR="00657ACA" w:rsidRPr="00350451" w:rsidRDefault="00657ACA" w:rsidP="00657ACA">
            <w:pPr>
              <w:jc w:val="both"/>
              <w:rPr>
                <w:rFonts w:ascii="Arial" w:hAnsi="Arial" w:cs="Arial"/>
                <w:b/>
                <w:sz w:val="20"/>
                <w:szCs w:val="20"/>
              </w:rPr>
            </w:pPr>
          </w:p>
        </w:tc>
        <w:tc>
          <w:tcPr>
            <w:tcW w:w="9452" w:type="dxa"/>
            <w:tcBorders>
              <w:top w:val="single" w:sz="4" w:space="0" w:color="auto"/>
            </w:tcBorders>
          </w:tcPr>
          <w:p w14:paraId="019C0444"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Hradenú liečbu môže indikovať</w:t>
            </w:r>
          </w:p>
          <w:p w14:paraId="44E6A2F2"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a)</w:t>
            </w:r>
            <w:r w:rsidRPr="008D6CC3">
              <w:rPr>
                <w:rFonts w:ascii="Arial" w:hAnsi="Arial" w:cs="Arial"/>
                <w:sz w:val="20"/>
                <w:szCs w:val="20"/>
              </w:rPr>
              <w:tab/>
              <w:t>dermatovenerológ, klinický imunológ a alergológ</w:t>
            </w:r>
          </w:p>
          <w:p w14:paraId="5F0605D7"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u pacientov vo veku 12 rokov a starších so závažnou atopickou dermatitídou, ktorí sú kandidátmi na systémovú liečbu a na liečbu</w:t>
            </w:r>
          </w:p>
          <w:p w14:paraId="051AE07A"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u  pacientov do 18 rokov fototerapiou </w:t>
            </w:r>
          </w:p>
          <w:p w14:paraId="732253DA"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u pacientov vo veku 18 rokov a starších cyklosporínom</w:t>
            </w:r>
          </w:p>
          <w:p w14:paraId="06F7C07E"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majú zdokumentovanú intoleranciu, neúčinnosť alebo je pre nich táto liečba nevhodná.</w:t>
            </w:r>
          </w:p>
          <w:p w14:paraId="491B3117"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Úspešnosť terapie u pacientov vo veku od 12 rokov a dospelých sa vyhodnotí po 16 a po 24 týždňoch od začatia liečby a ďalej najmenej každých 24 týždňov. </w:t>
            </w:r>
          </w:p>
          <w:p w14:paraId="33372722" w14:textId="77777777" w:rsidR="00657ACA" w:rsidRPr="008D6CC3" w:rsidRDefault="00657ACA" w:rsidP="00657ACA">
            <w:pPr>
              <w:jc w:val="both"/>
              <w:rPr>
                <w:rFonts w:ascii="Arial" w:hAnsi="Arial" w:cs="Arial"/>
                <w:sz w:val="20"/>
                <w:szCs w:val="20"/>
              </w:rPr>
            </w:pPr>
          </w:p>
          <w:p w14:paraId="65E50CC8"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Ďalšia liečba nie je hradenou liečbou v týchto prípadoch: </w:t>
            </w:r>
          </w:p>
          <w:p w14:paraId="1F282ECC"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nedosiahnutie najmenej EASI-50 v týždni 16, </w:t>
            </w:r>
          </w:p>
          <w:p w14:paraId="63980F4A"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nedosiahnutie najmenej EASI-75 v týždni 24, </w:t>
            </w:r>
          </w:p>
          <w:p w14:paraId="5B8F7926"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lastRenderedPageBreak/>
              <w:t xml:space="preserve">- v prípade výskytu nezvládnuteľných nežiaducich účinkov, </w:t>
            </w:r>
          </w:p>
          <w:p w14:paraId="2A279CE5"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pri nedostatočnej adherencii na terapiu, </w:t>
            </w:r>
          </w:p>
          <w:p w14:paraId="4CBABADB"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pri poklese účinnosti pod EASI-50 pri dvoch po sebe nasledujúcich kontrolách.</w:t>
            </w:r>
          </w:p>
          <w:p w14:paraId="21FB0B02" w14:textId="77777777" w:rsidR="00657ACA" w:rsidRDefault="00657ACA" w:rsidP="00657ACA">
            <w:pPr>
              <w:jc w:val="both"/>
              <w:rPr>
                <w:rFonts w:ascii="Arial" w:hAnsi="Arial" w:cs="Arial"/>
                <w:sz w:val="20"/>
                <w:szCs w:val="20"/>
              </w:rPr>
            </w:pPr>
          </w:p>
          <w:p w14:paraId="24D4C345" w14:textId="0C5E8AAF" w:rsidR="00657ACA" w:rsidRPr="008D6CC3" w:rsidRDefault="00657ACA" w:rsidP="00657ACA">
            <w:pPr>
              <w:jc w:val="both"/>
              <w:rPr>
                <w:rFonts w:ascii="Arial" w:hAnsi="Arial" w:cs="Arial"/>
                <w:sz w:val="20"/>
                <w:szCs w:val="20"/>
              </w:rPr>
            </w:pPr>
            <w:r w:rsidRPr="008D6CC3">
              <w:rPr>
                <w:rFonts w:ascii="Arial" w:hAnsi="Arial" w:cs="Arial"/>
                <w:sz w:val="20"/>
                <w:szCs w:val="20"/>
              </w:rPr>
              <w:t>b)</w:t>
            </w:r>
            <w:r w:rsidRPr="008D6CC3">
              <w:rPr>
                <w:rFonts w:ascii="Arial" w:hAnsi="Arial" w:cs="Arial"/>
                <w:sz w:val="20"/>
                <w:szCs w:val="20"/>
              </w:rPr>
              <w:tab/>
              <w:t xml:space="preserve">alergológ a pneumológ </w:t>
            </w:r>
          </w:p>
          <w:p w14:paraId="1153E285"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u dospelých s ťažkou refraktérnou eozinofilnou astmou podľa klasifikácie na základe Global Strategy for Asthma Management and Prevention (GINA), ktorí majú zníženú funkciu pľúc (FEV1 menej ako 80% referenčnej hodnoty), počet eozinofilov v periférnej krvi vyšší alebo rovný 0,3.109 /L hodnotený 3 rôznymi meraniami, pričom minimálne 1 meranie bolo vykonané v priebehu predchádzajúcich 12 mesiacov, a s výskytom 2 alebo viacerých klinicky závažných exacerbácií astmy (definovaných ako zhoršenie astmy vyžadujúce užívanie perorálnych/systémových kortikosteroidov a/alebo hospitalizáciu a/alebo návštevy pohotovosti) v priebehu predchádzajúcich 12 mesiacov napriek každodenným vysokým dávkam inhalačných glukokortikosteroidov a dlhodobo účinkujúcich inhalačných beta2-agonistov.</w:t>
            </w:r>
          </w:p>
          <w:p w14:paraId="5A25C17C"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Ak nedôjde po prvých 12 mesiacoch liečby k zníženiu ročnej frekvencie exacerbácií astmy aspoň o 50%, ďalšia liečba nie je hradenou liečbou.</w:t>
            </w:r>
          </w:p>
          <w:p w14:paraId="757CA296" w14:textId="77777777" w:rsidR="00657ACA" w:rsidRPr="008D6CC3" w:rsidRDefault="00657ACA" w:rsidP="00657ACA">
            <w:pPr>
              <w:jc w:val="both"/>
              <w:rPr>
                <w:rFonts w:ascii="Arial" w:hAnsi="Arial" w:cs="Arial"/>
                <w:sz w:val="20"/>
                <w:szCs w:val="20"/>
              </w:rPr>
            </w:pPr>
          </w:p>
          <w:p w14:paraId="49764DF3"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Hradená liečba podlieha predchádzajúcemu súhlasu zdravotnej poisťovne.</w:t>
            </w:r>
          </w:p>
          <w:p w14:paraId="3C71EDDA" w14:textId="77777777" w:rsidR="00657ACA" w:rsidRPr="008D6CC3" w:rsidRDefault="00657ACA" w:rsidP="00657ACA">
            <w:pPr>
              <w:jc w:val="both"/>
              <w:rPr>
                <w:rFonts w:ascii="Arial" w:hAnsi="Arial" w:cs="Arial"/>
                <w:sz w:val="20"/>
                <w:szCs w:val="20"/>
              </w:rPr>
            </w:pPr>
          </w:p>
        </w:tc>
      </w:tr>
      <w:tr w:rsidR="00657ACA" w:rsidRPr="0000591E" w14:paraId="57FECDF8" w14:textId="77777777" w:rsidTr="003F7925">
        <w:trPr>
          <w:gridAfter w:val="2"/>
          <w:wAfter w:w="154" w:type="dxa"/>
          <w:trHeight w:val="20"/>
        </w:trPr>
        <w:tc>
          <w:tcPr>
            <w:tcW w:w="1256" w:type="dxa"/>
            <w:tcBorders>
              <w:bottom w:val="single" w:sz="4" w:space="0" w:color="auto"/>
            </w:tcBorders>
            <w:noWrap/>
            <w:vAlign w:val="bottom"/>
          </w:tcPr>
          <w:p w14:paraId="79B69DBA" w14:textId="77777777" w:rsidR="00657ACA" w:rsidRDefault="00657ACA" w:rsidP="00657ACA">
            <w:pPr>
              <w:jc w:val="both"/>
              <w:rPr>
                <w:rFonts w:ascii="Arial" w:hAnsi="Arial" w:cs="Arial"/>
                <w:b/>
                <w:sz w:val="20"/>
                <w:szCs w:val="20"/>
              </w:rPr>
            </w:pPr>
            <w:r>
              <w:rPr>
                <w:rFonts w:ascii="Arial" w:hAnsi="Arial" w:cs="Arial"/>
                <w:b/>
                <w:sz w:val="20"/>
                <w:szCs w:val="20"/>
              </w:rPr>
              <w:lastRenderedPageBreak/>
              <w:t>D11AH08</w:t>
            </w:r>
          </w:p>
        </w:tc>
        <w:tc>
          <w:tcPr>
            <w:tcW w:w="9452" w:type="dxa"/>
            <w:tcBorders>
              <w:bottom w:val="single" w:sz="4" w:space="0" w:color="auto"/>
            </w:tcBorders>
            <w:vAlign w:val="bottom"/>
          </w:tcPr>
          <w:p w14:paraId="6DCDEE77" w14:textId="77777777" w:rsidR="00657ACA" w:rsidRDefault="00657ACA" w:rsidP="00657ACA">
            <w:pPr>
              <w:jc w:val="both"/>
              <w:rPr>
                <w:rFonts w:ascii="Arial" w:hAnsi="Arial" w:cs="Arial"/>
                <w:b/>
                <w:sz w:val="20"/>
                <w:szCs w:val="20"/>
              </w:rPr>
            </w:pPr>
            <w:r w:rsidRPr="005420C5">
              <w:rPr>
                <w:rFonts w:ascii="Arial" w:hAnsi="Arial" w:cs="Arial"/>
                <w:b/>
                <w:sz w:val="20"/>
                <w:szCs w:val="20"/>
              </w:rPr>
              <w:t xml:space="preserve">Abrocitinib </w:t>
            </w:r>
            <w:r>
              <w:rPr>
                <w:rFonts w:ascii="Arial" w:hAnsi="Arial" w:cs="Arial"/>
                <w:b/>
                <w:sz w:val="20"/>
                <w:szCs w:val="20"/>
              </w:rPr>
              <w:t>p.o. 1</w:t>
            </w:r>
            <w:r w:rsidRPr="005420C5">
              <w:rPr>
                <w:rFonts w:ascii="Arial" w:hAnsi="Arial" w:cs="Arial"/>
                <w:b/>
                <w:sz w:val="20"/>
                <w:szCs w:val="20"/>
              </w:rPr>
              <w:t>00 mg</w:t>
            </w:r>
          </w:p>
          <w:p w14:paraId="10423BDA" w14:textId="77777777" w:rsidR="00657ACA" w:rsidRPr="005420C5" w:rsidRDefault="00657ACA" w:rsidP="00657ACA">
            <w:pPr>
              <w:jc w:val="both"/>
              <w:rPr>
                <w:rFonts w:ascii="Arial" w:hAnsi="Arial" w:cs="Arial"/>
                <w:b/>
                <w:sz w:val="20"/>
                <w:szCs w:val="20"/>
              </w:rPr>
            </w:pPr>
            <w:r w:rsidRPr="005420C5">
              <w:rPr>
                <w:rFonts w:ascii="Arial" w:hAnsi="Arial" w:cs="Arial"/>
                <w:b/>
                <w:sz w:val="20"/>
                <w:szCs w:val="20"/>
              </w:rPr>
              <w:t xml:space="preserve">Abrocitinib </w:t>
            </w:r>
            <w:r>
              <w:rPr>
                <w:rFonts w:ascii="Arial" w:hAnsi="Arial" w:cs="Arial"/>
                <w:b/>
                <w:sz w:val="20"/>
                <w:szCs w:val="20"/>
              </w:rPr>
              <w:t>p.o. 2</w:t>
            </w:r>
            <w:r w:rsidRPr="005420C5">
              <w:rPr>
                <w:rFonts w:ascii="Arial" w:hAnsi="Arial" w:cs="Arial"/>
                <w:b/>
                <w:sz w:val="20"/>
                <w:szCs w:val="20"/>
              </w:rPr>
              <w:t>00 mg</w:t>
            </w:r>
          </w:p>
        </w:tc>
      </w:tr>
      <w:tr w:rsidR="00657ACA" w:rsidRPr="0000591E" w14:paraId="03ED2266" w14:textId="77777777" w:rsidTr="003F7925">
        <w:trPr>
          <w:gridAfter w:val="2"/>
          <w:wAfter w:w="154" w:type="dxa"/>
          <w:trHeight w:val="20"/>
        </w:trPr>
        <w:tc>
          <w:tcPr>
            <w:tcW w:w="1256" w:type="dxa"/>
            <w:tcBorders>
              <w:top w:val="single" w:sz="4" w:space="0" w:color="auto"/>
            </w:tcBorders>
            <w:noWrap/>
            <w:vAlign w:val="bottom"/>
          </w:tcPr>
          <w:p w14:paraId="653090A3" w14:textId="77777777" w:rsidR="00657ACA" w:rsidRDefault="00657ACA" w:rsidP="00657ACA">
            <w:pPr>
              <w:jc w:val="both"/>
              <w:rPr>
                <w:rFonts w:ascii="Arial" w:hAnsi="Arial" w:cs="Arial"/>
                <w:b/>
                <w:sz w:val="20"/>
                <w:szCs w:val="20"/>
              </w:rPr>
            </w:pPr>
          </w:p>
        </w:tc>
        <w:tc>
          <w:tcPr>
            <w:tcW w:w="9452" w:type="dxa"/>
            <w:tcBorders>
              <w:top w:val="single" w:sz="4" w:space="0" w:color="auto"/>
            </w:tcBorders>
            <w:vAlign w:val="bottom"/>
          </w:tcPr>
          <w:p w14:paraId="1329AC7D" w14:textId="77777777" w:rsidR="00657ACA" w:rsidRDefault="00657ACA" w:rsidP="00657ACA">
            <w:pPr>
              <w:jc w:val="both"/>
              <w:rPr>
                <w:rFonts w:ascii="Arial" w:hAnsi="Arial" w:cs="Arial"/>
                <w:sz w:val="20"/>
                <w:szCs w:val="20"/>
              </w:rPr>
            </w:pPr>
            <w:r w:rsidRPr="005420C5">
              <w:rPr>
                <w:rFonts w:ascii="Arial" w:hAnsi="Arial" w:cs="Arial"/>
                <w:sz w:val="20"/>
                <w:szCs w:val="20"/>
              </w:rPr>
              <w:t>Hradenú liečbu môže indikovať po predchádzajúcom pneumologickom vyšetrení a vyšetrení IGRA testom</w:t>
            </w:r>
            <w:r>
              <w:rPr>
                <w:rFonts w:ascii="Arial" w:hAnsi="Arial" w:cs="Arial"/>
                <w:sz w:val="20"/>
                <w:szCs w:val="20"/>
              </w:rPr>
              <w:t xml:space="preserve"> </w:t>
            </w:r>
            <w:r w:rsidRPr="005420C5">
              <w:rPr>
                <w:rFonts w:ascii="Arial" w:hAnsi="Arial" w:cs="Arial"/>
                <w:sz w:val="20"/>
                <w:szCs w:val="20"/>
              </w:rPr>
              <w:t>dermatovenerológ, klinický imunológ a alergológ u pacientov vo veku 18 rokov a starších s ťažkou atopickou</w:t>
            </w:r>
            <w:r>
              <w:rPr>
                <w:rFonts w:ascii="Arial" w:hAnsi="Arial" w:cs="Arial"/>
                <w:sz w:val="20"/>
                <w:szCs w:val="20"/>
              </w:rPr>
              <w:t xml:space="preserve"> </w:t>
            </w:r>
            <w:r w:rsidRPr="005420C5">
              <w:rPr>
                <w:rFonts w:ascii="Arial" w:hAnsi="Arial" w:cs="Arial"/>
                <w:sz w:val="20"/>
                <w:szCs w:val="20"/>
              </w:rPr>
              <w:t>dermatitídou, ktorí sú kandidátmi na systémovú liečbu.</w:t>
            </w:r>
          </w:p>
          <w:p w14:paraId="421DC999" w14:textId="77777777" w:rsidR="00657ACA" w:rsidRDefault="00657ACA" w:rsidP="00657ACA">
            <w:pPr>
              <w:jc w:val="both"/>
              <w:rPr>
                <w:rFonts w:ascii="Arial" w:hAnsi="Arial" w:cs="Arial"/>
                <w:sz w:val="20"/>
                <w:szCs w:val="20"/>
              </w:rPr>
            </w:pPr>
            <w:r w:rsidRPr="005420C5">
              <w:rPr>
                <w:rFonts w:ascii="Arial" w:hAnsi="Arial" w:cs="Arial"/>
                <w:sz w:val="20"/>
                <w:szCs w:val="20"/>
              </w:rPr>
              <w:t>Úspešnosť terapie sa vyhodnotí po 16 a po 24 týždňoch od začatia liečby a ďalej najmenej každých 24 týždňov.</w:t>
            </w:r>
          </w:p>
          <w:p w14:paraId="217FDEAA" w14:textId="77777777" w:rsidR="00657ACA" w:rsidRDefault="00657ACA" w:rsidP="00657ACA">
            <w:pPr>
              <w:jc w:val="both"/>
              <w:rPr>
                <w:rFonts w:ascii="Arial" w:hAnsi="Arial" w:cs="Arial"/>
                <w:sz w:val="20"/>
                <w:szCs w:val="20"/>
              </w:rPr>
            </w:pPr>
            <w:r w:rsidRPr="005420C5">
              <w:rPr>
                <w:rFonts w:ascii="Arial" w:hAnsi="Arial" w:cs="Arial"/>
                <w:sz w:val="20"/>
                <w:szCs w:val="20"/>
              </w:rPr>
              <w:t>Ďalšia liečba nie je hradenou liečbou v týchto prípadoch:</w:t>
            </w:r>
          </w:p>
          <w:p w14:paraId="7912D4C9"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nedosiahnutie najmenej EASI-50 v týždni 16,</w:t>
            </w:r>
          </w:p>
          <w:p w14:paraId="627A138F"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nedosiahnutie najmenej EASI-75 v týždni 24,</w:t>
            </w:r>
          </w:p>
          <w:p w14:paraId="004D4E90"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v prípade výskytu nezvládnuteľných nežiaducich účinkov,</w:t>
            </w:r>
          </w:p>
          <w:p w14:paraId="30CB9639"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pri nedostatočnej adherencii na terapiu,</w:t>
            </w:r>
          </w:p>
          <w:p w14:paraId="0D4ECD1F" w14:textId="77777777" w:rsidR="00657ACA" w:rsidRDefault="00657ACA" w:rsidP="00657ACA">
            <w:pPr>
              <w:jc w:val="both"/>
              <w:rPr>
                <w:rFonts w:ascii="Arial" w:hAnsi="Arial" w:cs="Arial"/>
                <w:sz w:val="20"/>
                <w:szCs w:val="20"/>
              </w:rPr>
            </w:pPr>
            <w:r w:rsidRPr="005420C5">
              <w:rPr>
                <w:rFonts w:ascii="Arial" w:hAnsi="Arial" w:cs="Arial"/>
                <w:sz w:val="20"/>
                <w:szCs w:val="20"/>
              </w:rPr>
              <w:t>- pri poklese účinnosti pod EASI-50 pri dvoch po sebe nasledujúcich kontrolách.</w:t>
            </w:r>
          </w:p>
          <w:p w14:paraId="756EE8CE" w14:textId="77777777" w:rsidR="00657ACA" w:rsidRDefault="00657ACA" w:rsidP="00657ACA">
            <w:pPr>
              <w:jc w:val="both"/>
              <w:rPr>
                <w:rFonts w:ascii="Arial" w:hAnsi="Arial" w:cs="Arial"/>
                <w:sz w:val="20"/>
                <w:szCs w:val="20"/>
              </w:rPr>
            </w:pPr>
            <w:r w:rsidRPr="005420C5">
              <w:rPr>
                <w:rFonts w:ascii="Arial" w:hAnsi="Arial" w:cs="Arial"/>
                <w:sz w:val="20"/>
                <w:szCs w:val="20"/>
              </w:rPr>
              <w:t>Hradená liečba podlieha predchádzajúcemu súhlasu zdravotnej poisťovne.</w:t>
            </w:r>
          </w:p>
          <w:p w14:paraId="08A6D95B" w14:textId="3234E990" w:rsidR="00845EE0" w:rsidRPr="005420C5" w:rsidRDefault="00845EE0" w:rsidP="00657ACA">
            <w:pPr>
              <w:jc w:val="both"/>
              <w:rPr>
                <w:rFonts w:ascii="Arial" w:hAnsi="Arial" w:cs="Arial"/>
                <w:b/>
                <w:sz w:val="20"/>
                <w:szCs w:val="20"/>
              </w:rPr>
            </w:pPr>
          </w:p>
        </w:tc>
      </w:tr>
      <w:tr w:rsidR="00657ACA" w:rsidRPr="0000591E" w14:paraId="6F5EE489" w14:textId="77777777" w:rsidTr="003F7925">
        <w:trPr>
          <w:gridAfter w:val="2"/>
          <w:wAfter w:w="154" w:type="dxa"/>
          <w:trHeight w:val="20"/>
        </w:trPr>
        <w:tc>
          <w:tcPr>
            <w:tcW w:w="1256" w:type="dxa"/>
            <w:tcBorders>
              <w:bottom w:val="single" w:sz="4" w:space="0" w:color="auto"/>
            </w:tcBorders>
            <w:noWrap/>
            <w:vAlign w:val="bottom"/>
          </w:tcPr>
          <w:p w14:paraId="3B4D4838" w14:textId="77777777" w:rsidR="00657ACA" w:rsidRDefault="00657ACA" w:rsidP="00657ACA">
            <w:pPr>
              <w:jc w:val="both"/>
              <w:rPr>
                <w:rFonts w:ascii="Arial" w:hAnsi="Arial" w:cs="Arial"/>
                <w:b/>
                <w:sz w:val="20"/>
                <w:szCs w:val="20"/>
              </w:rPr>
            </w:pPr>
            <w:r w:rsidRPr="006F3924">
              <w:rPr>
                <w:rFonts w:ascii="Arial" w:hAnsi="Arial" w:cs="Arial"/>
                <w:b/>
                <w:sz w:val="20"/>
                <w:szCs w:val="20"/>
              </w:rPr>
              <w:t>D11AX22</w:t>
            </w:r>
          </w:p>
        </w:tc>
        <w:tc>
          <w:tcPr>
            <w:tcW w:w="9452" w:type="dxa"/>
            <w:tcBorders>
              <w:bottom w:val="single" w:sz="4" w:space="0" w:color="auto"/>
            </w:tcBorders>
            <w:vAlign w:val="bottom"/>
          </w:tcPr>
          <w:p w14:paraId="1ED869C8" w14:textId="77777777" w:rsidR="00657ACA" w:rsidRPr="00BF33A3" w:rsidRDefault="00657ACA" w:rsidP="00657ACA">
            <w:pPr>
              <w:jc w:val="both"/>
              <w:rPr>
                <w:rFonts w:ascii="Arial" w:hAnsi="Arial" w:cs="Arial"/>
                <w:sz w:val="20"/>
                <w:szCs w:val="20"/>
              </w:rPr>
            </w:pPr>
            <w:r w:rsidRPr="00320AA8">
              <w:rPr>
                <w:rFonts w:ascii="Arial" w:hAnsi="Arial" w:cs="Arial"/>
                <w:b/>
                <w:sz w:val="20"/>
                <w:szCs w:val="20"/>
              </w:rPr>
              <w:t>Ivermektín loc. crm 1%</w:t>
            </w:r>
          </w:p>
        </w:tc>
      </w:tr>
      <w:tr w:rsidR="00657ACA" w:rsidRPr="0000591E" w14:paraId="2A2A70DD" w14:textId="77777777" w:rsidTr="003F7925">
        <w:trPr>
          <w:gridAfter w:val="2"/>
          <w:wAfter w:w="154" w:type="dxa"/>
          <w:trHeight w:val="20"/>
        </w:trPr>
        <w:tc>
          <w:tcPr>
            <w:tcW w:w="1256" w:type="dxa"/>
            <w:tcBorders>
              <w:top w:val="single" w:sz="4" w:space="0" w:color="auto"/>
            </w:tcBorders>
            <w:noWrap/>
            <w:vAlign w:val="bottom"/>
          </w:tcPr>
          <w:p w14:paraId="07B10CB9" w14:textId="77777777" w:rsidR="00657ACA" w:rsidRPr="006F3924" w:rsidRDefault="00657ACA" w:rsidP="00657ACA">
            <w:pPr>
              <w:jc w:val="both"/>
              <w:rPr>
                <w:rFonts w:ascii="Arial" w:hAnsi="Arial" w:cs="Arial"/>
                <w:b/>
                <w:sz w:val="20"/>
                <w:szCs w:val="20"/>
              </w:rPr>
            </w:pPr>
          </w:p>
        </w:tc>
        <w:tc>
          <w:tcPr>
            <w:tcW w:w="9452" w:type="dxa"/>
            <w:tcBorders>
              <w:top w:val="single" w:sz="4" w:space="0" w:color="auto"/>
            </w:tcBorders>
            <w:vAlign w:val="bottom"/>
          </w:tcPr>
          <w:p w14:paraId="08961EB9" w14:textId="77777777" w:rsidR="00657ACA" w:rsidRDefault="00657ACA" w:rsidP="00657ACA">
            <w:pPr>
              <w:jc w:val="both"/>
              <w:rPr>
                <w:rFonts w:ascii="Arial" w:hAnsi="Arial" w:cs="Arial"/>
                <w:sz w:val="20"/>
                <w:szCs w:val="20"/>
              </w:rPr>
            </w:pPr>
            <w:r w:rsidRPr="00E80EDE">
              <w:rPr>
                <w:rFonts w:ascii="Arial" w:hAnsi="Arial" w:cs="Arial"/>
                <w:sz w:val="20"/>
                <w:szCs w:val="20"/>
              </w:rPr>
              <w:t>Hradená liečba sa môže indikovať pri zápalových (papulopustulóznych) léziách stredne ťažkej a ťažkej rozacey u dospelých pacientov</w:t>
            </w:r>
          </w:p>
          <w:p w14:paraId="2E41B787" w14:textId="5C9CDB4E" w:rsidR="00657ACA" w:rsidRPr="00E80EDE" w:rsidRDefault="00657ACA" w:rsidP="00657ACA">
            <w:pPr>
              <w:jc w:val="both"/>
              <w:rPr>
                <w:rFonts w:ascii="Arial" w:hAnsi="Arial" w:cs="Arial"/>
                <w:sz w:val="20"/>
                <w:szCs w:val="20"/>
              </w:rPr>
            </w:pPr>
          </w:p>
        </w:tc>
      </w:tr>
      <w:tr w:rsidR="00657ACA" w:rsidRPr="0000591E" w14:paraId="30958EAD" w14:textId="77777777" w:rsidTr="003F7925">
        <w:trPr>
          <w:gridAfter w:val="2"/>
          <w:wAfter w:w="154" w:type="dxa"/>
          <w:trHeight w:val="20"/>
        </w:trPr>
        <w:tc>
          <w:tcPr>
            <w:tcW w:w="1256" w:type="dxa"/>
            <w:tcBorders>
              <w:bottom w:val="single" w:sz="4" w:space="0" w:color="auto"/>
            </w:tcBorders>
            <w:noWrap/>
            <w:vAlign w:val="bottom"/>
          </w:tcPr>
          <w:p w14:paraId="55FC2E68"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G02CB03</w:t>
            </w:r>
          </w:p>
        </w:tc>
        <w:tc>
          <w:tcPr>
            <w:tcW w:w="9452" w:type="dxa"/>
            <w:tcBorders>
              <w:bottom w:val="single" w:sz="4" w:space="0" w:color="auto"/>
            </w:tcBorders>
          </w:tcPr>
          <w:p w14:paraId="468D2A1E" w14:textId="77777777" w:rsidR="00657ACA" w:rsidRPr="0000591E" w:rsidRDefault="00657ACA" w:rsidP="00657ACA">
            <w:pPr>
              <w:rPr>
                <w:rFonts w:ascii="Arial" w:hAnsi="Arial" w:cs="Arial"/>
                <w:b/>
                <w:bCs/>
                <w:sz w:val="20"/>
                <w:szCs w:val="20"/>
              </w:rPr>
            </w:pPr>
            <w:r>
              <w:rPr>
                <w:rFonts w:ascii="Arial" w:hAnsi="Arial" w:cs="Arial"/>
                <w:b/>
                <w:bCs/>
                <w:sz w:val="20"/>
                <w:szCs w:val="20"/>
              </w:rPr>
              <w:t>Kabergolín p.</w:t>
            </w:r>
            <w:r w:rsidRPr="0000591E">
              <w:rPr>
                <w:rFonts w:ascii="Arial" w:hAnsi="Arial" w:cs="Arial"/>
                <w:b/>
                <w:bCs/>
                <w:sz w:val="20"/>
                <w:szCs w:val="20"/>
              </w:rPr>
              <w:t>o. 0,5 mg</w:t>
            </w:r>
          </w:p>
        </w:tc>
      </w:tr>
      <w:tr w:rsidR="00657ACA" w:rsidRPr="0000591E" w14:paraId="3EB23B97" w14:textId="77777777" w:rsidTr="003F7925">
        <w:trPr>
          <w:gridAfter w:val="2"/>
          <w:wAfter w:w="154" w:type="dxa"/>
          <w:trHeight w:val="20"/>
        </w:trPr>
        <w:tc>
          <w:tcPr>
            <w:tcW w:w="1256" w:type="dxa"/>
            <w:tcBorders>
              <w:top w:val="single" w:sz="4" w:space="0" w:color="auto"/>
            </w:tcBorders>
            <w:noWrap/>
            <w:vAlign w:val="bottom"/>
          </w:tcPr>
          <w:p w14:paraId="748F4B27" w14:textId="77777777" w:rsidR="00657ACA" w:rsidRPr="0000591E" w:rsidRDefault="00657ACA" w:rsidP="00657ACA">
            <w:pPr>
              <w:rPr>
                <w:rFonts w:ascii="Arial" w:hAnsi="Arial" w:cs="Arial"/>
                <w:sz w:val="20"/>
                <w:szCs w:val="20"/>
              </w:rPr>
            </w:pPr>
          </w:p>
        </w:tc>
        <w:tc>
          <w:tcPr>
            <w:tcW w:w="9452" w:type="dxa"/>
            <w:tcBorders>
              <w:top w:val="single" w:sz="4" w:space="0" w:color="auto"/>
            </w:tcBorders>
            <w:noWrap/>
          </w:tcPr>
          <w:p w14:paraId="7CC578A5" w14:textId="143B3488"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v druhej línii pri hyperprolaktinémii po zlyhaní bromokriptínu alebo quinagolidu. </w:t>
            </w:r>
          </w:p>
        </w:tc>
      </w:tr>
      <w:tr w:rsidR="00657ACA" w:rsidRPr="0000591E" w14:paraId="4C274512" w14:textId="77777777" w:rsidTr="003F7925">
        <w:trPr>
          <w:gridAfter w:val="2"/>
          <w:wAfter w:w="154" w:type="dxa"/>
          <w:trHeight w:val="20"/>
        </w:trPr>
        <w:tc>
          <w:tcPr>
            <w:tcW w:w="1256" w:type="dxa"/>
            <w:tcBorders>
              <w:bottom w:val="single" w:sz="4" w:space="0" w:color="auto"/>
            </w:tcBorders>
            <w:noWrap/>
            <w:vAlign w:val="center"/>
          </w:tcPr>
          <w:p w14:paraId="56A4EE30"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G02CB04</w:t>
            </w:r>
          </w:p>
        </w:tc>
        <w:tc>
          <w:tcPr>
            <w:tcW w:w="9452" w:type="dxa"/>
            <w:tcBorders>
              <w:bottom w:val="single" w:sz="4" w:space="0" w:color="auto"/>
            </w:tcBorders>
            <w:noWrap/>
          </w:tcPr>
          <w:p w14:paraId="10529B9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Quinagolid p.o. 75 µg</w:t>
            </w:r>
          </w:p>
        </w:tc>
      </w:tr>
      <w:tr w:rsidR="00657ACA" w:rsidRPr="0000591E" w14:paraId="1FD3F737" w14:textId="77777777" w:rsidTr="003F7925">
        <w:trPr>
          <w:gridAfter w:val="2"/>
          <w:wAfter w:w="154" w:type="dxa"/>
          <w:trHeight w:val="20"/>
        </w:trPr>
        <w:tc>
          <w:tcPr>
            <w:tcW w:w="1256" w:type="dxa"/>
            <w:tcBorders>
              <w:top w:val="single" w:sz="4" w:space="0" w:color="auto"/>
            </w:tcBorders>
            <w:noWrap/>
            <w:vAlign w:val="bottom"/>
          </w:tcPr>
          <w:p w14:paraId="1991A83F" w14:textId="77777777" w:rsidR="00657ACA" w:rsidRPr="0000591E" w:rsidRDefault="00657ACA" w:rsidP="00657ACA">
            <w:pPr>
              <w:jc w:val="both"/>
              <w:rPr>
                <w:rFonts w:ascii="Arial" w:hAnsi="Arial" w:cs="Arial"/>
                <w:b/>
                <w:bCs/>
                <w:sz w:val="20"/>
                <w:szCs w:val="20"/>
              </w:rPr>
            </w:pPr>
          </w:p>
          <w:p w14:paraId="03F03129" w14:textId="77777777" w:rsidR="00657ACA" w:rsidRPr="0000591E" w:rsidRDefault="00657ACA" w:rsidP="00657ACA">
            <w:pPr>
              <w:jc w:val="both"/>
              <w:rPr>
                <w:rFonts w:ascii="Arial" w:hAnsi="Arial" w:cs="Arial"/>
                <w:b/>
                <w:bCs/>
                <w:sz w:val="20"/>
                <w:szCs w:val="20"/>
              </w:rPr>
            </w:pPr>
          </w:p>
          <w:p w14:paraId="309AB52E" w14:textId="77777777" w:rsidR="00657ACA" w:rsidRPr="0000591E" w:rsidRDefault="00657ACA" w:rsidP="00657ACA">
            <w:pPr>
              <w:jc w:val="both"/>
              <w:rPr>
                <w:rFonts w:ascii="Arial" w:hAnsi="Arial" w:cs="Arial"/>
                <w:b/>
                <w:bCs/>
                <w:sz w:val="20"/>
                <w:szCs w:val="20"/>
              </w:rPr>
            </w:pPr>
          </w:p>
          <w:p w14:paraId="3A2583E5"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4C41CE65" w14:textId="77777777" w:rsidR="00657ACA" w:rsidRDefault="00657ACA" w:rsidP="00657ACA">
            <w:pPr>
              <w:pStyle w:val="Zkladntext"/>
              <w:jc w:val="both"/>
              <w:rPr>
                <w:lang w:val="sk-SK"/>
              </w:rPr>
            </w:pPr>
            <w:r w:rsidRPr="0000591E">
              <w:rPr>
                <w:lang w:val="sk-SK"/>
              </w:rPr>
              <w:t>Hradená liečba sa môže indikovať pri hyperprolaktinémii (idiopatická alebo spôsobená mikroadenómom alebo makroadenómom hypofýzy, vylučujúcim prolaktín) pri zdokumentovanej intolerancii alebo neúčinnosti bromokriptínu (bez poklesu hladiny prolaktínu po štyroch mesiacoch liečby bromokriptínom).</w:t>
            </w:r>
          </w:p>
          <w:p w14:paraId="41100D1D" w14:textId="66DC0F8D" w:rsidR="00657ACA" w:rsidRPr="0000591E" w:rsidRDefault="00657ACA" w:rsidP="00657ACA">
            <w:pPr>
              <w:pStyle w:val="Zkladntext"/>
              <w:jc w:val="both"/>
              <w:rPr>
                <w:lang w:val="sk-SK" w:eastAsia="sk-SK"/>
              </w:rPr>
            </w:pPr>
          </w:p>
        </w:tc>
      </w:tr>
      <w:tr w:rsidR="00657ACA" w:rsidRPr="0000591E" w14:paraId="0E6D5484" w14:textId="77777777" w:rsidTr="003F7925">
        <w:trPr>
          <w:gridAfter w:val="2"/>
          <w:wAfter w:w="154" w:type="dxa"/>
          <w:trHeight w:val="20"/>
        </w:trPr>
        <w:tc>
          <w:tcPr>
            <w:tcW w:w="1256" w:type="dxa"/>
            <w:tcBorders>
              <w:bottom w:val="single" w:sz="4" w:space="0" w:color="auto"/>
            </w:tcBorders>
            <w:noWrap/>
            <w:vAlign w:val="center"/>
          </w:tcPr>
          <w:p w14:paraId="21BFBF1E"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G03BA03</w:t>
            </w:r>
          </w:p>
        </w:tc>
        <w:tc>
          <w:tcPr>
            <w:tcW w:w="9452" w:type="dxa"/>
            <w:tcBorders>
              <w:bottom w:val="single" w:sz="4" w:space="0" w:color="auto"/>
            </w:tcBorders>
          </w:tcPr>
          <w:p w14:paraId="541395F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Testosterón parent. undekanoát</w:t>
            </w:r>
          </w:p>
        </w:tc>
      </w:tr>
      <w:tr w:rsidR="00657ACA" w:rsidRPr="0000591E" w14:paraId="3EA37FBA" w14:textId="77777777" w:rsidTr="003F7925">
        <w:trPr>
          <w:gridBefore w:val="1"/>
          <w:gridAfter w:val="2"/>
          <w:wBefore w:w="1256" w:type="dxa"/>
          <w:wAfter w:w="154" w:type="dxa"/>
          <w:trHeight w:val="20"/>
        </w:trPr>
        <w:tc>
          <w:tcPr>
            <w:tcW w:w="9452" w:type="dxa"/>
            <w:noWrap/>
          </w:tcPr>
          <w:p w14:paraId="13500461" w14:textId="77777777" w:rsidR="00657ACA" w:rsidRPr="00117918" w:rsidRDefault="00657ACA" w:rsidP="00657ACA">
            <w:pPr>
              <w:pStyle w:val="Zkladntext2"/>
              <w:rPr>
                <w:lang w:eastAsia="cs-CZ"/>
              </w:rPr>
            </w:pPr>
            <w:r w:rsidRPr="00117918">
              <w:rPr>
                <w:lang w:eastAsia="cs-CZ"/>
              </w:rPr>
              <w:t>Hradenú liečbu môže indikovať</w:t>
            </w:r>
          </w:p>
          <w:p w14:paraId="7FC4A818" w14:textId="77777777" w:rsidR="00657ACA" w:rsidRPr="00117918" w:rsidRDefault="00657ACA" w:rsidP="00657ACA">
            <w:pPr>
              <w:pStyle w:val="Zkladntext2"/>
              <w:rPr>
                <w:lang w:eastAsia="cs-CZ"/>
              </w:rPr>
            </w:pPr>
            <w:r w:rsidRPr="00117918">
              <w:rPr>
                <w:lang w:eastAsia="cs-CZ"/>
              </w:rPr>
              <w:t>a) endokrinológ, sexulóg, urológ pri klinicky a laboratórne potvrdenom nedostatku androgénov. Nedostatočná hladina testosterónu sa musí preukázať pri dvoch samostatných meraniach hladiny testosterónu v krvi.</w:t>
            </w:r>
          </w:p>
          <w:p w14:paraId="36719D07" w14:textId="77777777" w:rsidR="00657ACA" w:rsidRPr="00117918" w:rsidRDefault="00657ACA" w:rsidP="00657ACA">
            <w:pPr>
              <w:jc w:val="both"/>
              <w:rPr>
                <w:rFonts w:ascii="Arial" w:hAnsi="Arial" w:cs="Arial"/>
                <w:sz w:val="20"/>
                <w:szCs w:val="20"/>
                <w:lang w:eastAsia="cs-CZ"/>
              </w:rPr>
            </w:pPr>
            <w:r w:rsidRPr="00117918">
              <w:rPr>
                <w:rFonts w:ascii="Arial" w:hAnsi="Arial" w:cs="Arial"/>
                <w:sz w:val="20"/>
                <w:szCs w:val="20"/>
                <w:lang w:eastAsia="cs-CZ"/>
              </w:rPr>
              <w:t>b) detský endokrinológ a diabetológ pri klinicky a laboratórne potvrdenom nedostatku androgénov u dospelých pacientov vo veku do 18 rokov a 364 dní. Nedostatočná hladina testosterónu sa musí preukázať pri dvoch samostatných meraniach hladiny testosterónu v krvi.</w:t>
            </w:r>
          </w:p>
          <w:p w14:paraId="3FA1D635" w14:textId="77777777" w:rsidR="00657ACA" w:rsidRPr="0000591E" w:rsidRDefault="00657ACA" w:rsidP="00657ACA">
            <w:pPr>
              <w:jc w:val="both"/>
              <w:rPr>
                <w:rFonts w:ascii="Arial" w:hAnsi="Arial" w:cs="Arial"/>
                <w:b/>
                <w:bCs/>
                <w:sz w:val="20"/>
                <w:szCs w:val="20"/>
              </w:rPr>
            </w:pPr>
          </w:p>
        </w:tc>
      </w:tr>
      <w:tr w:rsidR="00657ACA" w:rsidRPr="0000591E" w14:paraId="54FE7FB9" w14:textId="77777777" w:rsidTr="003F7925">
        <w:trPr>
          <w:gridAfter w:val="2"/>
          <w:wAfter w:w="154" w:type="dxa"/>
          <w:trHeight w:val="20"/>
        </w:trPr>
        <w:tc>
          <w:tcPr>
            <w:tcW w:w="1256" w:type="dxa"/>
            <w:tcBorders>
              <w:bottom w:val="single" w:sz="4" w:space="0" w:color="auto"/>
            </w:tcBorders>
            <w:noWrap/>
            <w:vAlign w:val="center"/>
          </w:tcPr>
          <w:p w14:paraId="2167DF8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G03D</w:t>
            </w:r>
            <w:r>
              <w:rPr>
                <w:rFonts w:ascii="Arial" w:hAnsi="Arial" w:cs="Arial"/>
                <w:b/>
                <w:bCs/>
                <w:sz w:val="20"/>
                <w:szCs w:val="20"/>
              </w:rPr>
              <w:t>B08</w:t>
            </w:r>
          </w:p>
        </w:tc>
        <w:tc>
          <w:tcPr>
            <w:tcW w:w="9452" w:type="dxa"/>
            <w:tcBorders>
              <w:bottom w:val="single" w:sz="4" w:space="0" w:color="auto"/>
            </w:tcBorders>
            <w:noWrap/>
            <w:vAlign w:val="bottom"/>
          </w:tcPr>
          <w:p w14:paraId="28F8346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Dienogest p.o.</w:t>
            </w:r>
            <w:r>
              <w:rPr>
                <w:rFonts w:ascii="Arial" w:hAnsi="Arial" w:cs="Arial"/>
                <w:b/>
                <w:bCs/>
                <w:sz w:val="20"/>
                <w:szCs w:val="20"/>
              </w:rPr>
              <w:t xml:space="preserve"> </w:t>
            </w:r>
            <w:r w:rsidRPr="0000591E">
              <w:rPr>
                <w:rFonts w:ascii="Arial" w:hAnsi="Arial" w:cs="Arial"/>
                <w:b/>
                <w:bCs/>
                <w:sz w:val="20"/>
                <w:szCs w:val="20"/>
              </w:rPr>
              <w:t>2 mg</w:t>
            </w:r>
          </w:p>
        </w:tc>
      </w:tr>
      <w:tr w:rsidR="00657ACA" w:rsidRPr="0000591E" w14:paraId="7A8C07C9" w14:textId="77777777" w:rsidTr="003F7925">
        <w:trPr>
          <w:gridAfter w:val="2"/>
          <w:wAfter w:w="154" w:type="dxa"/>
          <w:trHeight w:val="20"/>
        </w:trPr>
        <w:tc>
          <w:tcPr>
            <w:tcW w:w="1256" w:type="dxa"/>
            <w:noWrap/>
            <w:vAlign w:val="center"/>
          </w:tcPr>
          <w:p w14:paraId="4276BA2B" w14:textId="77777777" w:rsidR="00657ACA" w:rsidRPr="0000591E" w:rsidRDefault="00657ACA" w:rsidP="00657ACA">
            <w:pPr>
              <w:rPr>
                <w:rFonts w:ascii="Arial" w:hAnsi="Arial" w:cs="Arial"/>
                <w:b/>
                <w:bCs/>
                <w:sz w:val="20"/>
                <w:szCs w:val="20"/>
              </w:rPr>
            </w:pPr>
          </w:p>
        </w:tc>
        <w:tc>
          <w:tcPr>
            <w:tcW w:w="9452" w:type="dxa"/>
            <w:noWrap/>
            <w:vAlign w:val="bottom"/>
          </w:tcPr>
          <w:p w14:paraId="5FD0D4EB"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na liečbu endometriózy.</w:t>
            </w:r>
          </w:p>
          <w:p w14:paraId="26472C7E" w14:textId="77777777" w:rsidR="00657ACA" w:rsidRDefault="00657ACA" w:rsidP="00657ACA">
            <w:pPr>
              <w:jc w:val="both"/>
              <w:rPr>
                <w:rFonts w:ascii="Arial" w:hAnsi="Arial" w:cs="Arial"/>
                <w:b/>
                <w:bCs/>
                <w:sz w:val="20"/>
                <w:szCs w:val="20"/>
              </w:rPr>
            </w:pPr>
          </w:p>
          <w:p w14:paraId="320164FD" w14:textId="77777777" w:rsidR="00845EE0" w:rsidRPr="0000591E" w:rsidRDefault="00845EE0" w:rsidP="00657ACA">
            <w:pPr>
              <w:jc w:val="both"/>
              <w:rPr>
                <w:rFonts w:ascii="Arial" w:hAnsi="Arial" w:cs="Arial"/>
                <w:b/>
                <w:bCs/>
                <w:sz w:val="20"/>
                <w:szCs w:val="20"/>
              </w:rPr>
            </w:pPr>
          </w:p>
        </w:tc>
      </w:tr>
      <w:tr w:rsidR="00657ACA" w:rsidRPr="0000591E" w14:paraId="6BEA6777" w14:textId="77777777" w:rsidTr="003F7925">
        <w:trPr>
          <w:gridAfter w:val="2"/>
          <w:wAfter w:w="154" w:type="dxa"/>
          <w:trHeight w:val="20"/>
        </w:trPr>
        <w:tc>
          <w:tcPr>
            <w:tcW w:w="1256" w:type="dxa"/>
            <w:tcBorders>
              <w:bottom w:val="single" w:sz="4" w:space="0" w:color="auto"/>
            </w:tcBorders>
            <w:noWrap/>
            <w:vAlign w:val="center"/>
          </w:tcPr>
          <w:p w14:paraId="40160AFB" w14:textId="77777777" w:rsidR="00657ACA" w:rsidRDefault="00657ACA" w:rsidP="00657ACA">
            <w:pPr>
              <w:rPr>
                <w:rFonts w:ascii="Arial" w:hAnsi="Arial" w:cs="Arial"/>
                <w:b/>
                <w:bCs/>
                <w:sz w:val="20"/>
                <w:szCs w:val="20"/>
              </w:rPr>
            </w:pPr>
          </w:p>
          <w:p w14:paraId="55CA253F" w14:textId="77777777" w:rsidR="00657ACA" w:rsidRDefault="00657ACA" w:rsidP="00657ACA">
            <w:pPr>
              <w:rPr>
                <w:rFonts w:ascii="Arial" w:hAnsi="Arial" w:cs="Arial"/>
                <w:b/>
                <w:bCs/>
                <w:sz w:val="20"/>
                <w:szCs w:val="20"/>
              </w:rPr>
            </w:pPr>
          </w:p>
          <w:p w14:paraId="5BAB514C" w14:textId="77777777" w:rsidR="00657ACA" w:rsidRDefault="00657ACA" w:rsidP="00657ACA">
            <w:pPr>
              <w:rPr>
                <w:rFonts w:ascii="Arial" w:hAnsi="Arial" w:cs="Arial"/>
                <w:b/>
                <w:bCs/>
                <w:sz w:val="20"/>
                <w:szCs w:val="20"/>
              </w:rPr>
            </w:pPr>
          </w:p>
          <w:p w14:paraId="6913ADF7" w14:textId="4F4315E2" w:rsidR="00657ACA" w:rsidRPr="0000591E" w:rsidRDefault="00657ACA" w:rsidP="00657ACA">
            <w:pPr>
              <w:rPr>
                <w:rFonts w:ascii="Arial" w:hAnsi="Arial" w:cs="Arial"/>
                <w:b/>
                <w:bCs/>
                <w:sz w:val="20"/>
                <w:szCs w:val="20"/>
              </w:rPr>
            </w:pPr>
            <w:r w:rsidRPr="0000591E">
              <w:rPr>
                <w:rFonts w:ascii="Arial" w:hAnsi="Arial" w:cs="Arial"/>
                <w:b/>
                <w:bCs/>
                <w:sz w:val="20"/>
                <w:szCs w:val="20"/>
              </w:rPr>
              <w:t>G03GA02</w:t>
            </w:r>
          </w:p>
        </w:tc>
        <w:tc>
          <w:tcPr>
            <w:tcW w:w="9452" w:type="dxa"/>
            <w:tcBorders>
              <w:bottom w:val="single" w:sz="4" w:space="0" w:color="auto"/>
            </w:tcBorders>
            <w:noWrap/>
            <w:vAlign w:val="bottom"/>
          </w:tcPr>
          <w:p w14:paraId="3305D7FD" w14:textId="77777777" w:rsidR="00657ACA" w:rsidRDefault="00657ACA" w:rsidP="00657ACA">
            <w:pPr>
              <w:jc w:val="both"/>
              <w:rPr>
                <w:rFonts w:ascii="Arial" w:hAnsi="Arial" w:cs="Arial"/>
                <w:b/>
                <w:bCs/>
                <w:sz w:val="20"/>
                <w:szCs w:val="20"/>
              </w:rPr>
            </w:pPr>
            <w:r w:rsidRPr="000E3ABF">
              <w:rPr>
                <w:rFonts w:ascii="Arial" w:hAnsi="Arial" w:cs="Arial"/>
                <w:b/>
                <w:bCs/>
                <w:sz w:val="20"/>
                <w:szCs w:val="20"/>
              </w:rPr>
              <w:lastRenderedPageBreak/>
              <w:t xml:space="preserve">Ľudský menopauzový gonadotropín </w:t>
            </w:r>
            <w:r w:rsidRPr="0000591E">
              <w:rPr>
                <w:rFonts w:ascii="Arial" w:hAnsi="Arial" w:cs="Arial"/>
                <w:b/>
                <w:bCs/>
                <w:sz w:val="20"/>
                <w:szCs w:val="20"/>
              </w:rPr>
              <w:t>parent. plv.inj.</w:t>
            </w:r>
            <w:r>
              <w:rPr>
                <w:rFonts w:ascii="Arial" w:hAnsi="Arial" w:cs="Arial"/>
                <w:b/>
                <w:bCs/>
                <w:sz w:val="20"/>
                <w:szCs w:val="20"/>
              </w:rPr>
              <w:t xml:space="preserve"> </w:t>
            </w:r>
            <w:r w:rsidRPr="0000591E">
              <w:rPr>
                <w:rFonts w:ascii="Arial" w:hAnsi="Arial" w:cs="Arial"/>
                <w:b/>
                <w:bCs/>
                <w:sz w:val="20"/>
                <w:szCs w:val="20"/>
              </w:rPr>
              <w:t>+ sol.</w:t>
            </w:r>
            <w:r>
              <w:rPr>
                <w:rFonts w:ascii="Arial" w:hAnsi="Arial" w:cs="Arial"/>
                <w:b/>
                <w:bCs/>
                <w:sz w:val="20"/>
                <w:szCs w:val="20"/>
              </w:rPr>
              <w:t xml:space="preserve"> 75IU</w:t>
            </w:r>
          </w:p>
          <w:p w14:paraId="023BD709" w14:textId="77777777" w:rsidR="00657ACA" w:rsidRDefault="00657ACA" w:rsidP="00657ACA">
            <w:pPr>
              <w:jc w:val="both"/>
              <w:rPr>
                <w:rFonts w:ascii="Arial" w:hAnsi="Arial" w:cs="Arial"/>
                <w:b/>
                <w:bCs/>
                <w:sz w:val="20"/>
                <w:szCs w:val="20"/>
              </w:rPr>
            </w:pPr>
            <w:r w:rsidRPr="000E3ABF">
              <w:rPr>
                <w:rFonts w:ascii="Arial" w:hAnsi="Arial" w:cs="Arial"/>
                <w:b/>
                <w:bCs/>
                <w:sz w:val="20"/>
                <w:szCs w:val="20"/>
              </w:rPr>
              <w:t xml:space="preserve">Ľudský menopauzový gonadotropín </w:t>
            </w:r>
            <w:r w:rsidRPr="0000591E">
              <w:rPr>
                <w:rFonts w:ascii="Arial" w:hAnsi="Arial" w:cs="Arial"/>
                <w:b/>
                <w:bCs/>
                <w:sz w:val="20"/>
                <w:szCs w:val="20"/>
              </w:rPr>
              <w:t>parent. plv.inj.</w:t>
            </w:r>
            <w:r>
              <w:rPr>
                <w:rFonts w:ascii="Arial" w:hAnsi="Arial" w:cs="Arial"/>
                <w:b/>
                <w:bCs/>
                <w:sz w:val="20"/>
                <w:szCs w:val="20"/>
              </w:rPr>
              <w:t xml:space="preserve"> </w:t>
            </w:r>
            <w:r w:rsidRPr="0000591E">
              <w:rPr>
                <w:rFonts w:ascii="Arial" w:hAnsi="Arial" w:cs="Arial"/>
                <w:b/>
                <w:bCs/>
                <w:sz w:val="20"/>
                <w:szCs w:val="20"/>
              </w:rPr>
              <w:t>+ sol.</w:t>
            </w:r>
            <w:r>
              <w:rPr>
                <w:rFonts w:ascii="Arial" w:hAnsi="Arial" w:cs="Arial"/>
                <w:b/>
                <w:bCs/>
                <w:sz w:val="20"/>
                <w:szCs w:val="20"/>
              </w:rPr>
              <w:t xml:space="preserve"> 150IU</w:t>
            </w:r>
          </w:p>
          <w:p w14:paraId="4CB52ABE" w14:textId="77777777" w:rsidR="00657ACA" w:rsidRDefault="00657ACA" w:rsidP="00657ACA">
            <w:pPr>
              <w:jc w:val="both"/>
              <w:rPr>
                <w:rFonts w:ascii="Arial" w:hAnsi="Arial" w:cs="Arial"/>
                <w:b/>
                <w:bCs/>
                <w:sz w:val="20"/>
                <w:szCs w:val="20"/>
              </w:rPr>
            </w:pPr>
            <w:r w:rsidRPr="000E3ABF">
              <w:rPr>
                <w:rFonts w:ascii="Arial" w:hAnsi="Arial" w:cs="Arial"/>
                <w:b/>
                <w:bCs/>
                <w:sz w:val="20"/>
                <w:szCs w:val="20"/>
              </w:rPr>
              <w:lastRenderedPageBreak/>
              <w:t xml:space="preserve">Ľudský menopauzový gonadotropín </w:t>
            </w:r>
            <w:r w:rsidRPr="00CD5DC8">
              <w:rPr>
                <w:rFonts w:ascii="Arial" w:hAnsi="Arial" w:cs="Arial"/>
                <w:b/>
                <w:bCs/>
                <w:sz w:val="20"/>
                <w:szCs w:val="20"/>
              </w:rPr>
              <w:t xml:space="preserve">parent. plv.inj. + sol. </w:t>
            </w:r>
            <w:r>
              <w:rPr>
                <w:rFonts w:ascii="Arial" w:hAnsi="Arial" w:cs="Arial"/>
                <w:b/>
                <w:bCs/>
                <w:sz w:val="20"/>
                <w:szCs w:val="20"/>
              </w:rPr>
              <w:t>600</w:t>
            </w:r>
            <w:r w:rsidRPr="00CD5DC8">
              <w:rPr>
                <w:rFonts w:ascii="Arial" w:hAnsi="Arial" w:cs="Arial"/>
                <w:b/>
                <w:bCs/>
                <w:sz w:val="20"/>
                <w:szCs w:val="20"/>
              </w:rPr>
              <w:t>IU</w:t>
            </w:r>
          </w:p>
          <w:p w14:paraId="5D3596E3" w14:textId="77777777" w:rsidR="00657ACA" w:rsidRPr="0000591E" w:rsidRDefault="00657ACA" w:rsidP="00657ACA">
            <w:pPr>
              <w:jc w:val="both"/>
              <w:rPr>
                <w:rFonts w:ascii="Arial" w:hAnsi="Arial" w:cs="Arial"/>
                <w:b/>
                <w:bCs/>
                <w:sz w:val="20"/>
                <w:szCs w:val="20"/>
              </w:rPr>
            </w:pPr>
            <w:r w:rsidRPr="000E3ABF">
              <w:rPr>
                <w:rFonts w:ascii="Arial" w:hAnsi="Arial" w:cs="Arial"/>
                <w:b/>
                <w:bCs/>
                <w:sz w:val="20"/>
                <w:szCs w:val="20"/>
              </w:rPr>
              <w:t>Ľudský menopauzový gonadotropín</w:t>
            </w:r>
            <w:r>
              <w:rPr>
                <w:rFonts w:ascii="Arial" w:hAnsi="Arial" w:cs="Arial"/>
                <w:b/>
                <w:bCs/>
                <w:sz w:val="20"/>
                <w:szCs w:val="20"/>
              </w:rPr>
              <w:t xml:space="preserve"> </w:t>
            </w:r>
            <w:r w:rsidRPr="000E3ABF">
              <w:rPr>
                <w:rFonts w:ascii="Arial" w:hAnsi="Arial" w:cs="Arial"/>
                <w:b/>
                <w:bCs/>
                <w:sz w:val="20"/>
                <w:szCs w:val="20"/>
              </w:rPr>
              <w:t>parent. plv.inj. + sol. 900 IU</w:t>
            </w:r>
          </w:p>
        </w:tc>
      </w:tr>
      <w:tr w:rsidR="00657ACA" w:rsidRPr="0000591E" w14:paraId="78C93C0B" w14:textId="77777777" w:rsidTr="003F7925">
        <w:trPr>
          <w:gridAfter w:val="2"/>
          <w:wAfter w:w="154" w:type="dxa"/>
          <w:trHeight w:val="20"/>
        </w:trPr>
        <w:tc>
          <w:tcPr>
            <w:tcW w:w="1256" w:type="dxa"/>
            <w:tcBorders>
              <w:top w:val="single" w:sz="4" w:space="0" w:color="auto"/>
            </w:tcBorders>
            <w:noWrap/>
            <w:vAlign w:val="bottom"/>
          </w:tcPr>
          <w:p w14:paraId="1A903AB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2A2A3DE7"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w:t>
            </w:r>
          </w:p>
          <w:p w14:paraId="31958735" w14:textId="77777777" w:rsidR="00657ACA" w:rsidRDefault="00657ACA">
            <w:pPr>
              <w:numPr>
                <w:ilvl w:val="0"/>
                <w:numId w:val="50"/>
              </w:numPr>
              <w:ind w:hanging="712"/>
              <w:jc w:val="both"/>
              <w:rPr>
                <w:rFonts w:ascii="Arial" w:hAnsi="Arial" w:cs="Arial"/>
                <w:sz w:val="20"/>
                <w:szCs w:val="20"/>
              </w:rPr>
            </w:pPr>
            <w:r w:rsidRPr="0000591E">
              <w:rPr>
                <w:rFonts w:ascii="Arial" w:hAnsi="Arial" w:cs="Arial"/>
                <w:sz w:val="20"/>
                <w:szCs w:val="20"/>
              </w:rPr>
              <w:t>na schválenom pracovisku pre in vitro fertilizáciu (IVF) pri zdravotnej indikácii, resp. v</w:t>
            </w:r>
            <w:r>
              <w:rPr>
                <w:rFonts w:ascii="Arial" w:hAnsi="Arial" w:cs="Arial"/>
                <w:sz w:val="20"/>
                <w:szCs w:val="20"/>
              </w:rPr>
              <w:t> </w:t>
            </w:r>
            <w:r w:rsidRPr="0000591E">
              <w:rPr>
                <w:rFonts w:ascii="Arial" w:hAnsi="Arial" w:cs="Arial"/>
                <w:sz w:val="20"/>
                <w:szCs w:val="20"/>
              </w:rPr>
              <w:t>prípade</w:t>
            </w:r>
          </w:p>
          <w:p w14:paraId="5070D03F"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tubárneho faktura: chýbania alebo nepriechodnosti vajíčkovodov potvrdené kontrastnou vyšetrovacou technikou (na podklade laparoskopického, laparotomického, hysterosalpingografického alebo hysterosonosalpingografického dôkazu), zrasty v malej panve zapríčiňujúce porušenú funkciu vajíčkovodov</w:t>
            </w:r>
            <w:r>
              <w:rPr>
                <w:rFonts w:ascii="Arial" w:hAnsi="Arial" w:cs="Arial"/>
                <w:sz w:val="20"/>
                <w:szCs w:val="20"/>
              </w:rPr>
              <w:t>,</w:t>
            </w:r>
          </w:p>
          <w:p w14:paraId="12F1F27B"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endometriózy potvrdenej laparoskopicky, laparotomicky alebo histologicky. Pri endometriómoch USG realizované špecialistom</w:t>
            </w:r>
            <w:r>
              <w:rPr>
                <w:rFonts w:ascii="Arial" w:hAnsi="Arial" w:cs="Arial"/>
                <w:sz w:val="20"/>
                <w:szCs w:val="20"/>
              </w:rPr>
              <w:t>,</w:t>
            </w:r>
          </w:p>
          <w:p w14:paraId="66F01A3E"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príznakov syndrómu polycystických ovárií (PCOS) potvrdených horm</w:t>
            </w:r>
            <w:r>
              <w:rPr>
                <w:rFonts w:ascii="Arial" w:hAnsi="Arial" w:cs="Arial"/>
                <w:sz w:val="20"/>
                <w:szCs w:val="20"/>
              </w:rPr>
              <w:t>onálne, ultrazvukovo a klinicky,</w:t>
            </w:r>
          </w:p>
          <w:p w14:paraId="242BBA41"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nezvratného poškodenia vaječníkov, ktoré je potvrdené biochemicky, LSK alebo LPT,</w:t>
            </w:r>
          </w:p>
          <w:p w14:paraId="3C952183"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idiopatickej sterility, ktorá je neúspešne liečená jeden rok, </w:t>
            </w:r>
          </w:p>
          <w:p w14:paraId="40336685"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mužského faktora neplodnosti: opakovaný patologický spermiogram, ejakulačná dysfunkcia a ochorenia súvisiace s chemoterapiou alebo poúrazovými stavmi, ktoré sú overené urológom, andrológom</w:t>
            </w:r>
            <w:r>
              <w:rPr>
                <w:rFonts w:ascii="Arial" w:hAnsi="Arial" w:cs="Arial"/>
                <w:sz w:val="20"/>
                <w:szCs w:val="20"/>
              </w:rPr>
              <w:t>,</w:t>
            </w:r>
          </w:p>
          <w:p w14:paraId="0EF0E48C"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imunologických príčin neplodnosti, </w:t>
            </w:r>
          </w:p>
          <w:p w14:paraId="4A7C755F"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rizika dedičného ochorenia na genetickom podklade potvrdené klinickým genetikom je indikáciou na vyšetrenie embryí metódou PGD,</w:t>
            </w:r>
          </w:p>
          <w:p w14:paraId="23AFA54A"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endokrinných príčin neplodnosti, potvrdených endokrinológom</w:t>
            </w:r>
            <w:r>
              <w:rPr>
                <w:rFonts w:ascii="Arial" w:hAnsi="Arial" w:cs="Arial"/>
                <w:sz w:val="20"/>
                <w:szCs w:val="20"/>
              </w:rPr>
              <w:t>,</w:t>
            </w:r>
          </w:p>
          <w:p w14:paraId="2464D151"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Uterus myomatosus: v prípadoch po operačnej alebo farmakologickej liečbe, kedy je dosiahnutý optimálny funkčný aj morfologický stav maternice na graviditu,</w:t>
            </w:r>
          </w:p>
          <w:p w14:paraId="4ABEC433"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veku ženy 37 rokov a viac,</w:t>
            </w:r>
          </w:p>
          <w:p w14:paraId="1379C613" w14:textId="77777777" w:rsidR="00657ACA" w:rsidRPr="0000591E"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za účelom kryokonzervácie oocytov u žien so zníženou ovariálnou rezervou, u žien s onkologickým ochorením a u žien s medicínskou indikáciou na IVF</w:t>
            </w:r>
          </w:p>
          <w:p w14:paraId="41B08FCF" w14:textId="77777777" w:rsidR="00657ACA" w:rsidRPr="0000591E" w:rsidRDefault="00657ACA" w:rsidP="00657ACA">
            <w:pPr>
              <w:ind w:left="720" w:hanging="712"/>
              <w:jc w:val="both"/>
              <w:rPr>
                <w:rFonts w:ascii="Arial" w:hAnsi="Arial" w:cs="Arial"/>
                <w:sz w:val="20"/>
                <w:szCs w:val="20"/>
              </w:rPr>
            </w:pPr>
            <w:r w:rsidRPr="0000591E">
              <w:rPr>
                <w:rFonts w:ascii="Arial" w:hAnsi="Arial" w:cs="Arial"/>
                <w:sz w:val="20"/>
                <w:szCs w:val="20"/>
              </w:rPr>
              <w:t xml:space="preserve">  </w:t>
            </w:r>
          </w:p>
          <w:p w14:paraId="2D89C7ED" w14:textId="77777777" w:rsidR="00657ACA" w:rsidRPr="0000591E" w:rsidRDefault="00657ACA">
            <w:pPr>
              <w:numPr>
                <w:ilvl w:val="0"/>
                <w:numId w:val="50"/>
              </w:numPr>
              <w:ind w:hanging="712"/>
              <w:jc w:val="both"/>
              <w:rPr>
                <w:rFonts w:ascii="Arial" w:hAnsi="Arial" w:cs="Arial"/>
                <w:sz w:val="20"/>
                <w:szCs w:val="20"/>
              </w:rPr>
            </w:pPr>
            <w:r w:rsidRPr="0000591E">
              <w:rPr>
                <w:rFonts w:ascii="Arial" w:hAnsi="Arial" w:cs="Arial"/>
                <w:sz w:val="20"/>
                <w:szCs w:val="20"/>
              </w:rPr>
              <w:t>v špecializovanej ambulancii pre diagnostiku a liečbu sterility po preukázaní hormonálnych výsledkov a priechodnosti vajíčkovodov, pri hypogonadotropných stavoch, pri ľahkých formách oligoasthenospermií (2 mil. spermií /1ml) alebo pri potvrdenej anovulácii.</w:t>
            </w:r>
          </w:p>
          <w:p w14:paraId="19C78CC4" w14:textId="77777777" w:rsidR="00657ACA" w:rsidRPr="0000591E" w:rsidRDefault="00657ACA" w:rsidP="00657ACA">
            <w:pPr>
              <w:ind w:left="720" w:hanging="712"/>
              <w:jc w:val="both"/>
              <w:rPr>
                <w:rFonts w:ascii="Arial" w:hAnsi="Arial" w:cs="Arial"/>
                <w:sz w:val="20"/>
                <w:szCs w:val="20"/>
              </w:rPr>
            </w:pPr>
          </w:p>
          <w:p w14:paraId="1770017D" w14:textId="77777777" w:rsidR="00657ACA" w:rsidRPr="00A74816" w:rsidRDefault="00657ACA">
            <w:pPr>
              <w:numPr>
                <w:ilvl w:val="0"/>
                <w:numId w:val="50"/>
              </w:numPr>
              <w:ind w:hanging="712"/>
              <w:jc w:val="both"/>
              <w:rPr>
                <w:rFonts w:ascii="Arial" w:hAnsi="Arial" w:cs="Arial"/>
                <w:sz w:val="20"/>
                <w:szCs w:val="20"/>
              </w:rPr>
            </w:pPr>
            <w:r w:rsidRPr="0000591E">
              <w:rPr>
                <w:rFonts w:ascii="Arial" w:hAnsi="Arial" w:cs="Arial"/>
                <w:sz w:val="20"/>
                <w:szCs w:val="20"/>
              </w:rPr>
              <w:t>v endokrinologickej ambulancii u pacientov s deficitom gonadotropínov.</w:t>
            </w:r>
          </w:p>
          <w:p w14:paraId="3EF5DA6C" w14:textId="77777777" w:rsidR="00657ACA" w:rsidRPr="0000591E" w:rsidRDefault="00657ACA" w:rsidP="00657ACA">
            <w:pPr>
              <w:spacing w:line="276" w:lineRule="auto"/>
              <w:jc w:val="both"/>
              <w:rPr>
                <w:rFonts w:ascii="Arial" w:hAnsi="Arial" w:cs="Arial"/>
                <w:sz w:val="20"/>
                <w:szCs w:val="20"/>
              </w:rPr>
            </w:pPr>
          </w:p>
        </w:tc>
      </w:tr>
      <w:tr w:rsidR="00657ACA" w:rsidRPr="0000591E" w14:paraId="3CD85EE6" w14:textId="77777777" w:rsidTr="003F7925">
        <w:trPr>
          <w:gridAfter w:val="2"/>
          <w:wAfter w:w="154" w:type="dxa"/>
          <w:trHeight w:val="20"/>
        </w:trPr>
        <w:tc>
          <w:tcPr>
            <w:tcW w:w="1256" w:type="dxa"/>
            <w:tcBorders>
              <w:bottom w:val="single" w:sz="4" w:space="0" w:color="auto"/>
            </w:tcBorders>
            <w:noWrap/>
            <w:vAlign w:val="center"/>
          </w:tcPr>
          <w:p w14:paraId="28BA6780" w14:textId="77777777" w:rsidR="00657ACA" w:rsidRDefault="00657ACA" w:rsidP="00657ACA">
            <w:pPr>
              <w:rPr>
                <w:rFonts w:ascii="Arial" w:hAnsi="Arial" w:cs="Arial"/>
                <w:b/>
                <w:bCs/>
                <w:sz w:val="20"/>
                <w:szCs w:val="20"/>
              </w:rPr>
            </w:pPr>
          </w:p>
          <w:p w14:paraId="6521580A" w14:textId="77777777" w:rsidR="00657ACA" w:rsidRDefault="00657ACA" w:rsidP="00657ACA">
            <w:pPr>
              <w:rPr>
                <w:rFonts w:ascii="Arial" w:hAnsi="Arial" w:cs="Arial"/>
                <w:b/>
                <w:bCs/>
                <w:sz w:val="20"/>
                <w:szCs w:val="20"/>
              </w:rPr>
            </w:pPr>
          </w:p>
          <w:p w14:paraId="6A1FAA08" w14:textId="77777777" w:rsidR="00657ACA" w:rsidRDefault="00657ACA" w:rsidP="00657ACA">
            <w:pPr>
              <w:rPr>
                <w:rFonts w:ascii="Arial" w:hAnsi="Arial" w:cs="Arial"/>
                <w:b/>
                <w:bCs/>
                <w:sz w:val="20"/>
                <w:szCs w:val="20"/>
              </w:rPr>
            </w:pPr>
          </w:p>
          <w:p w14:paraId="4540F826" w14:textId="77777777" w:rsidR="00657ACA" w:rsidRDefault="00657ACA" w:rsidP="00657ACA">
            <w:pPr>
              <w:rPr>
                <w:rFonts w:ascii="Arial" w:hAnsi="Arial" w:cs="Arial"/>
                <w:b/>
                <w:bCs/>
                <w:sz w:val="20"/>
                <w:szCs w:val="20"/>
              </w:rPr>
            </w:pPr>
          </w:p>
          <w:p w14:paraId="7FA20517" w14:textId="77777777" w:rsidR="00657ACA" w:rsidRDefault="00657ACA" w:rsidP="00657ACA">
            <w:pPr>
              <w:rPr>
                <w:rFonts w:ascii="Arial" w:hAnsi="Arial" w:cs="Arial"/>
                <w:b/>
                <w:bCs/>
                <w:sz w:val="20"/>
                <w:szCs w:val="20"/>
              </w:rPr>
            </w:pPr>
          </w:p>
          <w:p w14:paraId="5B1177E4" w14:textId="64ED5350" w:rsidR="00657ACA" w:rsidRPr="0000591E" w:rsidRDefault="00657ACA" w:rsidP="00657ACA">
            <w:pPr>
              <w:rPr>
                <w:rFonts w:ascii="Arial" w:hAnsi="Arial" w:cs="Arial"/>
                <w:b/>
                <w:bCs/>
                <w:sz w:val="20"/>
                <w:szCs w:val="20"/>
              </w:rPr>
            </w:pPr>
            <w:r w:rsidRPr="0000591E">
              <w:rPr>
                <w:rFonts w:ascii="Arial" w:hAnsi="Arial" w:cs="Arial"/>
                <w:b/>
                <w:bCs/>
                <w:sz w:val="20"/>
                <w:szCs w:val="20"/>
              </w:rPr>
              <w:t>G03GA05</w:t>
            </w:r>
          </w:p>
        </w:tc>
        <w:tc>
          <w:tcPr>
            <w:tcW w:w="9452" w:type="dxa"/>
            <w:tcBorders>
              <w:bottom w:val="single" w:sz="4" w:space="0" w:color="auto"/>
            </w:tcBorders>
            <w:vAlign w:val="bottom"/>
          </w:tcPr>
          <w:p w14:paraId="48315672" w14:textId="77777777" w:rsidR="00657ACA" w:rsidRDefault="00657ACA" w:rsidP="00657ACA">
            <w:pPr>
              <w:jc w:val="both"/>
              <w:rPr>
                <w:rFonts w:ascii="Arial" w:hAnsi="Arial" w:cs="Arial"/>
                <w:b/>
                <w:bCs/>
                <w:sz w:val="20"/>
                <w:szCs w:val="20"/>
              </w:rPr>
            </w:pPr>
            <w:r>
              <w:rPr>
                <w:rFonts w:ascii="Arial" w:hAnsi="Arial" w:cs="Arial"/>
                <w:b/>
                <w:bCs/>
                <w:sz w:val="20"/>
                <w:szCs w:val="20"/>
              </w:rPr>
              <w:t>Fo</w:t>
            </w:r>
            <w:r w:rsidRPr="0000591E">
              <w:rPr>
                <w:rFonts w:ascii="Arial" w:hAnsi="Arial" w:cs="Arial"/>
                <w:b/>
                <w:bCs/>
                <w:sz w:val="20"/>
                <w:szCs w:val="20"/>
              </w:rPr>
              <w:t>litropín alfa parent.</w:t>
            </w:r>
            <w:r>
              <w:rPr>
                <w:rFonts w:ascii="Arial" w:hAnsi="Arial" w:cs="Arial"/>
                <w:b/>
                <w:bCs/>
                <w:sz w:val="20"/>
                <w:szCs w:val="20"/>
              </w:rPr>
              <w:t xml:space="preserve"> 75IU</w:t>
            </w:r>
          </w:p>
          <w:p w14:paraId="27CE2D7B" w14:textId="77777777" w:rsidR="00657ACA" w:rsidRDefault="00657ACA" w:rsidP="00657ACA">
            <w:pPr>
              <w:jc w:val="both"/>
              <w:rPr>
                <w:rFonts w:ascii="Arial" w:hAnsi="Arial" w:cs="Arial"/>
                <w:b/>
                <w:bCs/>
                <w:sz w:val="20"/>
                <w:szCs w:val="20"/>
              </w:rPr>
            </w:pPr>
            <w:r>
              <w:rPr>
                <w:rFonts w:ascii="Arial" w:hAnsi="Arial" w:cs="Arial"/>
                <w:b/>
                <w:bCs/>
                <w:sz w:val="20"/>
                <w:szCs w:val="20"/>
              </w:rPr>
              <w:t>Fo</w:t>
            </w:r>
            <w:r w:rsidRPr="00CD5DC8">
              <w:rPr>
                <w:rFonts w:ascii="Arial" w:hAnsi="Arial" w:cs="Arial"/>
                <w:b/>
                <w:bCs/>
                <w:sz w:val="20"/>
                <w:szCs w:val="20"/>
              </w:rPr>
              <w:t xml:space="preserve">litropín alfa parent. </w:t>
            </w:r>
            <w:r>
              <w:rPr>
                <w:rFonts w:ascii="Arial" w:hAnsi="Arial" w:cs="Arial"/>
                <w:b/>
                <w:bCs/>
                <w:sz w:val="20"/>
                <w:szCs w:val="20"/>
              </w:rPr>
              <w:t>1</w:t>
            </w:r>
            <w:r w:rsidRPr="00CD5DC8">
              <w:rPr>
                <w:rFonts w:ascii="Arial" w:hAnsi="Arial" w:cs="Arial"/>
                <w:b/>
                <w:bCs/>
                <w:sz w:val="20"/>
                <w:szCs w:val="20"/>
              </w:rPr>
              <w:t>5</w:t>
            </w:r>
            <w:r>
              <w:rPr>
                <w:rFonts w:ascii="Arial" w:hAnsi="Arial" w:cs="Arial"/>
                <w:b/>
                <w:bCs/>
                <w:sz w:val="20"/>
                <w:szCs w:val="20"/>
              </w:rPr>
              <w:t>0</w:t>
            </w:r>
            <w:r w:rsidRPr="00CD5DC8">
              <w:rPr>
                <w:rFonts w:ascii="Arial" w:hAnsi="Arial" w:cs="Arial"/>
                <w:b/>
                <w:bCs/>
                <w:sz w:val="20"/>
                <w:szCs w:val="20"/>
              </w:rPr>
              <w:t>IU</w:t>
            </w:r>
          </w:p>
          <w:p w14:paraId="2BB387E6" w14:textId="77777777" w:rsidR="00657ACA" w:rsidRPr="00CD5DC8" w:rsidRDefault="00657ACA" w:rsidP="00657ACA">
            <w:pPr>
              <w:jc w:val="both"/>
              <w:rPr>
                <w:rFonts w:ascii="Arial" w:hAnsi="Arial" w:cs="Arial"/>
                <w:b/>
                <w:bCs/>
                <w:sz w:val="20"/>
                <w:szCs w:val="20"/>
              </w:rPr>
            </w:pPr>
            <w:r>
              <w:rPr>
                <w:rFonts w:ascii="Arial" w:hAnsi="Arial" w:cs="Arial"/>
                <w:b/>
                <w:bCs/>
                <w:sz w:val="20"/>
                <w:szCs w:val="20"/>
              </w:rPr>
              <w:t>Fo</w:t>
            </w:r>
            <w:r w:rsidRPr="00CD5DC8">
              <w:rPr>
                <w:rFonts w:ascii="Arial" w:hAnsi="Arial" w:cs="Arial"/>
                <w:b/>
                <w:bCs/>
                <w:sz w:val="20"/>
                <w:szCs w:val="20"/>
              </w:rPr>
              <w:t xml:space="preserve">litropín alfa parent. </w:t>
            </w:r>
            <w:r>
              <w:rPr>
                <w:rFonts w:ascii="Arial" w:hAnsi="Arial" w:cs="Arial"/>
                <w:b/>
                <w:bCs/>
                <w:sz w:val="20"/>
                <w:szCs w:val="20"/>
              </w:rPr>
              <w:t>22</w:t>
            </w:r>
            <w:r w:rsidRPr="00CD5DC8">
              <w:rPr>
                <w:rFonts w:ascii="Arial" w:hAnsi="Arial" w:cs="Arial"/>
                <w:b/>
                <w:bCs/>
                <w:sz w:val="20"/>
                <w:szCs w:val="20"/>
              </w:rPr>
              <w:t>5IU</w:t>
            </w:r>
          </w:p>
          <w:p w14:paraId="21714F95" w14:textId="77777777" w:rsidR="00657ACA" w:rsidRDefault="00657ACA" w:rsidP="00657ACA">
            <w:pPr>
              <w:jc w:val="both"/>
              <w:rPr>
                <w:rFonts w:ascii="Arial" w:hAnsi="Arial" w:cs="Arial"/>
                <w:b/>
                <w:bCs/>
                <w:sz w:val="20"/>
                <w:szCs w:val="20"/>
              </w:rPr>
            </w:pPr>
            <w:r>
              <w:rPr>
                <w:rFonts w:ascii="Arial" w:hAnsi="Arial" w:cs="Arial"/>
                <w:b/>
                <w:bCs/>
                <w:sz w:val="20"/>
                <w:szCs w:val="20"/>
              </w:rPr>
              <w:t>Fo</w:t>
            </w:r>
            <w:r w:rsidRPr="00CD5DC8">
              <w:rPr>
                <w:rFonts w:ascii="Arial" w:hAnsi="Arial" w:cs="Arial"/>
                <w:b/>
                <w:bCs/>
                <w:sz w:val="20"/>
                <w:szCs w:val="20"/>
              </w:rPr>
              <w:t xml:space="preserve">litropín alfa parent. </w:t>
            </w:r>
            <w:r>
              <w:rPr>
                <w:rFonts w:ascii="Arial" w:hAnsi="Arial" w:cs="Arial"/>
                <w:b/>
                <w:bCs/>
                <w:sz w:val="20"/>
                <w:szCs w:val="20"/>
              </w:rPr>
              <w:t>300</w:t>
            </w:r>
            <w:r w:rsidRPr="00CD5DC8">
              <w:rPr>
                <w:rFonts w:ascii="Arial" w:hAnsi="Arial" w:cs="Arial"/>
                <w:b/>
                <w:bCs/>
                <w:sz w:val="20"/>
                <w:szCs w:val="20"/>
              </w:rPr>
              <w:t>IU</w:t>
            </w:r>
          </w:p>
          <w:p w14:paraId="1306D67B" w14:textId="77777777" w:rsidR="00657ACA" w:rsidRDefault="00657ACA" w:rsidP="00657ACA">
            <w:pPr>
              <w:jc w:val="both"/>
              <w:rPr>
                <w:rFonts w:ascii="Arial" w:hAnsi="Arial" w:cs="Arial"/>
                <w:b/>
                <w:bCs/>
                <w:sz w:val="20"/>
                <w:szCs w:val="20"/>
              </w:rPr>
            </w:pPr>
            <w:r>
              <w:rPr>
                <w:rFonts w:ascii="Arial" w:hAnsi="Arial" w:cs="Arial"/>
                <w:b/>
                <w:bCs/>
                <w:sz w:val="20"/>
                <w:szCs w:val="20"/>
              </w:rPr>
              <w:t>Fol</w:t>
            </w:r>
            <w:r w:rsidRPr="00CD5DC8">
              <w:rPr>
                <w:rFonts w:ascii="Arial" w:hAnsi="Arial" w:cs="Arial"/>
                <w:b/>
                <w:bCs/>
                <w:sz w:val="20"/>
                <w:szCs w:val="20"/>
              </w:rPr>
              <w:t xml:space="preserve">itropín alfa parent. </w:t>
            </w:r>
            <w:r>
              <w:rPr>
                <w:rFonts w:ascii="Arial" w:hAnsi="Arial" w:cs="Arial"/>
                <w:b/>
                <w:bCs/>
                <w:sz w:val="20"/>
                <w:szCs w:val="20"/>
              </w:rPr>
              <w:t>45</w:t>
            </w:r>
            <w:r w:rsidRPr="00CD5DC8">
              <w:rPr>
                <w:rFonts w:ascii="Arial" w:hAnsi="Arial" w:cs="Arial"/>
                <w:b/>
                <w:bCs/>
                <w:sz w:val="20"/>
                <w:szCs w:val="20"/>
              </w:rPr>
              <w:t>0IU</w:t>
            </w:r>
          </w:p>
          <w:p w14:paraId="085EEDE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Fo</w:t>
            </w:r>
            <w:r w:rsidRPr="00CD5DC8">
              <w:rPr>
                <w:rFonts w:ascii="Arial" w:hAnsi="Arial" w:cs="Arial"/>
                <w:b/>
                <w:bCs/>
                <w:sz w:val="20"/>
                <w:szCs w:val="20"/>
              </w:rPr>
              <w:t xml:space="preserve">litropín alfa parent. </w:t>
            </w:r>
            <w:r>
              <w:rPr>
                <w:rFonts w:ascii="Arial" w:hAnsi="Arial" w:cs="Arial"/>
                <w:b/>
                <w:bCs/>
                <w:sz w:val="20"/>
                <w:szCs w:val="20"/>
              </w:rPr>
              <w:t>9</w:t>
            </w:r>
            <w:r w:rsidRPr="00CD5DC8">
              <w:rPr>
                <w:rFonts w:ascii="Arial" w:hAnsi="Arial" w:cs="Arial"/>
                <w:b/>
                <w:bCs/>
                <w:sz w:val="20"/>
                <w:szCs w:val="20"/>
              </w:rPr>
              <w:t>00IU</w:t>
            </w:r>
          </w:p>
        </w:tc>
      </w:tr>
      <w:tr w:rsidR="00657ACA" w:rsidRPr="0000591E" w14:paraId="7BED2BF5" w14:textId="77777777" w:rsidTr="003F7925">
        <w:trPr>
          <w:gridAfter w:val="2"/>
          <w:wAfter w:w="154" w:type="dxa"/>
          <w:trHeight w:val="20"/>
        </w:trPr>
        <w:tc>
          <w:tcPr>
            <w:tcW w:w="1256" w:type="dxa"/>
            <w:noWrap/>
            <w:vAlign w:val="bottom"/>
          </w:tcPr>
          <w:p w14:paraId="53BD840E" w14:textId="77777777" w:rsidR="00657ACA" w:rsidRPr="0000591E" w:rsidRDefault="00657ACA" w:rsidP="00657ACA">
            <w:pPr>
              <w:jc w:val="both"/>
              <w:rPr>
                <w:rFonts w:ascii="Arial" w:hAnsi="Arial" w:cs="Arial"/>
                <w:sz w:val="20"/>
                <w:szCs w:val="20"/>
              </w:rPr>
            </w:pPr>
          </w:p>
        </w:tc>
        <w:tc>
          <w:tcPr>
            <w:tcW w:w="9452" w:type="dxa"/>
            <w:noWrap/>
          </w:tcPr>
          <w:p w14:paraId="287FF98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w:t>
            </w:r>
          </w:p>
          <w:p w14:paraId="5093C3B2" w14:textId="77777777" w:rsidR="00657ACA" w:rsidRPr="0000591E" w:rsidRDefault="00657ACA">
            <w:pPr>
              <w:numPr>
                <w:ilvl w:val="0"/>
                <w:numId w:val="51"/>
              </w:numPr>
              <w:jc w:val="both"/>
              <w:rPr>
                <w:rFonts w:ascii="Arial" w:hAnsi="Arial" w:cs="Arial"/>
                <w:sz w:val="20"/>
                <w:szCs w:val="20"/>
              </w:rPr>
            </w:pPr>
            <w:r w:rsidRPr="0000591E">
              <w:rPr>
                <w:rFonts w:ascii="Arial" w:hAnsi="Arial" w:cs="Arial"/>
                <w:sz w:val="20"/>
                <w:szCs w:val="20"/>
              </w:rPr>
              <w:t>na schválenom pracovisku pre in vitro fertilizáciu (IVF) pri zdravotnej indikácii, resp. v prípade</w:t>
            </w:r>
          </w:p>
          <w:p w14:paraId="4FC76AD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tubárneho faktura: chýbania alebo nepriechodnosti vajíčkovodov potvrdené kontrastnou vyšetrovacou technikou (na podklade laparoskopického, laparotomického, hysterosalpingografického alebo hysterosonosalpingografického dôkazu), zrasty v malej panve zapríčiňujúce porušenú funkciu vajíčkovodov</w:t>
            </w:r>
            <w:r>
              <w:rPr>
                <w:rFonts w:ascii="Arial" w:hAnsi="Arial" w:cs="Arial"/>
                <w:sz w:val="20"/>
                <w:szCs w:val="20"/>
              </w:rPr>
              <w:t>,</w:t>
            </w:r>
          </w:p>
          <w:p w14:paraId="305A9884"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endometriózy potvrdenej laparoskopicky, laparotomicky alebo histologicky. Pri endometriómoch USG realizované špecialistom</w:t>
            </w:r>
            <w:r>
              <w:rPr>
                <w:rFonts w:ascii="Arial" w:hAnsi="Arial" w:cs="Arial"/>
                <w:sz w:val="20"/>
                <w:szCs w:val="20"/>
              </w:rPr>
              <w:t>,</w:t>
            </w:r>
          </w:p>
          <w:p w14:paraId="1E99D4B3"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príznakov syndrómu polycystických ovárií (PCOS) potvrdených hormonálne, ultrazvukovo a klinicky,</w:t>
            </w:r>
          </w:p>
          <w:p w14:paraId="0E819B3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nezvratného poškodenia vaječníkov, ktoré je potvrdené biochemicky, LSK alebo LPT,</w:t>
            </w:r>
          </w:p>
          <w:p w14:paraId="1D2C4BB3"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 xml:space="preserve">idiopatickej sterility, ktorá je neúspešne liečená jeden rok, </w:t>
            </w:r>
          </w:p>
          <w:p w14:paraId="4760C6C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mužského faktora neplodnosti: opakovaný patologický spermiogram, ejakulačná dysfunkcia a ochorenia súvisiace s chemoterapiou alebo poúrazovými stavmi, ktoré sú overené urológom, andrológom</w:t>
            </w:r>
            <w:r>
              <w:rPr>
                <w:rFonts w:ascii="Arial" w:hAnsi="Arial" w:cs="Arial"/>
                <w:sz w:val="20"/>
                <w:szCs w:val="20"/>
              </w:rPr>
              <w:t>,</w:t>
            </w:r>
          </w:p>
          <w:p w14:paraId="66B69556"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 xml:space="preserve">imunologických príčin neplodnosti, </w:t>
            </w:r>
          </w:p>
          <w:p w14:paraId="058BE44E"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rizika dedičného ochorenia na genetickom podklade potvrdené klinickým genetikom je indikáciou na vyšetrenie embryí metódou PGD,</w:t>
            </w:r>
          </w:p>
          <w:p w14:paraId="62C23291"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endokrinných príčin neplodnosti, potvrdených endokrinológom</w:t>
            </w:r>
            <w:r>
              <w:rPr>
                <w:rFonts w:ascii="Arial" w:hAnsi="Arial" w:cs="Arial"/>
                <w:sz w:val="20"/>
                <w:szCs w:val="20"/>
              </w:rPr>
              <w:t>,</w:t>
            </w:r>
          </w:p>
          <w:p w14:paraId="4F1AC149"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Uterus myomatosus: v prípadoch po operačnej alebo farmakologickej liečbe, kedy je dosiahnutý optimálny funkčný aj morfologický stav maternice na graviditu,</w:t>
            </w:r>
          </w:p>
          <w:p w14:paraId="5075FAD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lastRenderedPageBreak/>
              <w:t>veku ženy 37 rokov a viac,</w:t>
            </w:r>
          </w:p>
          <w:p w14:paraId="5924E478" w14:textId="77777777" w:rsidR="00657ACA" w:rsidRPr="0000591E" w:rsidRDefault="00657ACA">
            <w:pPr>
              <w:numPr>
                <w:ilvl w:val="0"/>
                <w:numId w:val="68"/>
              </w:numPr>
              <w:jc w:val="both"/>
              <w:rPr>
                <w:rFonts w:ascii="Arial" w:hAnsi="Arial" w:cs="Arial"/>
                <w:sz w:val="20"/>
                <w:szCs w:val="20"/>
              </w:rPr>
            </w:pPr>
            <w:r w:rsidRPr="00014791">
              <w:rPr>
                <w:rFonts w:ascii="Arial" w:hAnsi="Arial" w:cs="Arial"/>
                <w:sz w:val="20"/>
                <w:szCs w:val="20"/>
              </w:rPr>
              <w:t>za účelom kryokonzervácie oocytov u žien so zníženou ovariálnou rezervou, u žien s onkologickým ochorením a u žien s medicínskou indikáciou na IVF</w:t>
            </w:r>
          </w:p>
          <w:p w14:paraId="775DABA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 </w:t>
            </w:r>
          </w:p>
          <w:p w14:paraId="5F90151D" w14:textId="77777777" w:rsidR="00657ACA" w:rsidRPr="0000591E" w:rsidRDefault="00657ACA">
            <w:pPr>
              <w:numPr>
                <w:ilvl w:val="0"/>
                <w:numId w:val="51"/>
              </w:numPr>
              <w:jc w:val="both"/>
              <w:rPr>
                <w:rFonts w:ascii="Arial" w:hAnsi="Arial" w:cs="Arial"/>
                <w:sz w:val="20"/>
                <w:szCs w:val="20"/>
              </w:rPr>
            </w:pPr>
            <w:r w:rsidRPr="0000591E">
              <w:rPr>
                <w:rFonts w:ascii="Arial" w:hAnsi="Arial" w:cs="Arial"/>
                <w:sz w:val="20"/>
                <w:szCs w:val="20"/>
              </w:rPr>
              <w:t>v špecializovanej ambulancii pre diagnostiku a liečbu sterility po preukázaní hormonálnych výsledkov a priechodnosti vajíčkovodov, pri hypogonadotropných stavoch, pri ľahkých formách oligoasthenospermií (2 mil. spermií /1ml) alebo pri potvrdenej anovulácii.</w:t>
            </w:r>
          </w:p>
          <w:p w14:paraId="3586F0BF" w14:textId="77777777" w:rsidR="00657ACA" w:rsidRPr="0000591E" w:rsidRDefault="00657ACA" w:rsidP="00657ACA">
            <w:pPr>
              <w:ind w:left="720"/>
              <w:jc w:val="both"/>
              <w:rPr>
                <w:rFonts w:ascii="Arial" w:hAnsi="Arial" w:cs="Arial"/>
                <w:sz w:val="20"/>
                <w:szCs w:val="20"/>
              </w:rPr>
            </w:pPr>
          </w:p>
          <w:p w14:paraId="14CEA8DB" w14:textId="77777777" w:rsidR="00657ACA" w:rsidRPr="0073735C" w:rsidRDefault="00657ACA">
            <w:pPr>
              <w:numPr>
                <w:ilvl w:val="0"/>
                <w:numId w:val="51"/>
              </w:numPr>
              <w:jc w:val="both"/>
              <w:rPr>
                <w:rFonts w:ascii="Arial" w:hAnsi="Arial" w:cs="Arial"/>
                <w:sz w:val="20"/>
                <w:szCs w:val="20"/>
              </w:rPr>
            </w:pPr>
            <w:r w:rsidRPr="0000591E">
              <w:rPr>
                <w:rFonts w:ascii="Arial" w:hAnsi="Arial" w:cs="Arial"/>
                <w:sz w:val="20"/>
                <w:szCs w:val="20"/>
              </w:rPr>
              <w:t>v endokrinologickej ambulancii u pacientov s deficitom gonadotropínov.</w:t>
            </w:r>
          </w:p>
          <w:p w14:paraId="57308863" w14:textId="77777777" w:rsidR="00657ACA" w:rsidRPr="0000591E" w:rsidRDefault="00657ACA" w:rsidP="00657ACA">
            <w:pPr>
              <w:jc w:val="both"/>
              <w:rPr>
                <w:rFonts w:ascii="Arial" w:hAnsi="Arial" w:cs="Arial"/>
                <w:sz w:val="20"/>
                <w:szCs w:val="20"/>
              </w:rPr>
            </w:pPr>
          </w:p>
        </w:tc>
      </w:tr>
      <w:tr w:rsidR="00657ACA" w:rsidRPr="0000591E" w14:paraId="3A64C90A" w14:textId="77777777" w:rsidTr="003F7925">
        <w:trPr>
          <w:gridAfter w:val="2"/>
          <w:wAfter w:w="154" w:type="dxa"/>
          <w:trHeight w:val="20"/>
        </w:trPr>
        <w:tc>
          <w:tcPr>
            <w:tcW w:w="1256" w:type="dxa"/>
            <w:tcBorders>
              <w:bottom w:val="single" w:sz="4" w:space="0" w:color="auto"/>
            </w:tcBorders>
            <w:noWrap/>
            <w:vAlign w:val="bottom"/>
          </w:tcPr>
          <w:p w14:paraId="54BC48B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G03GA07</w:t>
            </w:r>
          </w:p>
        </w:tc>
        <w:tc>
          <w:tcPr>
            <w:tcW w:w="9452" w:type="dxa"/>
            <w:tcBorders>
              <w:bottom w:val="single" w:sz="4" w:space="0" w:color="auto"/>
            </w:tcBorders>
            <w:vAlign w:val="bottom"/>
          </w:tcPr>
          <w:p w14:paraId="563E9847"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Lutropín alfa parent. </w:t>
            </w:r>
            <w:r>
              <w:rPr>
                <w:rFonts w:ascii="Arial" w:hAnsi="Arial" w:cs="Arial"/>
                <w:b/>
                <w:bCs/>
                <w:sz w:val="20"/>
                <w:szCs w:val="20"/>
              </w:rPr>
              <w:t>75IU</w:t>
            </w:r>
          </w:p>
        </w:tc>
      </w:tr>
      <w:tr w:rsidR="00657ACA" w:rsidRPr="0000591E" w14:paraId="049A9EA6" w14:textId="77777777" w:rsidTr="003F7925">
        <w:trPr>
          <w:gridAfter w:val="2"/>
          <w:wAfter w:w="154" w:type="dxa"/>
          <w:trHeight w:val="20"/>
        </w:trPr>
        <w:tc>
          <w:tcPr>
            <w:tcW w:w="1256" w:type="dxa"/>
            <w:tcBorders>
              <w:top w:val="single" w:sz="4" w:space="0" w:color="auto"/>
            </w:tcBorders>
            <w:noWrap/>
            <w:vAlign w:val="bottom"/>
          </w:tcPr>
          <w:p w14:paraId="1E9E9007"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2954F370" w14:textId="77777777" w:rsidR="00657ACA" w:rsidRPr="00CF7863" w:rsidRDefault="00657ACA" w:rsidP="00657ACA">
            <w:pPr>
              <w:jc w:val="both"/>
              <w:rPr>
                <w:rFonts w:ascii="Arial" w:hAnsi="Arial" w:cs="Arial"/>
                <w:bCs/>
                <w:sz w:val="20"/>
                <w:szCs w:val="20"/>
              </w:rPr>
            </w:pPr>
            <w:r w:rsidRPr="00CF7863">
              <w:rPr>
                <w:rFonts w:ascii="Arial" w:hAnsi="Arial" w:cs="Arial"/>
                <w:bCs/>
                <w:sz w:val="20"/>
                <w:szCs w:val="20"/>
              </w:rPr>
              <w:t xml:space="preserve">Hradená liečba sa môže indikovať </w:t>
            </w:r>
          </w:p>
          <w:p w14:paraId="3B0BE76E" w14:textId="77777777" w:rsidR="00657ACA" w:rsidRPr="00CF7863" w:rsidRDefault="00657ACA" w:rsidP="00657ACA">
            <w:pPr>
              <w:jc w:val="both"/>
              <w:rPr>
                <w:rFonts w:ascii="Arial" w:hAnsi="Arial" w:cs="Arial"/>
                <w:bCs/>
                <w:sz w:val="20"/>
                <w:szCs w:val="20"/>
              </w:rPr>
            </w:pPr>
            <w:r w:rsidRPr="00CF7863">
              <w:rPr>
                <w:rFonts w:ascii="Arial" w:hAnsi="Arial" w:cs="Arial"/>
                <w:bCs/>
                <w:sz w:val="20"/>
                <w:szCs w:val="20"/>
              </w:rPr>
              <w:t>a)</w:t>
            </w:r>
            <w:r w:rsidRPr="00CF7863">
              <w:rPr>
                <w:rFonts w:ascii="Arial" w:hAnsi="Arial" w:cs="Arial"/>
                <w:bCs/>
                <w:sz w:val="20"/>
                <w:szCs w:val="20"/>
              </w:rPr>
              <w:tab/>
              <w:t xml:space="preserve">na schválenom pracovisku pre in vitro fertilizáciu (IVF) pri zdravotnej indikácii, resp. v prípade </w:t>
            </w:r>
          </w:p>
          <w:p w14:paraId="4C9CFDEE"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1.</w:t>
            </w:r>
            <w:r w:rsidRPr="00CF7863">
              <w:rPr>
                <w:rFonts w:ascii="Arial" w:hAnsi="Arial" w:cs="Arial"/>
                <w:bCs/>
                <w:sz w:val="20"/>
                <w:szCs w:val="20"/>
              </w:rPr>
              <w:tab/>
              <w:t xml:space="preserve">chýbania alebo nepriechodnosti vajcovodov na podklade laparoskopického, laparotomického,  </w:t>
            </w:r>
          </w:p>
          <w:p w14:paraId="3DC67D8F" w14:textId="5C252A12"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sidRPr="00CF7863">
              <w:rPr>
                <w:rFonts w:ascii="Arial" w:hAnsi="Arial" w:cs="Arial"/>
                <w:bCs/>
                <w:sz w:val="20"/>
                <w:szCs w:val="20"/>
              </w:rPr>
              <w:t xml:space="preserve">hysterosalpingografického alebo hysterosonosalpingografického dôkazu, </w:t>
            </w:r>
          </w:p>
          <w:p w14:paraId="02CBB896"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2.</w:t>
            </w:r>
            <w:r w:rsidRPr="00CF7863">
              <w:rPr>
                <w:rFonts w:ascii="Arial" w:hAnsi="Arial" w:cs="Arial"/>
                <w:bCs/>
                <w:sz w:val="20"/>
                <w:szCs w:val="20"/>
              </w:rPr>
              <w:tab/>
              <w:t xml:space="preserve">endometriózy malej panvy potvrdenej laparoskopicky alebo laparotomicky, </w:t>
            </w:r>
          </w:p>
          <w:p w14:paraId="5C74F99A"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3.</w:t>
            </w:r>
            <w:r w:rsidRPr="00CF7863">
              <w:rPr>
                <w:rFonts w:ascii="Arial" w:hAnsi="Arial" w:cs="Arial"/>
                <w:bCs/>
                <w:sz w:val="20"/>
                <w:szCs w:val="20"/>
              </w:rPr>
              <w:tab/>
              <w:t xml:space="preserve">príznakov syndrómu polycystických ovárií (PCOS) potvrdených hormonálne, ultrazvukovo a </w:t>
            </w:r>
          </w:p>
          <w:p w14:paraId="0E98821C" w14:textId="586E1BA4"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sidRPr="00CF7863">
              <w:rPr>
                <w:rFonts w:ascii="Arial" w:hAnsi="Arial" w:cs="Arial"/>
                <w:bCs/>
                <w:sz w:val="20"/>
                <w:szCs w:val="20"/>
              </w:rPr>
              <w:t xml:space="preserve">klinicky, </w:t>
            </w:r>
          </w:p>
          <w:p w14:paraId="0BC42BA4"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4.</w:t>
            </w:r>
            <w:r w:rsidRPr="00CF7863">
              <w:rPr>
                <w:rFonts w:ascii="Arial" w:hAnsi="Arial" w:cs="Arial"/>
                <w:bCs/>
                <w:sz w:val="20"/>
                <w:szCs w:val="20"/>
              </w:rPr>
              <w:tab/>
              <w:t xml:space="preserve">idiopatickej sterility po zlyhaní troch inseminácií, </w:t>
            </w:r>
          </w:p>
          <w:p w14:paraId="7FCAE048"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5.</w:t>
            </w:r>
            <w:r w:rsidRPr="00CF7863">
              <w:rPr>
                <w:rFonts w:ascii="Arial" w:hAnsi="Arial" w:cs="Arial"/>
                <w:bCs/>
                <w:sz w:val="20"/>
                <w:szCs w:val="20"/>
              </w:rPr>
              <w:tab/>
              <w:t xml:space="preserve">mužskej neplodnosti potvrdenej dvoma spermiogramami a overenej urológom alebo </w:t>
            </w:r>
          </w:p>
          <w:p w14:paraId="250B22B8" w14:textId="59584306"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sidRPr="00CF7863">
              <w:rPr>
                <w:rFonts w:ascii="Arial" w:hAnsi="Arial" w:cs="Arial"/>
                <w:bCs/>
                <w:sz w:val="20"/>
                <w:szCs w:val="20"/>
              </w:rPr>
              <w:t xml:space="preserve">andrológom, </w:t>
            </w:r>
          </w:p>
          <w:p w14:paraId="373FAA5C"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6.</w:t>
            </w:r>
            <w:r w:rsidRPr="00CF7863">
              <w:rPr>
                <w:rFonts w:ascii="Arial" w:hAnsi="Arial" w:cs="Arial"/>
                <w:bCs/>
                <w:sz w:val="20"/>
                <w:szCs w:val="20"/>
              </w:rPr>
              <w:tab/>
              <w:t xml:space="preserve">imunologických príčin sterility, potvrdených imunológom, </w:t>
            </w:r>
          </w:p>
          <w:p w14:paraId="20776A22"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7.</w:t>
            </w:r>
            <w:r w:rsidRPr="00CF7863">
              <w:rPr>
                <w:rFonts w:ascii="Arial" w:hAnsi="Arial" w:cs="Arial"/>
                <w:bCs/>
                <w:sz w:val="20"/>
                <w:szCs w:val="20"/>
              </w:rPr>
              <w:tab/>
              <w:t xml:space="preserve">genetických príčin sterility, potvrdených genetikom, </w:t>
            </w:r>
          </w:p>
          <w:p w14:paraId="202F649C"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8.</w:t>
            </w:r>
            <w:r w:rsidRPr="00CF7863">
              <w:rPr>
                <w:rFonts w:ascii="Arial" w:hAnsi="Arial" w:cs="Arial"/>
                <w:bCs/>
                <w:sz w:val="20"/>
                <w:szCs w:val="20"/>
              </w:rPr>
              <w:tab/>
              <w:t>endokrinných príčin sterility, potvrdených endokrinológom,</w:t>
            </w:r>
          </w:p>
          <w:p w14:paraId="5533685F"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9.</w:t>
            </w:r>
            <w:r w:rsidRPr="00CF7863">
              <w:rPr>
                <w:rFonts w:ascii="Arial" w:hAnsi="Arial" w:cs="Arial"/>
                <w:bCs/>
                <w:sz w:val="20"/>
                <w:szCs w:val="20"/>
              </w:rPr>
              <w:tab/>
              <w:t>onkologického ochorenia – karcinóm prsníka potvrdený onkológom,</w:t>
            </w:r>
          </w:p>
          <w:p w14:paraId="3037EB17" w14:textId="08F2F760"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10.</w:t>
            </w:r>
            <w:r w:rsidRPr="00CF7863">
              <w:rPr>
                <w:rFonts w:ascii="Arial" w:hAnsi="Arial" w:cs="Arial"/>
                <w:bCs/>
                <w:sz w:val="20"/>
                <w:szCs w:val="20"/>
              </w:rPr>
              <w:tab/>
              <w:t xml:space="preserve">onkologického ochorenia - Hodgkinov lymfóm a non-Hodgkinov lymfóm potvrdený onkológom </w:t>
            </w:r>
            <w:r>
              <w:rPr>
                <w:rFonts w:ascii="Arial" w:hAnsi="Arial" w:cs="Arial"/>
                <w:bCs/>
                <w:sz w:val="20"/>
                <w:szCs w:val="20"/>
              </w:rPr>
              <w:tab/>
            </w:r>
            <w:r w:rsidRPr="00CF7863">
              <w:rPr>
                <w:rFonts w:ascii="Arial" w:hAnsi="Arial" w:cs="Arial"/>
                <w:bCs/>
                <w:sz w:val="20"/>
                <w:szCs w:val="20"/>
              </w:rPr>
              <w:t>alebo hematoonkológom.</w:t>
            </w:r>
          </w:p>
          <w:p w14:paraId="6C429E61" w14:textId="77777777" w:rsidR="00657ACA" w:rsidRPr="00CF7863" w:rsidRDefault="00657ACA" w:rsidP="00657ACA">
            <w:pPr>
              <w:jc w:val="both"/>
              <w:rPr>
                <w:rFonts w:ascii="Arial" w:hAnsi="Arial" w:cs="Arial"/>
                <w:bCs/>
                <w:sz w:val="20"/>
                <w:szCs w:val="20"/>
              </w:rPr>
            </w:pPr>
            <w:r w:rsidRPr="00CF7863">
              <w:rPr>
                <w:rFonts w:ascii="Arial" w:hAnsi="Arial" w:cs="Arial"/>
                <w:bCs/>
                <w:sz w:val="20"/>
                <w:szCs w:val="20"/>
              </w:rPr>
              <w:t xml:space="preserve">  </w:t>
            </w:r>
          </w:p>
          <w:p w14:paraId="0CCD1C86" w14:textId="77777777" w:rsidR="00657ACA" w:rsidRDefault="00657ACA" w:rsidP="00657ACA">
            <w:pPr>
              <w:jc w:val="both"/>
              <w:rPr>
                <w:rFonts w:ascii="Arial" w:hAnsi="Arial" w:cs="Arial"/>
                <w:bCs/>
                <w:sz w:val="20"/>
                <w:szCs w:val="20"/>
              </w:rPr>
            </w:pPr>
            <w:r w:rsidRPr="00CF7863">
              <w:rPr>
                <w:rFonts w:ascii="Arial" w:hAnsi="Arial" w:cs="Arial"/>
                <w:bCs/>
                <w:sz w:val="20"/>
                <w:szCs w:val="20"/>
              </w:rPr>
              <w:t>b)</w:t>
            </w:r>
            <w:r w:rsidRPr="00CF7863">
              <w:rPr>
                <w:rFonts w:ascii="Arial" w:hAnsi="Arial" w:cs="Arial"/>
                <w:bCs/>
                <w:sz w:val="20"/>
                <w:szCs w:val="20"/>
              </w:rPr>
              <w:tab/>
              <w:t>v špecializovanej ambulancii pre diagnostiku a liečbu sterility po preukázaní hormonálnych výsledkov a priechodnosti vajíčkovodov, pri hypogonadotropných stavoch, pri ľahkých formách oligoasthenospermií (2 mil.  spermií /1ml) alebo pri potvrdenej anovulácii.</w:t>
            </w:r>
          </w:p>
          <w:p w14:paraId="04AEBC49" w14:textId="77777777" w:rsidR="00657ACA" w:rsidRDefault="00657ACA" w:rsidP="00657ACA">
            <w:pPr>
              <w:jc w:val="both"/>
              <w:rPr>
                <w:rFonts w:ascii="Arial" w:hAnsi="Arial" w:cs="Arial"/>
                <w:bCs/>
                <w:sz w:val="20"/>
                <w:szCs w:val="20"/>
              </w:rPr>
            </w:pPr>
          </w:p>
          <w:p w14:paraId="440811AB" w14:textId="23CCD908" w:rsidR="00657ACA" w:rsidRPr="00CF7863" w:rsidRDefault="00657ACA" w:rsidP="00657ACA">
            <w:pPr>
              <w:jc w:val="both"/>
              <w:rPr>
                <w:rFonts w:ascii="Arial" w:hAnsi="Arial" w:cs="Arial"/>
                <w:bCs/>
                <w:sz w:val="20"/>
                <w:szCs w:val="20"/>
              </w:rPr>
            </w:pPr>
          </w:p>
        </w:tc>
      </w:tr>
      <w:tr w:rsidR="00657ACA" w:rsidRPr="0000591E" w14:paraId="3CE20413" w14:textId="77777777" w:rsidTr="003F7925">
        <w:trPr>
          <w:gridAfter w:val="2"/>
          <w:wAfter w:w="154" w:type="dxa"/>
          <w:trHeight w:val="20"/>
        </w:trPr>
        <w:tc>
          <w:tcPr>
            <w:tcW w:w="1256" w:type="dxa"/>
            <w:tcBorders>
              <w:bottom w:val="single" w:sz="4" w:space="0" w:color="auto"/>
            </w:tcBorders>
            <w:noWrap/>
            <w:vAlign w:val="center"/>
          </w:tcPr>
          <w:p w14:paraId="1B7CE9EB"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G03GA08</w:t>
            </w:r>
          </w:p>
        </w:tc>
        <w:tc>
          <w:tcPr>
            <w:tcW w:w="9452" w:type="dxa"/>
            <w:tcBorders>
              <w:bottom w:val="single" w:sz="4" w:space="0" w:color="auto"/>
            </w:tcBorders>
            <w:vAlign w:val="bottom"/>
          </w:tcPr>
          <w:p w14:paraId="222692F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Choriogonadotropín alfa parent.</w:t>
            </w:r>
            <w:r>
              <w:rPr>
                <w:rFonts w:ascii="Arial" w:hAnsi="Arial" w:cs="Arial"/>
                <w:b/>
                <w:bCs/>
                <w:sz w:val="20"/>
                <w:szCs w:val="20"/>
              </w:rPr>
              <w:t xml:space="preserve"> 250 mcg</w:t>
            </w:r>
          </w:p>
        </w:tc>
      </w:tr>
      <w:tr w:rsidR="00657ACA" w:rsidRPr="0000591E" w14:paraId="0BF776F9" w14:textId="77777777" w:rsidTr="003F7925">
        <w:trPr>
          <w:gridAfter w:val="2"/>
          <w:wAfter w:w="154" w:type="dxa"/>
          <w:trHeight w:val="20"/>
        </w:trPr>
        <w:tc>
          <w:tcPr>
            <w:tcW w:w="1256" w:type="dxa"/>
            <w:noWrap/>
            <w:vAlign w:val="bottom"/>
          </w:tcPr>
          <w:p w14:paraId="45C312A9" w14:textId="77777777" w:rsidR="00657ACA" w:rsidRPr="0000591E" w:rsidRDefault="00657ACA" w:rsidP="00657ACA">
            <w:pPr>
              <w:rPr>
                <w:rFonts w:ascii="Arial" w:hAnsi="Arial" w:cs="Arial"/>
                <w:sz w:val="20"/>
                <w:szCs w:val="20"/>
              </w:rPr>
            </w:pPr>
          </w:p>
        </w:tc>
        <w:tc>
          <w:tcPr>
            <w:tcW w:w="9452" w:type="dxa"/>
          </w:tcPr>
          <w:p w14:paraId="5E44C7F8" w14:textId="13CBAD43" w:rsidR="00657ACA" w:rsidRDefault="00657ACA" w:rsidP="00845EE0">
            <w:pPr>
              <w:jc w:val="both"/>
              <w:rPr>
                <w:rFonts w:ascii="Arial" w:hAnsi="Arial" w:cs="Arial"/>
                <w:sz w:val="20"/>
                <w:szCs w:val="20"/>
              </w:rPr>
            </w:pPr>
            <w:r w:rsidRPr="0000591E">
              <w:rPr>
                <w:rFonts w:ascii="Arial" w:hAnsi="Arial" w:cs="Arial"/>
                <w:sz w:val="20"/>
                <w:szCs w:val="20"/>
              </w:rPr>
              <w:t xml:space="preserve">Hradenú liečbu môže indikovať gynekológ na spustenie finálnej folikulárnej maturácie a luteinizácie po stimulácii folikulárneho rastu na schválenom pracovisku pre IVF alebo v špecializovanej ambulancii pre diagnostiku a liečbu sterility. </w:t>
            </w:r>
          </w:p>
          <w:p w14:paraId="5BB3635B" w14:textId="5E437DFA" w:rsidR="00657ACA" w:rsidRPr="0000591E" w:rsidRDefault="00657ACA" w:rsidP="00657ACA">
            <w:pPr>
              <w:rPr>
                <w:rFonts w:ascii="Arial" w:hAnsi="Arial" w:cs="Arial"/>
                <w:sz w:val="20"/>
                <w:szCs w:val="20"/>
              </w:rPr>
            </w:pPr>
          </w:p>
        </w:tc>
      </w:tr>
      <w:tr w:rsidR="00657ACA" w:rsidRPr="0000591E" w14:paraId="6F43E019" w14:textId="77777777" w:rsidTr="003F7925">
        <w:trPr>
          <w:gridAfter w:val="2"/>
          <w:wAfter w:w="154" w:type="dxa"/>
          <w:trHeight w:val="20"/>
        </w:trPr>
        <w:tc>
          <w:tcPr>
            <w:tcW w:w="1256" w:type="dxa"/>
            <w:tcBorders>
              <w:bottom w:val="single" w:sz="4" w:space="0" w:color="auto"/>
            </w:tcBorders>
            <w:noWrap/>
            <w:vAlign w:val="center"/>
          </w:tcPr>
          <w:p w14:paraId="7702AA21" w14:textId="77777777" w:rsidR="00657ACA" w:rsidRDefault="00657ACA" w:rsidP="00657ACA">
            <w:pPr>
              <w:rPr>
                <w:rFonts w:ascii="Arial" w:hAnsi="Arial" w:cs="Arial"/>
                <w:b/>
                <w:bCs/>
                <w:sz w:val="20"/>
                <w:szCs w:val="20"/>
              </w:rPr>
            </w:pPr>
          </w:p>
          <w:p w14:paraId="5744BC5D" w14:textId="77777777" w:rsidR="00657ACA" w:rsidRDefault="00657ACA" w:rsidP="00657ACA">
            <w:pPr>
              <w:rPr>
                <w:rFonts w:ascii="Arial" w:hAnsi="Arial" w:cs="Arial"/>
                <w:b/>
                <w:bCs/>
                <w:sz w:val="20"/>
                <w:szCs w:val="20"/>
              </w:rPr>
            </w:pPr>
          </w:p>
          <w:p w14:paraId="2F9BEAED" w14:textId="3DF7675A" w:rsidR="00657ACA" w:rsidRPr="0000591E" w:rsidRDefault="00657ACA" w:rsidP="00657ACA">
            <w:pPr>
              <w:rPr>
                <w:rFonts w:ascii="Arial" w:hAnsi="Arial" w:cs="Arial"/>
                <w:b/>
                <w:bCs/>
                <w:sz w:val="20"/>
                <w:szCs w:val="20"/>
              </w:rPr>
            </w:pPr>
            <w:r>
              <w:rPr>
                <w:rFonts w:ascii="Arial" w:hAnsi="Arial" w:cs="Arial"/>
                <w:b/>
                <w:bCs/>
                <w:sz w:val="20"/>
                <w:szCs w:val="20"/>
              </w:rPr>
              <w:t>G03GA10</w:t>
            </w:r>
          </w:p>
        </w:tc>
        <w:tc>
          <w:tcPr>
            <w:tcW w:w="9452" w:type="dxa"/>
            <w:tcBorders>
              <w:bottom w:val="single" w:sz="4" w:space="0" w:color="auto"/>
            </w:tcBorders>
            <w:vAlign w:val="bottom"/>
          </w:tcPr>
          <w:p w14:paraId="0B904FFB" w14:textId="77777777" w:rsidR="00657ACA" w:rsidRDefault="00657ACA" w:rsidP="00657ACA">
            <w:pPr>
              <w:rPr>
                <w:rFonts w:ascii="Arial" w:hAnsi="Arial" w:cs="Arial"/>
                <w:b/>
                <w:bCs/>
                <w:sz w:val="20"/>
                <w:szCs w:val="20"/>
              </w:rPr>
            </w:pPr>
            <w:r w:rsidRPr="00180AD5">
              <w:rPr>
                <w:rFonts w:ascii="Arial" w:hAnsi="Arial" w:cs="Arial"/>
                <w:b/>
                <w:bCs/>
                <w:sz w:val="20"/>
                <w:szCs w:val="20"/>
              </w:rPr>
              <w:t>Folitropín delta</w:t>
            </w:r>
            <w:r>
              <w:rPr>
                <w:rFonts w:ascii="Arial" w:hAnsi="Arial" w:cs="Arial"/>
                <w:b/>
                <w:bCs/>
                <w:sz w:val="20"/>
                <w:szCs w:val="20"/>
              </w:rPr>
              <w:t xml:space="preserve"> </w:t>
            </w:r>
            <w:r w:rsidRPr="0000591E">
              <w:rPr>
                <w:rFonts w:ascii="Arial" w:hAnsi="Arial" w:cs="Arial"/>
                <w:b/>
                <w:bCs/>
                <w:sz w:val="20"/>
                <w:szCs w:val="20"/>
              </w:rPr>
              <w:t>parent.</w:t>
            </w:r>
            <w:r>
              <w:rPr>
                <w:rFonts w:ascii="Arial" w:hAnsi="Arial" w:cs="Arial"/>
                <w:b/>
                <w:bCs/>
                <w:sz w:val="20"/>
                <w:szCs w:val="20"/>
              </w:rPr>
              <w:t xml:space="preserve"> 12</w:t>
            </w:r>
            <w:r w:rsidRPr="00180AD5">
              <w:rPr>
                <w:rFonts w:ascii="Arial" w:hAnsi="Arial" w:cs="Arial"/>
                <w:b/>
                <w:bCs/>
                <w:sz w:val="20"/>
                <w:szCs w:val="20"/>
              </w:rPr>
              <w:t xml:space="preserve"> µg</w:t>
            </w:r>
          </w:p>
          <w:p w14:paraId="3A590768" w14:textId="77777777" w:rsidR="00657ACA" w:rsidRPr="00002B1C" w:rsidRDefault="00657ACA" w:rsidP="00657ACA">
            <w:pPr>
              <w:rPr>
                <w:rFonts w:ascii="Arial" w:hAnsi="Arial" w:cs="Arial"/>
                <w:b/>
                <w:bCs/>
                <w:sz w:val="20"/>
                <w:szCs w:val="20"/>
              </w:rPr>
            </w:pPr>
            <w:r w:rsidRPr="00002B1C">
              <w:rPr>
                <w:rFonts w:ascii="Arial" w:hAnsi="Arial" w:cs="Arial"/>
                <w:b/>
                <w:bCs/>
                <w:sz w:val="20"/>
                <w:szCs w:val="20"/>
              </w:rPr>
              <w:t>Folitropín delta parent. 3</w:t>
            </w:r>
            <w:r>
              <w:rPr>
                <w:rFonts w:ascii="Arial" w:hAnsi="Arial" w:cs="Arial"/>
                <w:b/>
                <w:bCs/>
                <w:sz w:val="20"/>
                <w:szCs w:val="20"/>
              </w:rPr>
              <w:t>6</w:t>
            </w:r>
            <w:r w:rsidRPr="00002B1C">
              <w:rPr>
                <w:rFonts w:ascii="Arial" w:hAnsi="Arial" w:cs="Arial"/>
                <w:b/>
                <w:bCs/>
                <w:sz w:val="20"/>
                <w:szCs w:val="20"/>
              </w:rPr>
              <w:t xml:space="preserve"> µg</w:t>
            </w:r>
          </w:p>
          <w:p w14:paraId="047DF59B" w14:textId="77777777" w:rsidR="00657ACA" w:rsidRPr="0000591E" w:rsidRDefault="00657ACA" w:rsidP="00657ACA">
            <w:pPr>
              <w:rPr>
                <w:rFonts w:ascii="Arial" w:hAnsi="Arial" w:cs="Arial"/>
                <w:b/>
                <w:bCs/>
                <w:sz w:val="20"/>
                <w:szCs w:val="20"/>
              </w:rPr>
            </w:pPr>
            <w:r w:rsidRPr="00002B1C">
              <w:rPr>
                <w:rFonts w:ascii="Arial" w:hAnsi="Arial" w:cs="Arial"/>
                <w:b/>
                <w:bCs/>
                <w:sz w:val="20"/>
                <w:szCs w:val="20"/>
              </w:rPr>
              <w:t xml:space="preserve">Folitropín delta parent. </w:t>
            </w:r>
            <w:r>
              <w:rPr>
                <w:rFonts w:ascii="Arial" w:hAnsi="Arial" w:cs="Arial"/>
                <w:b/>
                <w:bCs/>
                <w:sz w:val="20"/>
                <w:szCs w:val="20"/>
              </w:rPr>
              <w:t>72</w:t>
            </w:r>
            <w:r w:rsidRPr="00002B1C">
              <w:rPr>
                <w:rFonts w:ascii="Arial" w:hAnsi="Arial" w:cs="Arial"/>
                <w:b/>
                <w:bCs/>
                <w:sz w:val="20"/>
                <w:szCs w:val="20"/>
              </w:rPr>
              <w:t xml:space="preserve"> µg</w:t>
            </w:r>
          </w:p>
        </w:tc>
      </w:tr>
      <w:tr w:rsidR="00657ACA" w:rsidRPr="0000591E" w14:paraId="6E74C3BB" w14:textId="77777777" w:rsidTr="003F7925">
        <w:trPr>
          <w:gridAfter w:val="2"/>
          <w:wAfter w:w="154" w:type="dxa"/>
          <w:trHeight w:val="20"/>
        </w:trPr>
        <w:tc>
          <w:tcPr>
            <w:tcW w:w="1256" w:type="dxa"/>
            <w:noWrap/>
            <w:vAlign w:val="bottom"/>
          </w:tcPr>
          <w:p w14:paraId="19F9000B" w14:textId="77777777" w:rsidR="00657ACA" w:rsidRPr="0000591E" w:rsidRDefault="00657ACA" w:rsidP="00657ACA">
            <w:pPr>
              <w:rPr>
                <w:rFonts w:ascii="Arial" w:hAnsi="Arial" w:cs="Arial"/>
                <w:sz w:val="20"/>
                <w:szCs w:val="20"/>
              </w:rPr>
            </w:pPr>
          </w:p>
        </w:tc>
        <w:tc>
          <w:tcPr>
            <w:tcW w:w="9452" w:type="dxa"/>
          </w:tcPr>
          <w:p w14:paraId="00835B46" w14:textId="77777777" w:rsidR="00657ACA" w:rsidRDefault="00657ACA" w:rsidP="00657ACA">
            <w:pPr>
              <w:jc w:val="both"/>
              <w:rPr>
                <w:rFonts w:ascii="Arial" w:hAnsi="Arial" w:cs="Arial"/>
                <w:sz w:val="20"/>
                <w:szCs w:val="20"/>
              </w:rPr>
            </w:pPr>
            <w:r w:rsidRPr="00180AD5">
              <w:rPr>
                <w:rFonts w:ascii="Arial" w:hAnsi="Arial" w:cs="Arial"/>
                <w:sz w:val="20"/>
                <w:szCs w:val="20"/>
              </w:rPr>
              <w:t xml:space="preserve">Hradená liečba sa môže indikovať </w:t>
            </w:r>
          </w:p>
          <w:p w14:paraId="4A514586" w14:textId="77777777" w:rsidR="00657ACA" w:rsidRPr="00FB2603" w:rsidRDefault="00657ACA">
            <w:pPr>
              <w:pStyle w:val="Odsekzoznamu"/>
              <w:numPr>
                <w:ilvl w:val="0"/>
                <w:numId w:val="134"/>
              </w:numPr>
              <w:ind w:left="289" w:hanging="289"/>
              <w:rPr>
                <w:rFonts w:ascii="Arial" w:hAnsi="Arial" w:cs="Arial"/>
                <w:sz w:val="20"/>
                <w:szCs w:val="20"/>
              </w:rPr>
            </w:pPr>
            <w:r w:rsidRPr="00FB2603">
              <w:rPr>
                <w:rFonts w:ascii="Arial" w:hAnsi="Arial" w:cs="Arial"/>
                <w:sz w:val="20"/>
                <w:szCs w:val="20"/>
              </w:rPr>
              <w:t>na schválenom pracovisku pre in vitro fertilizáciu (IVF) pri zdravotnej indikácii, resp. v prípade</w:t>
            </w:r>
          </w:p>
          <w:p w14:paraId="2AE50F42"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tubárneho faktura: chýbania alebo nepriechodnosti vajíčkovodov potvrdené kontrastnou vyšetrovacou technikou (na podklade laparoskopického, laparotomického, hysterosalpingografického alebo hysterosonosalpingografického dôkazu), zrasty v malej panve zapríčiňujúce porušenú funkciu vajíčkovodov</w:t>
            </w:r>
            <w:r>
              <w:rPr>
                <w:rFonts w:ascii="Arial" w:hAnsi="Arial" w:cs="Arial"/>
                <w:sz w:val="20"/>
                <w:szCs w:val="20"/>
              </w:rPr>
              <w:t>,</w:t>
            </w:r>
          </w:p>
          <w:p w14:paraId="3087134C"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endometriózy potvrdenej laparoskopicky, laparotomicky alebo histologicky. Pri endometriómoch USG realizované špecialistom</w:t>
            </w:r>
            <w:r>
              <w:rPr>
                <w:rFonts w:ascii="Arial" w:hAnsi="Arial" w:cs="Arial"/>
                <w:sz w:val="20"/>
                <w:szCs w:val="20"/>
              </w:rPr>
              <w:t>,</w:t>
            </w:r>
          </w:p>
          <w:p w14:paraId="48FC068D"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príznakov syndrómu polycystických ovárií (PCOS) potvrdených hormonálne, ultrazvukovo a klinicky,</w:t>
            </w:r>
          </w:p>
          <w:p w14:paraId="0794350E"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nezvratného poškodenia vaječníkov, ktoré je potvrdené biochemicky, LSK alebo LPT,</w:t>
            </w:r>
          </w:p>
          <w:p w14:paraId="5BC407CA"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idiopatickej sterility, ktorá je neúspešne liečená jeden rok, </w:t>
            </w:r>
          </w:p>
          <w:p w14:paraId="0A6BC8F2"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mužského faktora neplodnosti: opakovaný patologický spermiogram, ejakulačná dysfunkcia a ochorenia súvisiace s chemoterapiou alebo poúrazovými stavmi, ktoré sú overené urológom, andrológom</w:t>
            </w:r>
          </w:p>
          <w:p w14:paraId="6408A95A"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imunologických príčin neplodnosti, </w:t>
            </w:r>
          </w:p>
          <w:p w14:paraId="3B55DFCD"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rizika dedičného ochorenia na genetickom podklade potvrdené klinickým genetikom je indikáciou na vyšetrenie embryí metódou PGD,</w:t>
            </w:r>
          </w:p>
          <w:p w14:paraId="687789D8"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lastRenderedPageBreak/>
              <w:t>endokrinných príčin neplodnosti, potvrdených endokrinológom</w:t>
            </w:r>
            <w:r>
              <w:rPr>
                <w:rFonts w:ascii="Arial" w:hAnsi="Arial" w:cs="Arial"/>
                <w:sz w:val="20"/>
                <w:szCs w:val="20"/>
              </w:rPr>
              <w:t>,</w:t>
            </w:r>
          </w:p>
          <w:p w14:paraId="4CF02385"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Uterus myomatosus: v prípadoch po operačnej alebo farmakologickej liečbe, kedy je dosiahnutý optimálny funkčný aj morfologický stav maternice na graviditu,</w:t>
            </w:r>
          </w:p>
          <w:p w14:paraId="338F8F6A"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veku ženy 37 rokov a viac,</w:t>
            </w:r>
          </w:p>
          <w:p w14:paraId="257DB724"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za účelom kryokonzervácie oocytov u žien so zníženou ovariálnou rezervou, u žien s onkologickým ochorením a u žien s medicínskou indikáciou na IVF</w:t>
            </w:r>
          </w:p>
          <w:p w14:paraId="62E7AD8D" w14:textId="77777777" w:rsidR="00657ACA" w:rsidRDefault="00657ACA" w:rsidP="00657ACA">
            <w:pPr>
              <w:jc w:val="both"/>
              <w:rPr>
                <w:rFonts w:ascii="Arial" w:hAnsi="Arial" w:cs="Arial"/>
                <w:sz w:val="20"/>
                <w:szCs w:val="20"/>
              </w:rPr>
            </w:pPr>
          </w:p>
          <w:p w14:paraId="6CF9F361" w14:textId="77777777" w:rsidR="00657ACA" w:rsidRPr="00FB2603" w:rsidRDefault="00657ACA">
            <w:pPr>
              <w:pStyle w:val="Odsekzoznamu"/>
              <w:numPr>
                <w:ilvl w:val="0"/>
                <w:numId w:val="52"/>
              </w:numPr>
              <w:ind w:left="289" w:hanging="283"/>
              <w:rPr>
                <w:rFonts w:ascii="Arial" w:hAnsi="Arial" w:cs="Arial"/>
                <w:sz w:val="20"/>
                <w:szCs w:val="20"/>
              </w:rPr>
            </w:pPr>
            <w:r w:rsidRPr="00FB2603">
              <w:rPr>
                <w:rFonts w:ascii="Arial" w:hAnsi="Arial" w:cs="Arial"/>
                <w:sz w:val="20"/>
                <w:szCs w:val="20"/>
              </w:rPr>
              <w:t>v špecializovanej ambulancii pre diagnostiku a liečbu sterility po preukázaní hormonálnych výsledkov a priechodnosti vajíčkovodov, pri hypogonadotropných stavoch, pri ľahkých formách oligoasthenospermií (2 mil. spermií /1ml) alebo pri potvrdenej anovulácii.</w:t>
            </w:r>
          </w:p>
          <w:p w14:paraId="4BFAC56D" w14:textId="77777777" w:rsidR="00657ACA" w:rsidRPr="00FB2603" w:rsidRDefault="00657ACA">
            <w:pPr>
              <w:pStyle w:val="Odsekzoznamu"/>
              <w:numPr>
                <w:ilvl w:val="0"/>
                <w:numId w:val="52"/>
              </w:numPr>
              <w:ind w:left="289" w:hanging="289"/>
              <w:rPr>
                <w:rFonts w:ascii="Arial" w:hAnsi="Arial" w:cs="Arial"/>
                <w:sz w:val="20"/>
                <w:szCs w:val="20"/>
              </w:rPr>
            </w:pPr>
            <w:r w:rsidRPr="00FB2603">
              <w:rPr>
                <w:rFonts w:ascii="Arial" w:hAnsi="Arial" w:cs="Arial"/>
                <w:sz w:val="20"/>
                <w:szCs w:val="20"/>
              </w:rPr>
              <w:t>v endokrinologickej ambulancii u pacientov s deficitom gonadotropínov.</w:t>
            </w:r>
          </w:p>
        </w:tc>
      </w:tr>
      <w:tr w:rsidR="00657ACA" w:rsidRPr="0000591E" w14:paraId="11163CBA" w14:textId="77777777" w:rsidTr="003F7925">
        <w:trPr>
          <w:gridAfter w:val="2"/>
          <w:wAfter w:w="154" w:type="dxa"/>
          <w:trHeight w:val="20"/>
        </w:trPr>
        <w:tc>
          <w:tcPr>
            <w:tcW w:w="1256" w:type="dxa"/>
            <w:tcBorders>
              <w:bottom w:val="single" w:sz="4" w:space="0" w:color="auto"/>
            </w:tcBorders>
            <w:noWrap/>
            <w:vAlign w:val="center"/>
          </w:tcPr>
          <w:p w14:paraId="5B572AEA" w14:textId="77777777" w:rsidR="00657ACA" w:rsidRDefault="00657ACA" w:rsidP="00657ACA">
            <w:pPr>
              <w:rPr>
                <w:rFonts w:ascii="Arial" w:hAnsi="Arial" w:cs="Arial"/>
                <w:b/>
                <w:bCs/>
                <w:sz w:val="20"/>
                <w:szCs w:val="20"/>
              </w:rPr>
            </w:pPr>
          </w:p>
          <w:p w14:paraId="641C1147" w14:textId="77777777" w:rsidR="00657ACA" w:rsidRDefault="00657ACA" w:rsidP="00657ACA">
            <w:pPr>
              <w:rPr>
                <w:rFonts w:ascii="Arial" w:hAnsi="Arial" w:cs="Arial"/>
                <w:b/>
                <w:bCs/>
                <w:sz w:val="20"/>
                <w:szCs w:val="20"/>
              </w:rPr>
            </w:pPr>
          </w:p>
          <w:p w14:paraId="1085D4AC" w14:textId="64F69E19" w:rsidR="00657ACA" w:rsidRPr="0000591E" w:rsidRDefault="00657ACA" w:rsidP="00657ACA">
            <w:pPr>
              <w:rPr>
                <w:rFonts w:ascii="Arial" w:hAnsi="Arial" w:cs="Arial"/>
                <w:b/>
                <w:bCs/>
                <w:sz w:val="20"/>
                <w:szCs w:val="20"/>
              </w:rPr>
            </w:pPr>
            <w:r>
              <w:rPr>
                <w:rFonts w:ascii="Arial" w:hAnsi="Arial" w:cs="Arial"/>
                <w:b/>
                <w:bCs/>
                <w:sz w:val="20"/>
                <w:szCs w:val="20"/>
              </w:rPr>
              <w:t>G03GA30</w:t>
            </w:r>
          </w:p>
        </w:tc>
        <w:tc>
          <w:tcPr>
            <w:tcW w:w="9452" w:type="dxa"/>
            <w:tcBorders>
              <w:bottom w:val="single" w:sz="4" w:space="0" w:color="auto"/>
            </w:tcBorders>
            <w:vAlign w:val="bottom"/>
          </w:tcPr>
          <w:p w14:paraId="793C8826" w14:textId="77777777" w:rsidR="00657ACA" w:rsidRDefault="00657ACA" w:rsidP="00657ACA">
            <w:pPr>
              <w:rPr>
                <w:rFonts w:ascii="Arial" w:hAnsi="Arial" w:cs="Arial"/>
                <w:b/>
                <w:bCs/>
                <w:sz w:val="20"/>
                <w:szCs w:val="20"/>
              </w:rPr>
            </w:pPr>
            <w:r w:rsidRPr="00002B1C">
              <w:rPr>
                <w:rFonts w:ascii="Arial" w:hAnsi="Arial" w:cs="Arial"/>
                <w:b/>
                <w:bCs/>
                <w:sz w:val="20"/>
                <w:szCs w:val="20"/>
              </w:rPr>
              <w:t>Gonadotropíny, kombinácie parent. (</w:t>
            </w:r>
            <w:r>
              <w:rPr>
                <w:rFonts w:ascii="Arial" w:hAnsi="Arial" w:cs="Arial"/>
                <w:b/>
                <w:bCs/>
                <w:sz w:val="20"/>
                <w:szCs w:val="20"/>
              </w:rPr>
              <w:t>3</w:t>
            </w:r>
            <w:r w:rsidRPr="00002B1C">
              <w:rPr>
                <w:rFonts w:ascii="Arial" w:hAnsi="Arial" w:cs="Arial"/>
                <w:b/>
                <w:bCs/>
                <w:sz w:val="20"/>
                <w:szCs w:val="20"/>
              </w:rPr>
              <w:t xml:space="preserve">00 IU + </w:t>
            </w:r>
            <w:r>
              <w:rPr>
                <w:rFonts w:ascii="Arial" w:hAnsi="Arial" w:cs="Arial"/>
                <w:b/>
                <w:bCs/>
                <w:sz w:val="20"/>
                <w:szCs w:val="20"/>
              </w:rPr>
              <w:t>1</w:t>
            </w:r>
            <w:r w:rsidRPr="00002B1C">
              <w:rPr>
                <w:rFonts w:ascii="Arial" w:hAnsi="Arial" w:cs="Arial"/>
                <w:b/>
                <w:bCs/>
                <w:sz w:val="20"/>
                <w:szCs w:val="20"/>
              </w:rPr>
              <w:t>50 IU)</w:t>
            </w:r>
          </w:p>
          <w:p w14:paraId="22400674" w14:textId="77777777" w:rsidR="00657ACA" w:rsidRDefault="00657ACA" w:rsidP="00657ACA">
            <w:pPr>
              <w:rPr>
                <w:rFonts w:ascii="Arial" w:hAnsi="Arial" w:cs="Arial"/>
                <w:b/>
                <w:bCs/>
                <w:sz w:val="20"/>
                <w:szCs w:val="20"/>
              </w:rPr>
            </w:pPr>
            <w:r w:rsidRPr="00002B1C">
              <w:rPr>
                <w:rFonts w:ascii="Arial" w:hAnsi="Arial" w:cs="Arial"/>
                <w:b/>
                <w:bCs/>
                <w:sz w:val="20"/>
                <w:szCs w:val="20"/>
              </w:rPr>
              <w:t>Gonadotropíny, kombinácie parent. (</w:t>
            </w:r>
            <w:r>
              <w:rPr>
                <w:rFonts w:ascii="Arial" w:hAnsi="Arial" w:cs="Arial"/>
                <w:b/>
                <w:bCs/>
                <w:sz w:val="20"/>
                <w:szCs w:val="20"/>
              </w:rPr>
              <w:t>45</w:t>
            </w:r>
            <w:r w:rsidRPr="00002B1C">
              <w:rPr>
                <w:rFonts w:ascii="Arial" w:hAnsi="Arial" w:cs="Arial"/>
                <w:b/>
                <w:bCs/>
                <w:sz w:val="20"/>
                <w:szCs w:val="20"/>
              </w:rPr>
              <w:t xml:space="preserve">0 IU + </w:t>
            </w:r>
            <w:r>
              <w:rPr>
                <w:rFonts w:ascii="Arial" w:hAnsi="Arial" w:cs="Arial"/>
                <w:b/>
                <w:bCs/>
                <w:sz w:val="20"/>
                <w:szCs w:val="20"/>
              </w:rPr>
              <w:t>225</w:t>
            </w:r>
            <w:r w:rsidRPr="00002B1C">
              <w:rPr>
                <w:rFonts w:ascii="Arial" w:hAnsi="Arial" w:cs="Arial"/>
                <w:b/>
                <w:bCs/>
                <w:sz w:val="20"/>
                <w:szCs w:val="20"/>
              </w:rPr>
              <w:t xml:space="preserve"> IU)</w:t>
            </w:r>
          </w:p>
          <w:p w14:paraId="0D44524E" w14:textId="77777777" w:rsidR="00657ACA" w:rsidRPr="0000591E" w:rsidRDefault="00657ACA" w:rsidP="00657ACA">
            <w:pPr>
              <w:rPr>
                <w:rFonts w:ascii="Arial" w:hAnsi="Arial" w:cs="Arial"/>
                <w:b/>
                <w:bCs/>
                <w:sz w:val="20"/>
                <w:szCs w:val="20"/>
              </w:rPr>
            </w:pPr>
            <w:r w:rsidRPr="00002B1C">
              <w:rPr>
                <w:rFonts w:ascii="Arial" w:hAnsi="Arial" w:cs="Arial"/>
                <w:b/>
                <w:bCs/>
                <w:sz w:val="20"/>
                <w:szCs w:val="20"/>
              </w:rPr>
              <w:t>Gonadotropíny, kombinácie parent. (900 IU + 450 IU)</w:t>
            </w:r>
          </w:p>
        </w:tc>
      </w:tr>
      <w:tr w:rsidR="00657ACA" w:rsidRPr="0000591E" w14:paraId="5E1D2E2A" w14:textId="77777777" w:rsidTr="003F7925">
        <w:trPr>
          <w:gridAfter w:val="2"/>
          <w:wAfter w:w="154" w:type="dxa"/>
          <w:trHeight w:val="20"/>
        </w:trPr>
        <w:tc>
          <w:tcPr>
            <w:tcW w:w="1256" w:type="dxa"/>
            <w:noWrap/>
            <w:vAlign w:val="bottom"/>
          </w:tcPr>
          <w:p w14:paraId="1D245C80" w14:textId="77777777" w:rsidR="00657ACA" w:rsidRPr="0000591E" w:rsidRDefault="00657ACA" w:rsidP="00657ACA">
            <w:pPr>
              <w:jc w:val="both"/>
              <w:rPr>
                <w:rFonts w:ascii="Arial" w:hAnsi="Arial" w:cs="Arial"/>
                <w:sz w:val="20"/>
                <w:szCs w:val="20"/>
              </w:rPr>
            </w:pPr>
          </w:p>
        </w:tc>
        <w:tc>
          <w:tcPr>
            <w:tcW w:w="9452" w:type="dxa"/>
          </w:tcPr>
          <w:p w14:paraId="16FD656E" w14:textId="77777777" w:rsidR="00657ACA" w:rsidRPr="00CD63EF" w:rsidRDefault="00657ACA" w:rsidP="00657ACA">
            <w:pPr>
              <w:jc w:val="both"/>
              <w:rPr>
                <w:rFonts w:ascii="Arial" w:hAnsi="Arial" w:cs="Arial"/>
                <w:sz w:val="20"/>
                <w:szCs w:val="20"/>
              </w:rPr>
            </w:pPr>
            <w:r w:rsidRPr="00CD63EF">
              <w:rPr>
                <w:rFonts w:ascii="Arial" w:hAnsi="Arial" w:cs="Arial"/>
                <w:sz w:val="20"/>
                <w:szCs w:val="20"/>
              </w:rPr>
              <w:t xml:space="preserve">Hradená liečba sa môže indikovať  </w:t>
            </w:r>
          </w:p>
          <w:p w14:paraId="1228F904" w14:textId="77777777" w:rsidR="00657ACA" w:rsidRPr="001D73AE" w:rsidRDefault="00657ACA">
            <w:pPr>
              <w:numPr>
                <w:ilvl w:val="0"/>
                <w:numId w:val="128"/>
              </w:numPr>
              <w:ind w:left="431" w:hanging="295"/>
              <w:jc w:val="both"/>
              <w:rPr>
                <w:rFonts w:ascii="Arial" w:hAnsi="Arial" w:cs="Arial"/>
                <w:sz w:val="20"/>
                <w:szCs w:val="20"/>
              </w:rPr>
            </w:pPr>
            <w:r w:rsidRPr="001D73AE">
              <w:rPr>
                <w:rFonts w:ascii="Arial" w:hAnsi="Arial" w:cs="Arial"/>
                <w:sz w:val="20"/>
                <w:szCs w:val="20"/>
              </w:rPr>
              <w:t>na schválenom pracovisku pre in vitro fertilizáciu (IVF) pri zdravotnej indikácii, resp. v prípade</w:t>
            </w:r>
          </w:p>
          <w:p w14:paraId="48E5CFF1" w14:textId="77777777" w:rsidR="00657ACA" w:rsidRPr="001D73AE" w:rsidRDefault="00657ACA" w:rsidP="00657ACA">
            <w:pPr>
              <w:ind w:left="714" w:hanging="283"/>
              <w:jc w:val="both"/>
              <w:rPr>
                <w:rFonts w:ascii="Arial" w:hAnsi="Arial" w:cs="Arial"/>
                <w:sz w:val="20"/>
                <w:szCs w:val="20"/>
              </w:rPr>
            </w:pPr>
            <w:r w:rsidRPr="001D73AE">
              <w:rPr>
                <w:rFonts w:ascii="Arial" w:hAnsi="Arial" w:cs="Arial"/>
                <w:sz w:val="20"/>
                <w:szCs w:val="20"/>
              </w:rPr>
              <w:t>1.</w:t>
            </w:r>
            <w:r>
              <w:rPr>
                <w:rFonts w:ascii="Arial" w:hAnsi="Arial" w:cs="Arial"/>
                <w:sz w:val="20"/>
                <w:szCs w:val="20"/>
              </w:rPr>
              <w:tab/>
            </w:r>
            <w:r w:rsidRPr="001D73AE">
              <w:rPr>
                <w:rFonts w:ascii="Arial" w:hAnsi="Arial" w:cs="Arial"/>
                <w:sz w:val="20"/>
                <w:szCs w:val="20"/>
              </w:rPr>
              <w:t xml:space="preserve">tubárneho faktura: chýbania alebo nepriechodnosti vajíčkovodov potvrdené kontrastnou </w:t>
            </w:r>
            <w:r>
              <w:rPr>
                <w:rFonts w:ascii="Arial" w:hAnsi="Arial" w:cs="Arial"/>
                <w:sz w:val="20"/>
                <w:szCs w:val="20"/>
              </w:rPr>
              <w:t xml:space="preserve">  </w:t>
            </w:r>
            <w:r w:rsidRPr="001D73AE">
              <w:rPr>
                <w:rFonts w:ascii="Arial" w:hAnsi="Arial" w:cs="Arial"/>
                <w:sz w:val="20"/>
                <w:szCs w:val="20"/>
              </w:rPr>
              <w:t>vyšetrovacou technikou (na podklade laparoskopického, laparotomického, hysterosalpingografického alebo hysterosonosalpingografického dôkazu), zrasty v malej panve zapríčiňujúce porušenú funkciu vajíčkovodov</w:t>
            </w:r>
            <w:r>
              <w:rPr>
                <w:rFonts w:ascii="Arial" w:hAnsi="Arial" w:cs="Arial"/>
                <w:sz w:val="20"/>
                <w:szCs w:val="20"/>
              </w:rPr>
              <w:t>,</w:t>
            </w:r>
          </w:p>
          <w:p w14:paraId="336720F3"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2.</w:t>
            </w:r>
            <w:r>
              <w:rPr>
                <w:rFonts w:ascii="Arial" w:hAnsi="Arial" w:cs="Arial"/>
                <w:sz w:val="20"/>
                <w:szCs w:val="20"/>
              </w:rPr>
              <w:t xml:space="preserve"> </w:t>
            </w:r>
            <w:r w:rsidRPr="001D73AE">
              <w:rPr>
                <w:rFonts w:ascii="Arial" w:hAnsi="Arial" w:cs="Arial"/>
                <w:sz w:val="20"/>
                <w:szCs w:val="20"/>
              </w:rPr>
              <w:t xml:space="preserve">endometriózy potvrdenej laparoskopicky, laparotomicky alebo histologicky. Pri endometriómoch </w:t>
            </w:r>
            <w:r>
              <w:rPr>
                <w:rFonts w:ascii="Arial" w:hAnsi="Arial" w:cs="Arial"/>
                <w:sz w:val="20"/>
                <w:szCs w:val="20"/>
              </w:rPr>
              <w:tab/>
            </w:r>
            <w:r w:rsidRPr="001D73AE">
              <w:rPr>
                <w:rFonts w:ascii="Arial" w:hAnsi="Arial" w:cs="Arial"/>
                <w:sz w:val="20"/>
                <w:szCs w:val="20"/>
              </w:rPr>
              <w:t>USG realizované špecialistom</w:t>
            </w:r>
            <w:r>
              <w:rPr>
                <w:rFonts w:ascii="Arial" w:hAnsi="Arial" w:cs="Arial"/>
                <w:sz w:val="20"/>
                <w:szCs w:val="20"/>
              </w:rPr>
              <w:t>,</w:t>
            </w:r>
          </w:p>
          <w:p w14:paraId="1667E04C"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3.</w:t>
            </w:r>
            <w:r>
              <w:rPr>
                <w:rFonts w:ascii="Arial" w:hAnsi="Arial" w:cs="Arial"/>
                <w:sz w:val="20"/>
                <w:szCs w:val="20"/>
              </w:rPr>
              <w:t xml:space="preserve"> </w:t>
            </w:r>
            <w:r w:rsidRPr="001D73AE">
              <w:rPr>
                <w:rFonts w:ascii="Arial" w:hAnsi="Arial" w:cs="Arial"/>
                <w:sz w:val="20"/>
                <w:szCs w:val="20"/>
              </w:rPr>
              <w:t xml:space="preserve">príznakov syndrómu polycystických ovárií (PCOS) potvrdených hormonálne, ultrazvukovo a </w:t>
            </w:r>
            <w:r>
              <w:rPr>
                <w:rFonts w:ascii="Arial" w:hAnsi="Arial" w:cs="Arial"/>
                <w:sz w:val="20"/>
                <w:szCs w:val="20"/>
              </w:rPr>
              <w:tab/>
            </w:r>
            <w:r w:rsidRPr="001D73AE">
              <w:rPr>
                <w:rFonts w:ascii="Arial" w:hAnsi="Arial" w:cs="Arial"/>
                <w:sz w:val="20"/>
                <w:szCs w:val="20"/>
              </w:rPr>
              <w:t>klinicky,</w:t>
            </w:r>
          </w:p>
          <w:p w14:paraId="2A148B2B"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4.</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nezvratného poškodenia vaječníkov, ktoré je potvrdené biochemicky, LSK alebo LPT,</w:t>
            </w:r>
          </w:p>
          <w:p w14:paraId="712BB601"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5.</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 xml:space="preserve">idiopatickej sterility, ktorá je neúspešne liečená jeden rok, </w:t>
            </w:r>
          </w:p>
          <w:p w14:paraId="34F225D9"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6.</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 xml:space="preserve">mužského faktora neplodnosti: opakovaný patologický spermiogram, ejakulačná dysfunkcia </w:t>
            </w:r>
            <w:r>
              <w:rPr>
                <w:rFonts w:ascii="Arial" w:hAnsi="Arial" w:cs="Arial"/>
                <w:sz w:val="20"/>
                <w:szCs w:val="20"/>
              </w:rPr>
              <w:tab/>
            </w:r>
            <w:r w:rsidRPr="001D73AE">
              <w:rPr>
                <w:rFonts w:ascii="Arial" w:hAnsi="Arial" w:cs="Arial"/>
                <w:sz w:val="20"/>
                <w:szCs w:val="20"/>
              </w:rPr>
              <w:t xml:space="preserve">a ochorenia súvisiace s chemoterapiou alebo poúrazovými stavmi, ktoré sú overené urológom, </w:t>
            </w:r>
            <w:r>
              <w:rPr>
                <w:rFonts w:ascii="Arial" w:hAnsi="Arial" w:cs="Arial"/>
                <w:sz w:val="20"/>
                <w:szCs w:val="20"/>
              </w:rPr>
              <w:tab/>
            </w:r>
            <w:r w:rsidRPr="001D73AE">
              <w:rPr>
                <w:rFonts w:ascii="Arial" w:hAnsi="Arial" w:cs="Arial"/>
                <w:sz w:val="20"/>
                <w:szCs w:val="20"/>
              </w:rPr>
              <w:t>andrológom</w:t>
            </w:r>
            <w:r>
              <w:rPr>
                <w:rFonts w:ascii="Arial" w:hAnsi="Arial" w:cs="Arial"/>
                <w:sz w:val="20"/>
                <w:szCs w:val="20"/>
              </w:rPr>
              <w:t>,</w:t>
            </w:r>
          </w:p>
          <w:p w14:paraId="48A2B572"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7.</w:t>
            </w:r>
            <w:r>
              <w:rPr>
                <w:rFonts w:ascii="Arial" w:hAnsi="Arial" w:cs="Arial"/>
                <w:sz w:val="20"/>
                <w:szCs w:val="20"/>
              </w:rPr>
              <w:tab/>
            </w:r>
            <w:r w:rsidRPr="001D73AE">
              <w:rPr>
                <w:rFonts w:ascii="Arial" w:hAnsi="Arial" w:cs="Arial"/>
                <w:sz w:val="20"/>
                <w:szCs w:val="20"/>
              </w:rPr>
              <w:t xml:space="preserve">imunologických príčin neplodnosti, </w:t>
            </w:r>
          </w:p>
          <w:p w14:paraId="2517B86C"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8.</w:t>
            </w:r>
            <w:r>
              <w:rPr>
                <w:rFonts w:ascii="Arial" w:hAnsi="Arial" w:cs="Arial"/>
                <w:sz w:val="20"/>
                <w:szCs w:val="20"/>
              </w:rPr>
              <w:tab/>
            </w:r>
            <w:r w:rsidRPr="001D73AE">
              <w:rPr>
                <w:rFonts w:ascii="Arial" w:hAnsi="Arial" w:cs="Arial"/>
                <w:sz w:val="20"/>
                <w:szCs w:val="20"/>
              </w:rPr>
              <w:t xml:space="preserve">rizika dedičného ochorenia na genetickom podklade potvrdené klinickým genetikom je indikáciou </w:t>
            </w:r>
            <w:r>
              <w:rPr>
                <w:rFonts w:ascii="Arial" w:hAnsi="Arial" w:cs="Arial"/>
                <w:sz w:val="20"/>
                <w:szCs w:val="20"/>
              </w:rPr>
              <w:tab/>
            </w:r>
            <w:r w:rsidRPr="001D73AE">
              <w:rPr>
                <w:rFonts w:ascii="Arial" w:hAnsi="Arial" w:cs="Arial"/>
                <w:sz w:val="20"/>
                <w:szCs w:val="20"/>
              </w:rPr>
              <w:t>na vyšetrenie embryí metódou PGD,</w:t>
            </w:r>
          </w:p>
          <w:p w14:paraId="1A0AD131"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9.</w:t>
            </w:r>
            <w:r>
              <w:rPr>
                <w:rFonts w:ascii="Arial" w:hAnsi="Arial" w:cs="Arial"/>
                <w:sz w:val="20"/>
                <w:szCs w:val="20"/>
              </w:rPr>
              <w:tab/>
            </w:r>
            <w:r w:rsidRPr="001D73AE">
              <w:rPr>
                <w:rFonts w:ascii="Arial" w:hAnsi="Arial" w:cs="Arial"/>
                <w:sz w:val="20"/>
                <w:szCs w:val="20"/>
              </w:rPr>
              <w:t>endokrinných príčin neplodnosti, potvrdených endokrinológom</w:t>
            </w:r>
            <w:r>
              <w:rPr>
                <w:rFonts w:ascii="Arial" w:hAnsi="Arial" w:cs="Arial"/>
                <w:sz w:val="20"/>
                <w:szCs w:val="20"/>
              </w:rPr>
              <w:t>,</w:t>
            </w:r>
          </w:p>
          <w:p w14:paraId="2C0802FE" w14:textId="77777777" w:rsidR="00657ACA" w:rsidRPr="001D73AE" w:rsidRDefault="00657ACA" w:rsidP="00657ACA">
            <w:pPr>
              <w:ind w:left="573" w:hanging="284"/>
              <w:jc w:val="both"/>
              <w:rPr>
                <w:rFonts w:ascii="Arial" w:hAnsi="Arial" w:cs="Arial"/>
                <w:sz w:val="20"/>
                <w:szCs w:val="20"/>
              </w:rPr>
            </w:pPr>
            <w:r w:rsidRPr="001D73AE">
              <w:rPr>
                <w:rFonts w:ascii="Arial" w:hAnsi="Arial" w:cs="Arial"/>
                <w:sz w:val="20"/>
                <w:szCs w:val="20"/>
              </w:rPr>
              <w:t>10.</w:t>
            </w:r>
            <w:r>
              <w:rPr>
                <w:rFonts w:ascii="Arial" w:hAnsi="Arial" w:cs="Arial"/>
                <w:sz w:val="20"/>
                <w:szCs w:val="20"/>
              </w:rPr>
              <w:tab/>
            </w:r>
            <w:r>
              <w:rPr>
                <w:rFonts w:ascii="Arial" w:hAnsi="Arial" w:cs="Arial"/>
                <w:sz w:val="20"/>
                <w:szCs w:val="20"/>
              </w:rPr>
              <w:tab/>
            </w:r>
            <w:r w:rsidRPr="001D73AE">
              <w:rPr>
                <w:rFonts w:ascii="Arial" w:hAnsi="Arial" w:cs="Arial"/>
                <w:sz w:val="20"/>
                <w:szCs w:val="20"/>
              </w:rPr>
              <w:t xml:space="preserve">Uterus myomatosus: v prípadoch po operačnej alebo farmakologickej liečbe, kedy je dosiahnutý </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optimálny funkčný aj morfologický stav maternice na graviditu,</w:t>
            </w:r>
          </w:p>
          <w:p w14:paraId="4A679AF9" w14:textId="77777777" w:rsidR="00657ACA" w:rsidRPr="001D73AE" w:rsidRDefault="00657ACA" w:rsidP="00657ACA">
            <w:pPr>
              <w:ind w:left="431" w:hanging="142"/>
              <w:jc w:val="both"/>
              <w:rPr>
                <w:rFonts w:ascii="Arial" w:hAnsi="Arial" w:cs="Arial"/>
                <w:sz w:val="20"/>
                <w:szCs w:val="20"/>
              </w:rPr>
            </w:pPr>
            <w:r w:rsidRPr="001D73AE">
              <w:rPr>
                <w:rFonts w:ascii="Arial" w:hAnsi="Arial" w:cs="Arial"/>
                <w:sz w:val="20"/>
                <w:szCs w:val="20"/>
              </w:rPr>
              <w:t>11.</w:t>
            </w:r>
            <w:r>
              <w:rPr>
                <w:rFonts w:ascii="Arial" w:hAnsi="Arial" w:cs="Arial"/>
                <w:sz w:val="20"/>
                <w:szCs w:val="20"/>
              </w:rPr>
              <w:tab/>
            </w:r>
            <w:r w:rsidRPr="001D73AE">
              <w:rPr>
                <w:rFonts w:ascii="Arial" w:hAnsi="Arial" w:cs="Arial"/>
                <w:sz w:val="20"/>
                <w:szCs w:val="20"/>
              </w:rPr>
              <w:t>veku ženy 37 rokov a viac,</w:t>
            </w:r>
          </w:p>
          <w:p w14:paraId="03B10DFD" w14:textId="77777777" w:rsidR="00657ACA" w:rsidRDefault="00657ACA" w:rsidP="00657ACA">
            <w:pPr>
              <w:ind w:left="431" w:hanging="142"/>
              <w:jc w:val="both"/>
              <w:rPr>
                <w:rFonts w:ascii="Arial" w:hAnsi="Arial" w:cs="Arial"/>
                <w:sz w:val="20"/>
                <w:szCs w:val="20"/>
              </w:rPr>
            </w:pPr>
            <w:r w:rsidRPr="001D73AE">
              <w:rPr>
                <w:rFonts w:ascii="Arial" w:hAnsi="Arial" w:cs="Arial"/>
                <w:sz w:val="20"/>
                <w:szCs w:val="20"/>
              </w:rPr>
              <w:t>12.</w:t>
            </w:r>
            <w:r>
              <w:rPr>
                <w:rFonts w:ascii="Arial" w:hAnsi="Arial" w:cs="Arial"/>
                <w:sz w:val="20"/>
                <w:szCs w:val="20"/>
              </w:rPr>
              <w:tab/>
            </w:r>
            <w:r w:rsidRPr="001D73AE">
              <w:rPr>
                <w:rFonts w:ascii="Arial" w:hAnsi="Arial" w:cs="Arial"/>
                <w:sz w:val="20"/>
                <w:szCs w:val="20"/>
              </w:rPr>
              <w:t xml:space="preserve">za účelom kryokonzervácie oocytov u žien so zníženou ovariálnou rezervou, u žien s onkologickým </w:t>
            </w:r>
            <w:r>
              <w:rPr>
                <w:rFonts w:ascii="Arial" w:hAnsi="Arial" w:cs="Arial"/>
                <w:sz w:val="20"/>
                <w:szCs w:val="20"/>
              </w:rPr>
              <w:tab/>
            </w:r>
            <w:r w:rsidRPr="001D73AE">
              <w:rPr>
                <w:rFonts w:ascii="Arial" w:hAnsi="Arial" w:cs="Arial"/>
                <w:sz w:val="20"/>
                <w:szCs w:val="20"/>
              </w:rPr>
              <w:t>ochorením a u žien s medicínskou indikáciou na IVF</w:t>
            </w:r>
          </w:p>
          <w:p w14:paraId="3A7259FC" w14:textId="77777777" w:rsidR="00657ACA" w:rsidRPr="00CD63EF" w:rsidRDefault="00657ACA" w:rsidP="00657ACA">
            <w:pPr>
              <w:jc w:val="both"/>
              <w:rPr>
                <w:rFonts w:ascii="Arial" w:hAnsi="Arial" w:cs="Arial"/>
                <w:sz w:val="20"/>
                <w:szCs w:val="20"/>
              </w:rPr>
            </w:pPr>
            <w:r w:rsidRPr="00CD63EF">
              <w:rPr>
                <w:rFonts w:ascii="Arial" w:hAnsi="Arial" w:cs="Arial"/>
                <w:sz w:val="20"/>
                <w:szCs w:val="20"/>
              </w:rPr>
              <w:t xml:space="preserve"> </w:t>
            </w:r>
          </w:p>
          <w:p w14:paraId="4FF2DF6E" w14:textId="77777777" w:rsidR="00657ACA" w:rsidRDefault="00657ACA">
            <w:pPr>
              <w:pStyle w:val="Odsekzoznamu"/>
              <w:numPr>
                <w:ilvl w:val="0"/>
                <w:numId w:val="128"/>
              </w:numPr>
              <w:ind w:left="431" w:hanging="437"/>
              <w:rPr>
                <w:rFonts w:ascii="Arial" w:hAnsi="Arial" w:cs="Arial"/>
                <w:sz w:val="20"/>
                <w:szCs w:val="20"/>
              </w:rPr>
            </w:pPr>
            <w:r w:rsidRPr="002D0A01">
              <w:rPr>
                <w:rFonts w:ascii="Arial" w:hAnsi="Arial" w:cs="Arial"/>
                <w:sz w:val="20"/>
                <w:szCs w:val="20"/>
              </w:rPr>
              <w:t>v špecializovanej ambulancii pre diagnostiku a liečbu sterility po preukázaní hormonálnych výsledkov a priechodnosti vajíčkovodov, pri hypogonadotropných stavoch, pri ľahkých formách oligoasthenospermií (2 mil. spermií /1ml) alebo pri potvrdenej anovulácii.</w:t>
            </w:r>
          </w:p>
          <w:p w14:paraId="5C770C3B" w14:textId="79A1DF6B" w:rsidR="00657ACA" w:rsidRPr="008B51A5" w:rsidRDefault="00657ACA">
            <w:pPr>
              <w:pStyle w:val="Odsekzoznamu"/>
              <w:numPr>
                <w:ilvl w:val="0"/>
                <w:numId w:val="128"/>
              </w:numPr>
              <w:ind w:left="431" w:hanging="431"/>
              <w:rPr>
                <w:rFonts w:ascii="Arial" w:hAnsi="Arial" w:cs="Arial"/>
                <w:sz w:val="20"/>
                <w:szCs w:val="20"/>
              </w:rPr>
            </w:pPr>
            <w:r w:rsidRPr="001D73AE">
              <w:rPr>
                <w:rFonts w:ascii="Arial" w:hAnsi="Arial" w:cs="Arial"/>
                <w:sz w:val="20"/>
                <w:szCs w:val="20"/>
              </w:rPr>
              <w:t>v endokrinologickej ambulancii u pacientov s deficitom gonadotropínov.</w:t>
            </w:r>
          </w:p>
        </w:tc>
      </w:tr>
      <w:tr w:rsidR="00657ACA" w:rsidRPr="0000591E" w14:paraId="7C9D048F" w14:textId="77777777" w:rsidTr="003F7925">
        <w:trPr>
          <w:gridAfter w:val="2"/>
          <w:wAfter w:w="154" w:type="dxa"/>
          <w:trHeight w:val="20"/>
        </w:trPr>
        <w:tc>
          <w:tcPr>
            <w:tcW w:w="1256" w:type="dxa"/>
            <w:tcBorders>
              <w:bottom w:val="single" w:sz="4" w:space="0" w:color="auto"/>
            </w:tcBorders>
            <w:noWrap/>
            <w:vAlign w:val="bottom"/>
          </w:tcPr>
          <w:p w14:paraId="1A4C676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G04BD04</w:t>
            </w:r>
          </w:p>
        </w:tc>
        <w:tc>
          <w:tcPr>
            <w:tcW w:w="9452" w:type="dxa"/>
            <w:tcBorders>
              <w:bottom w:val="single" w:sz="4" w:space="0" w:color="auto"/>
            </w:tcBorders>
            <w:vAlign w:val="bottom"/>
          </w:tcPr>
          <w:p w14:paraId="00273EB3" w14:textId="77777777" w:rsidR="00657ACA" w:rsidRPr="001779EB" w:rsidRDefault="00657ACA" w:rsidP="00657ACA">
            <w:pPr>
              <w:jc w:val="both"/>
              <w:rPr>
                <w:rFonts w:ascii="Arial" w:hAnsi="Arial" w:cs="Arial"/>
                <w:bCs/>
                <w:sz w:val="20"/>
                <w:szCs w:val="20"/>
              </w:rPr>
            </w:pPr>
            <w:r w:rsidRPr="0000591E">
              <w:rPr>
                <w:rFonts w:ascii="Arial" w:hAnsi="Arial" w:cs="Arial"/>
                <w:b/>
                <w:bCs/>
                <w:sz w:val="20"/>
                <w:szCs w:val="20"/>
              </w:rPr>
              <w:t>Oxybutynín transd.</w:t>
            </w:r>
          </w:p>
        </w:tc>
      </w:tr>
      <w:tr w:rsidR="00657ACA" w:rsidRPr="0000591E" w14:paraId="07BD7CEA" w14:textId="77777777" w:rsidTr="003F7925">
        <w:trPr>
          <w:gridAfter w:val="2"/>
          <w:wAfter w:w="154" w:type="dxa"/>
          <w:trHeight w:val="20"/>
        </w:trPr>
        <w:tc>
          <w:tcPr>
            <w:tcW w:w="1256" w:type="dxa"/>
            <w:tcBorders>
              <w:top w:val="single" w:sz="4" w:space="0" w:color="auto"/>
            </w:tcBorders>
            <w:noWrap/>
            <w:vAlign w:val="bottom"/>
          </w:tcPr>
          <w:p w14:paraId="553C9AE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652B97A8" w14:textId="77777777" w:rsidR="00657ACA" w:rsidRPr="008B51A5" w:rsidRDefault="00657ACA" w:rsidP="00657ACA">
            <w:pPr>
              <w:jc w:val="both"/>
              <w:rPr>
                <w:rFonts w:ascii="Arial" w:hAnsi="Arial" w:cs="Arial"/>
                <w:bCs/>
                <w:sz w:val="20"/>
                <w:szCs w:val="20"/>
              </w:rPr>
            </w:pPr>
            <w:r w:rsidRPr="008B51A5">
              <w:rPr>
                <w:rFonts w:ascii="Arial" w:hAnsi="Arial" w:cs="Arial"/>
                <w:bCs/>
                <w:sz w:val="20"/>
                <w:szCs w:val="20"/>
              </w:rPr>
              <w:t>Hradená liečba sa môže indikovať pri hyperaktívnom (nestabilnom) močovom mechúre s príznakmi nutkania na močenie, častého močenia alebo naliehavej inkontinencie u pacientov, ktorí netolerujú liečbu perorálnym oxybutynínom, propiverínom alebo chloridom trospia.</w:t>
            </w:r>
          </w:p>
          <w:p w14:paraId="4A6F7858" w14:textId="77777777" w:rsidR="00657ACA" w:rsidRDefault="00657ACA" w:rsidP="00657ACA">
            <w:pPr>
              <w:jc w:val="both"/>
              <w:rPr>
                <w:rFonts w:ascii="Arial" w:hAnsi="Arial" w:cs="Arial"/>
                <w:bCs/>
                <w:sz w:val="20"/>
                <w:szCs w:val="20"/>
              </w:rPr>
            </w:pPr>
            <w:r w:rsidRPr="008B51A5">
              <w:rPr>
                <w:rFonts w:ascii="Arial" w:hAnsi="Arial" w:cs="Arial"/>
                <w:bCs/>
                <w:sz w:val="20"/>
                <w:szCs w:val="20"/>
              </w:rPr>
              <w:t>Ak po troch mesiacoch liečby nedôjde k zlepšeniu klinického stavu pacienta, ďalšia liečba nie je hradenou liečbou.</w:t>
            </w:r>
          </w:p>
          <w:p w14:paraId="110F019C" w14:textId="321E2B4A" w:rsidR="00657ACA" w:rsidRPr="008B51A5" w:rsidRDefault="00657ACA" w:rsidP="00657ACA">
            <w:pPr>
              <w:jc w:val="both"/>
              <w:rPr>
                <w:rFonts w:ascii="Arial" w:hAnsi="Arial" w:cs="Arial"/>
                <w:bCs/>
                <w:sz w:val="20"/>
                <w:szCs w:val="20"/>
              </w:rPr>
            </w:pPr>
          </w:p>
        </w:tc>
      </w:tr>
      <w:tr w:rsidR="00657ACA" w:rsidRPr="0000591E" w14:paraId="25A11773" w14:textId="77777777" w:rsidTr="003F7925">
        <w:trPr>
          <w:gridAfter w:val="2"/>
          <w:wAfter w:w="154" w:type="dxa"/>
          <w:trHeight w:val="20"/>
        </w:trPr>
        <w:tc>
          <w:tcPr>
            <w:tcW w:w="1256" w:type="dxa"/>
            <w:tcBorders>
              <w:bottom w:val="single" w:sz="4" w:space="0" w:color="auto"/>
            </w:tcBorders>
            <w:noWrap/>
            <w:vAlign w:val="bottom"/>
          </w:tcPr>
          <w:p w14:paraId="71E12AB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G04BD08</w:t>
            </w:r>
          </w:p>
        </w:tc>
        <w:tc>
          <w:tcPr>
            <w:tcW w:w="9452" w:type="dxa"/>
            <w:tcBorders>
              <w:bottom w:val="single" w:sz="4" w:space="0" w:color="auto"/>
            </w:tcBorders>
            <w:vAlign w:val="bottom"/>
          </w:tcPr>
          <w:p w14:paraId="66313614" w14:textId="77777777" w:rsidR="00657ACA" w:rsidRPr="0000591E" w:rsidRDefault="00657ACA" w:rsidP="00657ACA">
            <w:pPr>
              <w:jc w:val="both"/>
              <w:rPr>
                <w:rFonts w:ascii="Arial" w:hAnsi="Arial" w:cs="Arial"/>
                <w:b/>
                <w:bCs/>
                <w:strike/>
                <w:sz w:val="20"/>
                <w:szCs w:val="20"/>
              </w:rPr>
            </w:pPr>
            <w:r w:rsidRPr="0000591E">
              <w:rPr>
                <w:rFonts w:ascii="Arial" w:hAnsi="Arial" w:cs="Arial"/>
                <w:b/>
                <w:bCs/>
                <w:sz w:val="20"/>
                <w:szCs w:val="20"/>
              </w:rPr>
              <w:t>Solifenacín p.o. 5 mg,</w:t>
            </w:r>
            <w:r w:rsidRPr="0000591E">
              <w:rPr>
                <w:rFonts w:ascii="Arial" w:hAnsi="Arial" w:cs="Arial"/>
                <w:b/>
                <w:bCs/>
                <w:strike/>
                <w:sz w:val="20"/>
                <w:szCs w:val="20"/>
              </w:rPr>
              <w:t xml:space="preserve">  </w:t>
            </w:r>
          </w:p>
          <w:p w14:paraId="08F477B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Solifenacín p.o. 10 mg</w:t>
            </w:r>
            <w:r w:rsidRPr="0000591E">
              <w:rPr>
                <w:rFonts w:ascii="Arial" w:hAnsi="Arial" w:cs="Arial"/>
                <w:b/>
                <w:bCs/>
                <w:strike/>
                <w:sz w:val="20"/>
                <w:szCs w:val="20"/>
              </w:rPr>
              <w:t xml:space="preserve">  </w:t>
            </w:r>
          </w:p>
        </w:tc>
      </w:tr>
      <w:tr w:rsidR="00657ACA" w:rsidRPr="0000591E" w14:paraId="4E90E536" w14:textId="77777777" w:rsidTr="003F7925">
        <w:trPr>
          <w:gridAfter w:val="2"/>
          <w:wAfter w:w="154" w:type="dxa"/>
          <w:trHeight w:val="20"/>
        </w:trPr>
        <w:tc>
          <w:tcPr>
            <w:tcW w:w="1256" w:type="dxa"/>
            <w:tcBorders>
              <w:top w:val="single" w:sz="4" w:space="0" w:color="auto"/>
            </w:tcBorders>
            <w:noWrap/>
            <w:vAlign w:val="bottom"/>
          </w:tcPr>
          <w:p w14:paraId="300D4F33" w14:textId="77777777" w:rsidR="00657ACA" w:rsidRPr="0000591E" w:rsidRDefault="00657ACA" w:rsidP="00657ACA">
            <w:pPr>
              <w:jc w:val="both"/>
              <w:rPr>
                <w:rFonts w:ascii="Arial" w:hAnsi="Arial" w:cs="Arial"/>
                <w:b/>
                <w:bCs/>
                <w:sz w:val="20"/>
                <w:szCs w:val="20"/>
              </w:rPr>
            </w:pPr>
          </w:p>
          <w:p w14:paraId="09A428C1" w14:textId="77777777" w:rsidR="00657ACA" w:rsidRPr="0000591E" w:rsidRDefault="00657ACA" w:rsidP="00657ACA">
            <w:pPr>
              <w:jc w:val="both"/>
              <w:rPr>
                <w:rFonts w:ascii="Arial" w:hAnsi="Arial" w:cs="Arial"/>
                <w:b/>
                <w:bCs/>
                <w:sz w:val="20"/>
                <w:szCs w:val="20"/>
              </w:rPr>
            </w:pPr>
          </w:p>
          <w:p w14:paraId="79BC23B1" w14:textId="77777777" w:rsidR="00657ACA" w:rsidRPr="0000591E" w:rsidRDefault="00657ACA" w:rsidP="00657ACA">
            <w:pPr>
              <w:jc w:val="both"/>
              <w:rPr>
                <w:rFonts w:ascii="Arial" w:hAnsi="Arial" w:cs="Arial"/>
                <w:b/>
                <w:bCs/>
                <w:sz w:val="20"/>
                <w:szCs w:val="20"/>
              </w:rPr>
            </w:pPr>
          </w:p>
          <w:p w14:paraId="41B22441" w14:textId="77777777" w:rsidR="00657ACA" w:rsidRPr="0000591E" w:rsidRDefault="00657ACA" w:rsidP="00657ACA">
            <w:pPr>
              <w:jc w:val="both"/>
              <w:rPr>
                <w:rFonts w:ascii="Arial" w:hAnsi="Arial" w:cs="Arial"/>
                <w:b/>
                <w:bCs/>
                <w:sz w:val="20"/>
                <w:szCs w:val="20"/>
              </w:rPr>
            </w:pPr>
          </w:p>
          <w:p w14:paraId="6A259B44" w14:textId="77777777" w:rsidR="00657ACA" w:rsidRPr="0000591E" w:rsidRDefault="00657ACA" w:rsidP="00657ACA">
            <w:pPr>
              <w:jc w:val="both"/>
              <w:rPr>
                <w:rFonts w:ascii="Arial" w:hAnsi="Arial" w:cs="Arial"/>
                <w:b/>
                <w:bCs/>
                <w:sz w:val="20"/>
                <w:szCs w:val="20"/>
              </w:rPr>
            </w:pPr>
          </w:p>
          <w:p w14:paraId="3FC26EB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 xml:space="preserve">       </w:t>
            </w:r>
          </w:p>
        </w:tc>
        <w:tc>
          <w:tcPr>
            <w:tcW w:w="9452" w:type="dxa"/>
            <w:tcBorders>
              <w:top w:val="single" w:sz="4" w:space="0" w:color="auto"/>
            </w:tcBorders>
          </w:tcPr>
          <w:p w14:paraId="211F769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lastRenderedPageBreak/>
              <w:t>Hradená liečba sa môže indikovať pri hyperaktívnom (nestabilnom) močovom mechúre s príznakmi nutkania na močenie, častého močenia alebo naliehavej inkontinencie u pacientov, ktorí netolerujú liečbu perorálnym oxybutynínom, propiverínom, alebo chloridom trospia.</w:t>
            </w:r>
          </w:p>
          <w:p w14:paraId="4F148911" w14:textId="77777777" w:rsidR="00657ACA" w:rsidRDefault="00657ACA" w:rsidP="00657ACA">
            <w:pPr>
              <w:rPr>
                <w:rFonts w:ascii="Arial" w:hAnsi="Arial" w:cs="Arial"/>
                <w:sz w:val="20"/>
                <w:szCs w:val="20"/>
              </w:rPr>
            </w:pPr>
            <w:r w:rsidRPr="0000591E">
              <w:rPr>
                <w:rFonts w:ascii="Arial" w:hAnsi="Arial" w:cs="Arial"/>
                <w:sz w:val="20"/>
                <w:szCs w:val="20"/>
              </w:rPr>
              <w:t>Ak po troch mesiacoch liečby nedôjde k zlepšeniu klinického stavu pacienta, ďalšia liečba nie je hradenou liečbou.</w:t>
            </w:r>
          </w:p>
          <w:p w14:paraId="32B46B9B" w14:textId="6B76D2E3" w:rsidR="00657ACA" w:rsidRPr="0000591E" w:rsidRDefault="00657ACA" w:rsidP="00657ACA">
            <w:pPr>
              <w:rPr>
                <w:rFonts w:ascii="Arial" w:hAnsi="Arial" w:cs="Arial"/>
                <w:sz w:val="20"/>
                <w:szCs w:val="20"/>
              </w:rPr>
            </w:pPr>
          </w:p>
        </w:tc>
      </w:tr>
      <w:tr w:rsidR="00657ACA" w:rsidRPr="0000591E" w14:paraId="67D765A0" w14:textId="77777777" w:rsidTr="003F7925">
        <w:trPr>
          <w:gridAfter w:val="2"/>
          <w:wAfter w:w="154" w:type="dxa"/>
          <w:trHeight w:val="20"/>
        </w:trPr>
        <w:tc>
          <w:tcPr>
            <w:tcW w:w="1256" w:type="dxa"/>
            <w:tcBorders>
              <w:bottom w:val="single" w:sz="4" w:space="0" w:color="auto"/>
            </w:tcBorders>
            <w:noWrap/>
            <w:vAlign w:val="center"/>
          </w:tcPr>
          <w:p w14:paraId="27B62288"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lastRenderedPageBreak/>
              <w:t>G04BD10</w:t>
            </w:r>
          </w:p>
        </w:tc>
        <w:tc>
          <w:tcPr>
            <w:tcW w:w="9452" w:type="dxa"/>
            <w:tcBorders>
              <w:bottom w:val="single" w:sz="4" w:space="0" w:color="auto"/>
            </w:tcBorders>
          </w:tcPr>
          <w:p w14:paraId="1157940D"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 xml:space="preserve">Darifenacín p.o. predĺž. uvoľ. 15 mg </w:t>
            </w:r>
          </w:p>
        </w:tc>
      </w:tr>
      <w:tr w:rsidR="00657ACA" w:rsidRPr="0000591E" w14:paraId="1312C8EE" w14:textId="77777777" w:rsidTr="003F7925">
        <w:trPr>
          <w:gridAfter w:val="2"/>
          <w:wAfter w:w="154" w:type="dxa"/>
          <w:trHeight w:val="996"/>
        </w:trPr>
        <w:tc>
          <w:tcPr>
            <w:tcW w:w="1256" w:type="dxa"/>
            <w:tcBorders>
              <w:top w:val="single" w:sz="4" w:space="0" w:color="auto"/>
            </w:tcBorders>
            <w:noWrap/>
            <w:vAlign w:val="bottom"/>
          </w:tcPr>
          <w:p w14:paraId="4D62A016"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5BA45A9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hyperaktívnom (nestabilnom) močovom mechúre s príznakmi nutkania na močenie, častého močenia alebo naliehavej inkontinencie u pacientov, ktorí netolerujú liečbu perorálnym oxybutynínom, propiverínom, alebo chloridom trospia.</w:t>
            </w:r>
          </w:p>
          <w:p w14:paraId="4B340A3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Ak po troch mesiacoch liečby nedôjde k zlepšeniu klinického stavu pacienta, ďalšia liečba nie je hradenou liečbou.</w:t>
            </w:r>
          </w:p>
          <w:p w14:paraId="267935D4" w14:textId="77777777" w:rsidR="00657ACA" w:rsidRPr="0000591E" w:rsidRDefault="00657ACA" w:rsidP="00657ACA">
            <w:pPr>
              <w:jc w:val="both"/>
              <w:rPr>
                <w:rFonts w:ascii="Arial" w:hAnsi="Arial" w:cs="Arial"/>
                <w:sz w:val="20"/>
                <w:szCs w:val="20"/>
              </w:rPr>
            </w:pPr>
          </w:p>
        </w:tc>
      </w:tr>
      <w:tr w:rsidR="00657ACA" w:rsidRPr="0000591E" w14:paraId="4F6CBE94" w14:textId="77777777" w:rsidTr="003F7925">
        <w:trPr>
          <w:gridAfter w:val="2"/>
          <w:wAfter w:w="154" w:type="dxa"/>
          <w:trHeight w:val="20"/>
        </w:trPr>
        <w:tc>
          <w:tcPr>
            <w:tcW w:w="1256" w:type="dxa"/>
            <w:tcBorders>
              <w:bottom w:val="single" w:sz="4" w:space="0" w:color="auto"/>
            </w:tcBorders>
            <w:noWrap/>
            <w:vAlign w:val="bottom"/>
          </w:tcPr>
          <w:p w14:paraId="52B30DCE"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G04BD11</w:t>
            </w:r>
          </w:p>
        </w:tc>
        <w:tc>
          <w:tcPr>
            <w:tcW w:w="9452" w:type="dxa"/>
            <w:tcBorders>
              <w:bottom w:val="single" w:sz="4" w:space="0" w:color="auto"/>
            </w:tcBorders>
            <w:noWrap/>
          </w:tcPr>
          <w:p w14:paraId="3A256C4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Fesoterodín p.o. predĺž. uvoľ. 4 mg,</w:t>
            </w:r>
          </w:p>
          <w:p w14:paraId="48B7D4D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Fesoterodín p.o. predĺž. uvoľ. 8 mg</w:t>
            </w:r>
          </w:p>
        </w:tc>
      </w:tr>
      <w:tr w:rsidR="00657ACA" w:rsidRPr="0000591E" w14:paraId="1C2E4123" w14:textId="77777777" w:rsidTr="003F7925">
        <w:trPr>
          <w:gridAfter w:val="2"/>
          <w:wAfter w:w="154" w:type="dxa"/>
          <w:trHeight w:val="20"/>
        </w:trPr>
        <w:tc>
          <w:tcPr>
            <w:tcW w:w="1256" w:type="dxa"/>
            <w:tcBorders>
              <w:top w:val="single" w:sz="4" w:space="0" w:color="auto"/>
            </w:tcBorders>
            <w:noWrap/>
            <w:vAlign w:val="bottom"/>
          </w:tcPr>
          <w:p w14:paraId="19D80D62"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1086255F"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pri hyperaktívnom (nestabilnom) močovom mechúre s príznakmi nutkania na močenie, častého močenia alebo naliehavej inkontinencie u pacientov, ktorí netolerujú liečbu perorálnym oxybutynínom, propiverínom, alebo chloridom trospia.</w:t>
            </w:r>
          </w:p>
          <w:p w14:paraId="05546CE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Ak po troch mesiacoch liečby nedôjde k zlepšeniu klinického stavu pacienta, ďalšia liečba nie je hradenou liečbou.</w:t>
            </w:r>
          </w:p>
          <w:p w14:paraId="12E2A706" w14:textId="77777777" w:rsidR="00657ACA" w:rsidRPr="0000591E" w:rsidRDefault="00657ACA" w:rsidP="00657ACA">
            <w:pPr>
              <w:jc w:val="both"/>
              <w:rPr>
                <w:rFonts w:ascii="Arial" w:hAnsi="Arial" w:cs="Arial"/>
                <w:b/>
                <w:bCs/>
                <w:sz w:val="20"/>
                <w:szCs w:val="20"/>
              </w:rPr>
            </w:pPr>
          </w:p>
        </w:tc>
      </w:tr>
      <w:tr w:rsidR="00657ACA" w:rsidRPr="0000591E" w14:paraId="642D1959" w14:textId="77777777" w:rsidTr="003F7925">
        <w:trPr>
          <w:gridAfter w:val="2"/>
          <w:wAfter w:w="154" w:type="dxa"/>
          <w:trHeight w:val="20"/>
        </w:trPr>
        <w:tc>
          <w:tcPr>
            <w:tcW w:w="1256" w:type="dxa"/>
            <w:tcBorders>
              <w:bottom w:val="single" w:sz="4" w:space="0" w:color="auto"/>
            </w:tcBorders>
            <w:noWrap/>
            <w:vAlign w:val="bottom"/>
          </w:tcPr>
          <w:p w14:paraId="358598C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G04BD12</w:t>
            </w:r>
          </w:p>
        </w:tc>
        <w:tc>
          <w:tcPr>
            <w:tcW w:w="9452" w:type="dxa"/>
            <w:tcBorders>
              <w:bottom w:val="single" w:sz="4" w:space="0" w:color="auto"/>
            </w:tcBorders>
            <w:noWrap/>
          </w:tcPr>
          <w:p w14:paraId="61430BE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Mirabegron p.o. 50 mg</w:t>
            </w:r>
          </w:p>
        </w:tc>
      </w:tr>
      <w:tr w:rsidR="00657ACA" w:rsidRPr="0000591E" w14:paraId="650AE7F3" w14:textId="77777777" w:rsidTr="003F7925">
        <w:trPr>
          <w:gridAfter w:val="2"/>
          <w:wAfter w:w="154" w:type="dxa"/>
          <w:trHeight w:val="20"/>
        </w:trPr>
        <w:tc>
          <w:tcPr>
            <w:tcW w:w="1256" w:type="dxa"/>
            <w:tcBorders>
              <w:top w:val="single" w:sz="4" w:space="0" w:color="auto"/>
            </w:tcBorders>
            <w:noWrap/>
            <w:vAlign w:val="bottom"/>
          </w:tcPr>
          <w:p w14:paraId="31326983"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76069BEE"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hyperaktívnom (nestabilnom) močovom mechúre s príznakmi nutkania na močenie, častého močenia alebo naliehavej inkontinencie u pacientov, ktorí netolerujú liečbu perorálnym oxybutynínom, propiverínom alebo chloridom trospia. Ak po troch mesiacoch liečby nedôjde k zlepšeniu klinického stavu pacienta, ďalšia liečba nie je hradenou liečbou.</w:t>
            </w:r>
          </w:p>
          <w:p w14:paraId="7698F564" w14:textId="77777777" w:rsidR="00657ACA" w:rsidRPr="0000591E" w:rsidRDefault="00657ACA" w:rsidP="00657ACA">
            <w:pPr>
              <w:jc w:val="both"/>
              <w:rPr>
                <w:rFonts w:ascii="Arial" w:hAnsi="Arial" w:cs="Arial"/>
                <w:b/>
                <w:bCs/>
                <w:sz w:val="20"/>
                <w:szCs w:val="20"/>
              </w:rPr>
            </w:pPr>
          </w:p>
        </w:tc>
      </w:tr>
      <w:tr w:rsidR="00657ACA" w:rsidRPr="0000591E" w14:paraId="74FA9EE6" w14:textId="77777777" w:rsidTr="003F7925">
        <w:trPr>
          <w:gridAfter w:val="2"/>
          <w:wAfter w:w="154" w:type="dxa"/>
          <w:trHeight w:val="20"/>
        </w:trPr>
        <w:tc>
          <w:tcPr>
            <w:tcW w:w="1256" w:type="dxa"/>
            <w:tcBorders>
              <w:bottom w:val="single" w:sz="4" w:space="0" w:color="auto"/>
            </w:tcBorders>
            <w:noWrap/>
            <w:vAlign w:val="center"/>
          </w:tcPr>
          <w:p w14:paraId="6E714165" w14:textId="7ACEBF9D" w:rsidR="00657ACA" w:rsidRPr="0000591E" w:rsidRDefault="00657ACA" w:rsidP="00657ACA">
            <w:pPr>
              <w:rPr>
                <w:rFonts w:ascii="Arial" w:hAnsi="Arial" w:cs="Arial"/>
                <w:b/>
                <w:bCs/>
                <w:sz w:val="20"/>
                <w:szCs w:val="20"/>
              </w:rPr>
            </w:pPr>
            <w:r w:rsidRPr="0000591E">
              <w:rPr>
                <w:rFonts w:ascii="Arial" w:hAnsi="Arial" w:cs="Arial"/>
                <w:b/>
                <w:bCs/>
                <w:sz w:val="20"/>
                <w:szCs w:val="20"/>
              </w:rPr>
              <w:t xml:space="preserve"> 04BE03</w:t>
            </w:r>
          </w:p>
        </w:tc>
        <w:tc>
          <w:tcPr>
            <w:tcW w:w="9452" w:type="dxa"/>
            <w:tcBorders>
              <w:bottom w:val="single" w:sz="4" w:space="0" w:color="auto"/>
            </w:tcBorders>
            <w:noWrap/>
            <w:vAlign w:val="bottom"/>
          </w:tcPr>
          <w:p w14:paraId="09E6C40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Sildenafil p.o. 20 mg</w:t>
            </w:r>
          </w:p>
        </w:tc>
      </w:tr>
      <w:tr w:rsidR="00657ACA" w:rsidRPr="0000591E" w14:paraId="4ADB59BA" w14:textId="77777777" w:rsidTr="003F7925">
        <w:trPr>
          <w:gridAfter w:val="2"/>
          <w:wAfter w:w="154" w:type="dxa"/>
          <w:trHeight w:val="20"/>
        </w:trPr>
        <w:tc>
          <w:tcPr>
            <w:tcW w:w="1256" w:type="dxa"/>
            <w:tcBorders>
              <w:top w:val="single" w:sz="4" w:space="0" w:color="auto"/>
            </w:tcBorders>
            <w:noWrap/>
            <w:vAlign w:val="center"/>
          </w:tcPr>
          <w:p w14:paraId="0B7A5642"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18C36A5F" w14:textId="77777777" w:rsidR="00657ACA" w:rsidRDefault="00657ACA" w:rsidP="00657ACA">
            <w:pPr>
              <w:jc w:val="both"/>
              <w:rPr>
                <w:rFonts w:ascii="Arial" w:hAnsi="Arial" w:cs="Arial"/>
                <w:bCs/>
                <w:sz w:val="20"/>
                <w:szCs w:val="20"/>
              </w:rPr>
            </w:pPr>
            <w:r w:rsidRPr="007C61B7">
              <w:rPr>
                <w:rFonts w:ascii="Arial" w:hAnsi="Arial" w:cs="Arial"/>
                <w:bCs/>
                <w:sz w:val="20"/>
                <w:szCs w:val="20"/>
              </w:rPr>
              <w:t>Hradená liečba sa môže indikovať u pacientov s pľúcnou artériovou hypertenziou (PAH) v Národnom ústave srdcových a cievnych chorôb, a. s., Bratislava, v Stredoslovenskom ústave srdcových a cievnych chorôb, a.s., Banská Bystrica a vo Východoslovenskom ústave srdcových chorôb, Košice.</w:t>
            </w:r>
          </w:p>
          <w:p w14:paraId="6F4BD29A" w14:textId="184E8EA7" w:rsidR="00657ACA" w:rsidRPr="007C61B7" w:rsidRDefault="00657ACA" w:rsidP="00657ACA">
            <w:pPr>
              <w:jc w:val="both"/>
              <w:rPr>
                <w:rFonts w:ascii="Arial" w:hAnsi="Arial" w:cs="Arial"/>
                <w:bCs/>
                <w:sz w:val="20"/>
                <w:szCs w:val="20"/>
              </w:rPr>
            </w:pPr>
          </w:p>
        </w:tc>
      </w:tr>
      <w:tr w:rsidR="00657ACA" w:rsidRPr="0000591E" w14:paraId="225EEC03" w14:textId="77777777" w:rsidTr="003F7925">
        <w:trPr>
          <w:gridAfter w:val="2"/>
          <w:wAfter w:w="154" w:type="dxa"/>
          <w:trHeight w:val="20"/>
        </w:trPr>
        <w:tc>
          <w:tcPr>
            <w:tcW w:w="1256" w:type="dxa"/>
            <w:tcBorders>
              <w:bottom w:val="single" w:sz="4" w:space="0" w:color="auto"/>
            </w:tcBorders>
            <w:noWrap/>
            <w:vAlign w:val="center"/>
          </w:tcPr>
          <w:p w14:paraId="0754AA63" w14:textId="77777777" w:rsidR="00657ACA" w:rsidRDefault="00657ACA" w:rsidP="00657ACA">
            <w:pPr>
              <w:rPr>
                <w:rFonts w:ascii="Arial" w:hAnsi="Arial" w:cs="Arial"/>
                <w:b/>
                <w:bCs/>
                <w:sz w:val="20"/>
                <w:szCs w:val="20"/>
              </w:rPr>
            </w:pPr>
            <w:r>
              <w:rPr>
                <w:rFonts w:ascii="Arial" w:hAnsi="Arial" w:cs="Arial"/>
                <w:b/>
                <w:bCs/>
                <w:sz w:val="20"/>
                <w:szCs w:val="20"/>
              </w:rPr>
              <w:t>G04BE08</w:t>
            </w:r>
          </w:p>
        </w:tc>
        <w:tc>
          <w:tcPr>
            <w:tcW w:w="9452" w:type="dxa"/>
            <w:tcBorders>
              <w:bottom w:val="single" w:sz="4" w:space="0" w:color="auto"/>
            </w:tcBorders>
            <w:noWrap/>
            <w:vAlign w:val="bottom"/>
          </w:tcPr>
          <w:p w14:paraId="56194452"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 xml:space="preserve">Tadalafil p.o. 20 mg </w:t>
            </w:r>
          </w:p>
        </w:tc>
      </w:tr>
      <w:tr w:rsidR="00657ACA" w:rsidRPr="0000591E" w14:paraId="4008F482" w14:textId="77777777" w:rsidTr="003F7925">
        <w:trPr>
          <w:gridAfter w:val="2"/>
          <w:wAfter w:w="154" w:type="dxa"/>
          <w:trHeight w:val="20"/>
        </w:trPr>
        <w:tc>
          <w:tcPr>
            <w:tcW w:w="1256" w:type="dxa"/>
            <w:noWrap/>
            <w:vAlign w:val="center"/>
          </w:tcPr>
          <w:p w14:paraId="2E90E9FC" w14:textId="77777777" w:rsidR="00657ACA" w:rsidRDefault="00657ACA" w:rsidP="00657ACA">
            <w:pPr>
              <w:rPr>
                <w:rFonts w:ascii="Arial" w:hAnsi="Arial" w:cs="Arial"/>
                <w:b/>
                <w:bCs/>
                <w:sz w:val="20"/>
                <w:szCs w:val="20"/>
              </w:rPr>
            </w:pPr>
          </w:p>
        </w:tc>
        <w:tc>
          <w:tcPr>
            <w:tcW w:w="9452" w:type="dxa"/>
            <w:noWrap/>
            <w:vAlign w:val="bottom"/>
          </w:tcPr>
          <w:p w14:paraId="2EBAC77C" w14:textId="77777777" w:rsidR="00657ACA" w:rsidRDefault="00657ACA" w:rsidP="00657ACA">
            <w:pPr>
              <w:jc w:val="both"/>
              <w:rPr>
                <w:rFonts w:ascii="Arial" w:hAnsi="Arial" w:cs="Arial"/>
                <w:sz w:val="20"/>
                <w:szCs w:val="20"/>
              </w:rPr>
            </w:pPr>
            <w:r w:rsidRPr="006B091E">
              <w:rPr>
                <w:rFonts w:ascii="Arial" w:hAnsi="Arial" w:cs="Arial"/>
                <w:sz w:val="20"/>
                <w:szCs w:val="20"/>
              </w:rPr>
              <w:t>Hradená liečba sa môže indikovať u pacientov s pľúcnou artériovou hypertenziou (PAH) v Národnom ústave srdcových a cievnych chorôb, a. s., Bratislava, v Stredoslovenskom ústave srdcových a cievnych chorôb, a.s., Banská Bystrica a vo Východoslovenskom ústave srdcových chorôb, Košice.</w:t>
            </w:r>
          </w:p>
          <w:p w14:paraId="614570E5" w14:textId="4D5FAF26" w:rsidR="00657ACA" w:rsidRPr="006B091E" w:rsidRDefault="00657ACA" w:rsidP="00657ACA">
            <w:pPr>
              <w:jc w:val="both"/>
              <w:rPr>
                <w:rFonts w:ascii="Arial" w:hAnsi="Arial" w:cs="Arial"/>
                <w:b/>
                <w:bCs/>
                <w:sz w:val="20"/>
                <w:szCs w:val="20"/>
              </w:rPr>
            </w:pPr>
          </w:p>
        </w:tc>
      </w:tr>
      <w:tr w:rsidR="00657ACA" w:rsidRPr="0000591E" w14:paraId="4A6A47B2" w14:textId="77777777" w:rsidTr="003F7925">
        <w:trPr>
          <w:gridAfter w:val="2"/>
          <w:wAfter w:w="154" w:type="dxa"/>
          <w:trHeight w:val="20"/>
        </w:trPr>
        <w:tc>
          <w:tcPr>
            <w:tcW w:w="1256" w:type="dxa"/>
            <w:tcBorders>
              <w:bottom w:val="single" w:sz="4" w:space="0" w:color="auto"/>
            </w:tcBorders>
            <w:noWrap/>
            <w:vAlign w:val="center"/>
          </w:tcPr>
          <w:p w14:paraId="3298E79C" w14:textId="77777777" w:rsidR="00657ACA" w:rsidRPr="0000591E" w:rsidRDefault="00657ACA" w:rsidP="00657ACA">
            <w:pPr>
              <w:rPr>
                <w:rFonts w:ascii="Arial" w:hAnsi="Arial" w:cs="Arial"/>
                <w:b/>
                <w:bCs/>
                <w:sz w:val="20"/>
                <w:szCs w:val="20"/>
              </w:rPr>
            </w:pPr>
            <w:r>
              <w:rPr>
                <w:rFonts w:ascii="Arial" w:hAnsi="Arial" w:cs="Arial"/>
                <w:b/>
                <w:bCs/>
                <w:sz w:val="20"/>
                <w:szCs w:val="20"/>
              </w:rPr>
              <w:t>G04CA52</w:t>
            </w:r>
          </w:p>
        </w:tc>
        <w:tc>
          <w:tcPr>
            <w:tcW w:w="9452" w:type="dxa"/>
            <w:tcBorders>
              <w:bottom w:val="single" w:sz="4" w:space="0" w:color="auto"/>
            </w:tcBorders>
            <w:noWrap/>
            <w:vAlign w:val="bottom"/>
          </w:tcPr>
          <w:p w14:paraId="2EFA10F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Tamsulosín a dutasterid p.o.</w:t>
            </w:r>
            <w:r>
              <w:rPr>
                <w:rFonts w:ascii="Arial" w:hAnsi="Arial" w:cs="Arial"/>
                <w:b/>
                <w:bCs/>
                <w:sz w:val="20"/>
                <w:szCs w:val="20"/>
              </w:rPr>
              <w:t xml:space="preserve"> 0,5/0,4 mg</w:t>
            </w:r>
          </w:p>
        </w:tc>
      </w:tr>
      <w:tr w:rsidR="00657ACA" w:rsidRPr="0000591E" w14:paraId="09A24514" w14:textId="77777777" w:rsidTr="003F7925">
        <w:trPr>
          <w:gridAfter w:val="2"/>
          <w:wAfter w:w="154" w:type="dxa"/>
          <w:trHeight w:val="20"/>
        </w:trPr>
        <w:tc>
          <w:tcPr>
            <w:tcW w:w="1256" w:type="dxa"/>
            <w:tcBorders>
              <w:top w:val="single" w:sz="4" w:space="0" w:color="auto"/>
            </w:tcBorders>
            <w:noWrap/>
            <w:vAlign w:val="bottom"/>
          </w:tcPr>
          <w:p w14:paraId="6A4D61A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5A9779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stredne závažných (IPSS 8-19) až závažných (IPSS 20-35) príznakoch dolných močových ciest (LUTS) sprevádzajúcich benígnu hyperpláziu prostaty u mužov s ob</w:t>
            </w:r>
            <w:r>
              <w:rPr>
                <w:rFonts w:ascii="Arial" w:hAnsi="Arial" w:cs="Arial"/>
                <w:sz w:val="20"/>
                <w:szCs w:val="20"/>
              </w:rPr>
              <w:t>jemom prostaty väčším ako 30 cm</w:t>
            </w:r>
            <w:r>
              <w:rPr>
                <w:rFonts w:ascii="Arial" w:hAnsi="Arial" w:cs="Arial"/>
                <w:sz w:val="20"/>
                <w:szCs w:val="20"/>
                <w:vertAlign w:val="superscript"/>
              </w:rPr>
              <w:t>3</w:t>
            </w:r>
            <w:r w:rsidRPr="0000591E">
              <w:rPr>
                <w:rFonts w:ascii="Arial" w:hAnsi="Arial" w:cs="Arial"/>
                <w:sz w:val="20"/>
                <w:szCs w:val="20"/>
              </w:rPr>
              <w:t>, s dokumentovaným digitálnym rektálnym vyšetrením a ultrasonografickým vyšetrením veľkosti prostaty.</w:t>
            </w:r>
          </w:p>
          <w:p w14:paraId="1A033F5B" w14:textId="636DE67C" w:rsidR="00657ACA" w:rsidRPr="0000591E" w:rsidRDefault="00657ACA" w:rsidP="00657ACA">
            <w:pPr>
              <w:jc w:val="both"/>
              <w:rPr>
                <w:rFonts w:ascii="Arial" w:hAnsi="Arial" w:cs="Arial"/>
                <w:sz w:val="20"/>
                <w:szCs w:val="20"/>
              </w:rPr>
            </w:pPr>
          </w:p>
        </w:tc>
      </w:tr>
      <w:tr w:rsidR="00657ACA" w:rsidRPr="0000591E" w14:paraId="171EA281" w14:textId="77777777" w:rsidTr="003F7925">
        <w:trPr>
          <w:gridAfter w:val="2"/>
          <w:wAfter w:w="154" w:type="dxa"/>
          <w:trHeight w:val="20"/>
        </w:trPr>
        <w:tc>
          <w:tcPr>
            <w:tcW w:w="1256" w:type="dxa"/>
            <w:tcBorders>
              <w:bottom w:val="single" w:sz="4" w:space="0" w:color="auto"/>
            </w:tcBorders>
            <w:noWrap/>
            <w:vAlign w:val="center"/>
          </w:tcPr>
          <w:p w14:paraId="3140BA87" w14:textId="77777777" w:rsidR="00657ACA" w:rsidRPr="0000591E" w:rsidRDefault="00657ACA" w:rsidP="00657ACA">
            <w:pPr>
              <w:rPr>
                <w:rFonts w:ascii="Arial" w:hAnsi="Arial" w:cs="Arial"/>
                <w:b/>
                <w:bCs/>
                <w:sz w:val="20"/>
                <w:szCs w:val="20"/>
              </w:rPr>
            </w:pPr>
            <w:r>
              <w:rPr>
                <w:rFonts w:ascii="Arial" w:hAnsi="Arial" w:cs="Arial"/>
                <w:b/>
                <w:bCs/>
                <w:sz w:val="20"/>
                <w:szCs w:val="20"/>
              </w:rPr>
              <w:t>G04CA53</w:t>
            </w:r>
          </w:p>
        </w:tc>
        <w:tc>
          <w:tcPr>
            <w:tcW w:w="9452" w:type="dxa"/>
            <w:tcBorders>
              <w:bottom w:val="single" w:sz="4" w:space="0" w:color="auto"/>
            </w:tcBorders>
            <w:noWrap/>
            <w:vAlign w:val="bottom"/>
          </w:tcPr>
          <w:p w14:paraId="1B40919B" w14:textId="77777777" w:rsidR="00657ACA" w:rsidRPr="0000591E" w:rsidRDefault="00657ACA" w:rsidP="00657ACA">
            <w:pPr>
              <w:jc w:val="both"/>
              <w:rPr>
                <w:rFonts w:ascii="Arial" w:hAnsi="Arial" w:cs="Arial"/>
                <w:b/>
                <w:bCs/>
                <w:sz w:val="20"/>
                <w:szCs w:val="20"/>
              </w:rPr>
            </w:pPr>
            <w:r w:rsidRPr="00A1459B">
              <w:rPr>
                <w:rFonts w:ascii="Arial" w:hAnsi="Arial" w:cs="Arial"/>
                <w:b/>
                <w:bCs/>
                <w:sz w:val="20"/>
                <w:szCs w:val="20"/>
              </w:rPr>
              <w:t>Tams</w:t>
            </w:r>
            <w:r>
              <w:rPr>
                <w:rFonts w:ascii="Arial" w:hAnsi="Arial" w:cs="Arial"/>
                <w:b/>
                <w:bCs/>
                <w:sz w:val="20"/>
                <w:szCs w:val="20"/>
              </w:rPr>
              <w:t xml:space="preserve">ulosín a solifenacín </w:t>
            </w:r>
            <w:r w:rsidRPr="00A1459B">
              <w:rPr>
                <w:rFonts w:ascii="Arial" w:hAnsi="Arial" w:cs="Arial"/>
                <w:b/>
                <w:bCs/>
                <w:sz w:val="20"/>
                <w:szCs w:val="20"/>
              </w:rPr>
              <w:t>p.o. riadené uvoľňovanie 6/0,4 mg</w:t>
            </w:r>
          </w:p>
        </w:tc>
      </w:tr>
      <w:tr w:rsidR="00657ACA" w:rsidRPr="0000591E" w14:paraId="568F8E78" w14:textId="77777777" w:rsidTr="003F7925">
        <w:trPr>
          <w:gridAfter w:val="2"/>
          <w:wAfter w:w="154" w:type="dxa"/>
          <w:trHeight w:val="20"/>
        </w:trPr>
        <w:tc>
          <w:tcPr>
            <w:tcW w:w="1256" w:type="dxa"/>
            <w:tcBorders>
              <w:top w:val="single" w:sz="4" w:space="0" w:color="auto"/>
            </w:tcBorders>
            <w:noWrap/>
            <w:vAlign w:val="center"/>
          </w:tcPr>
          <w:p w14:paraId="60D93BB4"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5388DA98" w14:textId="77777777" w:rsidR="00657ACA" w:rsidRDefault="00657ACA" w:rsidP="00657ACA">
            <w:pPr>
              <w:jc w:val="both"/>
              <w:rPr>
                <w:rFonts w:ascii="Arial" w:hAnsi="Arial" w:cs="Arial"/>
                <w:bCs/>
                <w:sz w:val="20"/>
                <w:szCs w:val="20"/>
              </w:rPr>
            </w:pPr>
            <w:r w:rsidRPr="00E53A5B">
              <w:rPr>
                <w:rFonts w:ascii="Arial" w:hAnsi="Arial" w:cs="Arial"/>
                <w:bCs/>
                <w:sz w:val="20"/>
                <w:szCs w:val="20"/>
              </w:rPr>
              <w:t>Liečba stredne závažných až závažných príznakov poruchy uskladňovania moču (urgencia, zvýšená frekvencia močenia alebo naliehavá inkontinencia) a príznakov poruchy vyprázdňovania moču súvisiacich s benígnou hyperpláziou prostaty (BPH) u mužov, ktorí netolerujú liečbu perorálnym oxybutynínom, propiverínom alebo chloridom trospia. Ak po troch mesiacoch liečby nedôjde k zlepšeniu klinického stavu pacienta, ďalšia liečba nie je hradenou liečbou.</w:t>
            </w:r>
          </w:p>
          <w:p w14:paraId="08D460BB" w14:textId="3FFFCDD9" w:rsidR="00657ACA" w:rsidRPr="00E53A5B" w:rsidRDefault="00657ACA" w:rsidP="00657ACA">
            <w:pPr>
              <w:jc w:val="both"/>
              <w:rPr>
                <w:rFonts w:ascii="Arial" w:hAnsi="Arial" w:cs="Arial"/>
                <w:bCs/>
                <w:sz w:val="20"/>
                <w:szCs w:val="20"/>
              </w:rPr>
            </w:pPr>
          </w:p>
        </w:tc>
      </w:tr>
      <w:tr w:rsidR="00657ACA" w:rsidRPr="0000591E" w14:paraId="6759C5C8" w14:textId="77777777" w:rsidTr="003F7925">
        <w:trPr>
          <w:gridAfter w:val="2"/>
          <w:wAfter w:w="154" w:type="dxa"/>
          <w:trHeight w:val="20"/>
        </w:trPr>
        <w:tc>
          <w:tcPr>
            <w:tcW w:w="1256" w:type="dxa"/>
            <w:tcBorders>
              <w:bottom w:val="single" w:sz="4" w:space="0" w:color="auto"/>
            </w:tcBorders>
            <w:noWrap/>
            <w:vAlign w:val="center"/>
          </w:tcPr>
          <w:p w14:paraId="10EE32CE"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G04CB01</w:t>
            </w:r>
          </w:p>
        </w:tc>
        <w:tc>
          <w:tcPr>
            <w:tcW w:w="9452" w:type="dxa"/>
            <w:tcBorders>
              <w:bottom w:val="single" w:sz="4" w:space="0" w:color="auto"/>
            </w:tcBorders>
            <w:noWrap/>
            <w:vAlign w:val="bottom"/>
          </w:tcPr>
          <w:p w14:paraId="1D1FC87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Finasterid p.o. 5 mg</w:t>
            </w:r>
          </w:p>
        </w:tc>
      </w:tr>
      <w:tr w:rsidR="00657ACA" w:rsidRPr="0000591E" w14:paraId="25BECCBA" w14:textId="77777777" w:rsidTr="003F7925">
        <w:trPr>
          <w:gridAfter w:val="2"/>
          <w:wAfter w:w="154" w:type="dxa"/>
          <w:trHeight w:val="20"/>
        </w:trPr>
        <w:tc>
          <w:tcPr>
            <w:tcW w:w="1256" w:type="dxa"/>
            <w:tcBorders>
              <w:top w:val="single" w:sz="4" w:space="0" w:color="auto"/>
            </w:tcBorders>
            <w:noWrap/>
            <w:vAlign w:val="bottom"/>
          </w:tcPr>
          <w:p w14:paraId="7A0579F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F252A03"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pri príznakoch dolných močových ciest (LUTS) sprevádzajúcich benígnu hyperpláziu prostaty u mužov s objemom prostaty väčším ako 30 cm</w:t>
            </w:r>
            <w:r w:rsidRPr="0000591E">
              <w:rPr>
                <w:rFonts w:ascii="Arial" w:hAnsi="Arial" w:cs="Arial"/>
                <w:sz w:val="20"/>
                <w:szCs w:val="20"/>
                <w:vertAlign w:val="superscript"/>
              </w:rPr>
              <w:t>3</w:t>
            </w:r>
            <w:r w:rsidRPr="0000591E">
              <w:rPr>
                <w:rFonts w:ascii="Arial" w:hAnsi="Arial" w:cs="Arial"/>
                <w:sz w:val="20"/>
                <w:szCs w:val="20"/>
              </w:rPr>
              <w:t>.</w:t>
            </w:r>
          </w:p>
          <w:p w14:paraId="072B5DEC" w14:textId="358E482E" w:rsidR="00657ACA" w:rsidRPr="0000591E" w:rsidRDefault="00657ACA" w:rsidP="00657ACA">
            <w:pPr>
              <w:jc w:val="both"/>
              <w:rPr>
                <w:rFonts w:ascii="Arial" w:hAnsi="Arial" w:cs="Arial"/>
                <w:sz w:val="20"/>
                <w:szCs w:val="20"/>
              </w:rPr>
            </w:pPr>
          </w:p>
        </w:tc>
      </w:tr>
      <w:tr w:rsidR="00657ACA" w:rsidRPr="0000591E" w14:paraId="3E3B4A28" w14:textId="77777777" w:rsidTr="003F7925">
        <w:trPr>
          <w:gridAfter w:val="2"/>
          <w:wAfter w:w="154" w:type="dxa"/>
          <w:trHeight w:val="20"/>
        </w:trPr>
        <w:tc>
          <w:tcPr>
            <w:tcW w:w="1256" w:type="dxa"/>
            <w:tcBorders>
              <w:bottom w:val="single" w:sz="4" w:space="0" w:color="auto"/>
            </w:tcBorders>
            <w:noWrap/>
            <w:vAlign w:val="center"/>
          </w:tcPr>
          <w:p w14:paraId="23C0B292"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G04CB0</w:t>
            </w:r>
            <w:r>
              <w:rPr>
                <w:rFonts w:ascii="Arial" w:hAnsi="Arial" w:cs="Arial"/>
                <w:b/>
                <w:bCs/>
                <w:sz w:val="20"/>
                <w:szCs w:val="20"/>
              </w:rPr>
              <w:t>2</w:t>
            </w:r>
          </w:p>
        </w:tc>
        <w:tc>
          <w:tcPr>
            <w:tcW w:w="9452" w:type="dxa"/>
            <w:tcBorders>
              <w:bottom w:val="single" w:sz="4" w:space="0" w:color="auto"/>
            </w:tcBorders>
            <w:noWrap/>
            <w:vAlign w:val="bottom"/>
          </w:tcPr>
          <w:p w14:paraId="328F4AF4" w14:textId="77777777" w:rsidR="00657ACA" w:rsidRPr="0000591E" w:rsidRDefault="00657ACA" w:rsidP="00657ACA">
            <w:pPr>
              <w:jc w:val="both"/>
              <w:rPr>
                <w:rFonts w:ascii="Arial" w:hAnsi="Arial" w:cs="Arial"/>
                <w:b/>
                <w:bCs/>
                <w:sz w:val="20"/>
                <w:szCs w:val="20"/>
              </w:rPr>
            </w:pPr>
            <w:r w:rsidRPr="00F473D1">
              <w:rPr>
                <w:rFonts w:ascii="Arial" w:hAnsi="Arial" w:cs="Arial"/>
                <w:b/>
                <w:bCs/>
                <w:sz w:val="20"/>
                <w:szCs w:val="20"/>
              </w:rPr>
              <w:t>Dutasterid p.o. 0,5 mg</w:t>
            </w:r>
          </w:p>
        </w:tc>
      </w:tr>
      <w:tr w:rsidR="00657ACA" w:rsidRPr="0000591E" w14:paraId="3ACD8F1F" w14:textId="77777777" w:rsidTr="003F7925">
        <w:trPr>
          <w:gridAfter w:val="2"/>
          <w:wAfter w:w="154" w:type="dxa"/>
          <w:trHeight w:val="20"/>
        </w:trPr>
        <w:tc>
          <w:tcPr>
            <w:tcW w:w="1256" w:type="dxa"/>
            <w:tcBorders>
              <w:top w:val="single" w:sz="4" w:space="0" w:color="auto"/>
            </w:tcBorders>
            <w:noWrap/>
            <w:vAlign w:val="center"/>
          </w:tcPr>
          <w:p w14:paraId="437FC6AB"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608AE0F5" w14:textId="77777777" w:rsidR="00657ACA" w:rsidRDefault="00657ACA" w:rsidP="00657ACA">
            <w:pPr>
              <w:jc w:val="both"/>
              <w:rPr>
                <w:rFonts w:ascii="Arial" w:hAnsi="Arial" w:cs="Arial"/>
                <w:bCs/>
                <w:sz w:val="20"/>
                <w:szCs w:val="20"/>
              </w:rPr>
            </w:pPr>
            <w:r w:rsidRPr="006F1636">
              <w:rPr>
                <w:rFonts w:ascii="Arial" w:hAnsi="Arial" w:cs="Arial"/>
                <w:bCs/>
                <w:sz w:val="20"/>
                <w:szCs w:val="20"/>
              </w:rPr>
              <w:t>Hradená liečba sa môže indikovať pri príznakoch dolných močových ciest (LUTS) sprevádzajúcich benígnu hyperpláziu prostaty u mužov s objemom prostaty väčším ako 30 cm3, s dokumentovaným digitálnym rektálnym vyšetrením a ultrasonografickým vyšetrením veľkosti prostaty.</w:t>
            </w:r>
          </w:p>
          <w:p w14:paraId="0151D380" w14:textId="77777777" w:rsidR="00657ACA" w:rsidRDefault="00657ACA" w:rsidP="00657ACA">
            <w:pPr>
              <w:jc w:val="both"/>
              <w:rPr>
                <w:rFonts w:ascii="Arial" w:hAnsi="Arial" w:cs="Arial"/>
                <w:bCs/>
                <w:sz w:val="20"/>
                <w:szCs w:val="20"/>
              </w:rPr>
            </w:pPr>
          </w:p>
          <w:p w14:paraId="0D24D3AC" w14:textId="77777777" w:rsidR="00E1220A" w:rsidRDefault="00E1220A" w:rsidP="00657ACA">
            <w:pPr>
              <w:jc w:val="both"/>
              <w:rPr>
                <w:rFonts w:ascii="Arial" w:hAnsi="Arial" w:cs="Arial"/>
                <w:bCs/>
                <w:sz w:val="20"/>
                <w:szCs w:val="20"/>
              </w:rPr>
            </w:pPr>
          </w:p>
          <w:p w14:paraId="1FBACD8C" w14:textId="77777777" w:rsidR="00E1220A" w:rsidRDefault="00E1220A" w:rsidP="00657ACA">
            <w:pPr>
              <w:jc w:val="both"/>
              <w:rPr>
                <w:rFonts w:ascii="Arial" w:hAnsi="Arial" w:cs="Arial"/>
                <w:bCs/>
                <w:sz w:val="20"/>
                <w:szCs w:val="20"/>
              </w:rPr>
            </w:pPr>
          </w:p>
          <w:p w14:paraId="3D2234EC" w14:textId="77777777" w:rsidR="00E1220A" w:rsidRDefault="00E1220A" w:rsidP="00657ACA">
            <w:pPr>
              <w:jc w:val="both"/>
              <w:rPr>
                <w:rFonts w:ascii="Arial" w:hAnsi="Arial" w:cs="Arial"/>
                <w:bCs/>
                <w:sz w:val="20"/>
                <w:szCs w:val="20"/>
              </w:rPr>
            </w:pPr>
          </w:p>
          <w:p w14:paraId="17F55BC0" w14:textId="1ED15A88" w:rsidR="00E1220A" w:rsidRPr="006F1636" w:rsidRDefault="00E1220A" w:rsidP="00657ACA">
            <w:pPr>
              <w:jc w:val="both"/>
              <w:rPr>
                <w:rFonts w:ascii="Arial" w:hAnsi="Arial" w:cs="Arial"/>
                <w:bCs/>
                <w:sz w:val="20"/>
                <w:szCs w:val="20"/>
              </w:rPr>
            </w:pPr>
          </w:p>
        </w:tc>
      </w:tr>
      <w:tr w:rsidR="00657ACA" w:rsidRPr="0000591E" w14:paraId="54ABE64A" w14:textId="77777777" w:rsidTr="003F7925">
        <w:trPr>
          <w:gridAfter w:val="2"/>
          <w:wAfter w:w="154" w:type="dxa"/>
          <w:trHeight w:val="20"/>
        </w:trPr>
        <w:tc>
          <w:tcPr>
            <w:tcW w:w="1256" w:type="dxa"/>
            <w:tcBorders>
              <w:bottom w:val="single" w:sz="4" w:space="0" w:color="auto"/>
            </w:tcBorders>
            <w:noWrap/>
            <w:vAlign w:val="center"/>
          </w:tcPr>
          <w:p w14:paraId="6EB7BC00" w14:textId="77777777" w:rsidR="00657ACA" w:rsidRDefault="00657ACA" w:rsidP="00657ACA">
            <w:pPr>
              <w:rPr>
                <w:rFonts w:ascii="Arial" w:hAnsi="Arial" w:cs="Arial"/>
                <w:b/>
                <w:bCs/>
                <w:sz w:val="20"/>
                <w:szCs w:val="20"/>
              </w:rPr>
            </w:pPr>
          </w:p>
          <w:p w14:paraId="4FE4CDF1" w14:textId="77777777" w:rsidR="00657ACA" w:rsidRDefault="00657ACA" w:rsidP="00657ACA">
            <w:pPr>
              <w:rPr>
                <w:rFonts w:ascii="Arial" w:hAnsi="Arial" w:cs="Arial"/>
                <w:b/>
                <w:bCs/>
                <w:sz w:val="20"/>
                <w:szCs w:val="20"/>
              </w:rPr>
            </w:pPr>
          </w:p>
          <w:p w14:paraId="41F98991" w14:textId="1AB29402" w:rsidR="00657ACA" w:rsidRPr="0000591E" w:rsidRDefault="00657ACA" w:rsidP="00657ACA">
            <w:pPr>
              <w:rPr>
                <w:rFonts w:ascii="Arial" w:hAnsi="Arial" w:cs="Arial"/>
                <w:b/>
                <w:bCs/>
                <w:sz w:val="20"/>
                <w:szCs w:val="20"/>
              </w:rPr>
            </w:pPr>
            <w:r>
              <w:rPr>
                <w:rFonts w:ascii="Arial" w:hAnsi="Arial" w:cs="Arial"/>
                <w:b/>
                <w:bCs/>
                <w:sz w:val="20"/>
                <w:szCs w:val="20"/>
              </w:rPr>
              <w:lastRenderedPageBreak/>
              <w:t>H01AC01</w:t>
            </w:r>
          </w:p>
        </w:tc>
        <w:tc>
          <w:tcPr>
            <w:tcW w:w="9452" w:type="dxa"/>
            <w:tcBorders>
              <w:bottom w:val="single" w:sz="4" w:space="0" w:color="auto"/>
            </w:tcBorders>
            <w:noWrap/>
            <w:vAlign w:val="bottom"/>
          </w:tcPr>
          <w:p w14:paraId="2DA8E7A7" w14:textId="77777777" w:rsidR="00657ACA" w:rsidRPr="00D26CD2" w:rsidRDefault="00657ACA" w:rsidP="00657ACA">
            <w:pPr>
              <w:jc w:val="both"/>
              <w:rPr>
                <w:rFonts w:ascii="Arial" w:hAnsi="Arial" w:cs="Arial"/>
                <w:b/>
                <w:sz w:val="20"/>
                <w:szCs w:val="20"/>
              </w:rPr>
            </w:pPr>
            <w:r w:rsidRPr="00D26CD2">
              <w:rPr>
                <w:rFonts w:ascii="Arial" w:hAnsi="Arial" w:cs="Arial"/>
                <w:b/>
                <w:sz w:val="20"/>
                <w:szCs w:val="20"/>
              </w:rPr>
              <w:lastRenderedPageBreak/>
              <w:t>Somatotropín parent. 5,3 mg</w:t>
            </w:r>
          </w:p>
          <w:p w14:paraId="43CBB28E" w14:textId="77777777" w:rsidR="00657ACA" w:rsidRDefault="00657ACA" w:rsidP="00657ACA">
            <w:pPr>
              <w:jc w:val="both"/>
              <w:rPr>
                <w:rFonts w:ascii="Arial" w:hAnsi="Arial" w:cs="Arial"/>
                <w:b/>
                <w:sz w:val="20"/>
                <w:szCs w:val="20"/>
              </w:rPr>
            </w:pPr>
            <w:r w:rsidRPr="00D26CD2">
              <w:rPr>
                <w:rFonts w:ascii="Arial" w:hAnsi="Arial" w:cs="Arial"/>
                <w:b/>
                <w:sz w:val="20"/>
                <w:szCs w:val="20"/>
              </w:rPr>
              <w:t xml:space="preserve">Somatotropín parent. </w:t>
            </w:r>
            <w:r>
              <w:rPr>
                <w:rFonts w:ascii="Arial" w:hAnsi="Arial" w:cs="Arial"/>
                <w:b/>
                <w:sz w:val="20"/>
                <w:szCs w:val="20"/>
              </w:rPr>
              <w:t>6</w:t>
            </w:r>
            <w:r w:rsidRPr="00D26CD2">
              <w:rPr>
                <w:rFonts w:ascii="Arial" w:hAnsi="Arial" w:cs="Arial"/>
                <w:b/>
                <w:sz w:val="20"/>
                <w:szCs w:val="20"/>
              </w:rPr>
              <w:t xml:space="preserve"> mg</w:t>
            </w:r>
          </w:p>
          <w:p w14:paraId="5A37978C" w14:textId="40C1C927" w:rsidR="00E1220A" w:rsidRPr="00D26CD2" w:rsidRDefault="00E1220A" w:rsidP="00E1220A">
            <w:pPr>
              <w:jc w:val="both"/>
              <w:rPr>
                <w:rFonts w:ascii="Arial" w:hAnsi="Arial" w:cs="Arial"/>
                <w:b/>
                <w:sz w:val="20"/>
                <w:szCs w:val="20"/>
              </w:rPr>
            </w:pPr>
            <w:r w:rsidRPr="00D26CD2">
              <w:rPr>
                <w:rFonts w:ascii="Arial" w:hAnsi="Arial" w:cs="Arial"/>
                <w:b/>
                <w:sz w:val="20"/>
                <w:szCs w:val="20"/>
              </w:rPr>
              <w:lastRenderedPageBreak/>
              <w:t xml:space="preserve">Somatotropín parent. </w:t>
            </w:r>
            <w:r>
              <w:rPr>
                <w:rFonts w:ascii="Arial" w:hAnsi="Arial" w:cs="Arial"/>
                <w:b/>
                <w:sz w:val="20"/>
                <w:szCs w:val="20"/>
              </w:rPr>
              <w:t>10</w:t>
            </w:r>
            <w:r w:rsidRPr="00D26CD2">
              <w:rPr>
                <w:rFonts w:ascii="Arial" w:hAnsi="Arial" w:cs="Arial"/>
                <w:b/>
                <w:sz w:val="20"/>
                <w:szCs w:val="20"/>
              </w:rPr>
              <w:t xml:space="preserve"> mg</w:t>
            </w:r>
          </w:p>
          <w:p w14:paraId="4D3D4312" w14:textId="77777777" w:rsidR="00657ACA" w:rsidRDefault="00657ACA" w:rsidP="00657ACA">
            <w:pPr>
              <w:jc w:val="both"/>
              <w:rPr>
                <w:rFonts w:ascii="Arial" w:hAnsi="Arial" w:cs="Arial"/>
                <w:b/>
                <w:sz w:val="20"/>
                <w:szCs w:val="20"/>
              </w:rPr>
            </w:pPr>
            <w:r w:rsidRPr="00D26CD2">
              <w:rPr>
                <w:rFonts w:ascii="Arial" w:hAnsi="Arial" w:cs="Arial"/>
                <w:b/>
                <w:sz w:val="20"/>
                <w:szCs w:val="20"/>
              </w:rPr>
              <w:t>Somatotropín parent. 12 mg</w:t>
            </w:r>
          </w:p>
          <w:p w14:paraId="1D1F4BCE" w14:textId="2AF74E1E" w:rsidR="00E1220A" w:rsidRPr="006F1636" w:rsidRDefault="00E1220A" w:rsidP="00657ACA">
            <w:pPr>
              <w:jc w:val="both"/>
              <w:rPr>
                <w:rFonts w:ascii="Arial" w:hAnsi="Arial" w:cs="Arial"/>
                <w:bCs/>
                <w:sz w:val="20"/>
                <w:szCs w:val="20"/>
              </w:rPr>
            </w:pPr>
            <w:r w:rsidRPr="00D26CD2">
              <w:rPr>
                <w:rFonts w:ascii="Arial" w:hAnsi="Arial" w:cs="Arial"/>
                <w:b/>
                <w:sz w:val="20"/>
                <w:szCs w:val="20"/>
              </w:rPr>
              <w:t>Somatotropín parent. 1</w:t>
            </w:r>
            <w:r>
              <w:rPr>
                <w:rFonts w:ascii="Arial" w:hAnsi="Arial" w:cs="Arial"/>
                <w:b/>
                <w:sz w:val="20"/>
                <w:szCs w:val="20"/>
              </w:rPr>
              <w:t>5</w:t>
            </w:r>
            <w:r w:rsidRPr="00D26CD2">
              <w:rPr>
                <w:rFonts w:ascii="Arial" w:hAnsi="Arial" w:cs="Arial"/>
                <w:b/>
                <w:sz w:val="20"/>
                <w:szCs w:val="20"/>
              </w:rPr>
              <w:t xml:space="preserve"> mg</w:t>
            </w:r>
          </w:p>
        </w:tc>
      </w:tr>
      <w:tr w:rsidR="00657ACA" w:rsidRPr="0000591E" w14:paraId="4D7D928A" w14:textId="77777777" w:rsidTr="003F7925">
        <w:trPr>
          <w:gridAfter w:val="2"/>
          <w:wAfter w:w="154" w:type="dxa"/>
          <w:trHeight w:val="20"/>
        </w:trPr>
        <w:tc>
          <w:tcPr>
            <w:tcW w:w="1256" w:type="dxa"/>
            <w:noWrap/>
            <w:vAlign w:val="bottom"/>
          </w:tcPr>
          <w:p w14:paraId="009870F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lastRenderedPageBreak/>
              <w:t xml:space="preserve"> </w:t>
            </w:r>
          </w:p>
        </w:tc>
        <w:tc>
          <w:tcPr>
            <w:tcW w:w="9452" w:type="dxa"/>
            <w:vAlign w:val="bottom"/>
          </w:tcPr>
          <w:p w14:paraId="73317795"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w:t>
            </w:r>
          </w:p>
          <w:p w14:paraId="4BC58B83"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pri hyposomatotropinizme u detí,</w:t>
            </w:r>
          </w:p>
          <w:p w14:paraId="7485F3AF"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Turnerovom syndróme, </w:t>
            </w:r>
          </w:p>
          <w:p w14:paraId="51E26B45"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poruchách rastu detí pri chronickej renálnej insuficiencii pri normálnej acidobáze, </w:t>
            </w:r>
          </w:p>
          <w:p w14:paraId="763A2914"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Prader-Williho syndróme detí, ak je potvrdená Detskou fakultnou nemocnicou s poliklinikou, Bratislava, </w:t>
            </w:r>
          </w:p>
          <w:p w14:paraId="3046DD80"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substitúcii rastovým hormónom u dospelých pacientov, ak je dokázaný deficit rastového hormónu jedným dynamickým stimulačným testom po začatí zodpovedajúcej náhradnej liečby ostatných chýbajúcich hormónov. </w:t>
            </w:r>
          </w:p>
          <w:p w14:paraId="29AC4D72"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u detí, ktoré majú malý vzrast vzhľadom ku gestačnému veku (SGA) s pôrodnou váhou alebo výškou menšou ako -2,5 SD , u ktorých je dobehnutie rastu SD rastovej rýchlosti menej ako 0 za posledný rok, a ktoré sú vo veku štyri a viac rokov,</w:t>
            </w:r>
          </w:p>
          <w:p w14:paraId="5223CF00"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u detí s poruchou rastu v súvislosti s nedostatkom SHOX potvrdeným analýzou DNA.</w:t>
            </w:r>
          </w:p>
          <w:p w14:paraId="42C922DE" w14:textId="77777777" w:rsidR="00657ACA" w:rsidRPr="0000591E" w:rsidRDefault="00657ACA" w:rsidP="00657ACA">
            <w:pPr>
              <w:rPr>
                <w:rFonts w:ascii="Arial" w:hAnsi="Arial" w:cs="Arial"/>
                <w:sz w:val="20"/>
                <w:szCs w:val="20"/>
              </w:rPr>
            </w:pPr>
          </w:p>
          <w:p w14:paraId="394B7FC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na V. internej klinike LF UK a Univerzitnej nemocnice Bratislava – Ružinov, I. internej klinike SZU a Univerzitnej nemocnice Bratislava – Kramáre, v Národnom endokrinologickom a diabetologickom ústave, Ľubochňa, na I. internej klinike UPJŠ a Univerzitnej nemocnice L. Pasteura, Košice,</w:t>
            </w:r>
            <w:r>
              <w:rPr>
                <w:rFonts w:ascii="Arial" w:hAnsi="Arial" w:cs="Arial"/>
                <w:sz w:val="20"/>
                <w:szCs w:val="20"/>
              </w:rPr>
              <w:t xml:space="preserve"> </w:t>
            </w:r>
            <w:r w:rsidRPr="0000591E">
              <w:rPr>
                <w:rFonts w:ascii="Arial" w:hAnsi="Arial" w:cs="Arial"/>
                <w:sz w:val="20"/>
                <w:szCs w:val="20"/>
              </w:rPr>
              <w:t xml:space="preserve">na I. a II. detskej klinike LFUK a Detskej fakultnej nemocnice s poliklinikou, Bratislava, na I. a II. klinike detí a dorastu Detskej fakultnej nemocnice s poliklinikou, Košice, v Detskej fakultnej nemocnici, Banská Bystrica, na klinike detí a dorastu Univerzitnej nemocnice Martin, v neštátnej detskej endokrinologickej a diabetologickej ambulancii Žilina, v neštátnej detskej endokrinologickej a diabetologickej ambulancii Prievidza, </w:t>
            </w:r>
            <w:r>
              <w:rPr>
                <w:rFonts w:ascii="Arial" w:hAnsi="Arial" w:cs="Arial"/>
                <w:sz w:val="20"/>
                <w:szCs w:val="20"/>
              </w:rPr>
              <w:t>v</w:t>
            </w:r>
            <w:r w:rsidRPr="0000591E">
              <w:rPr>
                <w:rFonts w:ascii="Arial" w:hAnsi="Arial" w:cs="Arial"/>
                <w:sz w:val="20"/>
                <w:szCs w:val="20"/>
              </w:rPr>
              <w:t> neštátnej detskej endokrinologickej a diabetologickej ambulancii Univerzitnej nemocnice Bratislava – nemocnica sv. Cyrila a</w:t>
            </w:r>
            <w:r>
              <w:rPr>
                <w:rFonts w:ascii="Arial" w:hAnsi="Arial" w:cs="Arial"/>
                <w:sz w:val="20"/>
                <w:szCs w:val="20"/>
              </w:rPr>
              <w:t> </w:t>
            </w:r>
            <w:r w:rsidRPr="0000591E">
              <w:rPr>
                <w:rFonts w:ascii="Arial" w:hAnsi="Arial" w:cs="Arial"/>
                <w:sz w:val="20"/>
                <w:szCs w:val="20"/>
              </w:rPr>
              <w:t>Metoda</w:t>
            </w:r>
            <w:r>
              <w:rPr>
                <w:rFonts w:ascii="Arial" w:hAnsi="Arial" w:cs="Arial"/>
                <w:sz w:val="20"/>
                <w:szCs w:val="20"/>
              </w:rPr>
              <w:t xml:space="preserve"> </w:t>
            </w:r>
            <w:r w:rsidRPr="00F642A6">
              <w:rPr>
                <w:rFonts w:ascii="Arial" w:hAnsi="Arial" w:cs="Arial"/>
                <w:sz w:val="20"/>
                <w:szCs w:val="20"/>
              </w:rPr>
              <w:t>a v Ambulancii pediatrickej endokrinológie a diabetológie a porúch látkovej premeny a výživy pri Oddelení pediatrie Fakultnej nemocnice s po</w:t>
            </w:r>
            <w:r>
              <w:rPr>
                <w:rFonts w:ascii="Arial" w:hAnsi="Arial" w:cs="Arial"/>
                <w:sz w:val="20"/>
                <w:szCs w:val="20"/>
              </w:rPr>
              <w:t xml:space="preserve">liklinikou J. A. Reimana Prešov a na Detskej endokrinologickej </w:t>
            </w:r>
            <w:r w:rsidRPr="0043703C">
              <w:rPr>
                <w:rFonts w:ascii="Arial" w:hAnsi="Arial" w:cs="Arial"/>
                <w:sz w:val="20"/>
                <w:szCs w:val="20"/>
              </w:rPr>
              <w:t>a diabetologickej ambulancii pri Detskom oddelení s JIS Nemocnice Poprad, a.s.</w:t>
            </w:r>
          </w:p>
          <w:p w14:paraId="2070F88A" w14:textId="77777777" w:rsidR="00657ACA" w:rsidRDefault="00657ACA" w:rsidP="00657ACA">
            <w:pPr>
              <w:rPr>
                <w:rFonts w:ascii="Arial" w:hAnsi="Arial" w:cs="Arial"/>
                <w:sz w:val="20"/>
                <w:szCs w:val="20"/>
              </w:rPr>
            </w:pPr>
          </w:p>
          <w:p w14:paraId="28FB8F6A"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Ak sa dosiahne rastový priemer alebo skóre smerodajnej odchýlky (SDS) rastovej rýchlosti je menej ako jeden za rok, ďalšia liečba nie je hradenou liečbou. </w:t>
            </w:r>
          </w:p>
          <w:p w14:paraId="55B9A1B5" w14:textId="77777777" w:rsidR="00657ACA" w:rsidRPr="002D0A01" w:rsidRDefault="00657ACA" w:rsidP="00657ACA">
            <w:pPr>
              <w:rPr>
                <w:rFonts w:ascii="Arial" w:hAnsi="Arial" w:cs="Arial"/>
                <w:sz w:val="20"/>
                <w:szCs w:val="20"/>
              </w:rPr>
            </w:pPr>
          </w:p>
        </w:tc>
      </w:tr>
      <w:tr w:rsidR="00657ACA" w:rsidRPr="0000591E" w14:paraId="65D31580" w14:textId="77777777" w:rsidTr="003F7925">
        <w:trPr>
          <w:gridAfter w:val="2"/>
          <w:wAfter w:w="154" w:type="dxa"/>
          <w:trHeight w:val="20"/>
        </w:trPr>
        <w:tc>
          <w:tcPr>
            <w:tcW w:w="1256" w:type="dxa"/>
            <w:tcBorders>
              <w:bottom w:val="single" w:sz="4" w:space="0" w:color="auto"/>
            </w:tcBorders>
            <w:noWrap/>
            <w:vAlign w:val="bottom"/>
          </w:tcPr>
          <w:p w14:paraId="6DE52B6F"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H01AC08</w:t>
            </w:r>
          </w:p>
        </w:tc>
        <w:tc>
          <w:tcPr>
            <w:tcW w:w="9452" w:type="dxa"/>
            <w:tcBorders>
              <w:bottom w:val="single" w:sz="4" w:space="0" w:color="auto"/>
            </w:tcBorders>
            <w:noWrap/>
            <w:vAlign w:val="bottom"/>
          </w:tcPr>
          <w:p w14:paraId="0BC02834"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Somatrogon s.c. 24 mg</w:t>
            </w:r>
          </w:p>
        </w:tc>
      </w:tr>
      <w:tr w:rsidR="00657ACA" w:rsidRPr="0000591E" w14:paraId="2ED923D9" w14:textId="77777777" w:rsidTr="003F7925">
        <w:trPr>
          <w:gridAfter w:val="2"/>
          <w:wAfter w:w="154" w:type="dxa"/>
          <w:trHeight w:val="20"/>
        </w:trPr>
        <w:tc>
          <w:tcPr>
            <w:tcW w:w="1256" w:type="dxa"/>
            <w:noWrap/>
            <w:vAlign w:val="bottom"/>
          </w:tcPr>
          <w:p w14:paraId="6DECBBB2" w14:textId="77777777" w:rsidR="00657ACA" w:rsidRPr="0000591E" w:rsidRDefault="00657ACA" w:rsidP="00657ACA">
            <w:pPr>
              <w:jc w:val="both"/>
              <w:rPr>
                <w:rFonts w:ascii="Arial" w:hAnsi="Arial" w:cs="Arial"/>
                <w:b/>
                <w:bCs/>
                <w:sz w:val="20"/>
                <w:szCs w:val="20"/>
              </w:rPr>
            </w:pPr>
          </w:p>
        </w:tc>
        <w:tc>
          <w:tcPr>
            <w:tcW w:w="9452" w:type="dxa"/>
            <w:noWrap/>
            <w:vAlign w:val="bottom"/>
          </w:tcPr>
          <w:p w14:paraId="2DE98098" w14:textId="77777777" w:rsidR="00657ACA" w:rsidRPr="00D338D5" w:rsidRDefault="00657ACA" w:rsidP="00657ACA">
            <w:pPr>
              <w:autoSpaceDE w:val="0"/>
              <w:autoSpaceDN w:val="0"/>
              <w:adjustRightInd w:val="0"/>
              <w:spacing w:after="180" w:line="276" w:lineRule="auto"/>
              <w:jc w:val="both"/>
              <w:rPr>
                <w:rFonts w:ascii="Arial" w:hAnsi="Arial"/>
                <w:color w:val="000000"/>
                <w:sz w:val="20"/>
                <w:u w:color="000000"/>
              </w:rPr>
            </w:pPr>
            <w:r w:rsidRPr="00D338D5">
              <w:rPr>
                <w:rFonts w:ascii="Arial" w:hAnsi="Arial"/>
                <w:color w:val="000000"/>
                <w:sz w:val="20"/>
                <w:u w:color="000000"/>
              </w:rPr>
              <w:t>Hradená liečba sa môže indikovať u detí a dospievajúcich od 3 rokov s poruchou rastu zapríčinenou nedostatočnou sekréciou rastového hormónu.</w:t>
            </w:r>
          </w:p>
          <w:p w14:paraId="71F71478" w14:textId="77777777" w:rsidR="00657ACA" w:rsidRPr="00526D44" w:rsidRDefault="00657ACA" w:rsidP="00657ACA">
            <w:pPr>
              <w:autoSpaceDE w:val="0"/>
              <w:autoSpaceDN w:val="0"/>
              <w:adjustRightInd w:val="0"/>
              <w:spacing w:after="180" w:line="276" w:lineRule="auto"/>
              <w:jc w:val="both"/>
              <w:rPr>
                <w:rFonts w:ascii="Arial" w:hAnsi="Arial"/>
                <w:color w:val="000000"/>
                <w:sz w:val="20"/>
                <w:u w:color="000000"/>
              </w:rPr>
            </w:pPr>
            <w:r w:rsidRPr="00D338D5">
              <w:rPr>
                <w:rFonts w:ascii="Arial" w:hAnsi="Arial"/>
                <w:color w:val="000000"/>
                <w:sz w:val="20"/>
                <w:u w:color="000000"/>
              </w:rPr>
              <w:t>Hradená liečba sa môže indikovať na Detskom oddelení v Národnom endokrinologickom a diabetologickom ústave, Ľubochňa, na Detskej klinike LFUK a Národného ústavu detských chorôb, Bratislava, na Klinike detí a dorastu Detskej fakultnej nemocnice s poliklinikou, Košice, v Detskej fakultnej nemocnici, Banská Bystrica, na Klinike detí a dorastu Univerzitnej nemocnice Martin, v neštátnej detskej endokrinologickej a diabetologickej ambulancii Žilina, v neštátnej detskej endokrinologickej a diabetologickej ambulancii Prievidza, v neštátnej detskej endokrinologickej a diabetologickej ambulancii Univerzitnej nemocnice Bratislava – nemocnica sv. Cyrila a Metoda a v Ambulancii pediatrickej endokrinológie a diabetológie a porúch látkovej premeny a výživy pri Oddelení pediatrie Fakultnej nemocnice s poliklinikou J. A. Reimana, Prešov</w:t>
            </w:r>
            <w:r>
              <w:rPr>
                <w:rFonts w:ascii="Arial" w:hAnsi="Arial"/>
                <w:color w:val="000000"/>
                <w:sz w:val="20"/>
                <w:u w:color="000000"/>
              </w:rPr>
              <w:t xml:space="preserve"> </w:t>
            </w:r>
            <w:r w:rsidRPr="00526D44">
              <w:rPr>
                <w:rFonts w:ascii="Arial" w:hAnsi="Arial"/>
                <w:color w:val="000000"/>
                <w:sz w:val="20"/>
                <w:u w:color="000000"/>
              </w:rPr>
              <w:t>a na Detskej endokrinologickej a diabetologickej ambulancii pri Detskom oddelení s JIS Nemocnice Poprad, a.s.</w:t>
            </w:r>
          </w:p>
        </w:tc>
      </w:tr>
      <w:tr w:rsidR="00657ACA" w:rsidRPr="0000591E" w14:paraId="2DC2D2BC" w14:textId="77777777" w:rsidTr="003F7925">
        <w:trPr>
          <w:gridAfter w:val="2"/>
          <w:wAfter w:w="154" w:type="dxa"/>
          <w:trHeight w:val="20"/>
        </w:trPr>
        <w:tc>
          <w:tcPr>
            <w:tcW w:w="1256" w:type="dxa"/>
            <w:tcBorders>
              <w:bottom w:val="single" w:sz="4" w:space="0" w:color="auto"/>
            </w:tcBorders>
            <w:noWrap/>
            <w:vAlign w:val="bottom"/>
          </w:tcPr>
          <w:p w14:paraId="5B41172B" w14:textId="77777777" w:rsidR="00657ACA" w:rsidRPr="0000591E" w:rsidRDefault="00657ACA" w:rsidP="00657ACA">
            <w:pPr>
              <w:jc w:val="both"/>
              <w:rPr>
                <w:rFonts w:ascii="Arial" w:hAnsi="Arial" w:cs="Arial"/>
                <w:b/>
                <w:bCs/>
                <w:sz w:val="20"/>
                <w:szCs w:val="20"/>
              </w:rPr>
            </w:pPr>
            <w:r w:rsidRPr="0060328F">
              <w:rPr>
                <w:rFonts w:ascii="Arial" w:hAnsi="Arial" w:cs="Arial"/>
                <w:b/>
                <w:bCs/>
                <w:sz w:val="20"/>
                <w:szCs w:val="20"/>
              </w:rPr>
              <w:t>H01AC08</w:t>
            </w:r>
          </w:p>
        </w:tc>
        <w:tc>
          <w:tcPr>
            <w:tcW w:w="9452" w:type="dxa"/>
            <w:tcBorders>
              <w:bottom w:val="single" w:sz="4" w:space="0" w:color="auto"/>
            </w:tcBorders>
            <w:noWrap/>
            <w:vAlign w:val="bottom"/>
          </w:tcPr>
          <w:p w14:paraId="6B22B691" w14:textId="77777777" w:rsidR="00657ACA" w:rsidRDefault="00657ACA" w:rsidP="00657ACA">
            <w:pPr>
              <w:jc w:val="both"/>
              <w:rPr>
                <w:rFonts w:ascii="Arial" w:hAnsi="Arial" w:cs="Arial"/>
                <w:b/>
                <w:bCs/>
                <w:sz w:val="20"/>
                <w:szCs w:val="20"/>
              </w:rPr>
            </w:pPr>
            <w:r w:rsidRPr="0060328F">
              <w:rPr>
                <w:rFonts w:ascii="Arial" w:hAnsi="Arial" w:cs="Arial"/>
                <w:b/>
                <w:bCs/>
                <w:sz w:val="20"/>
                <w:szCs w:val="20"/>
              </w:rPr>
              <w:t>Somatrogon s.c. 60</w:t>
            </w:r>
            <w:r>
              <w:rPr>
                <w:rFonts w:ascii="Arial" w:hAnsi="Arial" w:cs="Arial"/>
                <w:b/>
                <w:bCs/>
                <w:sz w:val="20"/>
                <w:szCs w:val="20"/>
              </w:rPr>
              <w:t xml:space="preserve"> </w:t>
            </w:r>
            <w:r w:rsidRPr="0060328F">
              <w:rPr>
                <w:rFonts w:ascii="Arial" w:hAnsi="Arial" w:cs="Arial"/>
                <w:b/>
                <w:bCs/>
                <w:sz w:val="20"/>
                <w:szCs w:val="20"/>
              </w:rPr>
              <w:t>mg</w:t>
            </w:r>
          </w:p>
        </w:tc>
      </w:tr>
      <w:tr w:rsidR="00657ACA" w:rsidRPr="0000591E" w14:paraId="5A382E54" w14:textId="77777777" w:rsidTr="003F7925">
        <w:trPr>
          <w:gridAfter w:val="2"/>
          <w:wAfter w:w="154" w:type="dxa"/>
          <w:trHeight w:val="20"/>
        </w:trPr>
        <w:tc>
          <w:tcPr>
            <w:tcW w:w="1256" w:type="dxa"/>
            <w:tcBorders>
              <w:top w:val="single" w:sz="4" w:space="0" w:color="auto"/>
            </w:tcBorders>
            <w:noWrap/>
            <w:vAlign w:val="bottom"/>
          </w:tcPr>
          <w:p w14:paraId="261B4C17" w14:textId="77777777" w:rsidR="00657ACA" w:rsidRPr="0060328F"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0042E760" w14:textId="77777777" w:rsidR="00657ACA" w:rsidRDefault="00657ACA" w:rsidP="00657ACA">
            <w:pPr>
              <w:jc w:val="both"/>
              <w:rPr>
                <w:rFonts w:ascii="Arial" w:hAnsi="Arial" w:cs="Arial"/>
                <w:bCs/>
                <w:sz w:val="20"/>
                <w:szCs w:val="20"/>
              </w:rPr>
            </w:pPr>
            <w:r w:rsidRPr="006B6BD1">
              <w:rPr>
                <w:rFonts w:ascii="Arial" w:hAnsi="Arial" w:cs="Arial"/>
                <w:bCs/>
                <w:sz w:val="20"/>
                <w:szCs w:val="20"/>
              </w:rPr>
              <w:t>Hradená liečba sa môže indikovať u detí a dospievajúcich od 3 rokov s poruchou rastu zapríčinenou nedostatočnou sekréciou rastového hormónu.</w:t>
            </w:r>
          </w:p>
          <w:p w14:paraId="21B2F943" w14:textId="77777777" w:rsidR="00657ACA" w:rsidRPr="006B6BD1" w:rsidRDefault="00657ACA" w:rsidP="00657ACA">
            <w:pPr>
              <w:jc w:val="both"/>
              <w:rPr>
                <w:rFonts w:ascii="Arial" w:hAnsi="Arial" w:cs="Arial"/>
                <w:bCs/>
                <w:sz w:val="20"/>
                <w:szCs w:val="20"/>
              </w:rPr>
            </w:pPr>
          </w:p>
          <w:p w14:paraId="6A113955" w14:textId="77777777" w:rsidR="00657ACA" w:rsidRPr="006B6BD1" w:rsidRDefault="00657ACA" w:rsidP="00657ACA">
            <w:pPr>
              <w:jc w:val="both"/>
              <w:rPr>
                <w:rFonts w:ascii="Arial" w:hAnsi="Arial" w:cs="Arial"/>
                <w:bCs/>
                <w:sz w:val="20"/>
                <w:szCs w:val="20"/>
              </w:rPr>
            </w:pPr>
            <w:r w:rsidRPr="006B6BD1">
              <w:rPr>
                <w:rFonts w:ascii="Arial" w:hAnsi="Arial" w:cs="Arial"/>
                <w:bCs/>
                <w:sz w:val="20"/>
                <w:szCs w:val="20"/>
              </w:rPr>
              <w:t xml:space="preserve">Hradená liečba sa môže indikovať na Detskom oddelení v Národnom endokrinologickom a diabetologickom ústave, Ľubochňa, na Detskej klinike LFUK a Národného ústavu detských chorôb, Bratislava, na Klinike detí a dorastu Detskej fakultnej nemocnice s poliklinikou, Košice, v Detskej fakultnej nemocnici, Banská Bystrica, na Klinike detí a dorastu Univerzitnej nemocnice Martin, v neštátnej detskej endokrinologickej a diabetologickej ambulancii Žilina, v neštátnej detskej endokrinologickej a diabetologickej ambulancii Prievidza, v neštátnej detskej endokrinologickej a diabetologickej ambulancii Univerzitnej nemocnice Bratislava – nemocnica sv. Cyrila a Metoda a v Ambulancii pediatrickej </w:t>
            </w:r>
            <w:r w:rsidRPr="006B6BD1">
              <w:rPr>
                <w:rFonts w:ascii="Arial" w:hAnsi="Arial" w:cs="Arial"/>
                <w:bCs/>
                <w:sz w:val="20"/>
                <w:szCs w:val="20"/>
              </w:rPr>
              <w:lastRenderedPageBreak/>
              <w:t>endokrinológie a diabetológie a porúch látkovej premeny a výživy pri Oddelení pediatrie Fakultnej nemocnice s poliklinikou J. A. Reimana, Prešov</w:t>
            </w:r>
            <w:r>
              <w:rPr>
                <w:rFonts w:ascii="Arial" w:hAnsi="Arial" w:cs="Arial"/>
                <w:bCs/>
                <w:sz w:val="20"/>
                <w:szCs w:val="20"/>
              </w:rPr>
              <w:t xml:space="preserve"> </w:t>
            </w:r>
            <w:r w:rsidRPr="00B17BC7">
              <w:rPr>
                <w:rFonts w:ascii="Arial" w:hAnsi="Arial" w:cs="Arial"/>
                <w:bCs/>
                <w:sz w:val="20"/>
                <w:szCs w:val="20"/>
              </w:rPr>
              <w:t>a na Detskej endokrinologickej a diabetologickej ambulancii pri Detskom oddelení s JIS Nemocnice Poprad, a.s.</w:t>
            </w:r>
          </w:p>
          <w:p w14:paraId="4ADEA3A1" w14:textId="77777777" w:rsidR="00657ACA" w:rsidRPr="00E45641" w:rsidRDefault="00657ACA" w:rsidP="00657ACA">
            <w:pPr>
              <w:autoSpaceDE w:val="0"/>
              <w:autoSpaceDN w:val="0"/>
              <w:adjustRightInd w:val="0"/>
              <w:spacing w:after="180" w:line="276" w:lineRule="auto"/>
              <w:jc w:val="both"/>
              <w:rPr>
                <w:rFonts w:ascii="Arial" w:hAnsi="Arial"/>
                <w:color w:val="000000"/>
                <w:sz w:val="20"/>
                <w:u w:color="000000"/>
              </w:rPr>
            </w:pPr>
            <w:r w:rsidRPr="006B6BD1">
              <w:rPr>
                <w:rFonts w:ascii="Arial" w:hAnsi="Arial"/>
                <w:color w:val="000000"/>
                <w:sz w:val="20"/>
                <w:u w:color="000000"/>
              </w:rPr>
              <w:t>Hradená liečba podlieha predchádzajúcemu súhlasu zdravotnej poisťovne.</w:t>
            </w:r>
          </w:p>
        </w:tc>
      </w:tr>
      <w:tr w:rsidR="00657ACA" w:rsidRPr="0000591E" w14:paraId="141F4A22" w14:textId="77777777" w:rsidTr="003F7925">
        <w:trPr>
          <w:gridAfter w:val="2"/>
          <w:wAfter w:w="154" w:type="dxa"/>
          <w:trHeight w:val="20"/>
        </w:trPr>
        <w:tc>
          <w:tcPr>
            <w:tcW w:w="1256" w:type="dxa"/>
            <w:tcBorders>
              <w:bottom w:val="single" w:sz="4" w:space="0" w:color="auto"/>
            </w:tcBorders>
            <w:noWrap/>
            <w:vAlign w:val="bottom"/>
          </w:tcPr>
          <w:p w14:paraId="38563A5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H01AX01</w:t>
            </w:r>
          </w:p>
        </w:tc>
        <w:tc>
          <w:tcPr>
            <w:tcW w:w="9452" w:type="dxa"/>
            <w:tcBorders>
              <w:bottom w:val="single" w:sz="4" w:space="0" w:color="auto"/>
            </w:tcBorders>
            <w:noWrap/>
            <w:vAlign w:val="bottom"/>
          </w:tcPr>
          <w:p w14:paraId="5F09C03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Pegvisomant s.c.</w:t>
            </w:r>
            <w:r>
              <w:rPr>
                <w:rFonts w:ascii="Arial" w:hAnsi="Arial" w:cs="Arial"/>
                <w:b/>
                <w:bCs/>
                <w:sz w:val="20"/>
                <w:szCs w:val="20"/>
              </w:rPr>
              <w:t xml:space="preserve"> 10 mg</w:t>
            </w:r>
          </w:p>
        </w:tc>
      </w:tr>
      <w:tr w:rsidR="00657ACA" w:rsidRPr="0000591E" w14:paraId="6A5F39EA" w14:textId="77777777" w:rsidTr="003F7925">
        <w:trPr>
          <w:gridAfter w:val="2"/>
          <w:wAfter w:w="154" w:type="dxa"/>
          <w:trHeight w:val="20"/>
        </w:trPr>
        <w:tc>
          <w:tcPr>
            <w:tcW w:w="1256" w:type="dxa"/>
            <w:tcBorders>
              <w:top w:val="single" w:sz="4" w:space="0" w:color="auto"/>
            </w:tcBorders>
            <w:noWrap/>
            <w:vAlign w:val="bottom"/>
          </w:tcPr>
          <w:p w14:paraId="0F6BB98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2B8DB8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u pacientov s akromegáliou, ktorí mali nedostatočnú odpoveď na operáciu alebo radiačnú terapiu a u ktorých sa vhodnou medikamentóznou liečbou somatostatínovými analógmi nenormalizovali koncentrácie IGF-I, alebo ktorí túto liečbu netolerovali.</w:t>
            </w:r>
          </w:p>
          <w:p w14:paraId="78CA134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v Národnom endokrinologickom a diabetologickom ústave n. o., Ľubochňa.</w:t>
            </w:r>
          </w:p>
          <w:p w14:paraId="18B0C25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501C57C0" w14:textId="77777777" w:rsidR="00657ACA" w:rsidRPr="0000591E" w:rsidRDefault="00657ACA" w:rsidP="00657ACA">
            <w:pPr>
              <w:jc w:val="both"/>
              <w:rPr>
                <w:rFonts w:ascii="Arial" w:hAnsi="Arial" w:cs="Arial"/>
                <w:sz w:val="20"/>
                <w:szCs w:val="20"/>
              </w:rPr>
            </w:pPr>
          </w:p>
        </w:tc>
      </w:tr>
      <w:tr w:rsidR="00657ACA" w:rsidRPr="0000591E" w14:paraId="535E52BA" w14:textId="77777777" w:rsidTr="003F7925">
        <w:trPr>
          <w:gridAfter w:val="2"/>
          <w:wAfter w:w="154" w:type="dxa"/>
          <w:trHeight w:val="20"/>
        </w:trPr>
        <w:tc>
          <w:tcPr>
            <w:tcW w:w="1256" w:type="dxa"/>
            <w:tcBorders>
              <w:bottom w:val="single" w:sz="4" w:space="0" w:color="auto"/>
            </w:tcBorders>
            <w:noWrap/>
            <w:vAlign w:val="center"/>
          </w:tcPr>
          <w:p w14:paraId="623DA5B1"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H01AX01</w:t>
            </w:r>
          </w:p>
        </w:tc>
        <w:tc>
          <w:tcPr>
            <w:tcW w:w="9452" w:type="dxa"/>
            <w:tcBorders>
              <w:bottom w:val="single" w:sz="4" w:space="0" w:color="auto"/>
            </w:tcBorders>
            <w:noWrap/>
            <w:vAlign w:val="bottom"/>
          </w:tcPr>
          <w:p w14:paraId="720A4F6A" w14:textId="77777777" w:rsidR="00657ACA" w:rsidRDefault="00657ACA" w:rsidP="00657ACA">
            <w:pPr>
              <w:jc w:val="both"/>
              <w:rPr>
                <w:rFonts w:ascii="Arial" w:hAnsi="Arial" w:cs="Arial"/>
                <w:b/>
                <w:bCs/>
                <w:sz w:val="20"/>
                <w:szCs w:val="20"/>
              </w:rPr>
            </w:pPr>
            <w:r w:rsidRPr="00EC026F">
              <w:rPr>
                <w:rFonts w:ascii="Arial" w:hAnsi="Arial" w:cs="Arial"/>
                <w:b/>
                <w:bCs/>
                <w:sz w:val="20"/>
                <w:szCs w:val="20"/>
              </w:rPr>
              <w:t>Pegvisomant s.c. 1</w:t>
            </w:r>
            <w:r>
              <w:rPr>
                <w:rFonts w:ascii="Arial" w:hAnsi="Arial" w:cs="Arial"/>
                <w:b/>
                <w:bCs/>
                <w:sz w:val="20"/>
                <w:szCs w:val="20"/>
              </w:rPr>
              <w:t>5</w:t>
            </w:r>
            <w:r w:rsidRPr="00EC026F">
              <w:rPr>
                <w:rFonts w:ascii="Arial" w:hAnsi="Arial" w:cs="Arial"/>
                <w:b/>
                <w:bCs/>
                <w:sz w:val="20"/>
                <w:szCs w:val="20"/>
              </w:rPr>
              <w:t xml:space="preserve"> mg</w:t>
            </w:r>
          </w:p>
          <w:p w14:paraId="109586BA" w14:textId="77777777" w:rsidR="00657ACA" w:rsidRPr="0000591E" w:rsidRDefault="00657ACA" w:rsidP="00657ACA">
            <w:pPr>
              <w:jc w:val="both"/>
              <w:rPr>
                <w:rFonts w:ascii="Arial" w:hAnsi="Arial" w:cs="Arial"/>
                <w:b/>
                <w:bCs/>
                <w:sz w:val="20"/>
                <w:szCs w:val="20"/>
              </w:rPr>
            </w:pPr>
            <w:r w:rsidRPr="00EC026F">
              <w:rPr>
                <w:rFonts w:ascii="Arial" w:hAnsi="Arial" w:cs="Arial"/>
                <w:b/>
                <w:bCs/>
                <w:sz w:val="20"/>
                <w:szCs w:val="20"/>
              </w:rPr>
              <w:t xml:space="preserve">Pegvisomant s.c. </w:t>
            </w:r>
            <w:r>
              <w:rPr>
                <w:rFonts w:ascii="Arial" w:hAnsi="Arial" w:cs="Arial"/>
                <w:b/>
                <w:bCs/>
                <w:sz w:val="20"/>
                <w:szCs w:val="20"/>
              </w:rPr>
              <w:t>2</w:t>
            </w:r>
            <w:r w:rsidRPr="00EC026F">
              <w:rPr>
                <w:rFonts w:ascii="Arial" w:hAnsi="Arial" w:cs="Arial"/>
                <w:b/>
                <w:bCs/>
                <w:sz w:val="20"/>
                <w:szCs w:val="20"/>
              </w:rPr>
              <w:t>0 mg</w:t>
            </w:r>
          </w:p>
        </w:tc>
      </w:tr>
      <w:tr w:rsidR="00657ACA" w:rsidRPr="0000591E" w14:paraId="43D0AB09" w14:textId="77777777" w:rsidTr="003F7925">
        <w:trPr>
          <w:gridAfter w:val="2"/>
          <w:wAfter w:w="154" w:type="dxa"/>
          <w:trHeight w:val="20"/>
        </w:trPr>
        <w:tc>
          <w:tcPr>
            <w:tcW w:w="1256" w:type="dxa"/>
            <w:tcBorders>
              <w:top w:val="single" w:sz="4" w:space="0" w:color="auto"/>
            </w:tcBorders>
            <w:noWrap/>
            <w:vAlign w:val="center"/>
          </w:tcPr>
          <w:p w14:paraId="64989C82"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4DB9197E" w14:textId="77777777" w:rsidR="00657ACA" w:rsidRDefault="00657ACA" w:rsidP="00657ACA">
            <w:pPr>
              <w:jc w:val="both"/>
              <w:rPr>
                <w:rFonts w:ascii="Arial" w:hAnsi="Arial" w:cs="Arial"/>
                <w:bCs/>
                <w:sz w:val="20"/>
                <w:szCs w:val="20"/>
              </w:rPr>
            </w:pPr>
            <w:r w:rsidRPr="007029A5">
              <w:rPr>
                <w:rFonts w:ascii="Arial" w:hAnsi="Arial" w:cs="Arial"/>
                <w:bCs/>
                <w:sz w:val="20"/>
                <w:szCs w:val="20"/>
              </w:rPr>
              <w:t xml:space="preserve">Hradená liečba sa môže indikovať u pacientov s akromegáliou, ktorí mali nedostatočnú odpoveď na operáciu alebo radiačnú terapiu a u ktorých sa vhodnou medikamentóznou liečbou somatostatínovými analógmi nenormalizovali koncentrácie IGF-I, alebo ktorí túto liečbu netolerovali. </w:t>
            </w:r>
          </w:p>
          <w:p w14:paraId="5113D0B0" w14:textId="77777777" w:rsidR="00657ACA" w:rsidRDefault="00657ACA" w:rsidP="00657ACA">
            <w:pPr>
              <w:jc w:val="both"/>
              <w:rPr>
                <w:rFonts w:ascii="Arial" w:hAnsi="Arial" w:cs="Arial"/>
                <w:bCs/>
                <w:sz w:val="20"/>
                <w:szCs w:val="20"/>
              </w:rPr>
            </w:pPr>
            <w:r w:rsidRPr="007029A5">
              <w:rPr>
                <w:rFonts w:ascii="Arial" w:hAnsi="Arial" w:cs="Arial"/>
                <w:bCs/>
                <w:sz w:val="20"/>
                <w:szCs w:val="20"/>
              </w:rPr>
              <w:t>Hradená liečba sa môže indikovať v Národnom endokrinologickom a diabetologickom ústave n. o., Ľubochňa.</w:t>
            </w:r>
          </w:p>
          <w:p w14:paraId="0039C895" w14:textId="77777777" w:rsidR="00657ACA" w:rsidRPr="007029A5" w:rsidRDefault="00657ACA" w:rsidP="00657ACA">
            <w:pPr>
              <w:jc w:val="both"/>
              <w:rPr>
                <w:rFonts w:ascii="Arial" w:hAnsi="Arial" w:cs="Arial"/>
                <w:bCs/>
                <w:sz w:val="20"/>
                <w:szCs w:val="20"/>
              </w:rPr>
            </w:pPr>
          </w:p>
        </w:tc>
      </w:tr>
      <w:tr w:rsidR="00657ACA" w:rsidRPr="0000591E" w14:paraId="5DB722D0" w14:textId="77777777" w:rsidTr="003F7925">
        <w:trPr>
          <w:gridAfter w:val="2"/>
          <w:wAfter w:w="154" w:type="dxa"/>
          <w:trHeight w:val="20"/>
        </w:trPr>
        <w:tc>
          <w:tcPr>
            <w:tcW w:w="1256" w:type="dxa"/>
            <w:tcBorders>
              <w:bottom w:val="single" w:sz="4" w:space="0" w:color="auto"/>
            </w:tcBorders>
            <w:noWrap/>
            <w:vAlign w:val="center"/>
          </w:tcPr>
          <w:p w14:paraId="373E46D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H01CB02</w:t>
            </w:r>
          </w:p>
        </w:tc>
        <w:tc>
          <w:tcPr>
            <w:tcW w:w="9452" w:type="dxa"/>
            <w:tcBorders>
              <w:bottom w:val="single" w:sz="4" w:space="0" w:color="auto"/>
            </w:tcBorders>
            <w:noWrap/>
            <w:vAlign w:val="bottom"/>
          </w:tcPr>
          <w:p w14:paraId="6B31AFA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Oktreotid parent.</w:t>
            </w:r>
            <w:r>
              <w:rPr>
                <w:rFonts w:ascii="Arial" w:hAnsi="Arial" w:cs="Arial"/>
                <w:b/>
                <w:bCs/>
                <w:sz w:val="20"/>
                <w:szCs w:val="20"/>
              </w:rPr>
              <w:t xml:space="preserve"> 100 mcg</w:t>
            </w:r>
            <w:r w:rsidRPr="0000591E">
              <w:rPr>
                <w:rFonts w:ascii="Arial" w:hAnsi="Arial" w:cs="Arial"/>
                <w:b/>
                <w:bCs/>
                <w:sz w:val="20"/>
                <w:szCs w:val="20"/>
              </w:rPr>
              <w:t xml:space="preserve"> </w:t>
            </w:r>
          </w:p>
          <w:p w14:paraId="6C2B8C6D"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Oktreotid parent. </w:t>
            </w:r>
            <w:r>
              <w:rPr>
                <w:rFonts w:ascii="Arial" w:hAnsi="Arial" w:cs="Arial"/>
                <w:b/>
                <w:bCs/>
                <w:sz w:val="20"/>
                <w:szCs w:val="20"/>
              </w:rPr>
              <w:t>500 mcg</w:t>
            </w:r>
          </w:p>
        </w:tc>
      </w:tr>
      <w:tr w:rsidR="00657ACA" w:rsidRPr="0000591E" w14:paraId="24AB2DC2" w14:textId="77777777" w:rsidTr="003F7925">
        <w:trPr>
          <w:gridAfter w:val="2"/>
          <w:wAfter w:w="154" w:type="dxa"/>
          <w:trHeight w:val="20"/>
        </w:trPr>
        <w:tc>
          <w:tcPr>
            <w:tcW w:w="1256" w:type="dxa"/>
            <w:tcBorders>
              <w:top w:val="single" w:sz="4" w:space="0" w:color="auto"/>
            </w:tcBorders>
            <w:noWrap/>
            <w:vAlign w:val="bottom"/>
          </w:tcPr>
          <w:p w14:paraId="55BF711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C62259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Hradenú liečbu môže indikovať endokrinológ, gastroenterológ pri karcinoide v gastrointestinálnom trakte alebo onkológ pri karcinoide pri</w:t>
            </w:r>
          </w:p>
          <w:p w14:paraId="4C481DF1" w14:textId="77777777" w:rsidR="00657ACA" w:rsidRPr="0000591E" w:rsidRDefault="00657ACA">
            <w:pPr>
              <w:numPr>
                <w:ilvl w:val="0"/>
                <w:numId w:val="12"/>
              </w:numPr>
              <w:rPr>
                <w:rFonts w:ascii="Arial" w:hAnsi="Arial" w:cs="Arial"/>
                <w:sz w:val="20"/>
                <w:szCs w:val="20"/>
              </w:rPr>
            </w:pPr>
            <w:r w:rsidRPr="0000591E">
              <w:rPr>
                <w:rFonts w:ascii="Arial" w:hAnsi="Arial" w:cs="Arial"/>
                <w:sz w:val="20"/>
                <w:szCs w:val="20"/>
              </w:rPr>
              <w:t xml:space="preserve">akromegálii, </w:t>
            </w:r>
          </w:p>
          <w:p w14:paraId="05B18078" w14:textId="77777777" w:rsidR="00657ACA" w:rsidRPr="0000591E" w:rsidRDefault="00657ACA">
            <w:pPr>
              <w:numPr>
                <w:ilvl w:val="0"/>
                <w:numId w:val="12"/>
              </w:numPr>
              <w:jc w:val="both"/>
              <w:rPr>
                <w:rFonts w:ascii="Arial" w:hAnsi="Arial" w:cs="Arial"/>
                <w:sz w:val="20"/>
                <w:szCs w:val="20"/>
              </w:rPr>
            </w:pPr>
            <w:r w:rsidRPr="0000591E">
              <w:rPr>
                <w:rFonts w:ascii="Arial" w:hAnsi="Arial" w:cs="Arial"/>
                <w:sz w:val="20"/>
                <w:szCs w:val="20"/>
              </w:rPr>
              <w:t>tyreotropinóme hypofýzy počas predoperačnej prípravy, prípadne dlhodobo pri neúspechu neurochirurgickej alebo iradiačnej liečbe,</w:t>
            </w:r>
          </w:p>
          <w:p w14:paraId="45D8419B" w14:textId="77777777" w:rsidR="00657ACA" w:rsidRDefault="00657ACA">
            <w:pPr>
              <w:numPr>
                <w:ilvl w:val="0"/>
                <w:numId w:val="12"/>
              </w:numPr>
              <w:jc w:val="both"/>
              <w:rPr>
                <w:rFonts w:ascii="Arial" w:hAnsi="Arial" w:cs="Arial"/>
                <w:sz w:val="20"/>
                <w:szCs w:val="20"/>
              </w:rPr>
            </w:pPr>
            <w:r w:rsidRPr="0000591E">
              <w:rPr>
                <w:rFonts w:ascii="Arial" w:hAnsi="Arial" w:cs="Arial"/>
                <w:sz w:val="20"/>
                <w:szCs w:val="20"/>
              </w:rPr>
              <w:t>karcinoide (najmä pri prejavoch karcinoidového syndrómu) krátkodobo počas predoperačnej prípravy alebo dlhodobo pri závažných kontraindikáciách operačnej liečby ako aj pri hormonálne aktívnych metastázach.</w:t>
            </w:r>
          </w:p>
          <w:p w14:paraId="06DE9949" w14:textId="4CCF417F" w:rsidR="00657ACA" w:rsidRPr="0000591E" w:rsidRDefault="00657ACA" w:rsidP="00E87FCA">
            <w:pPr>
              <w:ind w:left="360"/>
              <w:jc w:val="both"/>
              <w:rPr>
                <w:rFonts w:ascii="Arial" w:hAnsi="Arial" w:cs="Arial"/>
                <w:sz w:val="20"/>
                <w:szCs w:val="20"/>
              </w:rPr>
            </w:pPr>
          </w:p>
        </w:tc>
      </w:tr>
      <w:tr w:rsidR="00657ACA" w:rsidRPr="0000591E" w14:paraId="5182922A" w14:textId="77777777" w:rsidTr="003F7925">
        <w:trPr>
          <w:gridAfter w:val="2"/>
          <w:wAfter w:w="154" w:type="dxa"/>
          <w:trHeight w:val="20"/>
        </w:trPr>
        <w:tc>
          <w:tcPr>
            <w:tcW w:w="1256" w:type="dxa"/>
            <w:tcBorders>
              <w:bottom w:val="single" w:sz="4" w:space="0" w:color="auto"/>
            </w:tcBorders>
            <w:noWrap/>
            <w:vAlign w:val="center"/>
          </w:tcPr>
          <w:p w14:paraId="560733B5"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H01CB02</w:t>
            </w:r>
          </w:p>
        </w:tc>
        <w:tc>
          <w:tcPr>
            <w:tcW w:w="9452" w:type="dxa"/>
            <w:tcBorders>
              <w:bottom w:val="single" w:sz="4" w:space="0" w:color="auto"/>
            </w:tcBorders>
            <w:noWrap/>
            <w:vAlign w:val="bottom"/>
          </w:tcPr>
          <w:p w14:paraId="6D57847D"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Oktreotid parent.depot. 30 mg</w:t>
            </w:r>
          </w:p>
        </w:tc>
      </w:tr>
      <w:tr w:rsidR="00657ACA" w:rsidRPr="0000591E" w14:paraId="35850134" w14:textId="77777777" w:rsidTr="003F7925">
        <w:trPr>
          <w:gridAfter w:val="2"/>
          <w:wAfter w:w="154" w:type="dxa"/>
          <w:trHeight w:val="20"/>
        </w:trPr>
        <w:tc>
          <w:tcPr>
            <w:tcW w:w="1256" w:type="dxa"/>
            <w:tcBorders>
              <w:top w:val="single" w:sz="4" w:space="0" w:color="auto"/>
            </w:tcBorders>
            <w:noWrap/>
            <w:vAlign w:val="center"/>
          </w:tcPr>
          <w:p w14:paraId="192E3EAF"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1E2788D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w:t>
            </w:r>
          </w:p>
          <w:p w14:paraId="6DBA05C2" w14:textId="77777777" w:rsidR="00657ACA" w:rsidRPr="0000591E" w:rsidRDefault="00657ACA">
            <w:pPr>
              <w:numPr>
                <w:ilvl w:val="0"/>
                <w:numId w:val="55"/>
              </w:numPr>
              <w:jc w:val="both"/>
              <w:rPr>
                <w:rFonts w:ascii="Arial" w:hAnsi="Arial" w:cs="Arial"/>
                <w:sz w:val="20"/>
                <w:szCs w:val="20"/>
              </w:rPr>
            </w:pPr>
            <w:r w:rsidRPr="0000591E">
              <w:rPr>
                <w:rFonts w:ascii="Arial" w:hAnsi="Arial" w:cs="Arial"/>
                <w:sz w:val="20"/>
                <w:szCs w:val="20"/>
              </w:rPr>
              <w:t xml:space="preserve">akromegálii, </w:t>
            </w:r>
          </w:p>
          <w:p w14:paraId="147BD944" w14:textId="77777777" w:rsidR="00657ACA" w:rsidRPr="0000591E" w:rsidRDefault="00657ACA">
            <w:pPr>
              <w:numPr>
                <w:ilvl w:val="0"/>
                <w:numId w:val="55"/>
              </w:numPr>
              <w:jc w:val="both"/>
              <w:rPr>
                <w:rFonts w:ascii="Arial" w:hAnsi="Arial" w:cs="Arial"/>
                <w:sz w:val="20"/>
                <w:szCs w:val="20"/>
              </w:rPr>
            </w:pPr>
            <w:r w:rsidRPr="0000591E">
              <w:rPr>
                <w:rFonts w:ascii="Arial" w:hAnsi="Arial" w:cs="Arial"/>
                <w:sz w:val="20"/>
                <w:szCs w:val="20"/>
              </w:rPr>
              <w:t>tyreotropinóme hypofýzy počas predoperačnej prípravy, prípadne dlhodobo pri neúspechu neurochirurgickej alebo iradiačnej liečbe,</w:t>
            </w:r>
          </w:p>
          <w:p w14:paraId="6E4ACDDB" w14:textId="77777777" w:rsidR="00657ACA" w:rsidRPr="0000591E" w:rsidRDefault="00657ACA">
            <w:pPr>
              <w:numPr>
                <w:ilvl w:val="0"/>
                <w:numId w:val="55"/>
              </w:numPr>
              <w:jc w:val="both"/>
              <w:rPr>
                <w:rFonts w:ascii="Arial" w:hAnsi="Arial" w:cs="Arial"/>
                <w:sz w:val="20"/>
                <w:szCs w:val="20"/>
              </w:rPr>
            </w:pPr>
            <w:r w:rsidRPr="0000591E">
              <w:rPr>
                <w:rFonts w:ascii="Arial" w:hAnsi="Arial" w:cs="Arial"/>
                <w:sz w:val="20"/>
                <w:szCs w:val="20"/>
              </w:rPr>
              <w:t>karcinoide (najmä pri prejavoch karcinoidového syndrómu) krátkodobo počas predoperačnej prípravy alebo dlhodobo pri závažných kontraindikáciách operačnej liečby ako aj pri hormonálne aktívnych metastázach,</w:t>
            </w:r>
          </w:p>
          <w:p w14:paraId="3CC7B466" w14:textId="77777777" w:rsidR="00657ACA" w:rsidRPr="00E87FCA" w:rsidRDefault="00657ACA">
            <w:pPr>
              <w:numPr>
                <w:ilvl w:val="0"/>
                <w:numId w:val="55"/>
              </w:numPr>
              <w:jc w:val="both"/>
              <w:rPr>
                <w:rFonts w:ascii="Arial" w:hAnsi="Arial" w:cs="Arial"/>
                <w:b/>
                <w:bCs/>
                <w:sz w:val="20"/>
                <w:szCs w:val="20"/>
              </w:rPr>
            </w:pPr>
            <w:r w:rsidRPr="0000591E">
              <w:rPr>
                <w:rFonts w:ascii="Arial" w:hAnsi="Arial" w:cs="Arial"/>
                <w:sz w:val="20"/>
                <w:szCs w:val="20"/>
              </w:rPr>
              <w:t>liečbe pacientov s pokročilým neuroendokrinným nádorom s primárnou lokalizáciou v gastrointestinálnom trakte alebo s neznámou lokalizáciou primárneho nádoru.</w:t>
            </w:r>
          </w:p>
          <w:p w14:paraId="0C7311F8" w14:textId="1459BEF0" w:rsidR="00E87FCA" w:rsidRPr="0000591E" w:rsidRDefault="00E87FCA" w:rsidP="00E87FCA">
            <w:pPr>
              <w:ind w:left="720"/>
              <w:jc w:val="both"/>
              <w:rPr>
                <w:rFonts w:ascii="Arial" w:hAnsi="Arial" w:cs="Arial"/>
                <w:b/>
                <w:bCs/>
                <w:sz w:val="20"/>
                <w:szCs w:val="20"/>
              </w:rPr>
            </w:pPr>
          </w:p>
        </w:tc>
      </w:tr>
      <w:tr w:rsidR="00657ACA" w:rsidRPr="0000591E" w14:paraId="67E984D7" w14:textId="77777777" w:rsidTr="003F7925">
        <w:trPr>
          <w:gridAfter w:val="2"/>
          <w:wAfter w:w="154" w:type="dxa"/>
          <w:trHeight w:val="20"/>
        </w:trPr>
        <w:tc>
          <w:tcPr>
            <w:tcW w:w="1256" w:type="dxa"/>
            <w:tcBorders>
              <w:bottom w:val="single" w:sz="4" w:space="0" w:color="auto"/>
            </w:tcBorders>
            <w:noWrap/>
            <w:vAlign w:val="center"/>
          </w:tcPr>
          <w:p w14:paraId="4A8C04E0"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H01CB03</w:t>
            </w:r>
          </w:p>
        </w:tc>
        <w:tc>
          <w:tcPr>
            <w:tcW w:w="9452" w:type="dxa"/>
            <w:tcBorders>
              <w:bottom w:val="single" w:sz="4" w:space="0" w:color="auto"/>
            </w:tcBorders>
            <w:noWrap/>
            <w:vAlign w:val="bottom"/>
          </w:tcPr>
          <w:p w14:paraId="78A3EF2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Lanreotid parent. 60 mg,</w:t>
            </w:r>
          </w:p>
          <w:p w14:paraId="441B571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Lanreotid parent. 120 mg</w:t>
            </w:r>
          </w:p>
        </w:tc>
      </w:tr>
      <w:tr w:rsidR="00657ACA" w:rsidRPr="0000591E" w14:paraId="747BE15E" w14:textId="77777777" w:rsidTr="003F7925">
        <w:trPr>
          <w:gridAfter w:val="2"/>
          <w:wAfter w:w="154" w:type="dxa"/>
          <w:trHeight w:val="20"/>
        </w:trPr>
        <w:tc>
          <w:tcPr>
            <w:tcW w:w="1256" w:type="dxa"/>
            <w:tcBorders>
              <w:top w:val="single" w:sz="4" w:space="0" w:color="auto"/>
            </w:tcBorders>
            <w:noWrap/>
            <w:vAlign w:val="bottom"/>
          </w:tcPr>
          <w:p w14:paraId="049A2ABD"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9664717" w14:textId="77777777" w:rsidR="00657ACA" w:rsidRDefault="00657ACA" w:rsidP="00657ACA">
            <w:pPr>
              <w:jc w:val="both"/>
              <w:rPr>
                <w:rFonts w:ascii="Arial" w:hAnsi="Arial" w:cs="Arial"/>
                <w:sz w:val="20"/>
                <w:szCs w:val="20"/>
              </w:rPr>
            </w:pPr>
            <w:r>
              <w:rPr>
                <w:rFonts w:ascii="Arial" w:hAnsi="Arial" w:cs="Arial"/>
                <w:sz w:val="20"/>
                <w:szCs w:val="20"/>
              </w:rPr>
              <w:t>Hradenú liečbu môže indikovať endokrinológ, gastroenterológ pri karcinoide v gastrointestinálnom trakte alebo onkológ pri karcinoide pri</w:t>
            </w:r>
          </w:p>
          <w:p w14:paraId="53C1FA32" w14:textId="77777777" w:rsidR="00657ACA" w:rsidRDefault="00657ACA">
            <w:pPr>
              <w:numPr>
                <w:ilvl w:val="0"/>
                <w:numId w:val="87"/>
              </w:numPr>
              <w:spacing w:line="276" w:lineRule="auto"/>
              <w:jc w:val="both"/>
              <w:rPr>
                <w:rFonts w:ascii="Arial" w:hAnsi="Arial" w:cs="Arial"/>
                <w:sz w:val="20"/>
                <w:szCs w:val="20"/>
              </w:rPr>
            </w:pPr>
            <w:r>
              <w:rPr>
                <w:rFonts w:ascii="Arial" w:hAnsi="Arial" w:cs="Arial"/>
                <w:sz w:val="20"/>
                <w:szCs w:val="20"/>
              </w:rPr>
              <w:t xml:space="preserve">akromegálii, </w:t>
            </w:r>
          </w:p>
          <w:p w14:paraId="53A83CE2" w14:textId="77777777" w:rsidR="00657ACA" w:rsidRDefault="00657ACA">
            <w:pPr>
              <w:numPr>
                <w:ilvl w:val="0"/>
                <w:numId w:val="87"/>
              </w:numPr>
              <w:spacing w:line="276" w:lineRule="auto"/>
              <w:jc w:val="both"/>
              <w:rPr>
                <w:rFonts w:ascii="Arial" w:hAnsi="Arial" w:cs="Arial"/>
                <w:sz w:val="20"/>
                <w:szCs w:val="20"/>
              </w:rPr>
            </w:pPr>
            <w:r>
              <w:rPr>
                <w:rFonts w:ascii="Arial" w:hAnsi="Arial" w:cs="Arial"/>
                <w:sz w:val="20"/>
                <w:szCs w:val="20"/>
              </w:rPr>
              <w:t>tyreotropinóme hypofýzy počas predoperačnej prípravy, prípadne dlhodobo pri neúspechu neurochirurgickej alebo iradiačnej liečby,</w:t>
            </w:r>
          </w:p>
          <w:p w14:paraId="78349971" w14:textId="77777777" w:rsidR="00657ACA" w:rsidRDefault="00657ACA">
            <w:pPr>
              <w:numPr>
                <w:ilvl w:val="0"/>
                <w:numId w:val="87"/>
              </w:numPr>
              <w:spacing w:line="276" w:lineRule="auto"/>
              <w:jc w:val="both"/>
              <w:rPr>
                <w:rFonts w:ascii="Arial" w:hAnsi="Arial" w:cs="Arial"/>
                <w:sz w:val="20"/>
                <w:szCs w:val="20"/>
              </w:rPr>
            </w:pPr>
            <w:r>
              <w:rPr>
                <w:rFonts w:ascii="Arial" w:hAnsi="Arial" w:cs="Arial"/>
                <w:sz w:val="20"/>
                <w:szCs w:val="20"/>
              </w:rPr>
              <w:t>karcinoide (najmä pri prejavoch karcinoidového syndrómu) krátkodobo počas predoperačnej prípravy alebo dlhodobo pri závažných kontraindikáciách operačnej liečby ako aj pri hormonálne aktívnych metastázach</w:t>
            </w:r>
          </w:p>
          <w:p w14:paraId="4338C8CB" w14:textId="6455161A" w:rsidR="00657ACA" w:rsidRPr="0000591E" w:rsidRDefault="00657ACA" w:rsidP="00E1220A">
            <w:pPr>
              <w:numPr>
                <w:ilvl w:val="0"/>
                <w:numId w:val="87"/>
              </w:numPr>
              <w:spacing w:line="276" w:lineRule="auto"/>
              <w:jc w:val="both"/>
              <w:rPr>
                <w:rFonts w:ascii="Arial" w:hAnsi="Arial" w:cs="Arial"/>
                <w:sz w:val="20"/>
                <w:szCs w:val="20"/>
              </w:rPr>
            </w:pPr>
            <w:r>
              <w:rPr>
                <w:rFonts w:ascii="Arial" w:hAnsi="Arial" w:cs="Arial"/>
                <w:sz w:val="20"/>
                <w:szCs w:val="20"/>
              </w:rPr>
              <w:t>na liečbu Grade 1 a podskupiny Grade 2 (index proliferácie Ki67 do 10%) midgut gastroenteropankreatických neuroendokrinných tumorov (GEP-NETs), pankreatických tumorov alebo tumorov neznámeho pôvodu, kde hindgut pôvod bol vylúčený, u dospelých pacientov s neresekovateľným lokálne pokročilým alebo metastatickým ochorením.</w:t>
            </w:r>
          </w:p>
        </w:tc>
      </w:tr>
      <w:tr w:rsidR="00657ACA" w:rsidRPr="0000591E" w14:paraId="5C4F9A16" w14:textId="77777777" w:rsidTr="003F7925">
        <w:trPr>
          <w:gridAfter w:val="2"/>
          <w:wAfter w:w="154" w:type="dxa"/>
          <w:trHeight w:val="20"/>
        </w:trPr>
        <w:tc>
          <w:tcPr>
            <w:tcW w:w="1256" w:type="dxa"/>
            <w:tcBorders>
              <w:bottom w:val="single" w:sz="4" w:space="0" w:color="auto"/>
            </w:tcBorders>
            <w:noWrap/>
            <w:vAlign w:val="center"/>
          </w:tcPr>
          <w:p w14:paraId="439E698B" w14:textId="77777777" w:rsidR="00657ACA" w:rsidRDefault="00657ACA" w:rsidP="00657ACA">
            <w:pPr>
              <w:rPr>
                <w:rFonts w:ascii="Arial" w:hAnsi="Arial" w:cs="Arial"/>
                <w:b/>
                <w:bCs/>
                <w:sz w:val="20"/>
                <w:szCs w:val="20"/>
              </w:rPr>
            </w:pPr>
          </w:p>
          <w:p w14:paraId="2F43DE5A" w14:textId="77777777" w:rsidR="00657ACA" w:rsidRPr="0000591E" w:rsidRDefault="00657ACA" w:rsidP="00657ACA">
            <w:pPr>
              <w:rPr>
                <w:rFonts w:ascii="Arial" w:hAnsi="Arial" w:cs="Arial"/>
                <w:b/>
                <w:bCs/>
                <w:sz w:val="20"/>
                <w:szCs w:val="20"/>
              </w:rPr>
            </w:pPr>
            <w:r>
              <w:rPr>
                <w:rFonts w:ascii="Arial" w:hAnsi="Arial" w:cs="Arial"/>
                <w:b/>
                <w:bCs/>
                <w:sz w:val="20"/>
                <w:szCs w:val="20"/>
              </w:rPr>
              <w:t>H01CB05</w:t>
            </w:r>
          </w:p>
        </w:tc>
        <w:tc>
          <w:tcPr>
            <w:tcW w:w="9452" w:type="dxa"/>
            <w:tcBorders>
              <w:bottom w:val="single" w:sz="4" w:space="0" w:color="auto"/>
            </w:tcBorders>
            <w:noWrap/>
            <w:vAlign w:val="bottom"/>
          </w:tcPr>
          <w:p w14:paraId="59B5E8E7" w14:textId="77777777" w:rsidR="00657ACA" w:rsidRDefault="00657ACA" w:rsidP="00657ACA">
            <w:pPr>
              <w:jc w:val="both"/>
              <w:rPr>
                <w:rFonts w:ascii="Arial" w:hAnsi="Arial" w:cs="Arial"/>
                <w:b/>
                <w:bCs/>
                <w:sz w:val="20"/>
                <w:szCs w:val="20"/>
              </w:rPr>
            </w:pPr>
            <w:r>
              <w:rPr>
                <w:rFonts w:ascii="Arial" w:hAnsi="Arial" w:cs="Arial"/>
                <w:b/>
                <w:bCs/>
                <w:sz w:val="20"/>
                <w:szCs w:val="20"/>
              </w:rPr>
              <w:t>Pasireotid</w:t>
            </w:r>
            <w:r w:rsidRPr="00D06104">
              <w:rPr>
                <w:rFonts w:ascii="Arial" w:hAnsi="Arial" w:cs="Arial"/>
                <w:b/>
                <w:bCs/>
                <w:sz w:val="20"/>
                <w:szCs w:val="20"/>
              </w:rPr>
              <w:t xml:space="preserve"> parent. 40 mg</w:t>
            </w:r>
          </w:p>
          <w:p w14:paraId="32B4C753"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Pasireotid parent. 60 mg</w:t>
            </w:r>
          </w:p>
        </w:tc>
      </w:tr>
      <w:tr w:rsidR="00657ACA" w:rsidRPr="0000591E" w14:paraId="4BB2B9A5" w14:textId="77777777" w:rsidTr="003F7925">
        <w:trPr>
          <w:gridAfter w:val="2"/>
          <w:wAfter w:w="154" w:type="dxa"/>
          <w:trHeight w:val="20"/>
        </w:trPr>
        <w:tc>
          <w:tcPr>
            <w:tcW w:w="1256" w:type="dxa"/>
            <w:tcBorders>
              <w:top w:val="single" w:sz="4" w:space="0" w:color="auto"/>
            </w:tcBorders>
            <w:noWrap/>
            <w:vAlign w:val="bottom"/>
          </w:tcPr>
          <w:p w14:paraId="74D71D26"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B862EDE" w14:textId="77777777" w:rsidR="00657ACA" w:rsidRPr="00D06104" w:rsidRDefault="00657ACA" w:rsidP="00657ACA">
            <w:pPr>
              <w:jc w:val="both"/>
              <w:rPr>
                <w:rFonts w:ascii="Arial" w:hAnsi="Arial" w:cs="Arial"/>
                <w:sz w:val="20"/>
                <w:szCs w:val="20"/>
              </w:rPr>
            </w:pPr>
            <w:r w:rsidRPr="00D06104">
              <w:rPr>
                <w:rFonts w:ascii="Arial" w:hAnsi="Arial" w:cs="Arial"/>
                <w:sz w:val="20"/>
                <w:szCs w:val="20"/>
              </w:rPr>
              <w:t>Hradená liečba sa môže indikovať v monoterapii u dospelých pacientov s akromegáliou, u ktorých nie je možná chirurgická liečba alebo nebola účinná a ktorí sú neadekvátne kontrolovaní na liečbe inými analógmi somatostatínu.</w:t>
            </w:r>
          </w:p>
          <w:p w14:paraId="33BB391A" w14:textId="77777777" w:rsidR="00657ACA" w:rsidRPr="00D06104" w:rsidRDefault="00657ACA" w:rsidP="00657ACA">
            <w:pPr>
              <w:jc w:val="both"/>
              <w:rPr>
                <w:rFonts w:ascii="Arial" w:hAnsi="Arial" w:cs="Arial"/>
                <w:sz w:val="20"/>
                <w:szCs w:val="20"/>
              </w:rPr>
            </w:pPr>
            <w:r w:rsidRPr="00D06104">
              <w:rPr>
                <w:rFonts w:ascii="Arial" w:hAnsi="Arial" w:cs="Arial"/>
                <w:sz w:val="20"/>
                <w:szCs w:val="20"/>
              </w:rPr>
              <w:t>Hradená liečba sa môže indikovať v Národnom endokrinologickom a diabetologickom ústave n.o. Ľubochňa.</w:t>
            </w:r>
          </w:p>
          <w:p w14:paraId="308A7B8E" w14:textId="77777777" w:rsidR="00657ACA" w:rsidRPr="0000591E" w:rsidRDefault="00657ACA" w:rsidP="00657ACA">
            <w:pPr>
              <w:jc w:val="both"/>
              <w:rPr>
                <w:rFonts w:ascii="Arial" w:hAnsi="Arial" w:cs="Arial"/>
                <w:sz w:val="20"/>
                <w:szCs w:val="20"/>
              </w:rPr>
            </w:pPr>
          </w:p>
        </w:tc>
      </w:tr>
      <w:tr w:rsidR="00657ACA" w:rsidRPr="0000591E" w14:paraId="7EB83816" w14:textId="77777777" w:rsidTr="003F7925">
        <w:trPr>
          <w:gridAfter w:val="2"/>
          <w:wAfter w:w="154" w:type="dxa"/>
          <w:trHeight w:val="20"/>
        </w:trPr>
        <w:tc>
          <w:tcPr>
            <w:tcW w:w="1256" w:type="dxa"/>
            <w:tcBorders>
              <w:bottom w:val="single" w:sz="4" w:space="0" w:color="auto"/>
            </w:tcBorders>
            <w:noWrap/>
            <w:vAlign w:val="center"/>
          </w:tcPr>
          <w:p w14:paraId="2288DE96"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H01CC02</w:t>
            </w:r>
          </w:p>
        </w:tc>
        <w:tc>
          <w:tcPr>
            <w:tcW w:w="9452" w:type="dxa"/>
            <w:tcBorders>
              <w:bottom w:val="single" w:sz="4" w:space="0" w:color="auto"/>
            </w:tcBorders>
            <w:noWrap/>
            <w:vAlign w:val="bottom"/>
          </w:tcPr>
          <w:p w14:paraId="77CFECB1"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Cetrorelix parent. 0,25 mg</w:t>
            </w:r>
          </w:p>
        </w:tc>
      </w:tr>
      <w:tr w:rsidR="00657ACA" w:rsidRPr="0000591E" w14:paraId="1582A888" w14:textId="77777777" w:rsidTr="00E87FCA">
        <w:trPr>
          <w:gridAfter w:val="2"/>
          <w:wAfter w:w="154" w:type="dxa"/>
          <w:trHeight w:val="676"/>
        </w:trPr>
        <w:tc>
          <w:tcPr>
            <w:tcW w:w="1256" w:type="dxa"/>
            <w:tcBorders>
              <w:top w:val="single" w:sz="4" w:space="0" w:color="auto"/>
            </w:tcBorders>
            <w:noWrap/>
            <w:vAlign w:val="bottom"/>
          </w:tcPr>
          <w:p w14:paraId="7C4C9282" w14:textId="2BCF83C0" w:rsidR="00657ACA" w:rsidRPr="009C46D1" w:rsidRDefault="00657ACA" w:rsidP="00657ACA">
            <w:pPr>
              <w:jc w:val="both"/>
              <w:rPr>
                <w:rFonts w:ascii="Arial" w:hAnsi="Arial" w:cs="Arial"/>
                <w:b/>
                <w:sz w:val="20"/>
                <w:szCs w:val="20"/>
              </w:rPr>
            </w:pPr>
          </w:p>
        </w:tc>
        <w:tc>
          <w:tcPr>
            <w:tcW w:w="9452" w:type="dxa"/>
            <w:tcBorders>
              <w:top w:val="single" w:sz="4" w:space="0" w:color="auto"/>
            </w:tcBorders>
          </w:tcPr>
          <w:p w14:paraId="209D826F" w14:textId="77777777" w:rsidR="00657ACA" w:rsidRPr="00846230" w:rsidRDefault="00657ACA" w:rsidP="00657ACA">
            <w:pPr>
              <w:jc w:val="both"/>
              <w:rPr>
                <w:rFonts w:ascii="Arial" w:hAnsi="Arial" w:cs="Arial"/>
                <w:sz w:val="20"/>
                <w:szCs w:val="20"/>
              </w:rPr>
            </w:pPr>
            <w:r w:rsidRPr="00846230">
              <w:rPr>
                <w:rFonts w:ascii="Arial" w:hAnsi="Arial" w:cs="Arial"/>
                <w:sz w:val="20"/>
                <w:szCs w:val="20"/>
              </w:rPr>
              <w:t>Hradená liečba sa môže indikovať na schválenom pracovisku pre IVF ako prevenciu predčasnej ovulácie u pacientiek podstupujúcich kontrolovanú ovariálnu stimuláciu, po ktorej nasleduje odber oocytov.</w:t>
            </w:r>
          </w:p>
          <w:p w14:paraId="3518DA7C" w14:textId="0E671399" w:rsidR="00657ACA" w:rsidRPr="009C46D1" w:rsidRDefault="00657ACA" w:rsidP="00657ACA">
            <w:pPr>
              <w:jc w:val="both"/>
              <w:rPr>
                <w:rFonts w:ascii="Arial" w:hAnsi="Arial" w:cs="Arial"/>
                <w:b/>
                <w:sz w:val="20"/>
                <w:szCs w:val="20"/>
              </w:rPr>
            </w:pPr>
            <w:r w:rsidRPr="009C46D1">
              <w:rPr>
                <w:rFonts w:ascii="Arial" w:hAnsi="Arial" w:cs="Arial"/>
                <w:b/>
                <w:sz w:val="20"/>
                <w:szCs w:val="20"/>
              </w:rPr>
              <w:t xml:space="preserve"> </w:t>
            </w:r>
          </w:p>
        </w:tc>
      </w:tr>
      <w:tr w:rsidR="00E87FCA" w:rsidRPr="0000591E" w14:paraId="0F9279A8" w14:textId="77777777" w:rsidTr="00E87FCA">
        <w:trPr>
          <w:gridAfter w:val="2"/>
          <w:wAfter w:w="154" w:type="dxa"/>
          <w:trHeight w:val="238"/>
        </w:trPr>
        <w:tc>
          <w:tcPr>
            <w:tcW w:w="1256" w:type="dxa"/>
            <w:tcBorders>
              <w:bottom w:val="single" w:sz="4" w:space="0" w:color="auto"/>
            </w:tcBorders>
            <w:noWrap/>
            <w:vAlign w:val="bottom"/>
          </w:tcPr>
          <w:p w14:paraId="42ECFF9A" w14:textId="52FE292D" w:rsidR="00E87FCA" w:rsidRPr="00846230" w:rsidRDefault="00E87FCA" w:rsidP="00657ACA">
            <w:pPr>
              <w:jc w:val="both"/>
              <w:rPr>
                <w:rFonts w:ascii="Arial" w:hAnsi="Arial" w:cs="Arial"/>
                <w:b/>
                <w:bCs/>
                <w:sz w:val="20"/>
                <w:szCs w:val="20"/>
              </w:rPr>
            </w:pPr>
            <w:r w:rsidRPr="009C46D1">
              <w:rPr>
                <w:rFonts w:ascii="Arial" w:hAnsi="Arial" w:cs="Arial"/>
                <w:b/>
                <w:sz w:val="20"/>
                <w:szCs w:val="20"/>
              </w:rPr>
              <w:t>H02AA02</w:t>
            </w:r>
          </w:p>
        </w:tc>
        <w:tc>
          <w:tcPr>
            <w:tcW w:w="9452" w:type="dxa"/>
            <w:tcBorders>
              <w:bottom w:val="single" w:sz="4" w:space="0" w:color="auto"/>
            </w:tcBorders>
          </w:tcPr>
          <w:p w14:paraId="19168253" w14:textId="57C70301" w:rsidR="00E87FCA" w:rsidRPr="009C46D1" w:rsidRDefault="00E87FCA" w:rsidP="00E87FCA">
            <w:pPr>
              <w:jc w:val="both"/>
              <w:rPr>
                <w:rFonts w:ascii="Arial" w:hAnsi="Arial" w:cs="Arial"/>
                <w:sz w:val="20"/>
                <w:szCs w:val="20"/>
              </w:rPr>
            </w:pPr>
            <w:r w:rsidRPr="009C46D1">
              <w:rPr>
                <w:rFonts w:ascii="Arial" w:hAnsi="Arial" w:cs="Arial"/>
                <w:b/>
                <w:sz w:val="20"/>
                <w:szCs w:val="20"/>
              </w:rPr>
              <w:t>Fludrokortizón</w:t>
            </w:r>
            <w:r>
              <w:rPr>
                <w:rFonts w:ascii="Arial" w:hAnsi="Arial" w:cs="Arial"/>
                <w:b/>
                <w:sz w:val="20"/>
                <w:szCs w:val="20"/>
              </w:rPr>
              <w:t xml:space="preserve"> </w:t>
            </w:r>
            <w:r w:rsidRPr="009C46D1">
              <w:rPr>
                <w:rFonts w:ascii="Arial" w:hAnsi="Arial" w:cs="Arial"/>
                <w:b/>
                <w:sz w:val="20"/>
                <w:szCs w:val="20"/>
              </w:rPr>
              <w:t>p.o. 0,1 mg</w:t>
            </w:r>
          </w:p>
        </w:tc>
      </w:tr>
      <w:tr w:rsidR="00E87FCA" w:rsidRPr="0000591E" w14:paraId="1A5A879E" w14:textId="77777777" w:rsidTr="00E87FCA">
        <w:trPr>
          <w:gridAfter w:val="2"/>
          <w:wAfter w:w="154" w:type="dxa"/>
          <w:trHeight w:val="676"/>
        </w:trPr>
        <w:tc>
          <w:tcPr>
            <w:tcW w:w="1256" w:type="dxa"/>
            <w:tcBorders>
              <w:top w:val="single" w:sz="4" w:space="0" w:color="auto"/>
            </w:tcBorders>
            <w:noWrap/>
            <w:vAlign w:val="bottom"/>
          </w:tcPr>
          <w:p w14:paraId="6B9D1AAC" w14:textId="77777777" w:rsidR="00E87FCA" w:rsidRPr="00846230" w:rsidRDefault="00E87FCA" w:rsidP="00657ACA">
            <w:pPr>
              <w:jc w:val="both"/>
              <w:rPr>
                <w:rFonts w:ascii="Arial" w:hAnsi="Arial" w:cs="Arial"/>
                <w:b/>
                <w:bCs/>
                <w:sz w:val="20"/>
                <w:szCs w:val="20"/>
              </w:rPr>
            </w:pPr>
          </w:p>
        </w:tc>
        <w:tc>
          <w:tcPr>
            <w:tcW w:w="9452" w:type="dxa"/>
            <w:tcBorders>
              <w:top w:val="single" w:sz="4" w:space="0" w:color="auto"/>
            </w:tcBorders>
          </w:tcPr>
          <w:p w14:paraId="02DBA4AB" w14:textId="77777777" w:rsidR="00E87FCA" w:rsidRPr="009C46D1" w:rsidRDefault="00E87FCA" w:rsidP="00E87FCA">
            <w:pPr>
              <w:jc w:val="both"/>
              <w:rPr>
                <w:rFonts w:ascii="Arial" w:hAnsi="Arial" w:cs="Arial"/>
                <w:sz w:val="20"/>
                <w:szCs w:val="20"/>
              </w:rPr>
            </w:pPr>
            <w:r w:rsidRPr="009C46D1">
              <w:rPr>
                <w:rFonts w:ascii="Arial" w:hAnsi="Arial" w:cs="Arial"/>
                <w:sz w:val="20"/>
                <w:szCs w:val="20"/>
              </w:rPr>
              <w:t xml:space="preserve">Fludrokortizón je indikovaný na liečbu: </w:t>
            </w:r>
          </w:p>
          <w:p w14:paraId="3F48DA69" w14:textId="77777777" w:rsidR="00E87FCA" w:rsidRPr="009C46D1" w:rsidRDefault="00E87FCA" w:rsidP="00E87FCA">
            <w:pPr>
              <w:jc w:val="both"/>
              <w:rPr>
                <w:rFonts w:ascii="Arial" w:hAnsi="Arial" w:cs="Arial"/>
                <w:sz w:val="20"/>
                <w:szCs w:val="20"/>
              </w:rPr>
            </w:pPr>
            <w:r w:rsidRPr="009C46D1">
              <w:rPr>
                <w:rFonts w:ascii="Arial" w:hAnsi="Arial" w:cs="Arial"/>
                <w:sz w:val="20"/>
                <w:szCs w:val="20"/>
              </w:rPr>
              <w:t xml:space="preserve">- Addisonovej choroby, </w:t>
            </w:r>
          </w:p>
          <w:p w14:paraId="0578103C" w14:textId="77777777" w:rsidR="00E87FCA" w:rsidRDefault="00E87FCA" w:rsidP="00E87FCA">
            <w:pPr>
              <w:jc w:val="both"/>
              <w:rPr>
                <w:rFonts w:ascii="Arial" w:hAnsi="Arial" w:cs="Arial"/>
                <w:sz w:val="20"/>
                <w:szCs w:val="20"/>
              </w:rPr>
            </w:pPr>
            <w:r w:rsidRPr="009C46D1">
              <w:rPr>
                <w:rFonts w:ascii="Arial" w:hAnsi="Arial" w:cs="Arial"/>
                <w:sz w:val="20"/>
                <w:szCs w:val="20"/>
              </w:rPr>
              <w:t>-kongenitálnej adrenálnej hyperplázie.</w:t>
            </w:r>
          </w:p>
          <w:p w14:paraId="051539E4" w14:textId="68EFC104" w:rsidR="00E87FCA" w:rsidRPr="009C46D1" w:rsidRDefault="00E87FCA" w:rsidP="00E87FCA">
            <w:pPr>
              <w:jc w:val="both"/>
              <w:rPr>
                <w:rFonts w:ascii="Arial" w:hAnsi="Arial" w:cs="Arial"/>
                <w:sz w:val="20"/>
                <w:szCs w:val="20"/>
              </w:rPr>
            </w:pPr>
          </w:p>
        </w:tc>
      </w:tr>
      <w:tr w:rsidR="00657ACA" w:rsidRPr="0000591E" w14:paraId="6C80BE2A" w14:textId="77777777" w:rsidTr="00E87FCA">
        <w:trPr>
          <w:gridAfter w:val="2"/>
          <w:wAfter w:w="154" w:type="dxa"/>
          <w:trHeight w:val="340"/>
        </w:trPr>
        <w:tc>
          <w:tcPr>
            <w:tcW w:w="1256" w:type="dxa"/>
            <w:tcBorders>
              <w:top w:val="single" w:sz="4" w:space="0" w:color="auto"/>
            </w:tcBorders>
            <w:noWrap/>
            <w:vAlign w:val="bottom"/>
          </w:tcPr>
          <w:p w14:paraId="508828F2" w14:textId="6E95C27C" w:rsidR="00657ACA" w:rsidRPr="00846230" w:rsidRDefault="00E87FCA" w:rsidP="00657ACA">
            <w:pPr>
              <w:jc w:val="both"/>
              <w:rPr>
                <w:rFonts w:ascii="Arial" w:hAnsi="Arial" w:cs="Arial"/>
                <w:sz w:val="20"/>
                <w:szCs w:val="20"/>
              </w:rPr>
            </w:pPr>
            <w:r w:rsidRPr="00846230">
              <w:rPr>
                <w:rFonts w:ascii="Arial" w:hAnsi="Arial" w:cs="Arial"/>
                <w:b/>
                <w:bCs/>
                <w:sz w:val="20"/>
                <w:szCs w:val="20"/>
              </w:rPr>
              <w:t>H02CA0</w:t>
            </w:r>
            <w:r>
              <w:rPr>
                <w:rFonts w:ascii="Arial" w:hAnsi="Arial" w:cs="Arial"/>
                <w:b/>
                <w:bCs/>
                <w:sz w:val="20"/>
                <w:szCs w:val="20"/>
              </w:rPr>
              <w:t>2</w:t>
            </w:r>
          </w:p>
        </w:tc>
        <w:tc>
          <w:tcPr>
            <w:tcW w:w="9452" w:type="dxa"/>
            <w:tcBorders>
              <w:top w:val="single" w:sz="4" w:space="0" w:color="auto"/>
            </w:tcBorders>
          </w:tcPr>
          <w:p w14:paraId="5D4B24F4" w14:textId="77777777" w:rsidR="00E87FCA" w:rsidRDefault="00E87FCA" w:rsidP="00657ACA">
            <w:pPr>
              <w:jc w:val="both"/>
              <w:rPr>
                <w:rFonts w:ascii="Arial" w:hAnsi="Arial" w:cs="Arial"/>
                <w:b/>
                <w:bCs/>
                <w:sz w:val="20"/>
                <w:szCs w:val="20"/>
              </w:rPr>
            </w:pPr>
            <w:r w:rsidRPr="00E87FCA">
              <w:rPr>
                <w:rFonts w:ascii="Arial" w:hAnsi="Arial" w:cs="Arial"/>
                <w:b/>
                <w:bCs/>
                <w:sz w:val="20"/>
                <w:szCs w:val="20"/>
              </w:rPr>
              <w:t>Osilodrostat</w:t>
            </w:r>
            <w:r>
              <w:rPr>
                <w:rFonts w:ascii="Arial" w:hAnsi="Arial" w:cs="Arial"/>
                <w:b/>
                <w:bCs/>
                <w:sz w:val="20"/>
                <w:szCs w:val="20"/>
              </w:rPr>
              <w:t xml:space="preserve"> </w:t>
            </w:r>
            <w:r w:rsidRPr="00E87FCA">
              <w:rPr>
                <w:rFonts w:ascii="Arial" w:hAnsi="Arial" w:cs="Arial"/>
                <w:b/>
                <w:bCs/>
                <w:sz w:val="20"/>
                <w:szCs w:val="20"/>
              </w:rPr>
              <w:t>p.o. 1 mg</w:t>
            </w:r>
          </w:p>
          <w:p w14:paraId="11025FF4" w14:textId="72D777E4" w:rsidR="00E87FCA" w:rsidRDefault="00E87FCA" w:rsidP="00657ACA">
            <w:pPr>
              <w:jc w:val="both"/>
              <w:rPr>
                <w:rFonts w:ascii="Arial" w:hAnsi="Arial" w:cs="Arial"/>
                <w:b/>
                <w:bCs/>
                <w:sz w:val="20"/>
                <w:szCs w:val="20"/>
              </w:rPr>
            </w:pPr>
            <w:r w:rsidRPr="00E87FCA">
              <w:rPr>
                <w:rFonts w:ascii="Arial" w:hAnsi="Arial" w:cs="Arial"/>
                <w:b/>
                <w:bCs/>
                <w:sz w:val="20"/>
                <w:szCs w:val="20"/>
              </w:rPr>
              <w:t>Osilodrostat</w:t>
            </w:r>
            <w:r>
              <w:rPr>
                <w:rFonts w:ascii="Arial" w:hAnsi="Arial" w:cs="Arial"/>
                <w:b/>
                <w:bCs/>
                <w:sz w:val="20"/>
                <w:szCs w:val="20"/>
              </w:rPr>
              <w:t xml:space="preserve"> </w:t>
            </w:r>
            <w:r w:rsidRPr="00E87FCA">
              <w:rPr>
                <w:rFonts w:ascii="Arial" w:hAnsi="Arial" w:cs="Arial"/>
                <w:b/>
                <w:bCs/>
                <w:sz w:val="20"/>
                <w:szCs w:val="20"/>
              </w:rPr>
              <w:t xml:space="preserve">p.o. </w:t>
            </w:r>
            <w:r>
              <w:rPr>
                <w:rFonts w:ascii="Arial" w:hAnsi="Arial" w:cs="Arial"/>
                <w:b/>
                <w:bCs/>
                <w:sz w:val="20"/>
                <w:szCs w:val="20"/>
              </w:rPr>
              <w:t>5</w:t>
            </w:r>
            <w:r w:rsidRPr="00E87FCA">
              <w:rPr>
                <w:rFonts w:ascii="Arial" w:hAnsi="Arial" w:cs="Arial"/>
                <w:b/>
                <w:bCs/>
                <w:sz w:val="20"/>
                <w:szCs w:val="20"/>
              </w:rPr>
              <w:t xml:space="preserve"> mg</w:t>
            </w:r>
          </w:p>
          <w:p w14:paraId="0B7A439E" w14:textId="4F1F6116" w:rsidR="00657ACA" w:rsidRPr="00E87FCA" w:rsidRDefault="00E87FCA" w:rsidP="00657ACA">
            <w:pPr>
              <w:jc w:val="both"/>
              <w:rPr>
                <w:rFonts w:ascii="Arial" w:hAnsi="Arial" w:cs="Arial"/>
                <w:b/>
                <w:bCs/>
                <w:sz w:val="20"/>
                <w:szCs w:val="20"/>
              </w:rPr>
            </w:pPr>
            <w:r w:rsidRPr="00E87FCA">
              <w:rPr>
                <w:rFonts w:ascii="Arial" w:hAnsi="Arial" w:cs="Arial"/>
                <w:b/>
                <w:bCs/>
                <w:sz w:val="20"/>
                <w:szCs w:val="20"/>
              </w:rPr>
              <w:t>Osilodrostat</w:t>
            </w:r>
            <w:r>
              <w:rPr>
                <w:rFonts w:ascii="Arial" w:hAnsi="Arial" w:cs="Arial"/>
                <w:b/>
                <w:bCs/>
                <w:sz w:val="20"/>
                <w:szCs w:val="20"/>
              </w:rPr>
              <w:t xml:space="preserve"> </w:t>
            </w:r>
            <w:r w:rsidRPr="00E87FCA">
              <w:rPr>
                <w:rFonts w:ascii="Arial" w:hAnsi="Arial" w:cs="Arial"/>
                <w:b/>
                <w:bCs/>
                <w:sz w:val="20"/>
                <w:szCs w:val="20"/>
              </w:rPr>
              <w:t>p.o. 1</w:t>
            </w:r>
            <w:r>
              <w:rPr>
                <w:rFonts w:ascii="Arial" w:hAnsi="Arial" w:cs="Arial"/>
                <w:b/>
                <w:bCs/>
                <w:sz w:val="20"/>
                <w:szCs w:val="20"/>
              </w:rPr>
              <w:t>0</w:t>
            </w:r>
            <w:r w:rsidRPr="00E87FCA">
              <w:rPr>
                <w:rFonts w:ascii="Arial" w:hAnsi="Arial" w:cs="Arial"/>
                <w:b/>
                <w:bCs/>
                <w:sz w:val="20"/>
                <w:szCs w:val="20"/>
              </w:rPr>
              <w:t xml:space="preserve"> mg </w:t>
            </w:r>
          </w:p>
        </w:tc>
      </w:tr>
      <w:tr w:rsidR="00E87FCA" w:rsidRPr="0000591E" w14:paraId="59930F09" w14:textId="77777777" w:rsidTr="00E87FCA">
        <w:trPr>
          <w:gridAfter w:val="2"/>
          <w:wAfter w:w="154" w:type="dxa"/>
          <w:trHeight w:val="290"/>
        </w:trPr>
        <w:tc>
          <w:tcPr>
            <w:tcW w:w="1256" w:type="dxa"/>
            <w:tcBorders>
              <w:top w:val="single" w:sz="4" w:space="0" w:color="auto"/>
            </w:tcBorders>
            <w:noWrap/>
            <w:vAlign w:val="bottom"/>
          </w:tcPr>
          <w:p w14:paraId="48B20FBF" w14:textId="77777777" w:rsidR="00E87FCA" w:rsidRPr="00846230" w:rsidRDefault="00E87FCA" w:rsidP="00657ACA">
            <w:pPr>
              <w:jc w:val="both"/>
              <w:rPr>
                <w:rFonts w:ascii="Arial" w:hAnsi="Arial" w:cs="Arial"/>
                <w:b/>
                <w:bCs/>
                <w:sz w:val="20"/>
                <w:szCs w:val="20"/>
              </w:rPr>
            </w:pPr>
          </w:p>
        </w:tc>
        <w:tc>
          <w:tcPr>
            <w:tcW w:w="9452" w:type="dxa"/>
            <w:tcBorders>
              <w:top w:val="single" w:sz="4" w:space="0" w:color="auto"/>
            </w:tcBorders>
          </w:tcPr>
          <w:p w14:paraId="7D7AA4D2" w14:textId="77777777" w:rsidR="00E87FCA" w:rsidRPr="00E87FCA" w:rsidRDefault="00E87FCA" w:rsidP="00E87FCA">
            <w:pPr>
              <w:jc w:val="both"/>
              <w:rPr>
                <w:rFonts w:ascii="Arial" w:hAnsi="Arial" w:cs="Arial"/>
                <w:bCs/>
                <w:sz w:val="20"/>
                <w:szCs w:val="20"/>
              </w:rPr>
            </w:pPr>
            <w:r w:rsidRPr="00E87FCA">
              <w:rPr>
                <w:rFonts w:ascii="Arial" w:hAnsi="Arial" w:cs="Arial"/>
                <w:bCs/>
                <w:sz w:val="20"/>
                <w:szCs w:val="20"/>
              </w:rPr>
              <w:t>Hradená liečba sa môže indikovať:</w:t>
            </w:r>
          </w:p>
          <w:p w14:paraId="389AE7A2" w14:textId="77777777" w:rsidR="00E87FCA" w:rsidRDefault="00E87FCA" w:rsidP="00E87FCA">
            <w:pPr>
              <w:jc w:val="both"/>
              <w:rPr>
                <w:rFonts w:ascii="Arial" w:hAnsi="Arial" w:cs="Arial"/>
                <w:bCs/>
                <w:sz w:val="20"/>
                <w:szCs w:val="20"/>
              </w:rPr>
            </w:pPr>
            <w:r w:rsidRPr="00E87FCA">
              <w:rPr>
                <w:rFonts w:ascii="Arial" w:hAnsi="Arial" w:cs="Arial"/>
                <w:bCs/>
                <w:sz w:val="20"/>
                <w:szCs w:val="20"/>
              </w:rPr>
              <w:t>- na liečbu endogénneho Cushingovho syndrómu u dospelých pacientov.</w:t>
            </w:r>
          </w:p>
          <w:p w14:paraId="7212E2C8" w14:textId="651209DE" w:rsidR="00E87FCA" w:rsidRPr="00E87FCA" w:rsidRDefault="00E87FCA" w:rsidP="00E87FCA">
            <w:pPr>
              <w:jc w:val="both"/>
              <w:rPr>
                <w:rFonts w:ascii="Arial" w:hAnsi="Arial" w:cs="Arial"/>
                <w:bCs/>
                <w:sz w:val="20"/>
                <w:szCs w:val="20"/>
              </w:rPr>
            </w:pPr>
          </w:p>
        </w:tc>
      </w:tr>
      <w:tr w:rsidR="00E87FCA" w:rsidRPr="0000591E" w14:paraId="1616D6D0" w14:textId="77777777" w:rsidTr="00E87FCA">
        <w:trPr>
          <w:gridAfter w:val="2"/>
          <w:wAfter w:w="154" w:type="dxa"/>
          <w:trHeight w:val="290"/>
        </w:trPr>
        <w:tc>
          <w:tcPr>
            <w:tcW w:w="1256" w:type="dxa"/>
            <w:tcBorders>
              <w:bottom w:val="single" w:sz="4" w:space="0" w:color="auto"/>
            </w:tcBorders>
            <w:noWrap/>
            <w:vAlign w:val="bottom"/>
          </w:tcPr>
          <w:p w14:paraId="2BD02C7E" w14:textId="35F94F94" w:rsidR="00E87FCA" w:rsidRPr="00846230" w:rsidRDefault="00E87FCA" w:rsidP="00657ACA">
            <w:pPr>
              <w:jc w:val="both"/>
              <w:rPr>
                <w:rFonts w:ascii="Arial" w:hAnsi="Arial" w:cs="Arial"/>
                <w:sz w:val="20"/>
                <w:szCs w:val="20"/>
              </w:rPr>
            </w:pPr>
            <w:r w:rsidRPr="00846230">
              <w:rPr>
                <w:rFonts w:ascii="Arial" w:hAnsi="Arial" w:cs="Arial"/>
                <w:b/>
                <w:bCs/>
                <w:sz w:val="20"/>
                <w:szCs w:val="20"/>
              </w:rPr>
              <w:t>H02CA03</w:t>
            </w:r>
          </w:p>
        </w:tc>
        <w:tc>
          <w:tcPr>
            <w:tcW w:w="9452" w:type="dxa"/>
            <w:tcBorders>
              <w:bottom w:val="single" w:sz="4" w:space="0" w:color="auto"/>
            </w:tcBorders>
          </w:tcPr>
          <w:p w14:paraId="6C47B5D0" w14:textId="1243769D" w:rsidR="00E87FCA" w:rsidRPr="00846230" w:rsidRDefault="00E87FCA" w:rsidP="00657ACA">
            <w:pPr>
              <w:jc w:val="both"/>
              <w:rPr>
                <w:rFonts w:ascii="Arial" w:hAnsi="Arial" w:cs="Arial"/>
                <w:sz w:val="20"/>
                <w:szCs w:val="20"/>
              </w:rPr>
            </w:pPr>
            <w:r w:rsidRPr="00846230">
              <w:rPr>
                <w:rFonts w:ascii="Arial" w:hAnsi="Arial" w:cs="Arial"/>
                <w:b/>
                <w:sz w:val="20"/>
                <w:szCs w:val="20"/>
              </w:rPr>
              <w:t>Ketokonazol p.o. 200 mg</w:t>
            </w:r>
          </w:p>
        </w:tc>
      </w:tr>
      <w:tr w:rsidR="00657ACA" w:rsidRPr="0000591E" w14:paraId="79F543EC" w14:textId="77777777" w:rsidTr="00E87FCA">
        <w:trPr>
          <w:gridAfter w:val="2"/>
          <w:wAfter w:w="154" w:type="dxa"/>
          <w:trHeight w:val="676"/>
        </w:trPr>
        <w:tc>
          <w:tcPr>
            <w:tcW w:w="1256" w:type="dxa"/>
            <w:tcBorders>
              <w:top w:val="single" w:sz="4" w:space="0" w:color="auto"/>
            </w:tcBorders>
            <w:noWrap/>
            <w:vAlign w:val="bottom"/>
          </w:tcPr>
          <w:p w14:paraId="220C5330" w14:textId="77777777" w:rsidR="00657ACA" w:rsidRPr="00846230" w:rsidRDefault="00657ACA" w:rsidP="00657ACA">
            <w:pPr>
              <w:jc w:val="both"/>
              <w:rPr>
                <w:rFonts w:ascii="Arial" w:hAnsi="Arial" w:cs="Arial"/>
                <w:sz w:val="20"/>
                <w:szCs w:val="20"/>
              </w:rPr>
            </w:pPr>
          </w:p>
        </w:tc>
        <w:tc>
          <w:tcPr>
            <w:tcW w:w="9452" w:type="dxa"/>
            <w:tcBorders>
              <w:top w:val="single" w:sz="4" w:space="0" w:color="auto"/>
            </w:tcBorders>
          </w:tcPr>
          <w:p w14:paraId="4DE00AB7" w14:textId="77777777" w:rsidR="00657ACA" w:rsidRDefault="00657ACA" w:rsidP="00657ACA">
            <w:pPr>
              <w:jc w:val="both"/>
              <w:rPr>
                <w:rFonts w:ascii="Arial" w:hAnsi="Arial" w:cs="Arial"/>
                <w:sz w:val="20"/>
                <w:szCs w:val="20"/>
              </w:rPr>
            </w:pPr>
            <w:r w:rsidRPr="00846230">
              <w:rPr>
                <w:rFonts w:ascii="Arial" w:hAnsi="Arial" w:cs="Arial"/>
                <w:sz w:val="20"/>
                <w:szCs w:val="20"/>
              </w:rPr>
              <w:t>Hradená liečba sa môže  indikovať na liečbu endogénneho Cushingovho syndrómu u dospelých a dospievajúcich starších než 12 rokov.</w:t>
            </w:r>
          </w:p>
          <w:p w14:paraId="15ECC2D7" w14:textId="77777777" w:rsidR="00ED27F2" w:rsidRDefault="00ED27F2" w:rsidP="00657ACA">
            <w:pPr>
              <w:jc w:val="both"/>
              <w:rPr>
                <w:rFonts w:ascii="Arial" w:hAnsi="Arial" w:cs="Arial"/>
                <w:sz w:val="20"/>
                <w:szCs w:val="20"/>
              </w:rPr>
            </w:pPr>
          </w:p>
          <w:p w14:paraId="74B90B59" w14:textId="52DB7A12" w:rsidR="00657ACA" w:rsidRPr="00846230" w:rsidRDefault="00657ACA" w:rsidP="00657ACA">
            <w:pPr>
              <w:jc w:val="both"/>
              <w:rPr>
                <w:rFonts w:ascii="Arial" w:hAnsi="Arial" w:cs="Arial"/>
                <w:sz w:val="20"/>
                <w:szCs w:val="20"/>
              </w:rPr>
            </w:pPr>
          </w:p>
        </w:tc>
      </w:tr>
      <w:tr w:rsidR="00657ACA" w:rsidRPr="0000591E" w14:paraId="47AB2F7F" w14:textId="77777777" w:rsidTr="003F7925">
        <w:trPr>
          <w:gridAfter w:val="2"/>
          <w:wAfter w:w="154" w:type="dxa"/>
          <w:trHeight w:val="20"/>
        </w:trPr>
        <w:tc>
          <w:tcPr>
            <w:tcW w:w="1256" w:type="dxa"/>
            <w:tcBorders>
              <w:bottom w:val="single" w:sz="4" w:space="0" w:color="auto"/>
            </w:tcBorders>
            <w:noWrap/>
            <w:vAlign w:val="bottom"/>
          </w:tcPr>
          <w:p w14:paraId="513BB8D5" w14:textId="77777777" w:rsidR="00657ACA" w:rsidRPr="00846230" w:rsidRDefault="00657ACA" w:rsidP="00657ACA">
            <w:pPr>
              <w:jc w:val="both"/>
              <w:rPr>
                <w:rFonts w:ascii="Arial" w:hAnsi="Arial" w:cs="Arial"/>
                <w:b/>
                <w:bCs/>
                <w:sz w:val="20"/>
                <w:szCs w:val="20"/>
              </w:rPr>
            </w:pPr>
            <w:r w:rsidRPr="00846230">
              <w:rPr>
                <w:rFonts w:ascii="Arial" w:hAnsi="Arial" w:cs="Arial"/>
                <w:b/>
                <w:bCs/>
                <w:sz w:val="20"/>
                <w:szCs w:val="20"/>
              </w:rPr>
              <w:t>H04AA01</w:t>
            </w:r>
          </w:p>
        </w:tc>
        <w:tc>
          <w:tcPr>
            <w:tcW w:w="9452" w:type="dxa"/>
            <w:tcBorders>
              <w:bottom w:val="single" w:sz="4" w:space="0" w:color="auto"/>
            </w:tcBorders>
            <w:noWrap/>
            <w:vAlign w:val="bottom"/>
          </w:tcPr>
          <w:p w14:paraId="7B2EA635" w14:textId="77777777" w:rsidR="00657ACA" w:rsidRPr="00846230" w:rsidRDefault="00657ACA" w:rsidP="00657ACA">
            <w:pPr>
              <w:jc w:val="both"/>
              <w:rPr>
                <w:rFonts w:ascii="Arial" w:hAnsi="Arial" w:cs="Arial"/>
                <w:b/>
                <w:bCs/>
                <w:sz w:val="20"/>
                <w:szCs w:val="20"/>
              </w:rPr>
            </w:pPr>
            <w:r w:rsidRPr="00846230">
              <w:rPr>
                <w:rFonts w:ascii="Arial" w:hAnsi="Arial" w:cs="Arial"/>
                <w:b/>
                <w:bCs/>
                <w:sz w:val="20"/>
                <w:szCs w:val="20"/>
              </w:rPr>
              <w:t xml:space="preserve">Glukagón parent. hypokit </w:t>
            </w:r>
          </w:p>
        </w:tc>
      </w:tr>
      <w:tr w:rsidR="00657ACA" w:rsidRPr="0000591E" w14:paraId="2D909F07" w14:textId="77777777" w:rsidTr="003F7925">
        <w:trPr>
          <w:gridAfter w:val="2"/>
          <w:wAfter w:w="154" w:type="dxa"/>
          <w:trHeight w:val="20"/>
        </w:trPr>
        <w:tc>
          <w:tcPr>
            <w:tcW w:w="1256" w:type="dxa"/>
            <w:tcBorders>
              <w:top w:val="single" w:sz="4" w:space="0" w:color="auto"/>
            </w:tcBorders>
            <w:noWrap/>
            <w:vAlign w:val="bottom"/>
          </w:tcPr>
          <w:p w14:paraId="0D49F8E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9DD65C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labilnom DM I. typu s hypoglykémiami.</w:t>
            </w:r>
          </w:p>
          <w:p w14:paraId="6D95F97A" w14:textId="77777777" w:rsidR="00657ACA" w:rsidRPr="0000591E" w:rsidRDefault="00657ACA" w:rsidP="00657ACA">
            <w:pPr>
              <w:jc w:val="both"/>
              <w:rPr>
                <w:rFonts w:ascii="Arial" w:hAnsi="Arial" w:cs="Arial"/>
                <w:sz w:val="20"/>
                <w:szCs w:val="20"/>
              </w:rPr>
            </w:pPr>
          </w:p>
        </w:tc>
      </w:tr>
      <w:tr w:rsidR="00657ACA" w:rsidRPr="0000591E" w14:paraId="0D301CB2" w14:textId="77777777" w:rsidTr="003F7925">
        <w:trPr>
          <w:gridAfter w:val="2"/>
          <w:wAfter w:w="154" w:type="dxa"/>
          <w:trHeight w:val="20"/>
        </w:trPr>
        <w:tc>
          <w:tcPr>
            <w:tcW w:w="1256" w:type="dxa"/>
            <w:tcBorders>
              <w:bottom w:val="single" w:sz="4" w:space="0" w:color="auto"/>
            </w:tcBorders>
            <w:noWrap/>
            <w:vAlign w:val="bottom"/>
          </w:tcPr>
          <w:p w14:paraId="2031A3FD"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H04AA01</w:t>
            </w:r>
          </w:p>
        </w:tc>
        <w:tc>
          <w:tcPr>
            <w:tcW w:w="9452" w:type="dxa"/>
            <w:tcBorders>
              <w:bottom w:val="single" w:sz="4" w:space="0" w:color="auto"/>
            </w:tcBorders>
            <w:noWrap/>
            <w:vAlign w:val="bottom"/>
          </w:tcPr>
          <w:p w14:paraId="2B6CEF96"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Glukagón nasal. 3 mg</w:t>
            </w:r>
          </w:p>
        </w:tc>
      </w:tr>
      <w:tr w:rsidR="00657ACA" w:rsidRPr="0000591E" w14:paraId="4E88C1BD" w14:textId="77777777" w:rsidTr="003F7925">
        <w:trPr>
          <w:gridAfter w:val="2"/>
          <w:wAfter w:w="154" w:type="dxa"/>
          <w:trHeight w:val="20"/>
        </w:trPr>
        <w:tc>
          <w:tcPr>
            <w:tcW w:w="1256" w:type="dxa"/>
            <w:tcBorders>
              <w:top w:val="single" w:sz="4" w:space="0" w:color="auto"/>
            </w:tcBorders>
            <w:noWrap/>
            <w:vAlign w:val="bottom"/>
          </w:tcPr>
          <w:p w14:paraId="09C98BEB"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4097324" w14:textId="77777777" w:rsidR="00657ACA" w:rsidRPr="00DE1B87" w:rsidRDefault="00657ACA" w:rsidP="00657ACA">
            <w:pPr>
              <w:autoSpaceDE w:val="0"/>
              <w:autoSpaceDN w:val="0"/>
              <w:adjustRightInd w:val="0"/>
              <w:jc w:val="both"/>
              <w:rPr>
                <w:rFonts w:ascii="Arial" w:hAnsi="Arial" w:cs="Arial"/>
                <w:color w:val="000000"/>
                <w:sz w:val="20"/>
                <w:szCs w:val="20"/>
              </w:rPr>
            </w:pPr>
            <w:r w:rsidRPr="00DE1B87">
              <w:rPr>
                <w:rFonts w:ascii="Arial" w:hAnsi="Arial" w:cs="Arial"/>
                <w:color w:val="000000"/>
                <w:sz w:val="20"/>
                <w:szCs w:val="20"/>
              </w:rPr>
              <w:t xml:space="preserve">Hradená liečba sa môže indikovať na liečbu závažnej hypoglykémie u pacientov s diabetes mellitus 1. typu spĺňajúcich tieto kritériá: </w:t>
            </w:r>
          </w:p>
          <w:p w14:paraId="4992EB78" w14:textId="77777777" w:rsidR="00657ACA" w:rsidRPr="00DE1B87"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1) deti a dospievajúci vo veku 4 až 18 rokov; alebo </w:t>
            </w:r>
          </w:p>
          <w:p w14:paraId="246027B2" w14:textId="77777777" w:rsidR="00657ACA" w:rsidRPr="00DE1B87"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2) dospelí pacienti so syndrómom neuvedomenia si hypoglykémie a/alebo poruchou uznanej hypoglykémie definovanej Clarkovým dotazníkom a/alebo GOLD skóre; alebo </w:t>
            </w:r>
          </w:p>
          <w:p w14:paraId="17DFADFC" w14:textId="77777777" w:rsidR="00657ACA" w:rsidRPr="00DE1B87"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3) pacienti s hypoglykémiou definovanou ako hypoglykémia, ktorá si vyžaduje pomoc inej osoby počas liečby za posledných 12 mesiacov; alebo </w:t>
            </w:r>
          </w:p>
          <w:p w14:paraId="21513CEE" w14:textId="77777777" w:rsidR="00657ACA"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4) gravidné ženy s diabetom mellitus 1. typu </w:t>
            </w:r>
          </w:p>
          <w:p w14:paraId="6FD4B74C" w14:textId="234C27C2" w:rsidR="00657ACA" w:rsidRPr="0000591E" w:rsidRDefault="00657ACA" w:rsidP="00657ACA">
            <w:pPr>
              <w:autoSpaceDE w:val="0"/>
              <w:autoSpaceDN w:val="0"/>
              <w:adjustRightInd w:val="0"/>
              <w:jc w:val="both"/>
              <w:rPr>
                <w:rFonts w:ascii="Arial" w:hAnsi="Arial" w:cs="Arial"/>
                <w:b/>
                <w:bCs/>
                <w:sz w:val="20"/>
                <w:szCs w:val="20"/>
              </w:rPr>
            </w:pPr>
          </w:p>
        </w:tc>
      </w:tr>
      <w:tr w:rsidR="00657ACA" w:rsidRPr="0000591E" w14:paraId="20F8F108" w14:textId="77777777" w:rsidTr="003F7925">
        <w:trPr>
          <w:gridAfter w:val="2"/>
          <w:wAfter w:w="154" w:type="dxa"/>
          <w:trHeight w:val="20"/>
        </w:trPr>
        <w:tc>
          <w:tcPr>
            <w:tcW w:w="1256" w:type="dxa"/>
            <w:tcBorders>
              <w:bottom w:val="single" w:sz="4" w:space="0" w:color="auto"/>
            </w:tcBorders>
            <w:noWrap/>
            <w:vAlign w:val="bottom"/>
          </w:tcPr>
          <w:p w14:paraId="6F7D557C"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H05AA02</w:t>
            </w:r>
          </w:p>
        </w:tc>
        <w:tc>
          <w:tcPr>
            <w:tcW w:w="9452" w:type="dxa"/>
            <w:tcBorders>
              <w:bottom w:val="single" w:sz="4" w:space="0" w:color="auto"/>
            </w:tcBorders>
            <w:noWrap/>
            <w:vAlign w:val="bottom"/>
          </w:tcPr>
          <w:p w14:paraId="3645707B"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 xml:space="preserve">Teriparatid parent. 600 mcg                     </w:t>
            </w:r>
          </w:p>
        </w:tc>
      </w:tr>
      <w:tr w:rsidR="00657ACA" w:rsidRPr="0000591E" w14:paraId="440E3EBE" w14:textId="77777777" w:rsidTr="003F7925">
        <w:trPr>
          <w:gridAfter w:val="2"/>
          <w:wAfter w:w="154" w:type="dxa"/>
          <w:trHeight w:val="20"/>
        </w:trPr>
        <w:tc>
          <w:tcPr>
            <w:tcW w:w="1256" w:type="dxa"/>
            <w:tcBorders>
              <w:top w:val="single" w:sz="4" w:space="0" w:color="auto"/>
            </w:tcBorders>
            <w:noWrap/>
            <w:vAlign w:val="bottom"/>
          </w:tcPr>
          <w:p w14:paraId="09438B4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7F433F04" w14:textId="77777777" w:rsidR="00657ACA" w:rsidRPr="004221CF" w:rsidRDefault="00657ACA" w:rsidP="00657ACA">
            <w:pPr>
              <w:jc w:val="both"/>
              <w:rPr>
                <w:rFonts w:ascii="Arial" w:hAnsi="Arial" w:cs="Arial"/>
                <w:sz w:val="20"/>
                <w:szCs w:val="20"/>
              </w:rPr>
            </w:pPr>
            <w:r w:rsidRPr="004221CF">
              <w:rPr>
                <w:rFonts w:ascii="Arial" w:hAnsi="Arial" w:cs="Arial"/>
                <w:sz w:val="20"/>
                <w:szCs w:val="20"/>
              </w:rPr>
              <w:t>Hradená liečba TERIPARATID sa môže indikovať pri:</w:t>
            </w:r>
          </w:p>
          <w:p w14:paraId="49EE5E16" w14:textId="0473C7C5" w:rsidR="00657ACA" w:rsidRPr="004221CF" w:rsidRDefault="00657ACA" w:rsidP="00657ACA">
            <w:pPr>
              <w:jc w:val="both"/>
              <w:rPr>
                <w:rFonts w:ascii="Arial" w:hAnsi="Arial" w:cs="Arial"/>
                <w:sz w:val="20"/>
                <w:szCs w:val="20"/>
              </w:rPr>
            </w:pPr>
            <w:r w:rsidRPr="004221CF">
              <w:rPr>
                <w:rFonts w:ascii="Arial" w:hAnsi="Arial" w:cs="Arial"/>
                <w:sz w:val="20"/>
                <w:szCs w:val="20"/>
              </w:rPr>
              <w:t>a) postmenopauzálnej osteoporóze u žien a osteoporóze u mužov s ťažkou osteoporózou</w:t>
            </w:r>
            <w:r>
              <w:rPr>
                <w:rFonts w:ascii="Arial" w:hAnsi="Arial" w:cs="Arial"/>
                <w:sz w:val="20"/>
                <w:szCs w:val="20"/>
              </w:rPr>
              <w:t xml:space="preserve"> </w:t>
            </w:r>
            <w:r w:rsidRPr="004221CF">
              <w:rPr>
                <w:rFonts w:ascii="Arial" w:hAnsi="Arial" w:cs="Arial"/>
                <w:sz w:val="20"/>
                <w:szCs w:val="20"/>
              </w:rPr>
              <w:t>(pri denzitometricky zistenom T-skóre menšom ako -2,5 v oblasti krčka femuru alebo</w:t>
            </w:r>
            <w:r>
              <w:rPr>
                <w:rFonts w:ascii="Arial" w:hAnsi="Arial" w:cs="Arial"/>
                <w:sz w:val="20"/>
                <w:szCs w:val="20"/>
              </w:rPr>
              <w:t xml:space="preserve"> </w:t>
            </w:r>
            <w:r w:rsidRPr="004221CF">
              <w:rPr>
                <w:rFonts w:ascii="Arial" w:hAnsi="Arial" w:cs="Arial"/>
                <w:sz w:val="20"/>
                <w:szCs w:val="20"/>
              </w:rPr>
              <w:t>oblasť total hip alebo v oblasti L chrbtice) a s mnohopočetnými zlomeninami stavcov</w:t>
            </w:r>
            <w:r>
              <w:rPr>
                <w:rFonts w:ascii="Arial" w:hAnsi="Arial" w:cs="Arial"/>
                <w:sz w:val="20"/>
                <w:szCs w:val="20"/>
              </w:rPr>
              <w:t xml:space="preserve"> </w:t>
            </w:r>
            <w:r w:rsidRPr="004221CF">
              <w:rPr>
                <w:rFonts w:ascii="Arial" w:hAnsi="Arial" w:cs="Arial"/>
                <w:sz w:val="20"/>
                <w:szCs w:val="20"/>
              </w:rPr>
              <w:t>(dva a viac fraktúr), kde je zlomenina stavca definovaná ako zníženie prednej výšky</w:t>
            </w:r>
            <w:r>
              <w:rPr>
                <w:rFonts w:ascii="Arial" w:hAnsi="Arial" w:cs="Arial"/>
                <w:sz w:val="20"/>
                <w:szCs w:val="20"/>
              </w:rPr>
              <w:t xml:space="preserve"> </w:t>
            </w:r>
            <w:r w:rsidRPr="004221CF">
              <w:rPr>
                <w:rFonts w:ascii="Arial" w:hAnsi="Arial" w:cs="Arial"/>
                <w:sz w:val="20"/>
                <w:szCs w:val="20"/>
              </w:rPr>
              <w:t>tela stavca Viac ako 20% v porovnaní s normálnou výškou tela stavca,</w:t>
            </w:r>
          </w:p>
          <w:p w14:paraId="18FF8CFF" w14:textId="60BDF83B" w:rsidR="00657ACA" w:rsidRPr="004221CF" w:rsidRDefault="00657ACA" w:rsidP="00657ACA">
            <w:pPr>
              <w:jc w:val="both"/>
              <w:rPr>
                <w:rFonts w:ascii="Arial" w:hAnsi="Arial" w:cs="Arial"/>
                <w:sz w:val="20"/>
                <w:szCs w:val="20"/>
              </w:rPr>
            </w:pPr>
            <w:r w:rsidRPr="004221CF">
              <w:rPr>
                <w:rFonts w:ascii="Arial" w:hAnsi="Arial" w:cs="Arial"/>
                <w:sz w:val="20"/>
                <w:szCs w:val="20"/>
              </w:rPr>
              <w:t>b) postmenopauzálnej osteoporóze u žien a osteoporóze u mužov s ťažkou osteoporózou</w:t>
            </w:r>
            <w:r>
              <w:rPr>
                <w:rFonts w:ascii="Arial" w:hAnsi="Arial" w:cs="Arial"/>
                <w:sz w:val="20"/>
                <w:szCs w:val="20"/>
              </w:rPr>
              <w:t xml:space="preserve"> </w:t>
            </w:r>
            <w:r w:rsidRPr="004221CF">
              <w:rPr>
                <w:rFonts w:ascii="Arial" w:hAnsi="Arial" w:cs="Arial"/>
                <w:sz w:val="20"/>
                <w:szCs w:val="20"/>
              </w:rPr>
              <w:t>(pri denzitometricky zistenom T-skóre menšom ako -2,5 v oblasti krčka femuru alebo</w:t>
            </w:r>
            <w:r>
              <w:rPr>
                <w:rFonts w:ascii="Arial" w:hAnsi="Arial" w:cs="Arial"/>
                <w:sz w:val="20"/>
                <w:szCs w:val="20"/>
              </w:rPr>
              <w:t xml:space="preserve"> </w:t>
            </w:r>
            <w:r w:rsidRPr="004221CF">
              <w:rPr>
                <w:rFonts w:ascii="Arial" w:hAnsi="Arial" w:cs="Arial"/>
                <w:sz w:val="20"/>
                <w:szCs w:val="20"/>
              </w:rPr>
              <w:t>oblasť total hip alebo v oblasti L chrbtice), u ktorých zlyhala predchádzajúca</w:t>
            </w:r>
            <w:r>
              <w:rPr>
                <w:rFonts w:ascii="Arial" w:hAnsi="Arial" w:cs="Arial"/>
                <w:sz w:val="20"/>
                <w:szCs w:val="20"/>
              </w:rPr>
              <w:t xml:space="preserve"> </w:t>
            </w:r>
            <w:r w:rsidRPr="004221CF">
              <w:rPr>
                <w:rFonts w:ascii="Arial" w:hAnsi="Arial" w:cs="Arial"/>
                <w:sz w:val="20"/>
                <w:szCs w:val="20"/>
              </w:rPr>
              <w:t>antiresorbčná liečba</w:t>
            </w:r>
          </w:p>
          <w:p w14:paraId="4A4FF814" w14:textId="436A8A7F" w:rsidR="00657ACA" w:rsidRPr="004221CF" w:rsidRDefault="00657ACA" w:rsidP="00657ACA">
            <w:pPr>
              <w:jc w:val="both"/>
              <w:rPr>
                <w:rFonts w:ascii="Arial" w:hAnsi="Arial" w:cs="Arial"/>
                <w:sz w:val="20"/>
                <w:szCs w:val="20"/>
              </w:rPr>
            </w:pPr>
            <w:r w:rsidRPr="004221CF">
              <w:rPr>
                <w:rFonts w:ascii="Arial" w:hAnsi="Arial" w:cs="Arial"/>
                <w:sz w:val="20"/>
                <w:szCs w:val="20"/>
              </w:rPr>
              <w:t>1. ak po minimálne dvojročnej antiresorbčnej liečbe utrpeli osteoporotickú</w:t>
            </w:r>
            <w:r>
              <w:rPr>
                <w:rFonts w:ascii="Arial" w:hAnsi="Arial" w:cs="Arial"/>
                <w:sz w:val="20"/>
                <w:szCs w:val="20"/>
              </w:rPr>
              <w:t xml:space="preserve"> </w:t>
            </w:r>
            <w:r w:rsidRPr="004221CF">
              <w:rPr>
                <w:rFonts w:ascii="Arial" w:hAnsi="Arial" w:cs="Arial"/>
                <w:sz w:val="20"/>
                <w:szCs w:val="20"/>
              </w:rPr>
              <w:t>fraktúru,</w:t>
            </w:r>
          </w:p>
          <w:p w14:paraId="343B125F" w14:textId="483203C3" w:rsidR="00657ACA" w:rsidRPr="004221CF" w:rsidRDefault="00657ACA" w:rsidP="00657ACA">
            <w:pPr>
              <w:jc w:val="both"/>
              <w:rPr>
                <w:rFonts w:ascii="Arial" w:hAnsi="Arial" w:cs="Arial"/>
                <w:sz w:val="20"/>
                <w:szCs w:val="20"/>
              </w:rPr>
            </w:pPr>
            <w:r w:rsidRPr="004221CF">
              <w:rPr>
                <w:rFonts w:ascii="Arial" w:hAnsi="Arial" w:cs="Arial"/>
                <w:sz w:val="20"/>
                <w:szCs w:val="20"/>
              </w:rPr>
              <w:t>2. ak po dvoch rokoch antiresorbčnej liečby došlo k masívnemu poklesu kostnej</w:t>
            </w:r>
            <w:r>
              <w:rPr>
                <w:rFonts w:ascii="Arial" w:hAnsi="Arial" w:cs="Arial"/>
                <w:sz w:val="20"/>
                <w:szCs w:val="20"/>
              </w:rPr>
              <w:t xml:space="preserve"> </w:t>
            </w:r>
            <w:r w:rsidRPr="004221CF">
              <w:rPr>
                <w:rFonts w:ascii="Arial" w:hAnsi="Arial" w:cs="Arial"/>
                <w:sz w:val="20"/>
                <w:szCs w:val="20"/>
              </w:rPr>
              <w:t>denzity na krčku femuru (≥ 6 %),</w:t>
            </w:r>
          </w:p>
          <w:p w14:paraId="419A1B1F" w14:textId="54C9B400" w:rsidR="00657ACA" w:rsidRPr="004221CF" w:rsidRDefault="00657ACA" w:rsidP="00657ACA">
            <w:pPr>
              <w:jc w:val="both"/>
              <w:rPr>
                <w:rFonts w:ascii="Arial" w:hAnsi="Arial" w:cs="Arial"/>
                <w:sz w:val="20"/>
                <w:szCs w:val="20"/>
              </w:rPr>
            </w:pPr>
            <w:r w:rsidRPr="004221CF">
              <w:rPr>
                <w:rFonts w:ascii="Arial" w:hAnsi="Arial" w:cs="Arial"/>
                <w:sz w:val="20"/>
                <w:szCs w:val="20"/>
              </w:rPr>
              <w:t>c) dlhodobej liečbe glukokortikoidmi (Viac ako tri mesiace v dávke Viac ako 5 mg</w:t>
            </w:r>
            <w:r>
              <w:rPr>
                <w:rFonts w:ascii="Arial" w:hAnsi="Arial" w:cs="Arial"/>
                <w:sz w:val="20"/>
                <w:szCs w:val="20"/>
              </w:rPr>
              <w:t xml:space="preserve"> </w:t>
            </w:r>
            <w:r w:rsidRPr="004221CF">
              <w:rPr>
                <w:rFonts w:ascii="Arial" w:hAnsi="Arial" w:cs="Arial"/>
                <w:sz w:val="20"/>
                <w:szCs w:val="20"/>
              </w:rPr>
              <w:t>prednizonu alebo v ekvivalentnej dávke iného glukokortikoidu) u pacientov, ktorí</w:t>
            </w:r>
            <w:r>
              <w:rPr>
                <w:rFonts w:ascii="Arial" w:hAnsi="Arial" w:cs="Arial"/>
                <w:sz w:val="20"/>
                <w:szCs w:val="20"/>
              </w:rPr>
              <w:t xml:space="preserve"> </w:t>
            </w:r>
            <w:r w:rsidRPr="004221CF">
              <w:rPr>
                <w:rFonts w:ascii="Arial" w:hAnsi="Arial" w:cs="Arial"/>
                <w:sz w:val="20"/>
                <w:szCs w:val="20"/>
              </w:rPr>
              <w:t>spĺňajú jedno z nasledujúcich kritérií:</w:t>
            </w:r>
          </w:p>
          <w:p w14:paraId="500F5DEA" w14:textId="77777777" w:rsidR="00657ACA" w:rsidRPr="004221CF" w:rsidRDefault="00657ACA" w:rsidP="00657ACA">
            <w:pPr>
              <w:jc w:val="both"/>
              <w:rPr>
                <w:rFonts w:ascii="Arial" w:hAnsi="Arial" w:cs="Arial"/>
                <w:sz w:val="20"/>
                <w:szCs w:val="20"/>
              </w:rPr>
            </w:pPr>
            <w:r w:rsidRPr="004221CF">
              <w:rPr>
                <w:rFonts w:ascii="Arial" w:hAnsi="Arial" w:cs="Arial"/>
                <w:sz w:val="20"/>
                <w:szCs w:val="20"/>
              </w:rPr>
              <w:t>1. diagnostikovaná osteoporotická fraktúra,</w:t>
            </w:r>
          </w:p>
          <w:p w14:paraId="2D63D084" w14:textId="24D0455A" w:rsidR="00657ACA" w:rsidRPr="004221CF" w:rsidRDefault="00657ACA" w:rsidP="00657ACA">
            <w:pPr>
              <w:jc w:val="both"/>
              <w:rPr>
                <w:rFonts w:ascii="Arial" w:hAnsi="Arial" w:cs="Arial"/>
                <w:sz w:val="20"/>
                <w:szCs w:val="20"/>
              </w:rPr>
            </w:pPr>
            <w:r w:rsidRPr="004221CF">
              <w:rPr>
                <w:rFonts w:ascii="Arial" w:hAnsi="Arial" w:cs="Arial"/>
                <w:sz w:val="20"/>
                <w:szCs w:val="20"/>
              </w:rPr>
              <w:t>2. denzitometricky zistené T-skóre v oblasti krčka femuru, v oblasti total hip a</w:t>
            </w:r>
            <w:r>
              <w:rPr>
                <w:rFonts w:ascii="Arial" w:hAnsi="Arial" w:cs="Arial"/>
                <w:sz w:val="20"/>
                <w:szCs w:val="20"/>
              </w:rPr>
              <w:t> </w:t>
            </w:r>
            <w:r w:rsidRPr="004221CF">
              <w:rPr>
                <w:rFonts w:ascii="Arial" w:hAnsi="Arial" w:cs="Arial"/>
                <w:sz w:val="20"/>
                <w:szCs w:val="20"/>
              </w:rPr>
              <w:t>v</w:t>
            </w:r>
            <w:r>
              <w:rPr>
                <w:rFonts w:ascii="Arial" w:hAnsi="Arial" w:cs="Arial"/>
                <w:sz w:val="20"/>
                <w:szCs w:val="20"/>
              </w:rPr>
              <w:t xml:space="preserve"> </w:t>
            </w:r>
            <w:r w:rsidRPr="004221CF">
              <w:rPr>
                <w:rFonts w:ascii="Arial" w:hAnsi="Arial" w:cs="Arial"/>
                <w:sz w:val="20"/>
                <w:szCs w:val="20"/>
              </w:rPr>
              <w:t>oblasti L chrbtice &lt; -2,5 SD v minimálne jednej z týchto lokalít.</w:t>
            </w:r>
          </w:p>
          <w:p w14:paraId="69432966" w14:textId="77777777" w:rsidR="00657ACA" w:rsidRDefault="00657ACA" w:rsidP="00657ACA">
            <w:pPr>
              <w:jc w:val="both"/>
              <w:rPr>
                <w:rFonts w:ascii="Arial" w:hAnsi="Arial" w:cs="Arial"/>
                <w:sz w:val="20"/>
                <w:szCs w:val="20"/>
              </w:rPr>
            </w:pPr>
          </w:p>
          <w:p w14:paraId="76003081" w14:textId="2F91986C" w:rsidR="00657ACA" w:rsidRPr="004221CF" w:rsidRDefault="00657ACA" w:rsidP="00657ACA">
            <w:pPr>
              <w:jc w:val="both"/>
              <w:rPr>
                <w:rFonts w:ascii="Arial" w:hAnsi="Arial" w:cs="Arial"/>
                <w:sz w:val="20"/>
                <w:szCs w:val="20"/>
              </w:rPr>
            </w:pPr>
            <w:r w:rsidRPr="004221CF">
              <w:rPr>
                <w:rFonts w:ascii="Arial" w:hAnsi="Arial" w:cs="Arial"/>
                <w:sz w:val="20"/>
                <w:szCs w:val="20"/>
              </w:rPr>
              <w:t>Hradená liečba je časovo obmedzená na jeden cyklus liečby, ktorého dĺžka je maximálne 18</w:t>
            </w:r>
            <w:r>
              <w:rPr>
                <w:rFonts w:ascii="Arial" w:hAnsi="Arial" w:cs="Arial"/>
                <w:sz w:val="20"/>
                <w:szCs w:val="20"/>
              </w:rPr>
              <w:t xml:space="preserve"> </w:t>
            </w:r>
            <w:r w:rsidRPr="004221CF">
              <w:rPr>
                <w:rFonts w:ascii="Arial" w:hAnsi="Arial" w:cs="Arial"/>
                <w:sz w:val="20"/>
                <w:szCs w:val="20"/>
              </w:rPr>
              <w:t>mesiacov.</w:t>
            </w:r>
          </w:p>
          <w:p w14:paraId="59BA6919" w14:textId="5FB7A41C" w:rsidR="00657ACA" w:rsidRDefault="00657ACA" w:rsidP="00657ACA">
            <w:pPr>
              <w:jc w:val="both"/>
              <w:rPr>
                <w:rFonts w:ascii="Arial" w:hAnsi="Arial" w:cs="Arial"/>
                <w:sz w:val="20"/>
                <w:szCs w:val="20"/>
              </w:rPr>
            </w:pPr>
            <w:r w:rsidRPr="004221CF">
              <w:rPr>
                <w:rFonts w:ascii="Arial" w:hAnsi="Arial" w:cs="Arial"/>
                <w:sz w:val="20"/>
                <w:szCs w:val="20"/>
              </w:rPr>
              <w:lastRenderedPageBreak/>
              <w:t>Podmienkou hradenej liečby je jej kontinuita a súčasné podávanie vápnika obvykle v</w:t>
            </w:r>
            <w:r>
              <w:rPr>
                <w:rFonts w:ascii="Arial" w:hAnsi="Arial" w:cs="Arial"/>
                <w:sz w:val="20"/>
                <w:szCs w:val="20"/>
              </w:rPr>
              <w:t> </w:t>
            </w:r>
            <w:r w:rsidRPr="004221CF">
              <w:rPr>
                <w:rFonts w:ascii="Arial" w:hAnsi="Arial" w:cs="Arial"/>
                <w:sz w:val="20"/>
                <w:szCs w:val="20"/>
              </w:rPr>
              <w:t>dávke</w:t>
            </w:r>
            <w:r>
              <w:rPr>
                <w:rFonts w:ascii="Arial" w:hAnsi="Arial" w:cs="Arial"/>
                <w:sz w:val="20"/>
                <w:szCs w:val="20"/>
              </w:rPr>
              <w:t xml:space="preserve"> </w:t>
            </w:r>
            <w:r w:rsidRPr="004221CF">
              <w:rPr>
                <w:rFonts w:ascii="Arial" w:hAnsi="Arial" w:cs="Arial"/>
                <w:sz w:val="20"/>
                <w:szCs w:val="20"/>
              </w:rPr>
              <w:t>1000 mg, pokiaľ u pacienta nie je hyperkalciémia.</w:t>
            </w:r>
          </w:p>
          <w:p w14:paraId="5F5EDC6B" w14:textId="77777777" w:rsidR="00657ACA" w:rsidRPr="004221CF" w:rsidRDefault="00657ACA" w:rsidP="00657ACA">
            <w:pPr>
              <w:jc w:val="both"/>
              <w:rPr>
                <w:rFonts w:ascii="Arial" w:hAnsi="Arial" w:cs="Arial"/>
                <w:sz w:val="20"/>
                <w:szCs w:val="20"/>
              </w:rPr>
            </w:pPr>
          </w:p>
          <w:p w14:paraId="553AD228" w14:textId="77777777" w:rsidR="00657ACA" w:rsidRPr="0000591E" w:rsidRDefault="00657ACA" w:rsidP="00657ACA">
            <w:pPr>
              <w:jc w:val="both"/>
              <w:rPr>
                <w:rFonts w:ascii="Arial" w:hAnsi="Arial" w:cs="Arial"/>
                <w:sz w:val="20"/>
                <w:szCs w:val="20"/>
              </w:rPr>
            </w:pPr>
            <w:r w:rsidRPr="004221CF">
              <w:rPr>
                <w:rFonts w:ascii="Arial" w:hAnsi="Arial" w:cs="Arial"/>
                <w:sz w:val="20"/>
                <w:szCs w:val="20"/>
              </w:rPr>
              <w:t>Hradená liečba sa ďalej sleduje a hodnotí.</w:t>
            </w:r>
          </w:p>
          <w:p w14:paraId="4C9D27D7" w14:textId="77777777" w:rsidR="00657ACA" w:rsidRPr="0000591E" w:rsidRDefault="00657ACA" w:rsidP="00657ACA">
            <w:pPr>
              <w:ind w:left="720"/>
              <w:jc w:val="both"/>
              <w:rPr>
                <w:rFonts w:ascii="Arial" w:hAnsi="Arial" w:cs="Arial"/>
                <w:sz w:val="20"/>
                <w:szCs w:val="20"/>
              </w:rPr>
            </w:pPr>
          </w:p>
        </w:tc>
      </w:tr>
      <w:tr w:rsidR="00657ACA" w:rsidRPr="0000591E" w14:paraId="69A4C8B0" w14:textId="77777777" w:rsidTr="003F7925">
        <w:trPr>
          <w:gridAfter w:val="2"/>
          <w:wAfter w:w="154" w:type="dxa"/>
          <w:trHeight w:val="20"/>
        </w:trPr>
        <w:tc>
          <w:tcPr>
            <w:tcW w:w="1256" w:type="dxa"/>
            <w:tcBorders>
              <w:bottom w:val="single" w:sz="4" w:space="0" w:color="auto"/>
            </w:tcBorders>
            <w:noWrap/>
            <w:vAlign w:val="bottom"/>
          </w:tcPr>
          <w:p w14:paraId="7189DE7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H05BX01</w:t>
            </w:r>
          </w:p>
        </w:tc>
        <w:tc>
          <w:tcPr>
            <w:tcW w:w="9452" w:type="dxa"/>
            <w:tcBorders>
              <w:bottom w:val="single" w:sz="4" w:space="0" w:color="auto"/>
            </w:tcBorders>
            <w:noWrap/>
            <w:vAlign w:val="bottom"/>
          </w:tcPr>
          <w:p w14:paraId="5128FE4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Cinakalcet, p.o. 30 mg,</w:t>
            </w:r>
          </w:p>
          <w:p w14:paraId="2CAF014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Cinakalcet, p.o. 60 mg,</w:t>
            </w:r>
          </w:p>
          <w:p w14:paraId="50D07EFE"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Cinakalcet, p.o. 90 mg</w:t>
            </w:r>
          </w:p>
        </w:tc>
      </w:tr>
      <w:tr w:rsidR="00657ACA" w:rsidRPr="0000591E" w14:paraId="1B1574BF" w14:textId="77777777" w:rsidTr="003F7925">
        <w:trPr>
          <w:gridBefore w:val="1"/>
          <w:gridAfter w:val="2"/>
          <w:wBefore w:w="1256" w:type="dxa"/>
          <w:wAfter w:w="154" w:type="dxa"/>
          <w:trHeight w:val="20"/>
        </w:trPr>
        <w:tc>
          <w:tcPr>
            <w:tcW w:w="9452" w:type="dxa"/>
            <w:vAlign w:val="bottom"/>
          </w:tcPr>
          <w:p w14:paraId="71B3EFC9"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w:t>
            </w:r>
          </w:p>
          <w:p w14:paraId="1F02E8C9" w14:textId="77777777" w:rsidR="00657ACA" w:rsidRPr="0000591E" w:rsidRDefault="00657ACA">
            <w:pPr>
              <w:numPr>
                <w:ilvl w:val="0"/>
                <w:numId w:val="13"/>
              </w:numPr>
              <w:tabs>
                <w:tab w:val="clear" w:pos="720"/>
                <w:tab w:val="num" w:pos="900"/>
              </w:tabs>
              <w:ind w:left="900"/>
              <w:jc w:val="both"/>
              <w:rPr>
                <w:rFonts w:ascii="Arial" w:hAnsi="Arial" w:cs="Arial"/>
                <w:sz w:val="20"/>
                <w:szCs w:val="20"/>
              </w:rPr>
            </w:pPr>
            <w:r w:rsidRPr="0000591E">
              <w:rPr>
                <w:rFonts w:ascii="Arial" w:hAnsi="Arial" w:cs="Arial"/>
                <w:sz w:val="20"/>
                <w:szCs w:val="20"/>
              </w:rPr>
              <w:t xml:space="preserve">nefrológ pacientom s chronickou renálnou insuficienciou liečených mimotelovými eliminačnými metódami na liečbu závažných foriem sekundárnej hyperparatyreózy v druhej línii, kde pri liečbe vitamínom D a viazačmi fosfátu (calcium carbonicum a sevelamer karbonát) sa nedosiahnu odporúčané hodnoty parathormónu (150 až 300 pikogramov/ ml alebo 15,9 až 31,8 pikomólov/l pomocou analýzy intaktného parathormónu); koncentrácia vápnika sa odporúča udržiavať v rozsahu 2,1 až 2,4 mmol/ l alebo fosforu 1,1 až 1,7 mmol/l; podmienkou hradenej liečby je podávanie na dialyzačných pracoviskách, </w:t>
            </w:r>
          </w:p>
          <w:p w14:paraId="4DA916C0" w14:textId="77777777" w:rsidR="00657ACA" w:rsidRPr="0000591E" w:rsidRDefault="00657ACA">
            <w:pPr>
              <w:numPr>
                <w:ilvl w:val="0"/>
                <w:numId w:val="13"/>
              </w:numPr>
              <w:tabs>
                <w:tab w:val="clear" w:pos="720"/>
                <w:tab w:val="num" w:pos="900"/>
              </w:tabs>
              <w:ind w:left="900"/>
              <w:jc w:val="both"/>
              <w:rPr>
                <w:rFonts w:ascii="Arial" w:hAnsi="Arial" w:cs="Arial"/>
                <w:sz w:val="20"/>
                <w:szCs w:val="20"/>
              </w:rPr>
            </w:pPr>
            <w:r w:rsidRPr="0000591E">
              <w:rPr>
                <w:rFonts w:ascii="Arial" w:hAnsi="Arial" w:cs="Arial"/>
                <w:sz w:val="20"/>
                <w:szCs w:val="20"/>
              </w:rPr>
              <w:t>endokrinológ pacientom s karcinómom prištítnych žliaz,</w:t>
            </w:r>
          </w:p>
          <w:p w14:paraId="6ADA9246" w14:textId="77777777" w:rsidR="00657ACA" w:rsidRPr="0000591E" w:rsidRDefault="00657ACA">
            <w:pPr>
              <w:pStyle w:val="Zkladntext"/>
              <w:numPr>
                <w:ilvl w:val="0"/>
                <w:numId w:val="13"/>
              </w:numPr>
              <w:tabs>
                <w:tab w:val="clear" w:pos="720"/>
                <w:tab w:val="num" w:pos="900"/>
              </w:tabs>
              <w:overflowPunct w:val="0"/>
              <w:autoSpaceDE w:val="0"/>
              <w:autoSpaceDN w:val="0"/>
              <w:adjustRightInd w:val="0"/>
              <w:ind w:left="900"/>
              <w:jc w:val="both"/>
              <w:textAlignment w:val="baseline"/>
              <w:rPr>
                <w:lang w:val="sk-SK"/>
              </w:rPr>
            </w:pPr>
            <w:r w:rsidRPr="0000591E">
              <w:rPr>
                <w:lang w:val="sk-SK"/>
              </w:rPr>
              <w:t xml:space="preserve">endokrinológ u pacientov s primárnou hyperparatyreózou, pre ktorých by bola indikovaná </w:t>
            </w:r>
          </w:p>
          <w:p w14:paraId="5E2A6F0E" w14:textId="77777777" w:rsidR="00657ACA" w:rsidRPr="0000591E" w:rsidRDefault="00657ACA" w:rsidP="00657ACA">
            <w:pPr>
              <w:pStyle w:val="Zkladntext"/>
              <w:ind w:left="360"/>
              <w:jc w:val="both"/>
              <w:rPr>
                <w:lang w:val="sk-SK"/>
              </w:rPr>
            </w:pPr>
            <w:r w:rsidRPr="0000591E">
              <w:rPr>
                <w:lang w:val="sk-SK"/>
              </w:rPr>
              <w:t xml:space="preserve">     paratyroidektómia na základe sérových hladín vápnika, ak u nich paratyroidektómia nie je  </w:t>
            </w:r>
          </w:p>
          <w:p w14:paraId="1CF34E05" w14:textId="77777777" w:rsidR="00657ACA" w:rsidRPr="0000591E" w:rsidRDefault="00657ACA" w:rsidP="00657ACA">
            <w:pPr>
              <w:pStyle w:val="Zkladntext"/>
              <w:ind w:left="360"/>
              <w:jc w:val="both"/>
              <w:rPr>
                <w:lang w:val="sk-SK"/>
              </w:rPr>
            </w:pPr>
            <w:r w:rsidRPr="0000591E">
              <w:rPr>
                <w:lang w:val="sk-SK"/>
              </w:rPr>
              <w:t xml:space="preserve">     klinicky vhodná alebo je kontraindikovaná.</w:t>
            </w:r>
          </w:p>
          <w:p w14:paraId="2F9FA8A4" w14:textId="42FDF867" w:rsidR="00657ACA" w:rsidRPr="0000591E" w:rsidRDefault="00657ACA" w:rsidP="00657ACA">
            <w:pPr>
              <w:rPr>
                <w:rFonts w:ascii="Arial" w:hAnsi="Arial" w:cs="Arial"/>
                <w:b/>
                <w:bCs/>
                <w:sz w:val="20"/>
                <w:szCs w:val="20"/>
              </w:rPr>
            </w:pPr>
          </w:p>
        </w:tc>
      </w:tr>
      <w:tr w:rsidR="00657ACA" w:rsidRPr="0000591E" w14:paraId="6980C114" w14:textId="77777777" w:rsidTr="00B65F5D">
        <w:trPr>
          <w:gridAfter w:val="2"/>
          <w:wAfter w:w="154" w:type="dxa"/>
          <w:trHeight w:val="20"/>
        </w:trPr>
        <w:tc>
          <w:tcPr>
            <w:tcW w:w="1256" w:type="dxa"/>
            <w:tcBorders>
              <w:bottom w:val="single" w:sz="4" w:space="0" w:color="auto"/>
            </w:tcBorders>
            <w:noWrap/>
            <w:vAlign w:val="bottom"/>
          </w:tcPr>
          <w:p w14:paraId="1EE7A46D" w14:textId="5F7FF3E8" w:rsidR="00657ACA" w:rsidRPr="000572C7" w:rsidRDefault="00657ACA" w:rsidP="00657ACA">
            <w:pPr>
              <w:rPr>
                <w:rFonts w:ascii="Arial" w:hAnsi="Arial" w:cs="Arial"/>
                <w:b/>
                <w:sz w:val="20"/>
                <w:szCs w:val="20"/>
              </w:rPr>
            </w:pPr>
            <w:r w:rsidRPr="00B65F5D">
              <w:rPr>
                <w:rFonts w:ascii="Arial" w:hAnsi="Arial" w:cs="Arial"/>
                <w:b/>
                <w:sz w:val="20"/>
                <w:szCs w:val="20"/>
              </w:rPr>
              <w:t>J01</w:t>
            </w:r>
          </w:p>
        </w:tc>
        <w:tc>
          <w:tcPr>
            <w:tcW w:w="9452" w:type="dxa"/>
            <w:tcBorders>
              <w:bottom w:val="single" w:sz="4" w:space="0" w:color="auto"/>
            </w:tcBorders>
            <w:noWrap/>
          </w:tcPr>
          <w:p w14:paraId="379BA7CA" w14:textId="44738ECF" w:rsidR="00657ACA" w:rsidRPr="003E2738" w:rsidRDefault="00657ACA" w:rsidP="00657ACA">
            <w:pPr>
              <w:rPr>
                <w:rFonts w:ascii="Arial" w:hAnsi="Arial" w:cs="Arial"/>
                <w:b/>
                <w:bCs/>
                <w:sz w:val="20"/>
                <w:szCs w:val="20"/>
              </w:rPr>
            </w:pPr>
            <w:r w:rsidRPr="00B65F5D">
              <w:rPr>
                <w:rFonts w:ascii="Arial" w:hAnsi="Arial" w:cs="Arial"/>
                <w:b/>
                <w:bCs/>
                <w:sz w:val="20"/>
                <w:szCs w:val="20"/>
              </w:rPr>
              <w:t>Antibakteriálne látky na systémové použitie</w:t>
            </w:r>
          </w:p>
        </w:tc>
      </w:tr>
      <w:tr w:rsidR="00657ACA" w:rsidRPr="0000591E" w14:paraId="3D69A56F" w14:textId="77777777" w:rsidTr="00B65F5D">
        <w:trPr>
          <w:gridAfter w:val="2"/>
          <w:wAfter w:w="154" w:type="dxa"/>
          <w:trHeight w:val="20"/>
        </w:trPr>
        <w:tc>
          <w:tcPr>
            <w:tcW w:w="1256" w:type="dxa"/>
            <w:tcBorders>
              <w:top w:val="single" w:sz="4" w:space="0" w:color="auto"/>
            </w:tcBorders>
            <w:noWrap/>
            <w:vAlign w:val="bottom"/>
          </w:tcPr>
          <w:p w14:paraId="47776766" w14:textId="77777777" w:rsidR="00657ACA" w:rsidRPr="000572C7" w:rsidRDefault="00657ACA" w:rsidP="00657ACA">
            <w:pPr>
              <w:rPr>
                <w:rFonts w:ascii="Arial" w:hAnsi="Arial" w:cs="Arial"/>
                <w:b/>
                <w:sz w:val="20"/>
                <w:szCs w:val="20"/>
              </w:rPr>
            </w:pPr>
          </w:p>
        </w:tc>
        <w:tc>
          <w:tcPr>
            <w:tcW w:w="9452" w:type="dxa"/>
            <w:tcBorders>
              <w:top w:val="single" w:sz="4" w:space="0" w:color="auto"/>
            </w:tcBorders>
            <w:noWrap/>
          </w:tcPr>
          <w:p w14:paraId="4533B6A7" w14:textId="77777777" w:rsidR="00657ACA" w:rsidRDefault="00657ACA" w:rsidP="00657ACA">
            <w:pPr>
              <w:rPr>
                <w:rFonts w:ascii="Arial" w:hAnsi="Arial" w:cs="Arial"/>
                <w:bCs/>
                <w:sz w:val="20"/>
                <w:szCs w:val="20"/>
              </w:rPr>
            </w:pPr>
            <w:r w:rsidRPr="00B65F5D">
              <w:rPr>
                <w:rFonts w:ascii="Arial" w:hAnsi="Arial" w:cs="Arial"/>
                <w:bCs/>
                <w:sz w:val="20"/>
                <w:szCs w:val="20"/>
              </w:rPr>
              <w:t>Liečba pacientov s cystickou fibrózou (diagnóza E84 podľa Medzinárodnej klasifikácie chorôb 10) je hradená plne.</w:t>
            </w:r>
          </w:p>
          <w:p w14:paraId="6458439A" w14:textId="77777777" w:rsidR="00657ACA" w:rsidRDefault="00657ACA" w:rsidP="00657ACA">
            <w:pPr>
              <w:rPr>
                <w:rFonts w:ascii="Arial" w:hAnsi="Arial" w:cs="Arial"/>
                <w:bCs/>
                <w:sz w:val="20"/>
                <w:szCs w:val="20"/>
              </w:rPr>
            </w:pPr>
          </w:p>
          <w:p w14:paraId="3FBE9B70" w14:textId="77777777" w:rsidR="00ED27F2" w:rsidRDefault="00ED27F2" w:rsidP="00657ACA">
            <w:pPr>
              <w:rPr>
                <w:rFonts w:ascii="Arial" w:hAnsi="Arial" w:cs="Arial"/>
                <w:bCs/>
                <w:sz w:val="20"/>
                <w:szCs w:val="20"/>
              </w:rPr>
            </w:pPr>
          </w:p>
          <w:p w14:paraId="4AC68859" w14:textId="53322148" w:rsidR="00ED27F2" w:rsidRPr="00B65F5D" w:rsidRDefault="00ED27F2" w:rsidP="00657ACA">
            <w:pPr>
              <w:rPr>
                <w:rFonts w:ascii="Arial" w:hAnsi="Arial" w:cs="Arial"/>
                <w:bCs/>
                <w:sz w:val="20"/>
                <w:szCs w:val="20"/>
              </w:rPr>
            </w:pPr>
          </w:p>
        </w:tc>
      </w:tr>
      <w:tr w:rsidR="00657ACA" w:rsidRPr="0000591E" w14:paraId="3DBF48EE" w14:textId="77777777" w:rsidTr="00B65F5D">
        <w:trPr>
          <w:gridAfter w:val="2"/>
          <w:wAfter w:w="154" w:type="dxa"/>
          <w:trHeight w:val="20"/>
        </w:trPr>
        <w:tc>
          <w:tcPr>
            <w:tcW w:w="1256" w:type="dxa"/>
            <w:tcBorders>
              <w:bottom w:val="single" w:sz="4" w:space="0" w:color="auto"/>
            </w:tcBorders>
            <w:noWrap/>
            <w:vAlign w:val="bottom"/>
          </w:tcPr>
          <w:p w14:paraId="516F01A4" w14:textId="77777777" w:rsidR="00657ACA" w:rsidRPr="000572C7" w:rsidRDefault="00657ACA" w:rsidP="00657ACA">
            <w:pPr>
              <w:rPr>
                <w:rFonts w:ascii="Arial" w:hAnsi="Arial" w:cs="Arial"/>
                <w:b/>
                <w:bCs/>
                <w:sz w:val="20"/>
                <w:szCs w:val="20"/>
              </w:rPr>
            </w:pPr>
            <w:r w:rsidRPr="000572C7">
              <w:rPr>
                <w:rFonts w:ascii="Arial" w:hAnsi="Arial" w:cs="Arial"/>
                <w:b/>
                <w:sz w:val="20"/>
                <w:szCs w:val="20"/>
              </w:rPr>
              <w:t>J01AA02</w:t>
            </w:r>
          </w:p>
        </w:tc>
        <w:tc>
          <w:tcPr>
            <w:tcW w:w="9452" w:type="dxa"/>
            <w:tcBorders>
              <w:bottom w:val="single" w:sz="4" w:space="0" w:color="auto"/>
            </w:tcBorders>
            <w:noWrap/>
          </w:tcPr>
          <w:p w14:paraId="2A9EE3BF" w14:textId="77777777" w:rsidR="00657ACA" w:rsidRDefault="00657ACA" w:rsidP="00657ACA">
            <w:pPr>
              <w:rPr>
                <w:rFonts w:ascii="Arial" w:hAnsi="Arial" w:cs="Arial"/>
                <w:b/>
                <w:bCs/>
                <w:sz w:val="20"/>
                <w:szCs w:val="20"/>
              </w:rPr>
            </w:pPr>
            <w:r w:rsidRPr="003E2738">
              <w:rPr>
                <w:rFonts w:ascii="Arial" w:hAnsi="Arial" w:cs="Arial"/>
                <w:b/>
                <w:bCs/>
                <w:sz w:val="20"/>
                <w:szCs w:val="20"/>
              </w:rPr>
              <w:t>Doxycyklín</w:t>
            </w:r>
            <w:r>
              <w:rPr>
                <w:rFonts w:ascii="Arial" w:hAnsi="Arial" w:cs="Arial"/>
                <w:b/>
                <w:bCs/>
                <w:sz w:val="20"/>
                <w:szCs w:val="20"/>
              </w:rPr>
              <w:t xml:space="preserve"> p.o. 1</w:t>
            </w:r>
            <w:r w:rsidRPr="003E2738">
              <w:rPr>
                <w:rFonts w:ascii="Arial" w:hAnsi="Arial" w:cs="Arial"/>
                <w:b/>
                <w:bCs/>
                <w:sz w:val="20"/>
                <w:szCs w:val="20"/>
              </w:rPr>
              <w:t>00 mg</w:t>
            </w:r>
          </w:p>
          <w:p w14:paraId="2C93D0D5" w14:textId="77777777" w:rsidR="00657ACA" w:rsidRPr="0000591E" w:rsidRDefault="00657ACA" w:rsidP="00657ACA">
            <w:pPr>
              <w:rPr>
                <w:rFonts w:ascii="Arial" w:hAnsi="Arial" w:cs="Arial"/>
                <w:b/>
                <w:bCs/>
                <w:sz w:val="20"/>
                <w:szCs w:val="20"/>
              </w:rPr>
            </w:pPr>
            <w:r w:rsidRPr="003E2738">
              <w:rPr>
                <w:rFonts w:ascii="Arial" w:hAnsi="Arial" w:cs="Arial"/>
                <w:b/>
                <w:bCs/>
                <w:sz w:val="20"/>
                <w:szCs w:val="20"/>
              </w:rPr>
              <w:t>Doxycyklín</w:t>
            </w:r>
            <w:r>
              <w:rPr>
                <w:rFonts w:ascii="Arial" w:hAnsi="Arial" w:cs="Arial"/>
                <w:b/>
                <w:bCs/>
                <w:sz w:val="20"/>
                <w:szCs w:val="20"/>
              </w:rPr>
              <w:t xml:space="preserve"> p.o. 2</w:t>
            </w:r>
            <w:r w:rsidRPr="003E2738">
              <w:rPr>
                <w:rFonts w:ascii="Arial" w:hAnsi="Arial" w:cs="Arial"/>
                <w:b/>
                <w:bCs/>
                <w:sz w:val="20"/>
                <w:szCs w:val="20"/>
              </w:rPr>
              <w:t>00 mg</w:t>
            </w:r>
          </w:p>
        </w:tc>
      </w:tr>
      <w:tr w:rsidR="00657ACA" w:rsidRPr="0000591E" w14:paraId="48CB50C6" w14:textId="77777777" w:rsidTr="003F7925">
        <w:trPr>
          <w:gridAfter w:val="2"/>
          <w:wAfter w:w="154" w:type="dxa"/>
          <w:trHeight w:val="20"/>
        </w:trPr>
        <w:tc>
          <w:tcPr>
            <w:tcW w:w="1256" w:type="dxa"/>
            <w:noWrap/>
            <w:vAlign w:val="bottom"/>
          </w:tcPr>
          <w:p w14:paraId="6E5DAC39" w14:textId="77777777" w:rsidR="00657ACA" w:rsidRPr="0000591E" w:rsidRDefault="00657ACA" w:rsidP="00657ACA">
            <w:pPr>
              <w:rPr>
                <w:rFonts w:ascii="Arial" w:hAnsi="Arial" w:cs="Arial"/>
                <w:b/>
                <w:bCs/>
                <w:sz w:val="20"/>
                <w:szCs w:val="20"/>
              </w:rPr>
            </w:pPr>
          </w:p>
        </w:tc>
        <w:tc>
          <w:tcPr>
            <w:tcW w:w="9452" w:type="dxa"/>
            <w:noWrap/>
          </w:tcPr>
          <w:p w14:paraId="5B5F3D68" w14:textId="7CE67AFB" w:rsidR="00657ACA" w:rsidRDefault="00657ACA" w:rsidP="00657ACA">
            <w:pPr>
              <w:rPr>
                <w:rFonts w:ascii="Arial" w:hAnsi="Arial"/>
                <w:color w:val="000000"/>
                <w:sz w:val="20"/>
                <w:u w:color="000000"/>
              </w:rPr>
            </w:pPr>
            <w:r w:rsidRPr="003B5C14">
              <w:rPr>
                <w:rFonts w:ascii="Arial" w:hAnsi="Arial"/>
                <w:color w:val="000000"/>
                <w:sz w:val="20"/>
                <w:u w:color="000000"/>
              </w:rPr>
              <w:t>Liečba pacientov s cystickou fibrózou (diagnóza E84 podľa Medzinárodnej klasifikácie chorôb 10) je hradená plne.</w:t>
            </w:r>
          </w:p>
          <w:p w14:paraId="1AA4F7C7" w14:textId="33C9AF85"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45C24484" w14:textId="77777777" w:rsidR="00657ACA" w:rsidRPr="0000591E" w:rsidRDefault="00657ACA" w:rsidP="00657ACA">
            <w:pPr>
              <w:rPr>
                <w:rFonts w:ascii="Arial" w:hAnsi="Arial" w:cs="Arial"/>
                <w:b/>
                <w:bCs/>
                <w:sz w:val="20"/>
                <w:szCs w:val="20"/>
              </w:rPr>
            </w:pPr>
          </w:p>
        </w:tc>
      </w:tr>
      <w:tr w:rsidR="00657ACA" w:rsidRPr="0000591E" w14:paraId="7CD1F334" w14:textId="77777777" w:rsidTr="003F7925">
        <w:trPr>
          <w:gridAfter w:val="2"/>
          <w:wAfter w:w="154" w:type="dxa"/>
          <w:trHeight w:val="20"/>
        </w:trPr>
        <w:tc>
          <w:tcPr>
            <w:tcW w:w="1256" w:type="dxa"/>
            <w:tcBorders>
              <w:bottom w:val="single" w:sz="4" w:space="0" w:color="auto"/>
            </w:tcBorders>
            <w:noWrap/>
            <w:vAlign w:val="bottom"/>
          </w:tcPr>
          <w:p w14:paraId="3AE68715" w14:textId="77777777" w:rsidR="00657ACA" w:rsidRPr="0000591E" w:rsidRDefault="00657ACA" w:rsidP="00657ACA">
            <w:pPr>
              <w:rPr>
                <w:rFonts w:ascii="Arial" w:hAnsi="Arial" w:cs="Arial"/>
                <w:b/>
                <w:bCs/>
                <w:sz w:val="20"/>
                <w:szCs w:val="20"/>
              </w:rPr>
            </w:pPr>
            <w:r>
              <w:rPr>
                <w:rFonts w:ascii="Arial" w:hAnsi="Arial" w:cs="Arial"/>
                <w:b/>
                <w:bCs/>
                <w:sz w:val="20"/>
                <w:szCs w:val="20"/>
              </w:rPr>
              <w:t>J01CA04</w:t>
            </w:r>
          </w:p>
        </w:tc>
        <w:tc>
          <w:tcPr>
            <w:tcW w:w="9452" w:type="dxa"/>
            <w:tcBorders>
              <w:bottom w:val="single" w:sz="4" w:space="0" w:color="auto"/>
            </w:tcBorders>
            <w:noWrap/>
          </w:tcPr>
          <w:p w14:paraId="38D91196" w14:textId="77777777" w:rsidR="00657ACA" w:rsidRDefault="00657ACA" w:rsidP="00657ACA">
            <w:pPr>
              <w:rPr>
                <w:rFonts w:ascii="Arial" w:hAnsi="Arial" w:cs="Arial"/>
                <w:b/>
                <w:bCs/>
                <w:sz w:val="20"/>
                <w:szCs w:val="20"/>
              </w:rPr>
            </w:pPr>
            <w:r>
              <w:rPr>
                <w:rFonts w:ascii="Arial" w:hAnsi="Arial" w:cs="Arial"/>
                <w:b/>
                <w:bCs/>
                <w:sz w:val="20"/>
                <w:szCs w:val="20"/>
              </w:rPr>
              <w:t>Amoxicilín p.o. 500 mg</w:t>
            </w:r>
          </w:p>
          <w:p w14:paraId="7A8482FA" w14:textId="77777777" w:rsidR="00657ACA" w:rsidRDefault="00657ACA" w:rsidP="00657ACA">
            <w:pPr>
              <w:rPr>
                <w:rFonts w:ascii="Arial" w:hAnsi="Arial" w:cs="Arial"/>
                <w:b/>
                <w:bCs/>
                <w:sz w:val="20"/>
                <w:szCs w:val="20"/>
              </w:rPr>
            </w:pPr>
            <w:r>
              <w:rPr>
                <w:rFonts w:ascii="Arial" w:hAnsi="Arial" w:cs="Arial"/>
                <w:b/>
                <w:bCs/>
                <w:sz w:val="20"/>
                <w:szCs w:val="20"/>
              </w:rPr>
              <w:t>Amoxicilín p.o. 750 mg</w:t>
            </w:r>
          </w:p>
          <w:p w14:paraId="48A1A8B5" w14:textId="77777777" w:rsidR="00657ACA" w:rsidRPr="003E2738" w:rsidRDefault="00657ACA" w:rsidP="00657ACA">
            <w:pPr>
              <w:rPr>
                <w:rFonts w:ascii="Arial" w:hAnsi="Arial"/>
                <w:color w:val="000000"/>
                <w:sz w:val="20"/>
                <w:u w:color="000000"/>
              </w:rPr>
            </w:pPr>
            <w:r>
              <w:rPr>
                <w:rFonts w:ascii="Arial" w:hAnsi="Arial" w:cs="Arial"/>
                <w:b/>
                <w:bCs/>
                <w:sz w:val="20"/>
                <w:szCs w:val="20"/>
              </w:rPr>
              <w:t>Amoxicilín p.o. 1000 mg</w:t>
            </w:r>
          </w:p>
        </w:tc>
      </w:tr>
      <w:tr w:rsidR="00657ACA" w:rsidRPr="0000591E" w14:paraId="0C298119" w14:textId="77777777" w:rsidTr="003F7925">
        <w:trPr>
          <w:gridAfter w:val="2"/>
          <w:wAfter w:w="154" w:type="dxa"/>
          <w:trHeight w:val="20"/>
        </w:trPr>
        <w:tc>
          <w:tcPr>
            <w:tcW w:w="1256" w:type="dxa"/>
            <w:noWrap/>
            <w:vAlign w:val="bottom"/>
          </w:tcPr>
          <w:p w14:paraId="1D6C0EB9" w14:textId="77777777" w:rsidR="00657ACA" w:rsidRPr="0000591E" w:rsidRDefault="00657ACA" w:rsidP="00657ACA">
            <w:pPr>
              <w:rPr>
                <w:rFonts w:ascii="Arial" w:hAnsi="Arial" w:cs="Arial"/>
                <w:b/>
                <w:bCs/>
                <w:sz w:val="20"/>
                <w:szCs w:val="20"/>
              </w:rPr>
            </w:pPr>
          </w:p>
        </w:tc>
        <w:tc>
          <w:tcPr>
            <w:tcW w:w="9452" w:type="dxa"/>
            <w:noWrap/>
          </w:tcPr>
          <w:p w14:paraId="557D9A5C" w14:textId="77777777" w:rsidR="00657ACA" w:rsidRDefault="00657ACA" w:rsidP="00657ACA">
            <w:pPr>
              <w:rPr>
                <w:rFonts w:ascii="Arial" w:hAnsi="Arial"/>
                <w:color w:val="000000"/>
                <w:sz w:val="20"/>
                <w:u w:color="000000"/>
              </w:rPr>
            </w:pPr>
            <w:r w:rsidRPr="0088304A">
              <w:rPr>
                <w:rFonts w:ascii="Arial" w:hAnsi="Arial"/>
                <w:color w:val="000000"/>
                <w:sz w:val="20"/>
                <w:u w:color="000000"/>
              </w:rPr>
              <w:t>Liečba pacientov s cystickou fibrózou (diagnóza E84 podľa Medzinárodnej klasifikácie chorôb 10) je hradená plne.</w:t>
            </w:r>
          </w:p>
          <w:p w14:paraId="4E979C61" w14:textId="24C388C2"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295710BA" w14:textId="77777777" w:rsidR="00657ACA" w:rsidRPr="003E2738" w:rsidRDefault="00657ACA" w:rsidP="00657ACA">
            <w:pPr>
              <w:rPr>
                <w:rFonts w:ascii="Arial" w:hAnsi="Arial"/>
                <w:color w:val="000000"/>
                <w:sz w:val="20"/>
                <w:u w:color="000000"/>
              </w:rPr>
            </w:pPr>
          </w:p>
        </w:tc>
      </w:tr>
      <w:tr w:rsidR="00657ACA" w:rsidRPr="0000591E" w14:paraId="0C5423E7" w14:textId="77777777" w:rsidTr="003F7925">
        <w:trPr>
          <w:gridAfter w:val="2"/>
          <w:wAfter w:w="154" w:type="dxa"/>
          <w:trHeight w:val="20"/>
        </w:trPr>
        <w:tc>
          <w:tcPr>
            <w:tcW w:w="1256" w:type="dxa"/>
            <w:tcBorders>
              <w:bottom w:val="single" w:sz="4" w:space="0" w:color="auto"/>
            </w:tcBorders>
            <w:noWrap/>
            <w:vAlign w:val="bottom"/>
          </w:tcPr>
          <w:p w14:paraId="2F4A412C" w14:textId="77777777" w:rsidR="00657ACA" w:rsidRPr="0000591E" w:rsidRDefault="00657ACA" w:rsidP="00657ACA">
            <w:pPr>
              <w:rPr>
                <w:rFonts w:ascii="Arial" w:hAnsi="Arial" w:cs="Arial"/>
                <w:b/>
                <w:bCs/>
                <w:sz w:val="20"/>
                <w:szCs w:val="20"/>
              </w:rPr>
            </w:pPr>
            <w:r>
              <w:rPr>
                <w:rFonts w:ascii="Arial" w:hAnsi="Arial" w:cs="Arial"/>
                <w:b/>
                <w:bCs/>
                <w:sz w:val="20"/>
                <w:szCs w:val="20"/>
              </w:rPr>
              <w:t>J01CE02</w:t>
            </w:r>
          </w:p>
        </w:tc>
        <w:tc>
          <w:tcPr>
            <w:tcW w:w="9452" w:type="dxa"/>
            <w:tcBorders>
              <w:bottom w:val="single" w:sz="4" w:space="0" w:color="auto"/>
            </w:tcBorders>
            <w:noWrap/>
          </w:tcPr>
          <w:p w14:paraId="45CB2C25" w14:textId="77777777" w:rsidR="00657ACA" w:rsidRDefault="00657ACA" w:rsidP="00657ACA">
            <w:pPr>
              <w:rPr>
                <w:rFonts w:ascii="Arial" w:hAnsi="Arial"/>
                <w:b/>
                <w:color w:val="000000"/>
                <w:sz w:val="20"/>
                <w:u w:color="000000"/>
              </w:rPr>
            </w:pPr>
            <w:r w:rsidRPr="00E02C6D">
              <w:rPr>
                <w:rFonts w:ascii="Arial" w:hAnsi="Arial"/>
                <w:b/>
                <w:color w:val="000000"/>
                <w:sz w:val="20"/>
                <w:u w:color="000000"/>
              </w:rPr>
              <w:t xml:space="preserve">Fenoxymetylpenicilín p.o. </w:t>
            </w:r>
            <w:r>
              <w:rPr>
                <w:rFonts w:ascii="Arial" w:hAnsi="Arial"/>
                <w:b/>
                <w:color w:val="000000"/>
                <w:sz w:val="20"/>
                <w:u w:color="000000"/>
              </w:rPr>
              <w:t>500</w:t>
            </w:r>
            <w:r w:rsidRPr="00E02C6D">
              <w:rPr>
                <w:rFonts w:ascii="Arial" w:hAnsi="Arial"/>
                <w:b/>
                <w:color w:val="000000"/>
                <w:sz w:val="20"/>
                <w:u w:color="000000"/>
              </w:rPr>
              <w:t xml:space="preserve"> mg</w:t>
            </w:r>
          </w:p>
          <w:p w14:paraId="1E695A77" w14:textId="77777777" w:rsidR="00657ACA" w:rsidRDefault="00657ACA" w:rsidP="00657ACA">
            <w:pPr>
              <w:rPr>
                <w:rFonts w:ascii="Arial" w:hAnsi="Arial"/>
                <w:b/>
                <w:color w:val="000000"/>
                <w:sz w:val="20"/>
                <w:u w:color="000000"/>
              </w:rPr>
            </w:pPr>
            <w:r w:rsidRPr="00E02C6D">
              <w:rPr>
                <w:rFonts w:ascii="Arial" w:hAnsi="Arial"/>
                <w:b/>
                <w:color w:val="000000"/>
                <w:sz w:val="20"/>
                <w:u w:color="000000"/>
              </w:rPr>
              <w:t xml:space="preserve">Fenoxymetylpenicilín p.o. </w:t>
            </w:r>
            <w:r>
              <w:rPr>
                <w:rFonts w:ascii="Arial" w:hAnsi="Arial"/>
                <w:b/>
                <w:color w:val="000000"/>
                <w:sz w:val="20"/>
                <w:u w:color="000000"/>
              </w:rPr>
              <w:t>658</w:t>
            </w:r>
            <w:r w:rsidRPr="00E02C6D">
              <w:rPr>
                <w:rFonts w:ascii="Arial" w:hAnsi="Arial"/>
                <w:b/>
                <w:color w:val="000000"/>
                <w:sz w:val="20"/>
                <w:u w:color="000000"/>
              </w:rPr>
              <w:t xml:space="preserve"> mg</w:t>
            </w:r>
          </w:p>
          <w:p w14:paraId="4AC04499" w14:textId="77777777" w:rsidR="00657ACA" w:rsidRDefault="00657ACA" w:rsidP="00657ACA">
            <w:pPr>
              <w:rPr>
                <w:rFonts w:ascii="Arial" w:hAnsi="Arial"/>
                <w:b/>
                <w:color w:val="000000"/>
                <w:sz w:val="20"/>
                <w:u w:color="000000"/>
              </w:rPr>
            </w:pPr>
            <w:r w:rsidRPr="00E02C6D">
              <w:rPr>
                <w:rFonts w:ascii="Arial" w:hAnsi="Arial"/>
                <w:b/>
                <w:color w:val="000000"/>
                <w:sz w:val="20"/>
                <w:u w:color="000000"/>
              </w:rPr>
              <w:t xml:space="preserve">Fenoxymetylpenicilín p.o. </w:t>
            </w:r>
            <w:r>
              <w:rPr>
                <w:rFonts w:ascii="Arial" w:hAnsi="Arial"/>
                <w:b/>
                <w:color w:val="000000"/>
                <w:sz w:val="20"/>
                <w:u w:color="000000"/>
              </w:rPr>
              <w:t>750</w:t>
            </w:r>
            <w:r w:rsidRPr="00E02C6D">
              <w:rPr>
                <w:rFonts w:ascii="Arial" w:hAnsi="Arial"/>
                <w:b/>
                <w:color w:val="000000"/>
                <w:sz w:val="20"/>
                <w:u w:color="000000"/>
              </w:rPr>
              <w:t xml:space="preserve"> mg</w:t>
            </w:r>
          </w:p>
          <w:p w14:paraId="4D14725B" w14:textId="77777777" w:rsidR="00657ACA" w:rsidRDefault="00657ACA" w:rsidP="00657ACA">
            <w:pPr>
              <w:rPr>
                <w:rFonts w:ascii="Arial" w:hAnsi="Arial"/>
                <w:b/>
                <w:color w:val="000000"/>
                <w:sz w:val="20"/>
                <w:u w:color="000000"/>
              </w:rPr>
            </w:pPr>
            <w:r w:rsidRPr="00E02C6D">
              <w:rPr>
                <w:rFonts w:ascii="Arial" w:hAnsi="Arial"/>
                <w:b/>
                <w:color w:val="000000"/>
                <w:sz w:val="20"/>
                <w:u w:color="000000"/>
              </w:rPr>
              <w:t xml:space="preserve">Fenoxymetylpenicilín p.o. </w:t>
            </w:r>
            <w:r>
              <w:rPr>
                <w:rFonts w:ascii="Arial" w:hAnsi="Arial"/>
                <w:b/>
                <w:color w:val="000000"/>
                <w:sz w:val="20"/>
                <w:u w:color="000000"/>
              </w:rPr>
              <w:t>987</w:t>
            </w:r>
            <w:r w:rsidRPr="00E02C6D">
              <w:rPr>
                <w:rFonts w:ascii="Arial" w:hAnsi="Arial"/>
                <w:b/>
                <w:color w:val="000000"/>
                <w:sz w:val="20"/>
                <w:u w:color="000000"/>
              </w:rPr>
              <w:t xml:space="preserve"> mg</w:t>
            </w:r>
          </w:p>
          <w:p w14:paraId="2473DF8F" w14:textId="77777777" w:rsidR="00657ACA" w:rsidRPr="003E2738" w:rsidRDefault="00657ACA" w:rsidP="00657ACA">
            <w:pPr>
              <w:rPr>
                <w:rFonts w:ascii="Arial" w:hAnsi="Arial"/>
                <w:color w:val="000000"/>
                <w:sz w:val="20"/>
                <w:u w:color="000000"/>
              </w:rPr>
            </w:pPr>
            <w:r>
              <w:rPr>
                <w:rFonts w:ascii="Arial" w:hAnsi="Arial"/>
                <w:b/>
                <w:color w:val="000000"/>
                <w:sz w:val="20"/>
                <w:u w:color="000000"/>
              </w:rPr>
              <w:t>F</w:t>
            </w:r>
            <w:r w:rsidRPr="00E02C6D">
              <w:rPr>
                <w:rFonts w:ascii="Arial" w:hAnsi="Arial"/>
                <w:b/>
                <w:color w:val="000000"/>
                <w:sz w:val="20"/>
                <w:u w:color="000000"/>
              </w:rPr>
              <w:t xml:space="preserve">enoxymetylpenicilín p.o. </w:t>
            </w:r>
            <w:r>
              <w:rPr>
                <w:rFonts w:ascii="Arial" w:hAnsi="Arial"/>
                <w:b/>
                <w:color w:val="000000"/>
                <w:sz w:val="20"/>
                <w:u w:color="000000"/>
              </w:rPr>
              <w:t>1000</w:t>
            </w:r>
            <w:r w:rsidRPr="00E02C6D">
              <w:rPr>
                <w:rFonts w:ascii="Arial" w:hAnsi="Arial"/>
                <w:b/>
                <w:color w:val="000000"/>
                <w:sz w:val="20"/>
                <w:u w:color="000000"/>
              </w:rPr>
              <w:t xml:space="preserve"> mg</w:t>
            </w:r>
          </w:p>
        </w:tc>
      </w:tr>
      <w:tr w:rsidR="00657ACA" w:rsidRPr="0000591E" w14:paraId="5968032D" w14:textId="77777777" w:rsidTr="003F7925">
        <w:trPr>
          <w:gridAfter w:val="2"/>
          <w:wAfter w:w="154" w:type="dxa"/>
          <w:trHeight w:val="20"/>
        </w:trPr>
        <w:tc>
          <w:tcPr>
            <w:tcW w:w="1256" w:type="dxa"/>
            <w:noWrap/>
            <w:vAlign w:val="bottom"/>
          </w:tcPr>
          <w:p w14:paraId="12F21C2E" w14:textId="77777777" w:rsidR="00657ACA" w:rsidRPr="0000591E" w:rsidRDefault="00657ACA" w:rsidP="00657ACA">
            <w:pPr>
              <w:rPr>
                <w:rFonts w:ascii="Arial" w:hAnsi="Arial" w:cs="Arial"/>
                <w:b/>
                <w:bCs/>
                <w:sz w:val="20"/>
                <w:szCs w:val="20"/>
              </w:rPr>
            </w:pPr>
          </w:p>
        </w:tc>
        <w:tc>
          <w:tcPr>
            <w:tcW w:w="9452" w:type="dxa"/>
            <w:noWrap/>
          </w:tcPr>
          <w:p w14:paraId="295C0B90" w14:textId="6A2CA2D6" w:rsidR="00657ACA" w:rsidRDefault="00657ACA" w:rsidP="00657ACA">
            <w:pPr>
              <w:rPr>
                <w:rFonts w:ascii="Arial" w:hAnsi="Arial"/>
                <w:color w:val="000000"/>
                <w:sz w:val="20"/>
                <w:u w:color="000000"/>
              </w:rPr>
            </w:pPr>
            <w:r w:rsidRPr="008A73D2">
              <w:rPr>
                <w:rFonts w:ascii="Arial" w:hAnsi="Arial"/>
                <w:color w:val="000000"/>
                <w:sz w:val="20"/>
                <w:u w:color="000000"/>
              </w:rPr>
              <w:t>Liečba pacientov s cystickou fibrózou (diagnóza E84 podľa Medzinárodnej klasifikácie chorôb 10) je hradená plne.</w:t>
            </w:r>
          </w:p>
          <w:p w14:paraId="094A3B77" w14:textId="77777777"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5B07E84F" w14:textId="4A3CDEC5" w:rsidR="00F67813" w:rsidRPr="003E2738" w:rsidRDefault="00F67813" w:rsidP="00657ACA">
            <w:pPr>
              <w:rPr>
                <w:rFonts w:ascii="Arial" w:hAnsi="Arial"/>
                <w:color w:val="000000"/>
                <w:sz w:val="20"/>
                <w:u w:color="000000"/>
              </w:rPr>
            </w:pPr>
          </w:p>
        </w:tc>
      </w:tr>
      <w:tr w:rsidR="00657ACA" w:rsidRPr="0000591E" w14:paraId="75736316" w14:textId="77777777" w:rsidTr="003F7925">
        <w:trPr>
          <w:gridAfter w:val="2"/>
          <w:wAfter w:w="154" w:type="dxa"/>
          <w:trHeight w:val="20"/>
        </w:trPr>
        <w:tc>
          <w:tcPr>
            <w:tcW w:w="1256" w:type="dxa"/>
            <w:tcBorders>
              <w:bottom w:val="single" w:sz="4" w:space="0" w:color="auto"/>
            </w:tcBorders>
            <w:noWrap/>
            <w:vAlign w:val="bottom"/>
          </w:tcPr>
          <w:p w14:paraId="064EC572" w14:textId="77777777" w:rsidR="00657ACA" w:rsidRPr="0000591E" w:rsidRDefault="00657ACA" w:rsidP="00657ACA">
            <w:pPr>
              <w:rPr>
                <w:rFonts w:ascii="Arial" w:hAnsi="Arial" w:cs="Arial"/>
                <w:b/>
                <w:bCs/>
                <w:sz w:val="20"/>
                <w:szCs w:val="20"/>
              </w:rPr>
            </w:pPr>
            <w:r>
              <w:rPr>
                <w:rFonts w:ascii="Arial" w:hAnsi="Arial" w:cs="Arial"/>
                <w:b/>
                <w:bCs/>
                <w:sz w:val="20"/>
                <w:szCs w:val="20"/>
              </w:rPr>
              <w:t>J01CE02</w:t>
            </w:r>
          </w:p>
        </w:tc>
        <w:tc>
          <w:tcPr>
            <w:tcW w:w="9452" w:type="dxa"/>
            <w:tcBorders>
              <w:bottom w:val="single" w:sz="4" w:space="0" w:color="auto"/>
            </w:tcBorders>
            <w:noWrap/>
          </w:tcPr>
          <w:p w14:paraId="16F94FB4" w14:textId="77777777" w:rsidR="00657ACA" w:rsidRPr="003E2738" w:rsidRDefault="00657ACA" w:rsidP="00657ACA">
            <w:pPr>
              <w:rPr>
                <w:rFonts w:ascii="Arial" w:hAnsi="Arial"/>
                <w:color w:val="000000"/>
                <w:sz w:val="20"/>
                <w:u w:color="000000"/>
              </w:rPr>
            </w:pPr>
            <w:r w:rsidRPr="00E02C6D">
              <w:rPr>
                <w:rFonts w:ascii="Arial" w:hAnsi="Arial"/>
                <w:b/>
                <w:color w:val="000000"/>
                <w:sz w:val="20"/>
                <w:u w:color="000000"/>
              </w:rPr>
              <w:t>Fenoxymetylpenicilín</w:t>
            </w:r>
            <w:r w:rsidRPr="00845751">
              <w:rPr>
                <w:rFonts w:ascii="Arial" w:hAnsi="Arial"/>
                <w:color w:val="000000"/>
                <w:sz w:val="20"/>
                <w:u w:color="000000"/>
              </w:rPr>
              <w:t xml:space="preserve"> </w:t>
            </w:r>
            <w:r w:rsidRPr="00845751">
              <w:rPr>
                <w:rFonts w:ascii="Arial" w:hAnsi="Arial"/>
                <w:b/>
                <w:color w:val="000000"/>
                <w:sz w:val="20"/>
                <w:u w:color="000000"/>
              </w:rPr>
              <w:t>p.o. 47,2 mg/ml tekuté</w:t>
            </w:r>
          </w:p>
        </w:tc>
      </w:tr>
      <w:tr w:rsidR="00657ACA" w:rsidRPr="0000591E" w14:paraId="35227BB3" w14:textId="77777777" w:rsidTr="003F7925">
        <w:trPr>
          <w:gridAfter w:val="2"/>
          <w:wAfter w:w="154" w:type="dxa"/>
          <w:trHeight w:val="20"/>
        </w:trPr>
        <w:tc>
          <w:tcPr>
            <w:tcW w:w="1256" w:type="dxa"/>
            <w:noWrap/>
            <w:vAlign w:val="bottom"/>
          </w:tcPr>
          <w:p w14:paraId="66AD33C2" w14:textId="77777777" w:rsidR="00657ACA" w:rsidRPr="0000591E" w:rsidRDefault="00657ACA" w:rsidP="00657ACA">
            <w:pPr>
              <w:rPr>
                <w:rFonts w:ascii="Arial" w:hAnsi="Arial" w:cs="Arial"/>
                <w:b/>
                <w:bCs/>
                <w:sz w:val="20"/>
                <w:szCs w:val="20"/>
              </w:rPr>
            </w:pPr>
          </w:p>
        </w:tc>
        <w:tc>
          <w:tcPr>
            <w:tcW w:w="9452" w:type="dxa"/>
            <w:noWrap/>
          </w:tcPr>
          <w:p w14:paraId="12B56327" w14:textId="556B61AC" w:rsidR="00657ACA" w:rsidRDefault="00657ACA" w:rsidP="00657ACA">
            <w:pPr>
              <w:rPr>
                <w:rFonts w:ascii="Arial" w:hAnsi="Arial"/>
                <w:color w:val="000000"/>
                <w:sz w:val="20"/>
                <w:u w:color="000000"/>
              </w:rPr>
            </w:pPr>
            <w:r w:rsidRPr="007D53CB">
              <w:rPr>
                <w:rFonts w:ascii="Arial" w:hAnsi="Arial"/>
                <w:color w:val="000000"/>
                <w:sz w:val="20"/>
                <w:u w:color="000000"/>
              </w:rPr>
              <w:t>Liečba pacientov s cystickou fibrózou (diagnóza E84 podľa Medzinárodnej klasifikácie chorôb 10) je hradená plne.</w:t>
            </w:r>
          </w:p>
          <w:p w14:paraId="1DA7818E" w14:textId="647FB7A7"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3E21E387" w14:textId="77777777" w:rsidR="00657ACA" w:rsidRPr="003E2738" w:rsidRDefault="00657ACA" w:rsidP="00657ACA">
            <w:pPr>
              <w:rPr>
                <w:rFonts w:ascii="Arial" w:hAnsi="Arial"/>
                <w:color w:val="000000"/>
                <w:sz w:val="20"/>
                <w:u w:color="000000"/>
              </w:rPr>
            </w:pPr>
          </w:p>
        </w:tc>
      </w:tr>
      <w:tr w:rsidR="00657ACA" w:rsidRPr="0000591E" w14:paraId="4C64F984" w14:textId="77777777" w:rsidTr="003F7925">
        <w:trPr>
          <w:gridAfter w:val="2"/>
          <w:wAfter w:w="154" w:type="dxa"/>
          <w:trHeight w:val="20"/>
        </w:trPr>
        <w:tc>
          <w:tcPr>
            <w:tcW w:w="1256" w:type="dxa"/>
            <w:tcBorders>
              <w:bottom w:val="single" w:sz="4" w:space="0" w:color="auto"/>
            </w:tcBorders>
            <w:noWrap/>
            <w:vAlign w:val="bottom"/>
          </w:tcPr>
          <w:p w14:paraId="06F04AB6" w14:textId="77777777" w:rsidR="00657ACA" w:rsidRPr="0000591E" w:rsidRDefault="00657ACA" w:rsidP="00657ACA">
            <w:pPr>
              <w:rPr>
                <w:rFonts w:ascii="Arial" w:hAnsi="Arial" w:cs="Arial"/>
                <w:b/>
                <w:bCs/>
                <w:sz w:val="20"/>
                <w:szCs w:val="20"/>
              </w:rPr>
            </w:pPr>
            <w:r>
              <w:rPr>
                <w:rFonts w:ascii="Arial" w:hAnsi="Arial" w:cs="Arial"/>
                <w:b/>
                <w:bCs/>
                <w:sz w:val="20"/>
                <w:szCs w:val="20"/>
              </w:rPr>
              <w:t>J01CR02</w:t>
            </w:r>
          </w:p>
        </w:tc>
        <w:tc>
          <w:tcPr>
            <w:tcW w:w="9452" w:type="dxa"/>
            <w:tcBorders>
              <w:bottom w:val="single" w:sz="4" w:space="0" w:color="auto"/>
            </w:tcBorders>
            <w:noWrap/>
          </w:tcPr>
          <w:p w14:paraId="4B6EE2EF" w14:textId="77777777" w:rsidR="00657ACA" w:rsidRDefault="00657ACA" w:rsidP="00657ACA">
            <w:pPr>
              <w:jc w:val="both"/>
              <w:rPr>
                <w:rFonts w:ascii="Arial" w:hAnsi="Arial" w:cs="Arial"/>
                <w:b/>
                <w:sz w:val="20"/>
                <w:szCs w:val="20"/>
              </w:rPr>
            </w:pPr>
            <w:r w:rsidRPr="001A5CBD">
              <w:rPr>
                <w:rFonts w:ascii="Arial" w:hAnsi="Arial" w:cs="Arial"/>
                <w:b/>
                <w:sz w:val="20"/>
                <w:szCs w:val="20"/>
              </w:rPr>
              <w:t>Amoxicilín a inhibítor betalaktamázy p.o. 375 mg</w:t>
            </w:r>
          </w:p>
          <w:p w14:paraId="7804DB37" w14:textId="77777777" w:rsidR="00657ACA" w:rsidRDefault="00657ACA" w:rsidP="00657ACA">
            <w:pPr>
              <w:jc w:val="both"/>
              <w:rPr>
                <w:rFonts w:ascii="Arial" w:hAnsi="Arial" w:cs="Arial"/>
                <w:b/>
                <w:sz w:val="20"/>
                <w:szCs w:val="20"/>
              </w:rPr>
            </w:pPr>
            <w:r w:rsidRPr="001A5CBD">
              <w:rPr>
                <w:rFonts w:ascii="Arial" w:hAnsi="Arial" w:cs="Arial"/>
                <w:b/>
                <w:sz w:val="20"/>
                <w:szCs w:val="20"/>
              </w:rPr>
              <w:t xml:space="preserve">Amoxicilín a inhibítor betalaktamázy </w:t>
            </w:r>
            <w:r>
              <w:rPr>
                <w:rFonts w:ascii="Arial" w:hAnsi="Arial" w:cs="Arial"/>
                <w:b/>
                <w:sz w:val="20"/>
                <w:szCs w:val="20"/>
              </w:rPr>
              <w:t xml:space="preserve">p.o. 625 </w:t>
            </w:r>
            <w:r w:rsidRPr="001A5CBD">
              <w:rPr>
                <w:rFonts w:ascii="Arial" w:hAnsi="Arial" w:cs="Arial"/>
                <w:b/>
                <w:sz w:val="20"/>
                <w:szCs w:val="20"/>
              </w:rPr>
              <w:t>mg</w:t>
            </w:r>
          </w:p>
          <w:p w14:paraId="6D5AB880" w14:textId="77777777" w:rsidR="00657ACA" w:rsidRPr="003E2738" w:rsidRDefault="00657ACA" w:rsidP="00657ACA">
            <w:pPr>
              <w:rPr>
                <w:rFonts w:ascii="Arial" w:hAnsi="Arial"/>
                <w:color w:val="000000"/>
                <w:sz w:val="20"/>
                <w:u w:color="000000"/>
              </w:rPr>
            </w:pPr>
            <w:r w:rsidRPr="001A5CBD">
              <w:rPr>
                <w:rFonts w:ascii="Arial" w:hAnsi="Arial" w:cs="Arial"/>
                <w:b/>
                <w:sz w:val="20"/>
                <w:szCs w:val="20"/>
              </w:rPr>
              <w:t xml:space="preserve">Amoxicilín a inhibítor betalaktamázy </w:t>
            </w:r>
            <w:r>
              <w:rPr>
                <w:rFonts w:ascii="Arial" w:hAnsi="Arial" w:cs="Arial"/>
                <w:b/>
                <w:sz w:val="20"/>
                <w:szCs w:val="20"/>
              </w:rPr>
              <w:t xml:space="preserve">p.o. 1 </w:t>
            </w:r>
            <w:r w:rsidRPr="001A5CBD">
              <w:rPr>
                <w:rFonts w:ascii="Arial" w:hAnsi="Arial" w:cs="Arial"/>
                <w:b/>
                <w:sz w:val="20"/>
                <w:szCs w:val="20"/>
              </w:rPr>
              <w:t>g</w:t>
            </w:r>
          </w:p>
        </w:tc>
      </w:tr>
      <w:tr w:rsidR="00657ACA" w:rsidRPr="0000591E" w14:paraId="29B972EA" w14:textId="77777777" w:rsidTr="003F7925">
        <w:trPr>
          <w:gridAfter w:val="2"/>
          <w:wAfter w:w="154" w:type="dxa"/>
          <w:trHeight w:val="20"/>
        </w:trPr>
        <w:tc>
          <w:tcPr>
            <w:tcW w:w="1256" w:type="dxa"/>
            <w:noWrap/>
            <w:vAlign w:val="bottom"/>
          </w:tcPr>
          <w:p w14:paraId="58C50FE6" w14:textId="77777777" w:rsidR="00657ACA" w:rsidRPr="0000591E" w:rsidRDefault="00657ACA" w:rsidP="00657ACA">
            <w:pPr>
              <w:rPr>
                <w:rFonts w:ascii="Arial" w:hAnsi="Arial" w:cs="Arial"/>
                <w:b/>
                <w:bCs/>
                <w:sz w:val="20"/>
                <w:szCs w:val="20"/>
              </w:rPr>
            </w:pPr>
          </w:p>
        </w:tc>
        <w:tc>
          <w:tcPr>
            <w:tcW w:w="9452" w:type="dxa"/>
            <w:noWrap/>
          </w:tcPr>
          <w:p w14:paraId="3C7C63A5" w14:textId="0C53D665" w:rsidR="00657ACA" w:rsidRDefault="00657ACA" w:rsidP="00657ACA">
            <w:pPr>
              <w:rPr>
                <w:rFonts w:ascii="Arial" w:hAnsi="Arial"/>
                <w:color w:val="000000"/>
                <w:sz w:val="20"/>
                <w:u w:color="000000"/>
              </w:rPr>
            </w:pPr>
            <w:r w:rsidRPr="00A76183">
              <w:rPr>
                <w:rFonts w:ascii="Arial" w:hAnsi="Arial"/>
                <w:color w:val="000000"/>
                <w:sz w:val="20"/>
                <w:u w:color="000000"/>
              </w:rPr>
              <w:t>Liečba pacientov s cystickou fibrózou (diagnóza E84 podľa Medzinárodnej klasifikácie chorôb 10) je hradená plne.</w:t>
            </w:r>
          </w:p>
          <w:p w14:paraId="618E4351" w14:textId="7FD7E964" w:rsidR="00657ACA" w:rsidRPr="003E2738" w:rsidRDefault="00657ACA" w:rsidP="00F67813">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tc>
      </w:tr>
      <w:tr w:rsidR="00657ACA" w:rsidRPr="0000591E" w14:paraId="4D69CCB1" w14:textId="77777777" w:rsidTr="003F7925">
        <w:trPr>
          <w:gridAfter w:val="2"/>
          <w:wAfter w:w="154" w:type="dxa"/>
          <w:trHeight w:val="20"/>
        </w:trPr>
        <w:tc>
          <w:tcPr>
            <w:tcW w:w="1256" w:type="dxa"/>
            <w:tcBorders>
              <w:bottom w:val="single" w:sz="4" w:space="0" w:color="auto"/>
            </w:tcBorders>
            <w:noWrap/>
            <w:vAlign w:val="bottom"/>
          </w:tcPr>
          <w:p w14:paraId="4A7A317B" w14:textId="77777777" w:rsidR="00657ACA" w:rsidRPr="0000591E" w:rsidRDefault="00657ACA" w:rsidP="00657ACA">
            <w:pPr>
              <w:rPr>
                <w:rFonts w:ascii="Arial" w:hAnsi="Arial" w:cs="Arial"/>
                <w:b/>
                <w:bCs/>
                <w:sz w:val="20"/>
                <w:szCs w:val="20"/>
              </w:rPr>
            </w:pPr>
            <w:r>
              <w:rPr>
                <w:rFonts w:ascii="Arial" w:hAnsi="Arial" w:cs="Arial"/>
                <w:b/>
                <w:bCs/>
                <w:sz w:val="20"/>
                <w:szCs w:val="20"/>
              </w:rPr>
              <w:lastRenderedPageBreak/>
              <w:t>J01CR02</w:t>
            </w:r>
          </w:p>
        </w:tc>
        <w:tc>
          <w:tcPr>
            <w:tcW w:w="9452" w:type="dxa"/>
            <w:tcBorders>
              <w:bottom w:val="single" w:sz="4" w:space="0" w:color="auto"/>
            </w:tcBorders>
            <w:noWrap/>
          </w:tcPr>
          <w:p w14:paraId="4CC9178C" w14:textId="77777777" w:rsidR="00657ACA" w:rsidRDefault="00657ACA" w:rsidP="00657ACA">
            <w:pPr>
              <w:rPr>
                <w:rFonts w:ascii="Arial" w:hAnsi="Arial" w:cs="Arial"/>
                <w:b/>
                <w:sz w:val="20"/>
                <w:szCs w:val="20"/>
              </w:rPr>
            </w:pPr>
            <w:r w:rsidRPr="001A5CBD">
              <w:rPr>
                <w:rFonts w:ascii="Arial" w:hAnsi="Arial" w:cs="Arial"/>
                <w:b/>
                <w:sz w:val="20"/>
                <w:szCs w:val="20"/>
              </w:rPr>
              <w:t xml:space="preserve">Amoxicilín a inhibítor betalaktamázy </w:t>
            </w:r>
            <w:r w:rsidRPr="00F0328F">
              <w:rPr>
                <w:rFonts w:ascii="Arial" w:hAnsi="Arial" w:cs="Arial"/>
                <w:b/>
                <w:sz w:val="20"/>
                <w:szCs w:val="20"/>
              </w:rPr>
              <w:t>p.o. 156,25 mg / 5 ml</w:t>
            </w:r>
          </w:p>
          <w:p w14:paraId="599923DC" w14:textId="77777777" w:rsidR="00657ACA" w:rsidRDefault="00657ACA" w:rsidP="00657ACA">
            <w:pPr>
              <w:rPr>
                <w:rFonts w:ascii="Arial" w:hAnsi="Arial" w:cs="Arial"/>
                <w:b/>
                <w:sz w:val="20"/>
                <w:szCs w:val="20"/>
              </w:rPr>
            </w:pPr>
            <w:r w:rsidRPr="001A5CBD">
              <w:rPr>
                <w:rFonts w:ascii="Arial" w:hAnsi="Arial" w:cs="Arial"/>
                <w:b/>
                <w:sz w:val="20"/>
                <w:szCs w:val="20"/>
              </w:rPr>
              <w:t xml:space="preserve">Amoxicilín a inhibítor betalaktamázy </w:t>
            </w:r>
            <w:r w:rsidRPr="008203D7">
              <w:rPr>
                <w:rFonts w:ascii="Arial" w:hAnsi="Arial" w:cs="Arial"/>
                <w:b/>
                <w:sz w:val="20"/>
                <w:szCs w:val="20"/>
              </w:rPr>
              <w:t>p.o. 312,5 mg / 5 ml</w:t>
            </w:r>
          </w:p>
          <w:p w14:paraId="63018C21" w14:textId="77777777" w:rsidR="00657ACA" w:rsidRPr="003E2738" w:rsidRDefault="00657ACA" w:rsidP="00657ACA">
            <w:pPr>
              <w:rPr>
                <w:rFonts w:ascii="Arial" w:hAnsi="Arial"/>
                <w:color w:val="000000"/>
                <w:sz w:val="20"/>
                <w:u w:color="000000"/>
              </w:rPr>
            </w:pPr>
            <w:r w:rsidRPr="001A5CBD">
              <w:rPr>
                <w:rFonts w:ascii="Arial" w:hAnsi="Arial" w:cs="Arial"/>
                <w:b/>
                <w:sz w:val="20"/>
                <w:szCs w:val="20"/>
              </w:rPr>
              <w:t xml:space="preserve">Amoxicilín a inhibítor betalaktamázy </w:t>
            </w:r>
            <w:r w:rsidRPr="00213242">
              <w:rPr>
                <w:rFonts w:ascii="Arial" w:hAnsi="Arial"/>
                <w:b/>
                <w:color w:val="000000"/>
                <w:sz w:val="20"/>
                <w:u w:color="000000"/>
              </w:rPr>
              <w:t>p.o. 457 mg / 5 ml</w:t>
            </w:r>
          </w:p>
        </w:tc>
      </w:tr>
      <w:tr w:rsidR="00657ACA" w:rsidRPr="0000591E" w14:paraId="57BD6831" w14:textId="77777777" w:rsidTr="003F7925">
        <w:trPr>
          <w:gridAfter w:val="2"/>
          <w:wAfter w:w="154" w:type="dxa"/>
          <w:trHeight w:val="20"/>
        </w:trPr>
        <w:tc>
          <w:tcPr>
            <w:tcW w:w="1256" w:type="dxa"/>
            <w:noWrap/>
            <w:vAlign w:val="bottom"/>
          </w:tcPr>
          <w:p w14:paraId="6EDE820E" w14:textId="77777777" w:rsidR="00657ACA" w:rsidRPr="0000591E" w:rsidRDefault="00657ACA" w:rsidP="00657ACA">
            <w:pPr>
              <w:rPr>
                <w:rFonts w:ascii="Arial" w:hAnsi="Arial" w:cs="Arial"/>
                <w:b/>
                <w:bCs/>
                <w:sz w:val="20"/>
                <w:szCs w:val="20"/>
              </w:rPr>
            </w:pPr>
          </w:p>
        </w:tc>
        <w:tc>
          <w:tcPr>
            <w:tcW w:w="9452" w:type="dxa"/>
            <w:noWrap/>
          </w:tcPr>
          <w:p w14:paraId="3992376C" w14:textId="7EF579CB" w:rsidR="00657ACA" w:rsidRDefault="00657ACA" w:rsidP="00657ACA">
            <w:pPr>
              <w:rPr>
                <w:rFonts w:ascii="Arial" w:hAnsi="Arial"/>
                <w:color w:val="000000"/>
                <w:sz w:val="20"/>
                <w:u w:color="000000"/>
              </w:rPr>
            </w:pPr>
            <w:r w:rsidRPr="006763C2">
              <w:rPr>
                <w:rFonts w:ascii="Arial" w:hAnsi="Arial"/>
                <w:color w:val="000000"/>
                <w:sz w:val="20"/>
                <w:u w:color="000000"/>
              </w:rPr>
              <w:t>Liečba pacientov s cystickou fibrózou (diagnóza E84 podľa Medzinárodnej klasifikácie chorôb 10) je hradená plne.</w:t>
            </w:r>
          </w:p>
          <w:p w14:paraId="69305888" w14:textId="2406F282"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7EC14693" w14:textId="77777777" w:rsidR="00657ACA" w:rsidRPr="003E2738" w:rsidRDefault="00657ACA" w:rsidP="00657ACA">
            <w:pPr>
              <w:rPr>
                <w:rFonts w:ascii="Arial" w:hAnsi="Arial"/>
                <w:color w:val="000000"/>
                <w:sz w:val="20"/>
                <w:u w:color="000000"/>
              </w:rPr>
            </w:pPr>
          </w:p>
        </w:tc>
      </w:tr>
      <w:tr w:rsidR="00657ACA" w:rsidRPr="0000591E" w14:paraId="75268B54" w14:textId="77777777" w:rsidTr="003F7925">
        <w:trPr>
          <w:gridAfter w:val="2"/>
          <w:wAfter w:w="154" w:type="dxa"/>
          <w:trHeight w:val="20"/>
        </w:trPr>
        <w:tc>
          <w:tcPr>
            <w:tcW w:w="1256" w:type="dxa"/>
            <w:tcBorders>
              <w:bottom w:val="single" w:sz="4" w:space="0" w:color="auto"/>
            </w:tcBorders>
            <w:noWrap/>
            <w:vAlign w:val="bottom"/>
          </w:tcPr>
          <w:p w14:paraId="18530422" w14:textId="77777777" w:rsidR="00657ACA" w:rsidRPr="0000591E" w:rsidRDefault="00657ACA" w:rsidP="00657ACA">
            <w:pPr>
              <w:rPr>
                <w:rFonts w:ascii="Arial" w:hAnsi="Arial" w:cs="Arial"/>
                <w:b/>
                <w:bCs/>
                <w:sz w:val="20"/>
                <w:szCs w:val="20"/>
              </w:rPr>
            </w:pPr>
            <w:r>
              <w:rPr>
                <w:rFonts w:ascii="Arial" w:hAnsi="Arial" w:cs="Arial"/>
                <w:b/>
                <w:bCs/>
                <w:sz w:val="20"/>
                <w:szCs w:val="20"/>
              </w:rPr>
              <w:t>J01CR02</w:t>
            </w:r>
          </w:p>
        </w:tc>
        <w:tc>
          <w:tcPr>
            <w:tcW w:w="9452" w:type="dxa"/>
            <w:tcBorders>
              <w:bottom w:val="single" w:sz="4" w:space="0" w:color="auto"/>
            </w:tcBorders>
            <w:noWrap/>
          </w:tcPr>
          <w:p w14:paraId="43D24825" w14:textId="77777777" w:rsidR="00657ACA" w:rsidRPr="003E2738" w:rsidRDefault="00657ACA" w:rsidP="00657ACA">
            <w:pPr>
              <w:rPr>
                <w:rFonts w:ascii="Arial" w:hAnsi="Arial"/>
                <w:color w:val="000000"/>
                <w:sz w:val="20"/>
                <w:u w:color="000000"/>
              </w:rPr>
            </w:pPr>
            <w:r w:rsidRPr="001A5CBD">
              <w:rPr>
                <w:rFonts w:ascii="Arial" w:hAnsi="Arial" w:cs="Arial"/>
                <w:b/>
                <w:sz w:val="20"/>
                <w:szCs w:val="20"/>
              </w:rPr>
              <w:t>Amoxicilín a inhibítor betalaktamázy</w:t>
            </w:r>
            <w:r>
              <w:rPr>
                <w:rFonts w:ascii="Arial" w:hAnsi="Arial" w:cs="Arial"/>
                <w:b/>
                <w:sz w:val="20"/>
                <w:szCs w:val="20"/>
              </w:rPr>
              <w:t xml:space="preserve"> </w:t>
            </w:r>
            <w:r w:rsidRPr="00213242">
              <w:rPr>
                <w:rFonts w:ascii="Arial" w:hAnsi="Arial" w:cs="Arial"/>
                <w:b/>
                <w:sz w:val="20"/>
                <w:szCs w:val="20"/>
              </w:rPr>
              <w:t>p.o. tekuté LF 875/125 mg</w:t>
            </w:r>
          </w:p>
        </w:tc>
      </w:tr>
      <w:tr w:rsidR="00657ACA" w:rsidRPr="0000591E" w14:paraId="284FBEE3" w14:textId="77777777" w:rsidTr="003F7925">
        <w:trPr>
          <w:gridAfter w:val="2"/>
          <w:wAfter w:w="154" w:type="dxa"/>
          <w:trHeight w:val="20"/>
        </w:trPr>
        <w:tc>
          <w:tcPr>
            <w:tcW w:w="1256" w:type="dxa"/>
            <w:noWrap/>
            <w:vAlign w:val="bottom"/>
          </w:tcPr>
          <w:p w14:paraId="62BC1830" w14:textId="77777777" w:rsidR="00657ACA" w:rsidRPr="0000591E" w:rsidRDefault="00657ACA" w:rsidP="00657ACA">
            <w:pPr>
              <w:rPr>
                <w:rFonts w:ascii="Arial" w:hAnsi="Arial" w:cs="Arial"/>
                <w:b/>
                <w:bCs/>
                <w:sz w:val="20"/>
                <w:szCs w:val="20"/>
              </w:rPr>
            </w:pPr>
          </w:p>
        </w:tc>
        <w:tc>
          <w:tcPr>
            <w:tcW w:w="9452" w:type="dxa"/>
            <w:noWrap/>
          </w:tcPr>
          <w:p w14:paraId="73D40195" w14:textId="65C6E289" w:rsidR="00657ACA" w:rsidRDefault="00657ACA" w:rsidP="00657ACA">
            <w:pPr>
              <w:rPr>
                <w:rFonts w:ascii="Arial" w:hAnsi="Arial"/>
                <w:color w:val="000000"/>
                <w:sz w:val="20"/>
                <w:u w:color="000000"/>
              </w:rPr>
            </w:pPr>
            <w:r w:rsidRPr="00BF4CD6">
              <w:rPr>
                <w:rFonts w:ascii="Arial" w:hAnsi="Arial"/>
                <w:color w:val="000000"/>
                <w:sz w:val="20"/>
                <w:u w:color="000000"/>
              </w:rPr>
              <w:t>Liečba pacientov s cystickou fibrózou (diagnóza E84 podľa Medzinárodnej klasifikácie chorôb 10) je hradená plne.</w:t>
            </w:r>
          </w:p>
          <w:p w14:paraId="64F8E13F" w14:textId="724FA0AD"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3AE618BC" w14:textId="77777777" w:rsidR="00657ACA" w:rsidRPr="003E2738" w:rsidRDefault="00657ACA" w:rsidP="00657ACA">
            <w:pPr>
              <w:rPr>
                <w:rFonts w:ascii="Arial" w:hAnsi="Arial"/>
                <w:color w:val="000000"/>
                <w:sz w:val="20"/>
                <w:u w:color="000000"/>
              </w:rPr>
            </w:pPr>
          </w:p>
        </w:tc>
      </w:tr>
      <w:tr w:rsidR="00657ACA" w:rsidRPr="0000591E" w14:paraId="681B6C4F" w14:textId="77777777" w:rsidTr="003F7925">
        <w:trPr>
          <w:gridAfter w:val="2"/>
          <w:wAfter w:w="154" w:type="dxa"/>
          <w:trHeight w:val="20"/>
        </w:trPr>
        <w:tc>
          <w:tcPr>
            <w:tcW w:w="1256" w:type="dxa"/>
            <w:tcBorders>
              <w:bottom w:val="single" w:sz="4" w:space="0" w:color="auto"/>
            </w:tcBorders>
            <w:noWrap/>
            <w:vAlign w:val="bottom"/>
          </w:tcPr>
          <w:p w14:paraId="165AD519" w14:textId="77777777" w:rsidR="00657ACA" w:rsidRPr="0000591E" w:rsidRDefault="00657ACA" w:rsidP="00657ACA">
            <w:pPr>
              <w:rPr>
                <w:rFonts w:ascii="Arial" w:hAnsi="Arial" w:cs="Arial"/>
                <w:b/>
                <w:bCs/>
                <w:sz w:val="20"/>
                <w:szCs w:val="20"/>
              </w:rPr>
            </w:pPr>
            <w:r>
              <w:rPr>
                <w:rFonts w:ascii="Arial" w:hAnsi="Arial" w:cs="Arial"/>
                <w:b/>
                <w:bCs/>
                <w:sz w:val="20"/>
                <w:szCs w:val="20"/>
              </w:rPr>
              <w:t>J01CR04</w:t>
            </w:r>
          </w:p>
        </w:tc>
        <w:tc>
          <w:tcPr>
            <w:tcW w:w="9452" w:type="dxa"/>
            <w:tcBorders>
              <w:bottom w:val="single" w:sz="4" w:space="0" w:color="auto"/>
            </w:tcBorders>
            <w:noWrap/>
          </w:tcPr>
          <w:p w14:paraId="35ADD043" w14:textId="77777777" w:rsidR="00657ACA" w:rsidRPr="003E2738" w:rsidRDefault="00657ACA" w:rsidP="00657ACA">
            <w:pPr>
              <w:rPr>
                <w:rFonts w:ascii="Arial" w:hAnsi="Arial"/>
                <w:color w:val="000000"/>
                <w:sz w:val="20"/>
                <w:u w:color="000000"/>
              </w:rPr>
            </w:pPr>
            <w:r w:rsidRPr="008E03D5">
              <w:rPr>
                <w:rFonts w:ascii="Arial" w:hAnsi="Arial"/>
                <w:b/>
                <w:color w:val="000000"/>
                <w:sz w:val="20"/>
                <w:u w:color="000000"/>
              </w:rPr>
              <w:t>Sultamicilín p.o. 375 mg</w:t>
            </w:r>
          </w:p>
        </w:tc>
      </w:tr>
      <w:tr w:rsidR="00657ACA" w:rsidRPr="0000591E" w14:paraId="5F445482" w14:textId="77777777" w:rsidTr="003F7925">
        <w:trPr>
          <w:gridAfter w:val="2"/>
          <w:wAfter w:w="154" w:type="dxa"/>
          <w:trHeight w:val="20"/>
        </w:trPr>
        <w:tc>
          <w:tcPr>
            <w:tcW w:w="1256" w:type="dxa"/>
            <w:noWrap/>
            <w:vAlign w:val="bottom"/>
          </w:tcPr>
          <w:p w14:paraId="7F1707F5" w14:textId="77777777" w:rsidR="00657ACA" w:rsidRPr="0000591E" w:rsidRDefault="00657ACA" w:rsidP="00657ACA">
            <w:pPr>
              <w:rPr>
                <w:rFonts w:ascii="Arial" w:hAnsi="Arial" w:cs="Arial"/>
                <w:b/>
                <w:bCs/>
                <w:sz w:val="20"/>
                <w:szCs w:val="20"/>
              </w:rPr>
            </w:pPr>
          </w:p>
        </w:tc>
        <w:tc>
          <w:tcPr>
            <w:tcW w:w="9452" w:type="dxa"/>
            <w:noWrap/>
          </w:tcPr>
          <w:p w14:paraId="73E2D78B" w14:textId="4A3393EE" w:rsidR="00657ACA" w:rsidRDefault="00657ACA" w:rsidP="00657ACA">
            <w:pPr>
              <w:rPr>
                <w:rFonts w:ascii="Arial" w:hAnsi="Arial"/>
                <w:color w:val="000000"/>
                <w:sz w:val="20"/>
                <w:u w:color="000000"/>
              </w:rPr>
            </w:pPr>
            <w:r w:rsidRPr="000842B2">
              <w:rPr>
                <w:rFonts w:ascii="Arial" w:hAnsi="Arial"/>
                <w:color w:val="000000"/>
                <w:sz w:val="20"/>
                <w:u w:color="000000"/>
              </w:rPr>
              <w:t>Liečba pacientov s cystickou fibrózou (diagnóza E84 podľa Medzinárodnej klasifikácie chorôb 10) je hradená plne.</w:t>
            </w:r>
          </w:p>
          <w:p w14:paraId="31994C79" w14:textId="6BE60F38"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1178B35" w14:textId="77777777" w:rsidR="00657ACA" w:rsidRPr="003E2738" w:rsidRDefault="00657ACA" w:rsidP="00657ACA">
            <w:pPr>
              <w:rPr>
                <w:rFonts w:ascii="Arial" w:hAnsi="Arial"/>
                <w:color w:val="000000"/>
                <w:sz w:val="20"/>
                <w:u w:color="000000"/>
              </w:rPr>
            </w:pPr>
          </w:p>
        </w:tc>
      </w:tr>
      <w:tr w:rsidR="00657ACA" w:rsidRPr="0000591E" w14:paraId="089CFA42" w14:textId="77777777" w:rsidTr="003F7925">
        <w:trPr>
          <w:gridAfter w:val="2"/>
          <w:wAfter w:w="154" w:type="dxa"/>
          <w:trHeight w:val="20"/>
        </w:trPr>
        <w:tc>
          <w:tcPr>
            <w:tcW w:w="1256" w:type="dxa"/>
            <w:tcBorders>
              <w:bottom w:val="single" w:sz="4" w:space="0" w:color="auto"/>
            </w:tcBorders>
            <w:noWrap/>
            <w:vAlign w:val="bottom"/>
          </w:tcPr>
          <w:p w14:paraId="5B6ADA6A" w14:textId="77777777" w:rsidR="00657ACA" w:rsidRPr="0000591E" w:rsidRDefault="00657ACA" w:rsidP="00657ACA">
            <w:pPr>
              <w:rPr>
                <w:rFonts w:ascii="Arial" w:hAnsi="Arial" w:cs="Arial"/>
                <w:b/>
                <w:bCs/>
                <w:sz w:val="20"/>
                <w:szCs w:val="20"/>
              </w:rPr>
            </w:pPr>
            <w:r>
              <w:rPr>
                <w:rFonts w:ascii="Arial" w:hAnsi="Arial" w:cs="Arial"/>
                <w:b/>
                <w:bCs/>
                <w:sz w:val="20"/>
                <w:szCs w:val="20"/>
              </w:rPr>
              <w:t>J01CR04</w:t>
            </w:r>
          </w:p>
        </w:tc>
        <w:tc>
          <w:tcPr>
            <w:tcW w:w="9452" w:type="dxa"/>
            <w:tcBorders>
              <w:bottom w:val="single" w:sz="4" w:space="0" w:color="auto"/>
            </w:tcBorders>
            <w:noWrap/>
          </w:tcPr>
          <w:p w14:paraId="2D49F085" w14:textId="77777777" w:rsidR="00657ACA" w:rsidRPr="003E2738" w:rsidRDefault="00657ACA" w:rsidP="00657ACA">
            <w:pPr>
              <w:rPr>
                <w:rFonts w:ascii="Arial" w:hAnsi="Arial"/>
                <w:color w:val="000000"/>
                <w:sz w:val="20"/>
                <w:u w:color="000000"/>
              </w:rPr>
            </w:pPr>
            <w:r w:rsidRPr="008E03D5">
              <w:rPr>
                <w:rFonts w:ascii="Arial" w:hAnsi="Arial"/>
                <w:b/>
                <w:color w:val="000000"/>
                <w:sz w:val="20"/>
                <w:u w:color="000000"/>
              </w:rPr>
              <w:t xml:space="preserve">Sultamicilín </w:t>
            </w:r>
            <w:r w:rsidRPr="000B02AE">
              <w:rPr>
                <w:rFonts w:ascii="Arial" w:hAnsi="Arial"/>
                <w:b/>
                <w:color w:val="000000"/>
                <w:sz w:val="20"/>
                <w:u w:color="000000"/>
              </w:rPr>
              <w:t>p.o. 50 mg/ml  tekuté</w:t>
            </w:r>
          </w:p>
        </w:tc>
      </w:tr>
      <w:tr w:rsidR="00657ACA" w:rsidRPr="0000591E" w14:paraId="62EA8DAF" w14:textId="77777777" w:rsidTr="003F7925">
        <w:trPr>
          <w:gridAfter w:val="2"/>
          <w:wAfter w:w="154" w:type="dxa"/>
          <w:trHeight w:val="20"/>
        </w:trPr>
        <w:tc>
          <w:tcPr>
            <w:tcW w:w="1256" w:type="dxa"/>
            <w:tcBorders>
              <w:top w:val="single" w:sz="4" w:space="0" w:color="auto"/>
            </w:tcBorders>
            <w:noWrap/>
            <w:vAlign w:val="bottom"/>
          </w:tcPr>
          <w:p w14:paraId="09396496"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tcPr>
          <w:p w14:paraId="79807D06" w14:textId="783F107D" w:rsidR="00657ACA" w:rsidRDefault="00657ACA" w:rsidP="00657ACA">
            <w:pPr>
              <w:rPr>
                <w:rFonts w:ascii="Arial" w:hAnsi="Arial"/>
                <w:color w:val="000000"/>
                <w:sz w:val="20"/>
                <w:u w:color="000000"/>
              </w:rPr>
            </w:pPr>
            <w:r w:rsidRPr="00DD71BE">
              <w:rPr>
                <w:rFonts w:ascii="Arial" w:hAnsi="Arial"/>
                <w:color w:val="000000"/>
                <w:sz w:val="20"/>
                <w:u w:color="000000"/>
              </w:rPr>
              <w:t>Liečba pacientov s cystickou fibrózou (diagnóza E84 podľa Medzinárodnej klasifikácie chorôb 10) je hradená plne.</w:t>
            </w:r>
          </w:p>
          <w:p w14:paraId="79D48137" w14:textId="089FE77E"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686E1A0F" w14:textId="77777777" w:rsidR="00657ACA" w:rsidRPr="003E2738" w:rsidRDefault="00657ACA" w:rsidP="00657ACA">
            <w:pPr>
              <w:rPr>
                <w:rFonts w:ascii="Arial" w:hAnsi="Arial"/>
                <w:color w:val="000000"/>
                <w:sz w:val="20"/>
                <w:u w:color="000000"/>
              </w:rPr>
            </w:pPr>
          </w:p>
        </w:tc>
      </w:tr>
      <w:tr w:rsidR="00657ACA" w:rsidRPr="0000591E" w14:paraId="311BCA89" w14:textId="77777777" w:rsidTr="003F7925">
        <w:trPr>
          <w:gridAfter w:val="2"/>
          <w:wAfter w:w="154" w:type="dxa"/>
          <w:trHeight w:val="20"/>
        </w:trPr>
        <w:tc>
          <w:tcPr>
            <w:tcW w:w="1256" w:type="dxa"/>
            <w:tcBorders>
              <w:bottom w:val="single" w:sz="4" w:space="0" w:color="auto"/>
            </w:tcBorders>
            <w:noWrap/>
            <w:vAlign w:val="bottom"/>
          </w:tcPr>
          <w:p w14:paraId="5B4A636A"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J01CR05</w:t>
            </w:r>
          </w:p>
        </w:tc>
        <w:tc>
          <w:tcPr>
            <w:tcW w:w="9452" w:type="dxa"/>
            <w:tcBorders>
              <w:bottom w:val="single" w:sz="4" w:space="0" w:color="auto"/>
            </w:tcBorders>
            <w:noWrap/>
          </w:tcPr>
          <w:p w14:paraId="4FD4C87A" w14:textId="77777777" w:rsidR="00657ACA" w:rsidRPr="0000591E" w:rsidRDefault="00657ACA" w:rsidP="00657ACA">
            <w:pPr>
              <w:rPr>
                <w:rFonts w:ascii="Arial" w:hAnsi="Arial" w:cs="Arial"/>
                <w:sz w:val="20"/>
                <w:szCs w:val="20"/>
              </w:rPr>
            </w:pPr>
            <w:r w:rsidRPr="0000591E">
              <w:rPr>
                <w:rFonts w:ascii="Arial" w:hAnsi="Arial" w:cs="Arial"/>
                <w:b/>
                <w:bCs/>
                <w:sz w:val="20"/>
                <w:szCs w:val="20"/>
              </w:rPr>
              <w:t xml:space="preserve">Piperacilin/tazobactam parent. </w:t>
            </w:r>
            <w:r>
              <w:rPr>
                <w:rFonts w:ascii="Arial" w:hAnsi="Arial" w:cs="Arial"/>
                <w:b/>
                <w:bCs/>
                <w:sz w:val="20"/>
                <w:szCs w:val="20"/>
              </w:rPr>
              <w:t>4 g/0,5 g</w:t>
            </w:r>
          </w:p>
        </w:tc>
      </w:tr>
      <w:tr w:rsidR="00657ACA" w:rsidRPr="0000591E" w14:paraId="7769877E" w14:textId="77777777" w:rsidTr="003F7925">
        <w:trPr>
          <w:gridAfter w:val="2"/>
          <w:wAfter w:w="154" w:type="dxa"/>
          <w:trHeight w:val="20"/>
        </w:trPr>
        <w:tc>
          <w:tcPr>
            <w:tcW w:w="1256" w:type="dxa"/>
            <w:tcBorders>
              <w:top w:val="single" w:sz="4" w:space="0" w:color="auto"/>
            </w:tcBorders>
            <w:noWrap/>
            <w:vAlign w:val="bottom"/>
          </w:tcPr>
          <w:p w14:paraId="1235B7EC"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31DD9D85"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na</w:t>
            </w:r>
            <w:r>
              <w:rPr>
                <w:rFonts w:ascii="Arial" w:hAnsi="Arial" w:cs="Arial"/>
                <w:sz w:val="20"/>
                <w:szCs w:val="20"/>
              </w:rPr>
              <w:t xml:space="preserve"> ambulantnú intravenóznu liečbu </w:t>
            </w:r>
            <w:r w:rsidRPr="0000591E">
              <w:rPr>
                <w:rFonts w:ascii="Arial" w:hAnsi="Arial" w:cs="Arial"/>
                <w:sz w:val="20"/>
                <w:szCs w:val="20"/>
              </w:rPr>
              <w:t>u pacientov s cystickou fibrózou (diagnóza E84 podľa Medzinárodnej klasifikácie chorôb 10) s kultivačným záchytom citlivých kmeňov.</w:t>
            </w:r>
          </w:p>
          <w:p w14:paraId="1DF0C76B" w14:textId="77777777" w:rsidR="00657ACA"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391F0E04" w14:textId="77777777" w:rsidR="00657ACA" w:rsidRPr="00654154" w:rsidRDefault="00657ACA" w:rsidP="00657ACA">
            <w:pPr>
              <w:jc w:val="both"/>
              <w:rPr>
                <w:rFonts w:ascii="Arial" w:hAnsi="Arial" w:cs="Arial"/>
                <w:sz w:val="20"/>
                <w:szCs w:val="20"/>
              </w:rPr>
            </w:pPr>
          </w:p>
        </w:tc>
      </w:tr>
      <w:tr w:rsidR="00657ACA" w:rsidRPr="0000591E" w14:paraId="281334DB" w14:textId="77777777" w:rsidTr="003F7925">
        <w:trPr>
          <w:gridAfter w:val="2"/>
          <w:wAfter w:w="154" w:type="dxa"/>
          <w:trHeight w:val="20"/>
        </w:trPr>
        <w:tc>
          <w:tcPr>
            <w:tcW w:w="1256" w:type="dxa"/>
            <w:tcBorders>
              <w:bottom w:val="single" w:sz="4" w:space="0" w:color="auto"/>
            </w:tcBorders>
            <w:noWrap/>
            <w:vAlign w:val="bottom"/>
          </w:tcPr>
          <w:p w14:paraId="267FD706"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J01DB01</w:t>
            </w:r>
          </w:p>
        </w:tc>
        <w:tc>
          <w:tcPr>
            <w:tcW w:w="9452" w:type="dxa"/>
            <w:tcBorders>
              <w:bottom w:val="single" w:sz="4" w:space="0" w:color="auto"/>
            </w:tcBorders>
            <w:noWrap/>
            <w:vAlign w:val="bottom"/>
          </w:tcPr>
          <w:p w14:paraId="7C2EBCF0" w14:textId="77777777" w:rsidR="00657ACA" w:rsidRDefault="00657ACA" w:rsidP="00657ACA">
            <w:pPr>
              <w:jc w:val="both"/>
              <w:rPr>
                <w:rFonts w:ascii="Arial" w:hAnsi="Arial" w:cs="Arial"/>
                <w:b/>
                <w:bCs/>
                <w:sz w:val="20"/>
                <w:szCs w:val="20"/>
              </w:rPr>
            </w:pPr>
            <w:r w:rsidRPr="008E03D5">
              <w:rPr>
                <w:rFonts w:ascii="Arial" w:hAnsi="Arial" w:cs="Arial"/>
                <w:b/>
                <w:bCs/>
                <w:sz w:val="20"/>
                <w:szCs w:val="20"/>
              </w:rPr>
              <w:t>Cefalexín</w:t>
            </w:r>
            <w:r>
              <w:rPr>
                <w:rFonts w:ascii="Arial" w:hAnsi="Arial" w:cs="Arial"/>
                <w:b/>
                <w:bCs/>
                <w:sz w:val="20"/>
                <w:szCs w:val="20"/>
              </w:rPr>
              <w:t xml:space="preserve"> </w:t>
            </w:r>
            <w:r w:rsidRPr="008E03D5">
              <w:rPr>
                <w:rFonts w:ascii="Arial" w:hAnsi="Arial" w:cs="Arial"/>
                <w:b/>
                <w:bCs/>
                <w:sz w:val="20"/>
                <w:szCs w:val="20"/>
              </w:rPr>
              <w:t>p.o. 1000 mg</w:t>
            </w:r>
          </w:p>
        </w:tc>
      </w:tr>
      <w:tr w:rsidR="00657ACA" w:rsidRPr="0000591E" w14:paraId="1414A9F6" w14:textId="77777777" w:rsidTr="003F7925">
        <w:trPr>
          <w:gridAfter w:val="2"/>
          <w:wAfter w:w="154" w:type="dxa"/>
          <w:trHeight w:val="20"/>
        </w:trPr>
        <w:tc>
          <w:tcPr>
            <w:tcW w:w="1256" w:type="dxa"/>
            <w:noWrap/>
            <w:vAlign w:val="bottom"/>
          </w:tcPr>
          <w:p w14:paraId="03DF7E2B" w14:textId="77777777" w:rsidR="00657ACA" w:rsidRPr="0000591E" w:rsidRDefault="00657ACA" w:rsidP="00657ACA">
            <w:pPr>
              <w:jc w:val="both"/>
              <w:rPr>
                <w:rFonts w:ascii="Arial" w:hAnsi="Arial" w:cs="Arial"/>
                <w:b/>
                <w:bCs/>
                <w:sz w:val="20"/>
                <w:szCs w:val="20"/>
              </w:rPr>
            </w:pPr>
          </w:p>
        </w:tc>
        <w:tc>
          <w:tcPr>
            <w:tcW w:w="9452" w:type="dxa"/>
            <w:noWrap/>
            <w:vAlign w:val="bottom"/>
          </w:tcPr>
          <w:p w14:paraId="11D20B66" w14:textId="5D1E82C7" w:rsidR="00657ACA" w:rsidRDefault="00657ACA" w:rsidP="00657ACA">
            <w:pPr>
              <w:rPr>
                <w:rFonts w:ascii="Arial" w:hAnsi="Arial"/>
                <w:color w:val="000000"/>
                <w:sz w:val="20"/>
                <w:u w:color="000000"/>
              </w:rPr>
            </w:pPr>
            <w:r w:rsidRPr="001F1D4E">
              <w:rPr>
                <w:rFonts w:ascii="Arial" w:hAnsi="Arial"/>
                <w:color w:val="000000"/>
                <w:sz w:val="20"/>
                <w:u w:color="000000"/>
              </w:rPr>
              <w:t>Liečba pacientov s cystickou fibrózou (diagnóza E84 podľa Medzinárodnej klasifikácie chorôb 10) je hradená plne.</w:t>
            </w:r>
          </w:p>
          <w:p w14:paraId="2FF7EB79" w14:textId="661369E3"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55114F1B" w14:textId="7521305D" w:rsidR="00657ACA" w:rsidRDefault="00657ACA" w:rsidP="00657ACA">
            <w:pPr>
              <w:jc w:val="both"/>
              <w:rPr>
                <w:rFonts w:ascii="Arial" w:hAnsi="Arial" w:cs="Arial"/>
                <w:b/>
                <w:bCs/>
                <w:sz w:val="20"/>
                <w:szCs w:val="20"/>
              </w:rPr>
            </w:pPr>
          </w:p>
        </w:tc>
      </w:tr>
      <w:tr w:rsidR="00657ACA" w:rsidRPr="0000591E" w14:paraId="41720E89" w14:textId="77777777" w:rsidTr="003F7925">
        <w:trPr>
          <w:gridAfter w:val="2"/>
          <w:wAfter w:w="154" w:type="dxa"/>
          <w:trHeight w:val="20"/>
        </w:trPr>
        <w:tc>
          <w:tcPr>
            <w:tcW w:w="1256" w:type="dxa"/>
            <w:tcBorders>
              <w:bottom w:val="single" w:sz="4" w:space="0" w:color="auto"/>
            </w:tcBorders>
            <w:noWrap/>
            <w:vAlign w:val="bottom"/>
          </w:tcPr>
          <w:p w14:paraId="77C8EC19"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J01DB05</w:t>
            </w:r>
          </w:p>
        </w:tc>
        <w:tc>
          <w:tcPr>
            <w:tcW w:w="9452" w:type="dxa"/>
            <w:tcBorders>
              <w:bottom w:val="single" w:sz="4" w:space="0" w:color="auto"/>
            </w:tcBorders>
            <w:noWrap/>
            <w:vAlign w:val="bottom"/>
          </w:tcPr>
          <w:p w14:paraId="721681F3" w14:textId="77777777" w:rsidR="00657ACA" w:rsidRDefault="00657ACA" w:rsidP="00657ACA">
            <w:pPr>
              <w:jc w:val="both"/>
              <w:rPr>
                <w:rFonts w:ascii="Arial" w:hAnsi="Arial" w:cs="Arial"/>
                <w:b/>
                <w:bCs/>
                <w:sz w:val="20"/>
                <w:szCs w:val="20"/>
              </w:rPr>
            </w:pPr>
            <w:r w:rsidRPr="008E03D5">
              <w:rPr>
                <w:rFonts w:ascii="Arial" w:hAnsi="Arial" w:cs="Arial"/>
                <w:b/>
                <w:bCs/>
                <w:sz w:val="20"/>
                <w:szCs w:val="20"/>
              </w:rPr>
              <w:t>Cefadroxil</w:t>
            </w:r>
            <w:r>
              <w:rPr>
                <w:rFonts w:ascii="Arial" w:hAnsi="Arial" w:cs="Arial"/>
                <w:b/>
                <w:bCs/>
                <w:sz w:val="20"/>
                <w:szCs w:val="20"/>
              </w:rPr>
              <w:t xml:space="preserve"> p.o. 500 mg</w:t>
            </w:r>
          </w:p>
          <w:p w14:paraId="648445AE" w14:textId="77777777" w:rsidR="00657ACA" w:rsidRDefault="00657ACA" w:rsidP="00657ACA">
            <w:pPr>
              <w:jc w:val="both"/>
              <w:rPr>
                <w:rFonts w:ascii="Arial" w:hAnsi="Arial" w:cs="Arial"/>
                <w:b/>
                <w:bCs/>
                <w:sz w:val="20"/>
                <w:szCs w:val="20"/>
              </w:rPr>
            </w:pPr>
            <w:r w:rsidRPr="008E03D5">
              <w:rPr>
                <w:rFonts w:ascii="Arial" w:hAnsi="Arial" w:cs="Arial"/>
                <w:b/>
                <w:bCs/>
                <w:sz w:val="20"/>
                <w:szCs w:val="20"/>
              </w:rPr>
              <w:t>Cefadroxil</w:t>
            </w:r>
            <w:r>
              <w:rPr>
                <w:rFonts w:ascii="Arial" w:hAnsi="Arial" w:cs="Arial"/>
                <w:b/>
                <w:bCs/>
                <w:sz w:val="20"/>
                <w:szCs w:val="20"/>
              </w:rPr>
              <w:t xml:space="preserve"> p.o. 1000 mg</w:t>
            </w:r>
          </w:p>
        </w:tc>
      </w:tr>
      <w:tr w:rsidR="00657ACA" w:rsidRPr="0000591E" w14:paraId="1DF5077E" w14:textId="77777777" w:rsidTr="003F7925">
        <w:trPr>
          <w:gridAfter w:val="2"/>
          <w:wAfter w:w="154" w:type="dxa"/>
          <w:trHeight w:val="20"/>
        </w:trPr>
        <w:tc>
          <w:tcPr>
            <w:tcW w:w="1256" w:type="dxa"/>
            <w:noWrap/>
            <w:vAlign w:val="bottom"/>
          </w:tcPr>
          <w:p w14:paraId="4FA46DF1" w14:textId="77777777" w:rsidR="00657ACA" w:rsidRPr="0000591E" w:rsidRDefault="00657ACA" w:rsidP="00657ACA">
            <w:pPr>
              <w:jc w:val="both"/>
              <w:rPr>
                <w:rFonts w:ascii="Arial" w:hAnsi="Arial" w:cs="Arial"/>
                <w:b/>
                <w:bCs/>
                <w:sz w:val="20"/>
                <w:szCs w:val="20"/>
              </w:rPr>
            </w:pPr>
          </w:p>
        </w:tc>
        <w:tc>
          <w:tcPr>
            <w:tcW w:w="9452" w:type="dxa"/>
            <w:noWrap/>
            <w:vAlign w:val="bottom"/>
          </w:tcPr>
          <w:p w14:paraId="721A9E06" w14:textId="07EE949E" w:rsidR="00657ACA" w:rsidRDefault="00657ACA" w:rsidP="00657ACA">
            <w:pPr>
              <w:rPr>
                <w:rFonts w:ascii="Arial" w:hAnsi="Arial"/>
                <w:color w:val="000000"/>
                <w:sz w:val="20"/>
                <w:u w:color="000000"/>
              </w:rPr>
            </w:pPr>
            <w:r w:rsidRPr="00EC1645">
              <w:rPr>
                <w:rFonts w:ascii="Arial" w:hAnsi="Arial"/>
                <w:color w:val="000000"/>
                <w:sz w:val="20"/>
                <w:u w:color="000000"/>
              </w:rPr>
              <w:t>Liečba pacientov s cystickou fibrózou (diagnóza E84 podľa Medzinárodnej klasifikácie chorôb 10) je hradená plne.</w:t>
            </w:r>
            <w:r w:rsidRPr="003E2738">
              <w:rPr>
                <w:rFonts w:ascii="Arial" w:hAnsi="Arial"/>
                <w:color w:val="000000"/>
                <w:sz w:val="20"/>
                <w:u w:color="000000"/>
              </w:rPr>
              <w:t>Liečba je hradená v indikáciách uvedených v platnom súhrne charakteristických vlastností lieku (SPC).</w:t>
            </w:r>
          </w:p>
          <w:p w14:paraId="022D4677" w14:textId="77777777" w:rsidR="00657ACA" w:rsidRDefault="00657ACA" w:rsidP="00657ACA">
            <w:pPr>
              <w:jc w:val="both"/>
              <w:rPr>
                <w:rFonts w:ascii="Arial" w:hAnsi="Arial" w:cs="Arial"/>
                <w:b/>
                <w:bCs/>
                <w:sz w:val="20"/>
                <w:szCs w:val="20"/>
              </w:rPr>
            </w:pPr>
          </w:p>
        </w:tc>
      </w:tr>
      <w:tr w:rsidR="00657ACA" w:rsidRPr="0000591E" w14:paraId="061B1ADB" w14:textId="77777777" w:rsidTr="003F7925">
        <w:trPr>
          <w:gridAfter w:val="2"/>
          <w:wAfter w:w="154" w:type="dxa"/>
          <w:trHeight w:val="20"/>
        </w:trPr>
        <w:tc>
          <w:tcPr>
            <w:tcW w:w="1256" w:type="dxa"/>
            <w:tcBorders>
              <w:bottom w:val="single" w:sz="4" w:space="0" w:color="auto"/>
            </w:tcBorders>
            <w:noWrap/>
            <w:vAlign w:val="bottom"/>
          </w:tcPr>
          <w:p w14:paraId="5C2D3275"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J01DB05</w:t>
            </w:r>
          </w:p>
        </w:tc>
        <w:tc>
          <w:tcPr>
            <w:tcW w:w="9452" w:type="dxa"/>
            <w:tcBorders>
              <w:bottom w:val="single" w:sz="4" w:space="0" w:color="auto"/>
            </w:tcBorders>
            <w:noWrap/>
            <w:vAlign w:val="bottom"/>
          </w:tcPr>
          <w:p w14:paraId="4CF5A080" w14:textId="77777777" w:rsidR="00657ACA" w:rsidRPr="003E2738" w:rsidRDefault="00657ACA" w:rsidP="00657ACA">
            <w:pPr>
              <w:rPr>
                <w:rFonts w:ascii="Arial" w:hAnsi="Arial"/>
                <w:color w:val="000000"/>
                <w:sz w:val="20"/>
                <w:u w:color="000000"/>
              </w:rPr>
            </w:pPr>
            <w:r w:rsidRPr="008E03D5">
              <w:rPr>
                <w:rFonts w:ascii="Arial" w:hAnsi="Arial" w:cs="Arial"/>
                <w:b/>
                <w:bCs/>
                <w:sz w:val="20"/>
                <w:szCs w:val="20"/>
              </w:rPr>
              <w:t>Cefadroxil</w:t>
            </w:r>
            <w:r>
              <w:rPr>
                <w:rFonts w:ascii="Arial" w:hAnsi="Arial" w:cs="Arial"/>
                <w:b/>
                <w:bCs/>
                <w:sz w:val="20"/>
                <w:szCs w:val="20"/>
              </w:rPr>
              <w:t xml:space="preserve"> p.o.</w:t>
            </w:r>
            <w:r w:rsidRPr="006B63B5">
              <w:rPr>
                <w:rFonts w:ascii="Arial" w:hAnsi="Arial" w:cs="Arial"/>
                <w:b/>
                <w:bCs/>
                <w:sz w:val="20"/>
                <w:szCs w:val="20"/>
              </w:rPr>
              <w:t xml:space="preserve"> 50 mg/ml tekuté</w:t>
            </w:r>
          </w:p>
        </w:tc>
      </w:tr>
      <w:tr w:rsidR="00657ACA" w:rsidRPr="0000591E" w14:paraId="3F03D04E" w14:textId="77777777" w:rsidTr="003F7925">
        <w:trPr>
          <w:gridAfter w:val="2"/>
          <w:wAfter w:w="154" w:type="dxa"/>
          <w:trHeight w:val="20"/>
        </w:trPr>
        <w:tc>
          <w:tcPr>
            <w:tcW w:w="1256" w:type="dxa"/>
            <w:noWrap/>
            <w:vAlign w:val="bottom"/>
          </w:tcPr>
          <w:p w14:paraId="58E1FA8E" w14:textId="77777777" w:rsidR="00657ACA" w:rsidRPr="0000591E" w:rsidRDefault="00657ACA" w:rsidP="00657ACA">
            <w:pPr>
              <w:jc w:val="both"/>
              <w:rPr>
                <w:rFonts w:ascii="Arial" w:hAnsi="Arial" w:cs="Arial"/>
                <w:b/>
                <w:bCs/>
                <w:sz w:val="20"/>
                <w:szCs w:val="20"/>
              </w:rPr>
            </w:pPr>
          </w:p>
        </w:tc>
        <w:tc>
          <w:tcPr>
            <w:tcW w:w="9452" w:type="dxa"/>
            <w:noWrap/>
            <w:vAlign w:val="bottom"/>
          </w:tcPr>
          <w:p w14:paraId="3064E704" w14:textId="1AFF316A" w:rsidR="00657ACA" w:rsidRDefault="00657ACA" w:rsidP="00657ACA">
            <w:pPr>
              <w:rPr>
                <w:rFonts w:ascii="Arial" w:hAnsi="Arial"/>
                <w:color w:val="000000"/>
                <w:sz w:val="20"/>
                <w:u w:color="000000"/>
              </w:rPr>
            </w:pPr>
            <w:r w:rsidRPr="00EC1645">
              <w:rPr>
                <w:rFonts w:ascii="Arial" w:hAnsi="Arial"/>
                <w:color w:val="000000"/>
                <w:sz w:val="20"/>
                <w:u w:color="000000"/>
              </w:rPr>
              <w:t>Liečba pacientov s cystickou fibrózou (diagnóza E84 podľa Medzinárodnej klasifikácie chorôb 10) je hradená plne.</w:t>
            </w:r>
          </w:p>
          <w:p w14:paraId="7055FFDC" w14:textId="43E12C14"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2E4598CE" w14:textId="77777777" w:rsidR="00657ACA" w:rsidRPr="003E2738" w:rsidRDefault="00657ACA" w:rsidP="00657ACA">
            <w:pPr>
              <w:rPr>
                <w:rFonts w:ascii="Arial" w:hAnsi="Arial"/>
                <w:color w:val="000000"/>
                <w:sz w:val="20"/>
                <w:u w:color="000000"/>
              </w:rPr>
            </w:pPr>
          </w:p>
        </w:tc>
      </w:tr>
      <w:tr w:rsidR="00657ACA" w:rsidRPr="0000591E" w14:paraId="6EC5E994" w14:textId="77777777" w:rsidTr="003F7925">
        <w:trPr>
          <w:gridAfter w:val="2"/>
          <w:wAfter w:w="154" w:type="dxa"/>
          <w:trHeight w:val="20"/>
        </w:trPr>
        <w:tc>
          <w:tcPr>
            <w:tcW w:w="1256" w:type="dxa"/>
            <w:tcBorders>
              <w:bottom w:val="single" w:sz="4" w:space="0" w:color="auto"/>
            </w:tcBorders>
            <w:noWrap/>
            <w:vAlign w:val="bottom"/>
          </w:tcPr>
          <w:p w14:paraId="105B2664"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J01DC02</w:t>
            </w:r>
          </w:p>
        </w:tc>
        <w:tc>
          <w:tcPr>
            <w:tcW w:w="9452" w:type="dxa"/>
            <w:tcBorders>
              <w:bottom w:val="single" w:sz="4" w:space="0" w:color="auto"/>
            </w:tcBorders>
            <w:noWrap/>
            <w:vAlign w:val="bottom"/>
          </w:tcPr>
          <w:p w14:paraId="13DC8CF1" w14:textId="77777777" w:rsidR="00657ACA" w:rsidRDefault="00657ACA" w:rsidP="00657ACA">
            <w:pPr>
              <w:rPr>
                <w:rFonts w:ascii="Arial" w:hAnsi="Arial"/>
                <w:b/>
                <w:color w:val="000000"/>
                <w:sz w:val="20"/>
                <w:u w:color="000000"/>
              </w:rPr>
            </w:pPr>
            <w:r w:rsidRPr="006B63B5">
              <w:rPr>
                <w:rFonts w:ascii="Arial" w:hAnsi="Arial"/>
                <w:b/>
                <w:color w:val="000000"/>
                <w:sz w:val="20"/>
                <w:u w:color="000000"/>
              </w:rPr>
              <w:t>Cefuroxim p.o. 125 mg</w:t>
            </w:r>
          </w:p>
          <w:p w14:paraId="0F17BF63" w14:textId="77777777" w:rsidR="00657ACA" w:rsidRDefault="00657ACA" w:rsidP="00657ACA">
            <w:pPr>
              <w:rPr>
                <w:rFonts w:ascii="Arial" w:hAnsi="Arial"/>
                <w:b/>
                <w:color w:val="000000"/>
                <w:sz w:val="20"/>
                <w:u w:color="000000"/>
              </w:rPr>
            </w:pPr>
            <w:r w:rsidRPr="006B63B5">
              <w:rPr>
                <w:rFonts w:ascii="Arial" w:hAnsi="Arial"/>
                <w:b/>
                <w:color w:val="000000"/>
                <w:sz w:val="20"/>
                <w:u w:color="000000"/>
              </w:rPr>
              <w:t xml:space="preserve">Cefuroxim </w:t>
            </w:r>
            <w:r>
              <w:rPr>
                <w:rFonts w:ascii="Arial" w:hAnsi="Arial"/>
                <w:b/>
                <w:color w:val="000000"/>
                <w:sz w:val="20"/>
                <w:u w:color="000000"/>
              </w:rPr>
              <w:t>p.o. 250</w:t>
            </w:r>
            <w:r w:rsidRPr="006B63B5">
              <w:rPr>
                <w:rFonts w:ascii="Arial" w:hAnsi="Arial"/>
                <w:b/>
                <w:color w:val="000000"/>
                <w:sz w:val="20"/>
                <w:u w:color="000000"/>
              </w:rPr>
              <w:t xml:space="preserve"> mg</w:t>
            </w:r>
          </w:p>
          <w:p w14:paraId="1D15F788" w14:textId="77777777" w:rsidR="00657ACA" w:rsidRPr="003E2738" w:rsidRDefault="00657ACA" w:rsidP="00657ACA">
            <w:pPr>
              <w:rPr>
                <w:rFonts w:ascii="Arial" w:hAnsi="Arial"/>
                <w:color w:val="000000"/>
                <w:sz w:val="20"/>
                <w:u w:color="000000"/>
              </w:rPr>
            </w:pPr>
            <w:r w:rsidRPr="006B63B5">
              <w:rPr>
                <w:rFonts w:ascii="Arial" w:hAnsi="Arial"/>
                <w:b/>
                <w:color w:val="000000"/>
                <w:sz w:val="20"/>
                <w:u w:color="000000"/>
              </w:rPr>
              <w:t xml:space="preserve">Cefuroxim </w:t>
            </w:r>
            <w:r>
              <w:rPr>
                <w:rFonts w:ascii="Arial" w:hAnsi="Arial"/>
                <w:b/>
                <w:color w:val="000000"/>
                <w:sz w:val="20"/>
                <w:u w:color="000000"/>
              </w:rPr>
              <w:t>p.o. 500</w:t>
            </w:r>
            <w:r w:rsidRPr="006B63B5">
              <w:rPr>
                <w:rFonts w:ascii="Arial" w:hAnsi="Arial"/>
                <w:b/>
                <w:color w:val="000000"/>
                <w:sz w:val="20"/>
                <w:u w:color="000000"/>
              </w:rPr>
              <w:t xml:space="preserve"> mg</w:t>
            </w:r>
          </w:p>
        </w:tc>
      </w:tr>
      <w:tr w:rsidR="00657ACA" w:rsidRPr="0000591E" w14:paraId="137DEDAA" w14:textId="77777777" w:rsidTr="003F7925">
        <w:trPr>
          <w:gridAfter w:val="2"/>
          <w:wAfter w:w="154" w:type="dxa"/>
          <w:trHeight w:val="20"/>
        </w:trPr>
        <w:tc>
          <w:tcPr>
            <w:tcW w:w="1256" w:type="dxa"/>
            <w:noWrap/>
            <w:vAlign w:val="bottom"/>
          </w:tcPr>
          <w:p w14:paraId="399ED66A" w14:textId="77777777" w:rsidR="00657ACA" w:rsidRPr="0000591E" w:rsidRDefault="00657ACA" w:rsidP="00657ACA">
            <w:pPr>
              <w:jc w:val="both"/>
              <w:rPr>
                <w:rFonts w:ascii="Arial" w:hAnsi="Arial" w:cs="Arial"/>
                <w:b/>
                <w:bCs/>
                <w:sz w:val="20"/>
                <w:szCs w:val="20"/>
              </w:rPr>
            </w:pPr>
          </w:p>
        </w:tc>
        <w:tc>
          <w:tcPr>
            <w:tcW w:w="9452" w:type="dxa"/>
            <w:noWrap/>
            <w:vAlign w:val="bottom"/>
          </w:tcPr>
          <w:p w14:paraId="24ABF7D5" w14:textId="1210EDEF" w:rsidR="00657ACA" w:rsidRDefault="00657ACA" w:rsidP="00657ACA">
            <w:pPr>
              <w:rPr>
                <w:rFonts w:ascii="Arial" w:hAnsi="Arial"/>
                <w:color w:val="000000"/>
                <w:sz w:val="20"/>
                <w:u w:color="000000"/>
              </w:rPr>
            </w:pPr>
            <w:r w:rsidRPr="00C33EA4">
              <w:rPr>
                <w:rFonts w:ascii="Arial" w:hAnsi="Arial"/>
                <w:color w:val="000000"/>
                <w:sz w:val="20"/>
                <w:u w:color="000000"/>
              </w:rPr>
              <w:t>Liečba pacientov s cystickou fibrózou (diagnóza E84 podľa Medzinárodnej klasifikácie chorôb 10) je hradená plne.</w:t>
            </w:r>
          </w:p>
          <w:p w14:paraId="1D947FE5" w14:textId="228A09F0"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4FB306F" w14:textId="77777777" w:rsidR="00657ACA" w:rsidRPr="003E2738" w:rsidRDefault="00657ACA" w:rsidP="00657ACA">
            <w:pPr>
              <w:rPr>
                <w:rFonts w:ascii="Arial" w:hAnsi="Arial"/>
                <w:color w:val="000000"/>
                <w:sz w:val="20"/>
                <w:u w:color="000000"/>
              </w:rPr>
            </w:pPr>
          </w:p>
        </w:tc>
      </w:tr>
      <w:tr w:rsidR="00657ACA" w:rsidRPr="0000591E" w14:paraId="42F7D65E" w14:textId="77777777" w:rsidTr="003F7925">
        <w:trPr>
          <w:gridAfter w:val="2"/>
          <w:wAfter w:w="154" w:type="dxa"/>
          <w:trHeight w:val="20"/>
        </w:trPr>
        <w:tc>
          <w:tcPr>
            <w:tcW w:w="1256" w:type="dxa"/>
            <w:tcBorders>
              <w:bottom w:val="single" w:sz="4" w:space="0" w:color="auto"/>
            </w:tcBorders>
            <w:noWrap/>
            <w:vAlign w:val="bottom"/>
          </w:tcPr>
          <w:p w14:paraId="61135657"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J01DC02</w:t>
            </w:r>
          </w:p>
        </w:tc>
        <w:tc>
          <w:tcPr>
            <w:tcW w:w="9452" w:type="dxa"/>
            <w:tcBorders>
              <w:bottom w:val="single" w:sz="4" w:space="0" w:color="auto"/>
            </w:tcBorders>
            <w:noWrap/>
            <w:vAlign w:val="bottom"/>
          </w:tcPr>
          <w:p w14:paraId="3DE441AA" w14:textId="77777777" w:rsidR="00657ACA" w:rsidRDefault="00657ACA" w:rsidP="00657ACA">
            <w:pPr>
              <w:rPr>
                <w:rFonts w:ascii="Arial" w:hAnsi="Arial"/>
                <w:b/>
                <w:color w:val="000000"/>
                <w:sz w:val="20"/>
                <w:u w:color="000000"/>
              </w:rPr>
            </w:pPr>
            <w:r w:rsidRPr="001D2CDA">
              <w:rPr>
                <w:rFonts w:ascii="Arial" w:hAnsi="Arial"/>
                <w:b/>
                <w:color w:val="000000"/>
                <w:sz w:val="20"/>
                <w:u w:color="000000"/>
              </w:rPr>
              <w:t>Cefuroxim p.o. 25 mg/ml tekuté</w:t>
            </w:r>
          </w:p>
          <w:p w14:paraId="78B7EC79" w14:textId="77777777" w:rsidR="00657ACA" w:rsidRPr="003E2738" w:rsidRDefault="00657ACA" w:rsidP="00657ACA">
            <w:pPr>
              <w:rPr>
                <w:rFonts w:ascii="Arial" w:hAnsi="Arial"/>
                <w:color w:val="000000"/>
                <w:sz w:val="20"/>
                <w:u w:color="000000"/>
              </w:rPr>
            </w:pPr>
            <w:r w:rsidRPr="001D2CDA">
              <w:rPr>
                <w:rFonts w:ascii="Arial" w:hAnsi="Arial"/>
                <w:b/>
                <w:color w:val="000000"/>
                <w:sz w:val="20"/>
                <w:u w:color="000000"/>
              </w:rPr>
              <w:t xml:space="preserve">Cefuroxim </w:t>
            </w:r>
            <w:r>
              <w:rPr>
                <w:rFonts w:ascii="Arial" w:hAnsi="Arial"/>
                <w:b/>
                <w:color w:val="000000"/>
                <w:sz w:val="20"/>
                <w:u w:color="000000"/>
              </w:rPr>
              <w:t>p.o. 50</w:t>
            </w:r>
            <w:r w:rsidRPr="001D2CDA">
              <w:rPr>
                <w:rFonts w:ascii="Arial" w:hAnsi="Arial"/>
                <w:b/>
                <w:color w:val="000000"/>
                <w:sz w:val="20"/>
                <w:u w:color="000000"/>
              </w:rPr>
              <w:t xml:space="preserve"> mg/ml tekuté</w:t>
            </w:r>
          </w:p>
        </w:tc>
      </w:tr>
      <w:tr w:rsidR="00657ACA" w:rsidRPr="0000591E" w14:paraId="0AA7FF00" w14:textId="77777777" w:rsidTr="003F7925">
        <w:trPr>
          <w:gridAfter w:val="2"/>
          <w:wAfter w:w="154" w:type="dxa"/>
          <w:trHeight w:val="20"/>
        </w:trPr>
        <w:tc>
          <w:tcPr>
            <w:tcW w:w="1256" w:type="dxa"/>
            <w:noWrap/>
            <w:vAlign w:val="bottom"/>
          </w:tcPr>
          <w:p w14:paraId="38E7AA18" w14:textId="77777777" w:rsidR="00657ACA" w:rsidRPr="0000591E" w:rsidRDefault="00657ACA" w:rsidP="00657ACA">
            <w:pPr>
              <w:jc w:val="both"/>
              <w:rPr>
                <w:rFonts w:ascii="Arial" w:hAnsi="Arial" w:cs="Arial"/>
                <w:b/>
                <w:bCs/>
                <w:sz w:val="20"/>
                <w:szCs w:val="20"/>
              </w:rPr>
            </w:pPr>
          </w:p>
        </w:tc>
        <w:tc>
          <w:tcPr>
            <w:tcW w:w="9452" w:type="dxa"/>
            <w:noWrap/>
            <w:vAlign w:val="bottom"/>
          </w:tcPr>
          <w:p w14:paraId="7447F368" w14:textId="29C4E3D0" w:rsidR="00657ACA" w:rsidRDefault="00657ACA" w:rsidP="00657ACA">
            <w:pPr>
              <w:rPr>
                <w:rFonts w:ascii="Arial" w:hAnsi="Arial"/>
                <w:color w:val="000000"/>
                <w:sz w:val="20"/>
                <w:u w:color="000000"/>
              </w:rPr>
            </w:pPr>
            <w:r w:rsidRPr="00052589">
              <w:rPr>
                <w:rFonts w:ascii="Arial" w:hAnsi="Arial"/>
                <w:color w:val="000000"/>
                <w:sz w:val="20"/>
                <w:u w:color="000000"/>
              </w:rPr>
              <w:t>Liečba pacientov s cystickou fibrózou (diagnóza E84 podľa Medzinárodnej klasifikácie chorôb 10) je hradená plne.</w:t>
            </w:r>
          </w:p>
          <w:p w14:paraId="2A751B4F" w14:textId="20764529"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9A56F34" w14:textId="77777777" w:rsidR="00657ACA" w:rsidRPr="003E2738" w:rsidRDefault="00657ACA" w:rsidP="00657ACA">
            <w:pPr>
              <w:rPr>
                <w:rFonts w:ascii="Arial" w:hAnsi="Arial"/>
                <w:color w:val="000000"/>
                <w:sz w:val="20"/>
                <w:u w:color="000000"/>
              </w:rPr>
            </w:pPr>
          </w:p>
        </w:tc>
      </w:tr>
      <w:tr w:rsidR="00657ACA" w:rsidRPr="0000591E" w14:paraId="47F3663C" w14:textId="77777777" w:rsidTr="003F7925">
        <w:trPr>
          <w:gridAfter w:val="2"/>
          <w:wAfter w:w="154" w:type="dxa"/>
          <w:trHeight w:val="20"/>
        </w:trPr>
        <w:tc>
          <w:tcPr>
            <w:tcW w:w="1256" w:type="dxa"/>
            <w:tcBorders>
              <w:bottom w:val="single" w:sz="4" w:space="0" w:color="auto"/>
            </w:tcBorders>
            <w:noWrap/>
            <w:vAlign w:val="bottom"/>
          </w:tcPr>
          <w:p w14:paraId="69EE660F"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J01DC10</w:t>
            </w:r>
          </w:p>
        </w:tc>
        <w:tc>
          <w:tcPr>
            <w:tcW w:w="9452" w:type="dxa"/>
            <w:tcBorders>
              <w:bottom w:val="single" w:sz="4" w:space="0" w:color="auto"/>
            </w:tcBorders>
            <w:noWrap/>
            <w:vAlign w:val="bottom"/>
          </w:tcPr>
          <w:p w14:paraId="79CE3D17" w14:textId="77777777" w:rsidR="00657ACA" w:rsidRDefault="00657ACA" w:rsidP="00657ACA">
            <w:pPr>
              <w:rPr>
                <w:rFonts w:ascii="Arial" w:hAnsi="Arial"/>
                <w:b/>
                <w:color w:val="000000"/>
                <w:sz w:val="20"/>
                <w:u w:color="000000"/>
              </w:rPr>
            </w:pPr>
            <w:r w:rsidRPr="00F90232">
              <w:rPr>
                <w:rFonts w:ascii="Arial" w:hAnsi="Arial"/>
                <w:b/>
                <w:color w:val="000000"/>
                <w:sz w:val="20"/>
                <w:u w:color="000000"/>
              </w:rPr>
              <w:t>Cefprozil p.o. 250 mg</w:t>
            </w:r>
          </w:p>
          <w:p w14:paraId="780A8DEB" w14:textId="77777777" w:rsidR="00657ACA" w:rsidRPr="003E2738" w:rsidRDefault="00657ACA" w:rsidP="00657ACA">
            <w:pPr>
              <w:rPr>
                <w:rFonts w:ascii="Arial" w:hAnsi="Arial"/>
                <w:color w:val="000000"/>
                <w:sz w:val="20"/>
                <w:u w:color="000000"/>
              </w:rPr>
            </w:pPr>
            <w:r w:rsidRPr="00F90232">
              <w:rPr>
                <w:rFonts w:ascii="Arial" w:hAnsi="Arial"/>
                <w:b/>
                <w:color w:val="000000"/>
                <w:sz w:val="20"/>
                <w:u w:color="000000"/>
              </w:rPr>
              <w:t>Cefprozil</w:t>
            </w:r>
            <w:r>
              <w:rPr>
                <w:rFonts w:ascii="Arial" w:hAnsi="Arial"/>
                <w:b/>
                <w:color w:val="000000"/>
                <w:sz w:val="20"/>
                <w:u w:color="000000"/>
              </w:rPr>
              <w:t xml:space="preserve"> p.o. 500</w:t>
            </w:r>
            <w:r w:rsidRPr="00F90232">
              <w:rPr>
                <w:rFonts w:ascii="Arial" w:hAnsi="Arial"/>
                <w:b/>
                <w:color w:val="000000"/>
                <w:sz w:val="20"/>
                <w:u w:color="000000"/>
              </w:rPr>
              <w:t xml:space="preserve"> mg</w:t>
            </w:r>
          </w:p>
        </w:tc>
      </w:tr>
      <w:tr w:rsidR="00657ACA" w:rsidRPr="0000591E" w14:paraId="64D69310" w14:textId="77777777" w:rsidTr="003F7925">
        <w:trPr>
          <w:gridAfter w:val="2"/>
          <w:wAfter w:w="154" w:type="dxa"/>
          <w:trHeight w:val="20"/>
        </w:trPr>
        <w:tc>
          <w:tcPr>
            <w:tcW w:w="1256" w:type="dxa"/>
            <w:noWrap/>
            <w:vAlign w:val="bottom"/>
          </w:tcPr>
          <w:p w14:paraId="5FA5DAFF" w14:textId="77777777" w:rsidR="00657ACA" w:rsidRPr="0000591E" w:rsidRDefault="00657ACA" w:rsidP="00657ACA">
            <w:pPr>
              <w:jc w:val="both"/>
              <w:rPr>
                <w:rFonts w:ascii="Arial" w:hAnsi="Arial" w:cs="Arial"/>
                <w:b/>
                <w:bCs/>
                <w:sz w:val="20"/>
                <w:szCs w:val="20"/>
              </w:rPr>
            </w:pPr>
          </w:p>
        </w:tc>
        <w:tc>
          <w:tcPr>
            <w:tcW w:w="9452" w:type="dxa"/>
            <w:noWrap/>
            <w:vAlign w:val="bottom"/>
          </w:tcPr>
          <w:p w14:paraId="684FD2D0" w14:textId="6446581B" w:rsidR="00657ACA" w:rsidRDefault="00657ACA" w:rsidP="00657ACA">
            <w:pPr>
              <w:rPr>
                <w:rFonts w:ascii="Arial" w:hAnsi="Arial"/>
                <w:color w:val="000000"/>
                <w:sz w:val="20"/>
                <w:u w:color="000000"/>
              </w:rPr>
            </w:pPr>
            <w:r w:rsidRPr="00776681">
              <w:rPr>
                <w:rFonts w:ascii="Arial" w:hAnsi="Arial"/>
                <w:color w:val="000000"/>
                <w:sz w:val="20"/>
                <w:u w:color="000000"/>
              </w:rPr>
              <w:t>Liečba pacientov s cystickou fibrózou (diagnóza E84 podľa Medzinárodnej klasifikácie chorôb 10) je hradená plne.</w:t>
            </w:r>
          </w:p>
          <w:p w14:paraId="78CF423F" w14:textId="4703653E"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422D7461" w14:textId="77777777" w:rsidR="00657ACA" w:rsidRPr="003E2738" w:rsidRDefault="00657ACA" w:rsidP="00657ACA">
            <w:pPr>
              <w:rPr>
                <w:rFonts w:ascii="Arial" w:hAnsi="Arial"/>
                <w:color w:val="000000"/>
                <w:sz w:val="20"/>
                <w:u w:color="000000"/>
              </w:rPr>
            </w:pPr>
          </w:p>
        </w:tc>
      </w:tr>
      <w:tr w:rsidR="00657ACA" w:rsidRPr="0000591E" w14:paraId="3D139F6F" w14:textId="77777777" w:rsidTr="003F7925">
        <w:trPr>
          <w:gridAfter w:val="2"/>
          <w:wAfter w:w="154" w:type="dxa"/>
          <w:trHeight w:val="20"/>
        </w:trPr>
        <w:tc>
          <w:tcPr>
            <w:tcW w:w="1256" w:type="dxa"/>
            <w:tcBorders>
              <w:bottom w:val="single" w:sz="4" w:space="0" w:color="auto"/>
            </w:tcBorders>
            <w:noWrap/>
            <w:vAlign w:val="bottom"/>
          </w:tcPr>
          <w:p w14:paraId="16D4C74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J01DC10</w:t>
            </w:r>
          </w:p>
        </w:tc>
        <w:tc>
          <w:tcPr>
            <w:tcW w:w="9452" w:type="dxa"/>
            <w:tcBorders>
              <w:bottom w:val="single" w:sz="4" w:space="0" w:color="auto"/>
            </w:tcBorders>
            <w:noWrap/>
            <w:vAlign w:val="bottom"/>
          </w:tcPr>
          <w:p w14:paraId="7BEC8E14" w14:textId="77777777" w:rsidR="00657ACA" w:rsidRPr="003E2738" w:rsidRDefault="00657ACA" w:rsidP="00657ACA">
            <w:pPr>
              <w:rPr>
                <w:rFonts w:ascii="Arial" w:hAnsi="Arial"/>
                <w:color w:val="000000"/>
                <w:sz w:val="20"/>
                <w:u w:color="000000"/>
              </w:rPr>
            </w:pPr>
            <w:r w:rsidRPr="00F90232">
              <w:rPr>
                <w:rFonts w:ascii="Arial" w:hAnsi="Arial"/>
                <w:b/>
                <w:color w:val="000000"/>
                <w:sz w:val="20"/>
                <w:u w:color="000000"/>
              </w:rPr>
              <w:t>Cefprozil</w:t>
            </w:r>
            <w:r>
              <w:rPr>
                <w:rFonts w:ascii="Arial" w:hAnsi="Arial"/>
                <w:b/>
                <w:color w:val="000000"/>
                <w:sz w:val="20"/>
                <w:u w:color="000000"/>
              </w:rPr>
              <w:t xml:space="preserve"> </w:t>
            </w:r>
            <w:r w:rsidRPr="00BD0BCF">
              <w:rPr>
                <w:rFonts w:ascii="Arial" w:hAnsi="Arial"/>
                <w:b/>
                <w:color w:val="000000"/>
                <w:sz w:val="20"/>
                <w:u w:color="000000"/>
              </w:rPr>
              <w:t>p.o. 50 mg/ml tekuté</w:t>
            </w:r>
          </w:p>
        </w:tc>
      </w:tr>
      <w:tr w:rsidR="00657ACA" w:rsidRPr="0000591E" w14:paraId="7B0481BD" w14:textId="77777777" w:rsidTr="003F7925">
        <w:trPr>
          <w:gridAfter w:val="2"/>
          <w:wAfter w:w="154" w:type="dxa"/>
          <w:trHeight w:val="20"/>
        </w:trPr>
        <w:tc>
          <w:tcPr>
            <w:tcW w:w="1256" w:type="dxa"/>
            <w:noWrap/>
            <w:vAlign w:val="bottom"/>
          </w:tcPr>
          <w:p w14:paraId="34D83D11" w14:textId="77777777" w:rsidR="00657ACA" w:rsidRPr="0000591E" w:rsidRDefault="00657ACA" w:rsidP="00657ACA">
            <w:pPr>
              <w:jc w:val="both"/>
              <w:rPr>
                <w:rFonts w:ascii="Arial" w:hAnsi="Arial" w:cs="Arial"/>
                <w:b/>
                <w:bCs/>
                <w:sz w:val="20"/>
                <w:szCs w:val="20"/>
              </w:rPr>
            </w:pPr>
          </w:p>
        </w:tc>
        <w:tc>
          <w:tcPr>
            <w:tcW w:w="9452" w:type="dxa"/>
            <w:noWrap/>
            <w:vAlign w:val="bottom"/>
          </w:tcPr>
          <w:p w14:paraId="57F1A3FF" w14:textId="2C6DECF3" w:rsidR="00657ACA" w:rsidRDefault="00657ACA" w:rsidP="00657ACA">
            <w:pPr>
              <w:rPr>
                <w:rFonts w:ascii="Arial" w:hAnsi="Arial"/>
                <w:color w:val="000000"/>
                <w:sz w:val="20"/>
                <w:u w:color="000000"/>
              </w:rPr>
            </w:pPr>
            <w:r w:rsidRPr="00776681">
              <w:rPr>
                <w:rFonts w:ascii="Arial" w:hAnsi="Arial"/>
                <w:color w:val="000000"/>
                <w:sz w:val="20"/>
                <w:u w:color="000000"/>
              </w:rPr>
              <w:t>Liečba pacientov s cystickou fibrózou (diagnóza E84 podľa Medzinárodnej klasifikácie chorôb 10) je hradená plne.</w:t>
            </w:r>
          </w:p>
          <w:p w14:paraId="66AB838C" w14:textId="2D740BB3"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5CE291E9" w14:textId="77777777" w:rsidR="00657ACA" w:rsidRPr="003E2738" w:rsidRDefault="00657ACA" w:rsidP="00657ACA">
            <w:pPr>
              <w:rPr>
                <w:rFonts w:ascii="Arial" w:hAnsi="Arial"/>
                <w:color w:val="000000"/>
                <w:sz w:val="20"/>
                <w:u w:color="000000"/>
              </w:rPr>
            </w:pPr>
          </w:p>
        </w:tc>
      </w:tr>
      <w:tr w:rsidR="00657ACA" w:rsidRPr="0000591E" w14:paraId="72598597" w14:textId="77777777" w:rsidTr="003F7925">
        <w:trPr>
          <w:gridAfter w:val="2"/>
          <w:wAfter w:w="154" w:type="dxa"/>
          <w:trHeight w:val="20"/>
        </w:trPr>
        <w:tc>
          <w:tcPr>
            <w:tcW w:w="1256" w:type="dxa"/>
            <w:tcBorders>
              <w:bottom w:val="single" w:sz="4" w:space="0" w:color="auto"/>
            </w:tcBorders>
            <w:noWrap/>
            <w:vAlign w:val="bottom"/>
          </w:tcPr>
          <w:p w14:paraId="454DF59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J01DD01</w:t>
            </w:r>
          </w:p>
        </w:tc>
        <w:tc>
          <w:tcPr>
            <w:tcW w:w="9452" w:type="dxa"/>
            <w:tcBorders>
              <w:bottom w:val="single" w:sz="4" w:space="0" w:color="auto"/>
            </w:tcBorders>
            <w:noWrap/>
            <w:vAlign w:val="bottom"/>
          </w:tcPr>
          <w:p w14:paraId="72BDB1C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Cefotaxim parent. 1 g</w:t>
            </w:r>
          </w:p>
        </w:tc>
      </w:tr>
      <w:tr w:rsidR="00657ACA" w:rsidRPr="0000591E" w14:paraId="24F52137" w14:textId="77777777" w:rsidTr="003F7925">
        <w:trPr>
          <w:gridAfter w:val="2"/>
          <w:wAfter w:w="154" w:type="dxa"/>
          <w:trHeight w:val="20"/>
        </w:trPr>
        <w:tc>
          <w:tcPr>
            <w:tcW w:w="1256" w:type="dxa"/>
            <w:tcBorders>
              <w:top w:val="single" w:sz="4" w:space="0" w:color="auto"/>
            </w:tcBorders>
            <w:noWrap/>
            <w:vAlign w:val="bottom"/>
          </w:tcPr>
          <w:p w14:paraId="6F66E68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9A64F1C"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kultivačným záchytom citlivých kmeňov.</w:t>
            </w:r>
          </w:p>
          <w:p w14:paraId="5C35DA6F"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sidRPr="0000591E">
              <w:rPr>
                <w:rFonts w:ascii="Arial" w:hAnsi="Arial" w:cs="Arial"/>
                <w:sz w:val="20"/>
                <w:szCs w:val="20"/>
              </w:rPr>
              <w:t xml:space="preserve"> </w:t>
            </w:r>
          </w:p>
          <w:p w14:paraId="1909B86E" w14:textId="77777777" w:rsidR="00657ACA" w:rsidRPr="0000591E" w:rsidRDefault="00657ACA" w:rsidP="00657ACA">
            <w:pPr>
              <w:jc w:val="both"/>
              <w:rPr>
                <w:rFonts w:ascii="Arial" w:hAnsi="Arial" w:cs="Arial"/>
                <w:sz w:val="20"/>
                <w:szCs w:val="20"/>
              </w:rPr>
            </w:pPr>
          </w:p>
        </w:tc>
      </w:tr>
      <w:tr w:rsidR="00657ACA" w:rsidRPr="0000591E" w14:paraId="4CA1A69D" w14:textId="77777777" w:rsidTr="003F7925">
        <w:trPr>
          <w:gridAfter w:val="2"/>
          <w:wAfter w:w="154" w:type="dxa"/>
          <w:trHeight w:val="20"/>
        </w:trPr>
        <w:tc>
          <w:tcPr>
            <w:tcW w:w="1256" w:type="dxa"/>
            <w:tcBorders>
              <w:bottom w:val="single" w:sz="4" w:space="0" w:color="auto"/>
            </w:tcBorders>
            <w:noWrap/>
            <w:vAlign w:val="bottom"/>
          </w:tcPr>
          <w:p w14:paraId="6B07F8DE" w14:textId="77777777" w:rsidR="00657ACA" w:rsidRPr="009E3C1B" w:rsidRDefault="00657ACA" w:rsidP="00657ACA">
            <w:pPr>
              <w:jc w:val="both"/>
              <w:rPr>
                <w:rFonts w:ascii="Arial" w:hAnsi="Arial" w:cs="Arial"/>
                <w:b/>
                <w:sz w:val="20"/>
                <w:szCs w:val="20"/>
              </w:rPr>
            </w:pPr>
            <w:r w:rsidRPr="00B64055">
              <w:rPr>
                <w:rFonts w:ascii="Arial" w:hAnsi="Arial" w:cs="Arial"/>
                <w:b/>
                <w:sz w:val="20"/>
                <w:szCs w:val="20"/>
              </w:rPr>
              <w:t>J01DD08</w:t>
            </w:r>
          </w:p>
        </w:tc>
        <w:tc>
          <w:tcPr>
            <w:tcW w:w="9452" w:type="dxa"/>
            <w:tcBorders>
              <w:bottom w:val="single" w:sz="4" w:space="0" w:color="auto"/>
            </w:tcBorders>
          </w:tcPr>
          <w:p w14:paraId="2BE35E33" w14:textId="77777777" w:rsidR="00657ACA" w:rsidRPr="0000591E" w:rsidRDefault="00657ACA" w:rsidP="00657ACA">
            <w:pPr>
              <w:jc w:val="both"/>
              <w:rPr>
                <w:rFonts w:ascii="Arial" w:hAnsi="Arial" w:cs="Arial"/>
                <w:sz w:val="20"/>
                <w:szCs w:val="20"/>
              </w:rPr>
            </w:pPr>
            <w:r w:rsidRPr="007B3723">
              <w:rPr>
                <w:rFonts w:ascii="Arial" w:hAnsi="Arial" w:cs="Arial"/>
                <w:b/>
                <w:sz w:val="20"/>
                <w:szCs w:val="20"/>
              </w:rPr>
              <w:t>C</w:t>
            </w:r>
            <w:r>
              <w:rPr>
                <w:rFonts w:ascii="Arial" w:hAnsi="Arial" w:cs="Arial"/>
                <w:b/>
                <w:sz w:val="20"/>
                <w:szCs w:val="20"/>
              </w:rPr>
              <w:t>efixí</w:t>
            </w:r>
            <w:r w:rsidRPr="007B3723">
              <w:rPr>
                <w:rFonts w:ascii="Arial" w:hAnsi="Arial" w:cs="Arial"/>
                <w:b/>
                <w:sz w:val="20"/>
                <w:szCs w:val="20"/>
              </w:rPr>
              <w:t>m p.o. 20 mg/ml tekuté</w:t>
            </w:r>
          </w:p>
        </w:tc>
      </w:tr>
      <w:tr w:rsidR="00657ACA" w:rsidRPr="0000591E" w14:paraId="0B096E62" w14:textId="77777777" w:rsidTr="003F7925">
        <w:trPr>
          <w:gridAfter w:val="2"/>
          <w:wAfter w:w="154" w:type="dxa"/>
          <w:trHeight w:val="20"/>
        </w:trPr>
        <w:tc>
          <w:tcPr>
            <w:tcW w:w="1256" w:type="dxa"/>
            <w:tcBorders>
              <w:top w:val="single" w:sz="4" w:space="0" w:color="auto"/>
            </w:tcBorders>
            <w:noWrap/>
            <w:vAlign w:val="bottom"/>
          </w:tcPr>
          <w:p w14:paraId="7081B7F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1589E3F" w14:textId="77777777" w:rsidR="00ED27F2" w:rsidRDefault="00657ACA" w:rsidP="00657ACA">
            <w:pPr>
              <w:rPr>
                <w:rFonts w:ascii="Arial" w:hAnsi="Arial"/>
                <w:color w:val="000000"/>
                <w:sz w:val="20"/>
                <w:u w:color="000000"/>
              </w:rPr>
            </w:pPr>
            <w:r w:rsidRPr="00A5500F">
              <w:rPr>
                <w:rFonts w:ascii="Arial" w:hAnsi="Arial"/>
                <w:color w:val="000000"/>
                <w:sz w:val="20"/>
                <w:u w:color="000000"/>
              </w:rPr>
              <w:t>Liečba pacientov s cystickou fibrózou (diagnóza E84 podľa Medzinárodnej klasifikácie chorôb 10) je hradená plne.</w:t>
            </w:r>
            <w:r w:rsidR="00ED27F2">
              <w:rPr>
                <w:rFonts w:ascii="Arial" w:hAnsi="Arial"/>
                <w:color w:val="000000"/>
                <w:sz w:val="20"/>
                <w:u w:color="000000"/>
              </w:rPr>
              <w:t xml:space="preserve"> </w:t>
            </w:r>
          </w:p>
          <w:p w14:paraId="3B7A6966" w14:textId="364BB482"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22A4798" w14:textId="77777777" w:rsidR="00657ACA" w:rsidRPr="0000591E" w:rsidRDefault="00657ACA" w:rsidP="00657ACA">
            <w:pPr>
              <w:jc w:val="both"/>
              <w:rPr>
                <w:rFonts w:ascii="Arial" w:hAnsi="Arial" w:cs="Arial"/>
                <w:sz w:val="20"/>
                <w:szCs w:val="20"/>
              </w:rPr>
            </w:pPr>
          </w:p>
        </w:tc>
      </w:tr>
      <w:tr w:rsidR="00657ACA" w:rsidRPr="0000591E" w14:paraId="2C59A462" w14:textId="77777777" w:rsidTr="003F7925">
        <w:trPr>
          <w:gridAfter w:val="2"/>
          <w:wAfter w:w="154" w:type="dxa"/>
          <w:trHeight w:val="20"/>
        </w:trPr>
        <w:tc>
          <w:tcPr>
            <w:tcW w:w="1256" w:type="dxa"/>
            <w:tcBorders>
              <w:bottom w:val="single" w:sz="4" w:space="0" w:color="auto"/>
            </w:tcBorders>
            <w:noWrap/>
            <w:vAlign w:val="bottom"/>
          </w:tcPr>
          <w:p w14:paraId="03DC691E" w14:textId="77777777" w:rsidR="00657ACA" w:rsidRPr="0000591E" w:rsidRDefault="00657ACA" w:rsidP="00657ACA">
            <w:pPr>
              <w:jc w:val="both"/>
              <w:rPr>
                <w:rFonts w:ascii="Arial" w:hAnsi="Arial" w:cs="Arial"/>
                <w:sz w:val="20"/>
                <w:szCs w:val="20"/>
              </w:rPr>
            </w:pPr>
            <w:r w:rsidRPr="00286955">
              <w:rPr>
                <w:rFonts w:ascii="Arial" w:hAnsi="Arial" w:cs="Arial"/>
                <w:b/>
                <w:sz w:val="20"/>
                <w:szCs w:val="20"/>
              </w:rPr>
              <w:t>J01DD08</w:t>
            </w:r>
          </w:p>
        </w:tc>
        <w:tc>
          <w:tcPr>
            <w:tcW w:w="9452" w:type="dxa"/>
            <w:tcBorders>
              <w:bottom w:val="single" w:sz="4" w:space="0" w:color="auto"/>
            </w:tcBorders>
          </w:tcPr>
          <w:p w14:paraId="39B94A43" w14:textId="77777777" w:rsidR="00657ACA" w:rsidRDefault="00657ACA" w:rsidP="00657ACA">
            <w:pPr>
              <w:jc w:val="both"/>
              <w:rPr>
                <w:rFonts w:ascii="Arial" w:hAnsi="Arial" w:cs="Arial"/>
                <w:b/>
                <w:sz w:val="20"/>
                <w:szCs w:val="20"/>
              </w:rPr>
            </w:pPr>
            <w:r w:rsidRPr="007B3723">
              <w:rPr>
                <w:rFonts w:ascii="Arial" w:hAnsi="Arial" w:cs="Arial"/>
                <w:b/>
                <w:sz w:val="20"/>
                <w:szCs w:val="20"/>
              </w:rPr>
              <w:t>C</w:t>
            </w:r>
            <w:r>
              <w:rPr>
                <w:rFonts w:ascii="Arial" w:hAnsi="Arial" w:cs="Arial"/>
                <w:b/>
                <w:sz w:val="20"/>
                <w:szCs w:val="20"/>
              </w:rPr>
              <w:t>efixí</w:t>
            </w:r>
            <w:r w:rsidRPr="007B3723">
              <w:rPr>
                <w:rFonts w:ascii="Arial" w:hAnsi="Arial" w:cs="Arial"/>
                <w:b/>
                <w:sz w:val="20"/>
                <w:szCs w:val="20"/>
              </w:rPr>
              <w:t>m p.o.</w:t>
            </w:r>
            <w:r>
              <w:rPr>
                <w:rFonts w:ascii="Arial" w:hAnsi="Arial" w:cs="Arial"/>
                <w:b/>
                <w:sz w:val="20"/>
                <w:szCs w:val="20"/>
              </w:rPr>
              <w:t xml:space="preserve"> 200 mg</w:t>
            </w:r>
          </w:p>
          <w:p w14:paraId="1462C62F" w14:textId="77777777" w:rsidR="00657ACA" w:rsidRPr="003E2738" w:rsidRDefault="00657ACA" w:rsidP="00657ACA">
            <w:pPr>
              <w:rPr>
                <w:rFonts w:ascii="Arial" w:hAnsi="Arial"/>
                <w:color w:val="000000"/>
                <w:sz w:val="20"/>
                <w:u w:color="000000"/>
              </w:rPr>
            </w:pPr>
            <w:r w:rsidRPr="007B3723">
              <w:rPr>
                <w:rFonts w:ascii="Arial" w:hAnsi="Arial" w:cs="Arial"/>
                <w:b/>
                <w:sz w:val="20"/>
                <w:szCs w:val="20"/>
              </w:rPr>
              <w:t>C</w:t>
            </w:r>
            <w:r>
              <w:rPr>
                <w:rFonts w:ascii="Arial" w:hAnsi="Arial" w:cs="Arial"/>
                <w:b/>
                <w:sz w:val="20"/>
                <w:szCs w:val="20"/>
              </w:rPr>
              <w:t>efixí</w:t>
            </w:r>
            <w:r w:rsidRPr="007B3723">
              <w:rPr>
                <w:rFonts w:ascii="Arial" w:hAnsi="Arial" w:cs="Arial"/>
                <w:b/>
                <w:sz w:val="20"/>
                <w:szCs w:val="20"/>
              </w:rPr>
              <w:t>m p.o.</w:t>
            </w:r>
            <w:r>
              <w:rPr>
                <w:rFonts w:ascii="Arial" w:hAnsi="Arial" w:cs="Arial"/>
                <w:b/>
                <w:sz w:val="20"/>
                <w:szCs w:val="20"/>
              </w:rPr>
              <w:t xml:space="preserve"> 400 mg</w:t>
            </w:r>
          </w:p>
        </w:tc>
      </w:tr>
      <w:tr w:rsidR="00657ACA" w:rsidRPr="0000591E" w14:paraId="279B3598" w14:textId="77777777" w:rsidTr="003F7925">
        <w:trPr>
          <w:gridAfter w:val="2"/>
          <w:wAfter w:w="154" w:type="dxa"/>
          <w:trHeight w:val="20"/>
        </w:trPr>
        <w:tc>
          <w:tcPr>
            <w:tcW w:w="1256" w:type="dxa"/>
            <w:tcBorders>
              <w:top w:val="single" w:sz="4" w:space="0" w:color="auto"/>
            </w:tcBorders>
            <w:noWrap/>
            <w:vAlign w:val="bottom"/>
          </w:tcPr>
          <w:p w14:paraId="06041CF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78EAA25" w14:textId="23D59AB4" w:rsidR="00657ACA" w:rsidRDefault="00657ACA" w:rsidP="00657ACA">
            <w:pPr>
              <w:rPr>
                <w:rFonts w:ascii="Arial" w:hAnsi="Arial"/>
                <w:color w:val="000000"/>
                <w:sz w:val="20"/>
                <w:u w:color="000000"/>
              </w:rPr>
            </w:pPr>
            <w:r w:rsidRPr="002A5659">
              <w:rPr>
                <w:rFonts w:ascii="Arial" w:hAnsi="Arial"/>
                <w:color w:val="000000"/>
                <w:sz w:val="20"/>
                <w:u w:color="000000"/>
              </w:rPr>
              <w:t>Liečba pacientov s cystickou fibrózou (diagnóza E84 podľa Medzinárodnej klasifikácie chorôb 10) je hradená plne.</w:t>
            </w:r>
          </w:p>
          <w:p w14:paraId="66D90A7F" w14:textId="4BF52B65"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2F749C41" w14:textId="77777777" w:rsidR="00657ACA" w:rsidRPr="003E2738" w:rsidRDefault="00657ACA" w:rsidP="00657ACA">
            <w:pPr>
              <w:rPr>
                <w:rFonts w:ascii="Arial" w:hAnsi="Arial"/>
                <w:color w:val="000000"/>
                <w:sz w:val="20"/>
                <w:u w:color="000000"/>
              </w:rPr>
            </w:pPr>
          </w:p>
        </w:tc>
      </w:tr>
      <w:tr w:rsidR="00657ACA" w:rsidRPr="0000591E" w14:paraId="2C7E6937" w14:textId="77777777" w:rsidTr="003F7925">
        <w:trPr>
          <w:gridAfter w:val="2"/>
          <w:wAfter w:w="154" w:type="dxa"/>
          <w:trHeight w:val="20"/>
        </w:trPr>
        <w:tc>
          <w:tcPr>
            <w:tcW w:w="1256" w:type="dxa"/>
            <w:tcBorders>
              <w:bottom w:val="single" w:sz="4" w:space="0" w:color="auto"/>
            </w:tcBorders>
            <w:noWrap/>
            <w:vAlign w:val="bottom"/>
          </w:tcPr>
          <w:p w14:paraId="0863C2BE" w14:textId="77777777" w:rsidR="00657ACA" w:rsidRPr="00286955" w:rsidRDefault="00657ACA" w:rsidP="00657ACA">
            <w:pPr>
              <w:jc w:val="both"/>
              <w:rPr>
                <w:rFonts w:ascii="Arial" w:hAnsi="Arial" w:cs="Arial"/>
                <w:b/>
                <w:sz w:val="20"/>
                <w:szCs w:val="20"/>
              </w:rPr>
            </w:pPr>
            <w:r w:rsidRPr="00286955">
              <w:rPr>
                <w:rFonts w:ascii="Arial" w:hAnsi="Arial" w:cs="Arial"/>
                <w:b/>
                <w:sz w:val="20"/>
                <w:szCs w:val="20"/>
              </w:rPr>
              <w:t>J01EE01</w:t>
            </w:r>
          </w:p>
        </w:tc>
        <w:tc>
          <w:tcPr>
            <w:tcW w:w="9452" w:type="dxa"/>
            <w:tcBorders>
              <w:bottom w:val="single" w:sz="4" w:space="0" w:color="auto"/>
            </w:tcBorders>
          </w:tcPr>
          <w:p w14:paraId="7632A12D"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Sulf</w:t>
            </w:r>
            <w:r>
              <w:rPr>
                <w:rFonts w:ascii="Arial" w:hAnsi="Arial" w:cs="Arial"/>
                <w:b/>
                <w:bCs/>
                <w:sz w:val="20"/>
                <w:szCs w:val="20"/>
              </w:rPr>
              <w:t xml:space="preserve">ametoxazol a trimetoprim </w:t>
            </w:r>
            <w:r w:rsidRPr="00B14B4B">
              <w:rPr>
                <w:rFonts w:ascii="Arial" w:hAnsi="Arial" w:cs="Arial"/>
                <w:b/>
                <w:bCs/>
                <w:sz w:val="20"/>
                <w:szCs w:val="20"/>
              </w:rPr>
              <w:t>p.o. 100/20 mg</w:t>
            </w:r>
          </w:p>
          <w:p w14:paraId="0F5E375B" w14:textId="77777777" w:rsidR="00657ACA" w:rsidRPr="003E2738" w:rsidRDefault="00657ACA" w:rsidP="00657ACA">
            <w:pPr>
              <w:rPr>
                <w:rFonts w:ascii="Arial" w:hAnsi="Arial"/>
                <w:color w:val="000000"/>
                <w:sz w:val="20"/>
                <w:u w:color="000000"/>
              </w:rPr>
            </w:pPr>
            <w:r w:rsidRPr="0000591E">
              <w:rPr>
                <w:rFonts w:ascii="Arial" w:hAnsi="Arial" w:cs="Arial"/>
                <w:b/>
                <w:bCs/>
                <w:sz w:val="20"/>
                <w:szCs w:val="20"/>
              </w:rPr>
              <w:t>Sulf</w:t>
            </w:r>
            <w:r>
              <w:rPr>
                <w:rFonts w:ascii="Arial" w:hAnsi="Arial" w:cs="Arial"/>
                <w:b/>
                <w:bCs/>
                <w:sz w:val="20"/>
                <w:szCs w:val="20"/>
              </w:rPr>
              <w:t xml:space="preserve">ametoxazol a trimetoprim </w:t>
            </w:r>
            <w:r w:rsidRPr="00B14B4B">
              <w:rPr>
                <w:rFonts w:ascii="Arial" w:hAnsi="Arial" w:cs="Arial"/>
                <w:b/>
                <w:bCs/>
                <w:sz w:val="20"/>
                <w:szCs w:val="20"/>
              </w:rPr>
              <w:t xml:space="preserve">p.o. </w:t>
            </w:r>
            <w:r>
              <w:rPr>
                <w:rFonts w:ascii="Arial" w:hAnsi="Arial" w:cs="Arial"/>
                <w:b/>
                <w:bCs/>
                <w:sz w:val="20"/>
                <w:szCs w:val="20"/>
              </w:rPr>
              <w:t>400/80</w:t>
            </w:r>
            <w:r w:rsidRPr="00B14B4B">
              <w:rPr>
                <w:rFonts w:ascii="Arial" w:hAnsi="Arial" w:cs="Arial"/>
                <w:b/>
                <w:bCs/>
                <w:sz w:val="20"/>
                <w:szCs w:val="20"/>
              </w:rPr>
              <w:t xml:space="preserve"> mg</w:t>
            </w:r>
          </w:p>
        </w:tc>
      </w:tr>
      <w:tr w:rsidR="00657ACA" w:rsidRPr="0000591E" w14:paraId="426CD726" w14:textId="77777777" w:rsidTr="003F7925">
        <w:trPr>
          <w:gridAfter w:val="2"/>
          <w:wAfter w:w="154" w:type="dxa"/>
          <w:trHeight w:val="20"/>
        </w:trPr>
        <w:tc>
          <w:tcPr>
            <w:tcW w:w="1256" w:type="dxa"/>
            <w:tcBorders>
              <w:top w:val="single" w:sz="4" w:space="0" w:color="auto"/>
            </w:tcBorders>
            <w:noWrap/>
            <w:vAlign w:val="bottom"/>
          </w:tcPr>
          <w:p w14:paraId="08971D9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8132B9A" w14:textId="6D6BF9F3" w:rsidR="00657ACA" w:rsidRDefault="00657ACA" w:rsidP="00657ACA">
            <w:pPr>
              <w:rPr>
                <w:rFonts w:ascii="Arial" w:hAnsi="Arial"/>
                <w:color w:val="000000"/>
                <w:sz w:val="20"/>
                <w:u w:color="000000"/>
              </w:rPr>
            </w:pPr>
            <w:r w:rsidRPr="00490451">
              <w:rPr>
                <w:rFonts w:ascii="Arial" w:hAnsi="Arial"/>
                <w:color w:val="000000"/>
                <w:sz w:val="20"/>
                <w:u w:color="000000"/>
              </w:rPr>
              <w:t>Liečba pacientov s cystickou fibrózou (diagnóza E84 podľa Medzinárodnej klasifikácie chorôb 10) je hradená plne.</w:t>
            </w:r>
          </w:p>
          <w:p w14:paraId="6DF10679" w14:textId="0FBB8126"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1675DB5A" w14:textId="566B5036" w:rsidR="00657ACA" w:rsidRPr="003E2738" w:rsidRDefault="00657ACA" w:rsidP="00657ACA">
            <w:pPr>
              <w:rPr>
                <w:rFonts w:ascii="Arial" w:hAnsi="Arial"/>
                <w:color w:val="000000"/>
                <w:sz w:val="20"/>
                <w:u w:color="000000"/>
              </w:rPr>
            </w:pPr>
          </w:p>
        </w:tc>
      </w:tr>
      <w:tr w:rsidR="00657ACA" w:rsidRPr="0000591E" w14:paraId="584F9858" w14:textId="77777777" w:rsidTr="003F7925">
        <w:trPr>
          <w:gridAfter w:val="2"/>
          <w:wAfter w:w="154" w:type="dxa"/>
          <w:trHeight w:val="20"/>
        </w:trPr>
        <w:tc>
          <w:tcPr>
            <w:tcW w:w="1256" w:type="dxa"/>
            <w:tcBorders>
              <w:bottom w:val="single" w:sz="4" w:space="0" w:color="auto"/>
            </w:tcBorders>
            <w:noWrap/>
            <w:vAlign w:val="bottom"/>
          </w:tcPr>
          <w:p w14:paraId="6486A34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J01EE01</w:t>
            </w:r>
          </w:p>
        </w:tc>
        <w:tc>
          <w:tcPr>
            <w:tcW w:w="9452" w:type="dxa"/>
            <w:tcBorders>
              <w:bottom w:val="single" w:sz="4" w:space="0" w:color="auto"/>
            </w:tcBorders>
            <w:noWrap/>
            <w:vAlign w:val="bottom"/>
          </w:tcPr>
          <w:p w14:paraId="1C327F6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Sulfametoxazol a trimetoprim parent.</w:t>
            </w:r>
            <w:r>
              <w:rPr>
                <w:rFonts w:ascii="Arial" w:hAnsi="Arial" w:cs="Arial"/>
                <w:b/>
                <w:bCs/>
                <w:sz w:val="20"/>
                <w:szCs w:val="20"/>
              </w:rPr>
              <w:t xml:space="preserve"> 480 mg</w:t>
            </w:r>
          </w:p>
        </w:tc>
      </w:tr>
      <w:tr w:rsidR="00657ACA" w:rsidRPr="0000591E" w14:paraId="35DF2A9E" w14:textId="77777777" w:rsidTr="003F7925">
        <w:trPr>
          <w:gridAfter w:val="2"/>
          <w:wAfter w:w="154" w:type="dxa"/>
          <w:trHeight w:val="20"/>
        </w:trPr>
        <w:tc>
          <w:tcPr>
            <w:tcW w:w="1256" w:type="dxa"/>
            <w:tcBorders>
              <w:top w:val="single" w:sz="4" w:space="0" w:color="auto"/>
            </w:tcBorders>
            <w:noWrap/>
            <w:vAlign w:val="bottom"/>
          </w:tcPr>
          <w:p w14:paraId="00944BB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428E2CD"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kultivačným záchytom citlivých kmeňov.</w:t>
            </w:r>
          </w:p>
          <w:p w14:paraId="3F91A4F8"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sidRPr="0000591E">
              <w:rPr>
                <w:rFonts w:ascii="Arial" w:hAnsi="Arial" w:cs="Arial"/>
                <w:sz w:val="20"/>
                <w:szCs w:val="20"/>
              </w:rPr>
              <w:t xml:space="preserve"> </w:t>
            </w:r>
          </w:p>
          <w:p w14:paraId="5172A2DF" w14:textId="77777777" w:rsidR="00657ACA" w:rsidRPr="0000591E" w:rsidRDefault="00657ACA" w:rsidP="00657ACA">
            <w:pPr>
              <w:jc w:val="both"/>
              <w:rPr>
                <w:rFonts w:ascii="Arial" w:hAnsi="Arial" w:cs="Arial"/>
                <w:sz w:val="20"/>
                <w:szCs w:val="20"/>
              </w:rPr>
            </w:pPr>
          </w:p>
        </w:tc>
      </w:tr>
      <w:tr w:rsidR="00657ACA" w:rsidRPr="0000591E" w14:paraId="5F1E55B1" w14:textId="77777777" w:rsidTr="003F7925">
        <w:trPr>
          <w:gridAfter w:val="2"/>
          <w:wAfter w:w="154" w:type="dxa"/>
          <w:trHeight w:val="20"/>
        </w:trPr>
        <w:tc>
          <w:tcPr>
            <w:tcW w:w="1256" w:type="dxa"/>
            <w:tcBorders>
              <w:bottom w:val="single" w:sz="4" w:space="0" w:color="auto"/>
            </w:tcBorders>
            <w:noWrap/>
            <w:vAlign w:val="bottom"/>
          </w:tcPr>
          <w:p w14:paraId="4D72AE90" w14:textId="77777777" w:rsidR="00657ACA" w:rsidRPr="00286955" w:rsidRDefault="00657ACA" w:rsidP="00657ACA">
            <w:pPr>
              <w:jc w:val="both"/>
              <w:rPr>
                <w:rFonts w:ascii="Arial" w:hAnsi="Arial" w:cs="Arial"/>
                <w:b/>
                <w:sz w:val="20"/>
                <w:szCs w:val="20"/>
              </w:rPr>
            </w:pPr>
            <w:r w:rsidRPr="00286955">
              <w:rPr>
                <w:rFonts w:ascii="Arial" w:hAnsi="Arial" w:cs="Arial"/>
                <w:b/>
                <w:sz w:val="20"/>
                <w:szCs w:val="20"/>
              </w:rPr>
              <w:t>J01FA02</w:t>
            </w:r>
          </w:p>
        </w:tc>
        <w:tc>
          <w:tcPr>
            <w:tcW w:w="9452" w:type="dxa"/>
            <w:tcBorders>
              <w:bottom w:val="single" w:sz="4" w:space="0" w:color="auto"/>
            </w:tcBorders>
          </w:tcPr>
          <w:p w14:paraId="439FA8DF" w14:textId="77777777" w:rsidR="00657ACA" w:rsidRPr="0000591E" w:rsidRDefault="00657ACA" w:rsidP="00657ACA">
            <w:pPr>
              <w:jc w:val="both"/>
              <w:rPr>
                <w:rFonts w:ascii="Arial" w:hAnsi="Arial" w:cs="Arial"/>
                <w:sz w:val="20"/>
                <w:szCs w:val="20"/>
              </w:rPr>
            </w:pPr>
            <w:r w:rsidRPr="00634848">
              <w:rPr>
                <w:rFonts w:ascii="Arial" w:hAnsi="Arial" w:cs="Arial"/>
                <w:b/>
                <w:bCs/>
                <w:sz w:val="20"/>
                <w:szCs w:val="20"/>
              </w:rPr>
              <w:t>Spiramycín</w:t>
            </w:r>
            <w:r>
              <w:rPr>
                <w:rFonts w:ascii="Arial" w:hAnsi="Arial" w:cs="Arial"/>
                <w:b/>
                <w:bCs/>
                <w:sz w:val="20"/>
                <w:szCs w:val="20"/>
              </w:rPr>
              <w:t xml:space="preserve"> </w:t>
            </w:r>
            <w:r w:rsidRPr="00634848">
              <w:rPr>
                <w:rFonts w:ascii="Arial" w:hAnsi="Arial" w:cs="Arial"/>
                <w:b/>
                <w:bCs/>
                <w:sz w:val="20"/>
                <w:szCs w:val="20"/>
              </w:rPr>
              <w:t>p.o. 3000 KU</w:t>
            </w:r>
          </w:p>
        </w:tc>
      </w:tr>
      <w:tr w:rsidR="00657ACA" w:rsidRPr="0000591E" w14:paraId="7F600836" w14:textId="77777777" w:rsidTr="003F7925">
        <w:trPr>
          <w:gridAfter w:val="2"/>
          <w:wAfter w:w="154" w:type="dxa"/>
          <w:trHeight w:val="20"/>
        </w:trPr>
        <w:tc>
          <w:tcPr>
            <w:tcW w:w="1256" w:type="dxa"/>
            <w:tcBorders>
              <w:top w:val="single" w:sz="4" w:space="0" w:color="auto"/>
            </w:tcBorders>
            <w:noWrap/>
            <w:vAlign w:val="bottom"/>
          </w:tcPr>
          <w:p w14:paraId="29CA499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714B43A" w14:textId="0872C6C9" w:rsidR="00657ACA" w:rsidRDefault="00657ACA" w:rsidP="00657ACA">
            <w:pPr>
              <w:jc w:val="both"/>
              <w:rPr>
                <w:rFonts w:ascii="Arial" w:hAnsi="Arial"/>
                <w:color w:val="000000"/>
                <w:sz w:val="20"/>
                <w:u w:color="000000"/>
              </w:rPr>
            </w:pPr>
            <w:r w:rsidRPr="00B73BCC">
              <w:rPr>
                <w:rFonts w:ascii="Arial" w:hAnsi="Arial"/>
                <w:color w:val="000000"/>
                <w:sz w:val="20"/>
                <w:u w:color="000000"/>
              </w:rPr>
              <w:t>Liečba pacientov s cystickou fibrózou (diagnóza E84 podľa Medzinárodnej klasifikácie chorôb 10) je hradená plne.</w:t>
            </w:r>
          </w:p>
          <w:p w14:paraId="72AA03C8" w14:textId="56577372" w:rsidR="00657ACA" w:rsidRPr="0000591E" w:rsidRDefault="00657ACA" w:rsidP="00657ACA">
            <w:pPr>
              <w:jc w:val="both"/>
              <w:rPr>
                <w:rFonts w:ascii="Arial" w:hAnsi="Arial" w:cs="Arial"/>
                <w:sz w:val="20"/>
                <w:szCs w:val="2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tc>
      </w:tr>
      <w:tr w:rsidR="00657ACA" w:rsidRPr="0000591E" w14:paraId="76F27B5B" w14:textId="77777777" w:rsidTr="003F7925">
        <w:trPr>
          <w:gridAfter w:val="2"/>
          <w:wAfter w:w="154" w:type="dxa"/>
          <w:trHeight w:val="20"/>
        </w:trPr>
        <w:tc>
          <w:tcPr>
            <w:tcW w:w="1256" w:type="dxa"/>
            <w:tcBorders>
              <w:bottom w:val="single" w:sz="4" w:space="0" w:color="auto"/>
            </w:tcBorders>
            <w:noWrap/>
            <w:vAlign w:val="bottom"/>
          </w:tcPr>
          <w:p w14:paraId="1B1FAFC4" w14:textId="77777777" w:rsidR="00657ACA" w:rsidRPr="00AF441E" w:rsidRDefault="00657ACA" w:rsidP="00657ACA">
            <w:pPr>
              <w:jc w:val="both"/>
              <w:rPr>
                <w:rFonts w:ascii="Arial" w:hAnsi="Arial" w:cs="Arial"/>
                <w:b/>
                <w:sz w:val="20"/>
                <w:szCs w:val="20"/>
              </w:rPr>
            </w:pPr>
            <w:r w:rsidRPr="00AF441E">
              <w:rPr>
                <w:rFonts w:ascii="Arial" w:hAnsi="Arial" w:cs="Arial"/>
                <w:b/>
                <w:sz w:val="20"/>
                <w:szCs w:val="20"/>
              </w:rPr>
              <w:t>J01FA09</w:t>
            </w:r>
          </w:p>
        </w:tc>
        <w:tc>
          <w:tcPr>
            <w:tcW w:w="9452" w:type="dxa"/>
            <w:tcBorders>
              <w:bottom w:val="single" w:sz="4" w:space="0" w:color="auto"/>
            </w:tcBorders>
          </w:tcPr>
          <w:p w14:paraId="29A6B2CB" w14:textId="77777777" w:rsidR="00657ACA" w:rsidRDefault="00657ACA" w:rsidP="00657ACA">
            <w:pPr>
              <w:jc w:val="both"/>
              <w:rPr>
                <w:rFonts w:ascii="Arial" w:hAnsi="Arial"/>
                <w:b/>
                <w:color w:val="000000"/>
                <w:sz w:val="20"/>
                <w:u w:color="000000"/>
              </w:rPr>
            </w:pPr>
            <w:r w:rsidRPr="009E0CE5">
              <w:rPr>
                <w:rFonts w:ascii="Arial" w:hAnsi="Arial"/>
                <w:b/>
                <w:color w:val="000000"/>
                <w:sz w:val="20"/>
                <w:u w:color="000000"/>
              </w:rPr>
              <w:t>Klaritromycín p.o. 250 mg</w:t>
            </w:r>
          </w:p>
          <w:p w14:paraId="7B25DF3F" w14:textId="77777777" w:rsidR="00657ACA" w:rsidRPr="003E2738" w:rsidRDefault="00657ACA" w:rsidP="00657ACA">
            <w:pPr>
              <w:jc w:val="both"/>
              <w:rPr>
                <w:rFonts w:ascii="Arial" w:hAnsi="Arial"/>
                <w:color w:val="000000"/>
                <w:sz w:val="20"/>
                <w:u w:color="000000"/>
              </w:rPr>
            </w:pPr>
            <w:r w:rsidRPr="009E0CE5">
              <w:rPr>
                <w:rFonts w:ascii="Arial" w:hAnsi="Arial"/>
                <w:b/>
                <w:color w:val="000000"/>
                <w:sz w:val="20"/>
                <w:u w:color="000000"/>
              </w:rPr>
              <w:t xml:space="preserve">Klaritromycín </w:t>
            </w:r>
            <w:r>
              <w:rPr>
                <w:rFonts w:ascii="Arial" w:hAnsi="Arial"/>
                <w:b/>
                <w:color w:val="000000"/>
                <w:sz w:val="20"/>
                <w:u w:color="000000"/>
              </w:rPr>
              <w:t xml:space="preserve">p.o. </w:t>
            </w:r>
            <w:r w:rsidRPr="009E0CE5">
              <w:rPr>
                <w:rFonts w:ascii="Arial" w:hAnsi="Arial"/>
                <w:b/>
                <w:color w:val="000000"/>
                <w:sz w:val="20"/>
                <w:u w:color="000000"/>
              </w:rPr>
              <w:t>5</w:t>
            </w:r>
            <w:r>
              <w:rPr>
                <w:rFonts w:ascii="Arial" w:hAnsi="Arial"/>
                <w:b/>
                <w:color w:val="000000"/>
                <w:sz w:val="20"/>
                <w:u w:color="000000"/>
              </w:rPr>
              <w:t>0</w:t>
            </w:r>
            <w:r w:rsidRPr="009E0CE5">
              <w:rPr>
                <w:rFonts w:ascii="Arial" w:hAnsi="Arial"/>
                <w:b/>
                <w:color w:val="000000"/>
                <w:sz w:val="20"/>
                <w:u w:color="000000"/>
              </w:rPr>
              <w:t>0 mg</w:t>
            </w:r>
          </w:p>
        </w:tc>
      </w:tr>
      <w:tr w:rsidR="00657ACA" w:rsidRPr="0000591E" w14:paraId="70925B28" w14:textId="77777777" w:rsidTr="003F7925">
        <w:trPr>
          <w:gridAfter w:val="2"/>
          <w:wAfter w:w="154" w:type="dxa"/>
          <w:trHeight w:val="20"/>
        </w:trPr>
        <w:tc>
          <w:tcPr>
            <w:tcW w:w="1256" w:type="dxa"/>
            <w:tcBorders>
              <w:top w:val="single" w:sz="4" w:space="0" w:color="auto"/>
            </w:tcBorders>
            <w:noWrap/>
            <w:vAlign w:val="bottom"/>
          </w:tcPr>
          <w:p w14:paraId="4F733B7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72F6DE5" w14:textId="4CBEF3EF" w:rsidR="00657ACA" w:rsidRDefault="00657ACA" w:rsidP="00657ACA">
            <w:pPr>
              <w:jc w:val="both"/>
              <w:rPr>
                <w:rFonts w:ascii="Arial" w:hAnsi="Arial"/>
                <w:color w:val="000000"/>
                <w:sz w:val="20"/>
                <w:u w:color="000000"/>
              </w:rPr>
            </w:pPr>
            <w:r w:rsidRPr="00B73BCC">
              <w:rPr>
                <w:rFonts w:ascii="Arial" w:hAnsi="Arial"/>
                <w:color w:val="000000"/>
                <w:sz w:val="20"/>
                <w:u w:color="000000"/>
              </w:rPr>
              <w:t>Liečba pacientov s cystickou fibrózou (diagnóza E84 podľa Medzinárodnej klasifikácie chorôb 10) je hradená plne.</w:t>
            </w:r>
          </w:p>
          <w:p w14:paraId="12BDCD68" w14:textId="6843AC21"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67DBB97" w14:textId="77777777" w:rsidR="00657ACA" w:rsidRPr="003E2738" w:rsidRDefault="00657ACA" w:rsidP="00657ACA">
            <w:pPr>
              <w:jc w:val="both"/>
              <w:rPr>
                <w:rFonts w:ascii="Arial" w:hAnsi="Arial"/>
                <w:color w:val="000000"/>
                <w:sz w:val="20"/>
                <w:u w:color="000000"/>
              </w:rPr>
            </w:pPr>
          </w:p>
        </w:tc>
      </w:tr>
      <w:tr w:rsidR="00657ACA" w:rsidRPr="0000591E" w14:paraId="617D94BD" w14:textId="77777777" w:rsidTr="003F7925">
        <w:trPr>
          <w:gridAfter w:val="2"/>
          <w:wAfter w:w="154" w:type="dxa"/>
          <w:trHeight w:val="20"/>
        </w:trPr>
        <w:tc>
          <w:tcPr>
            <w:tcW w:w="1256" w:type="dxa"/>
            <w:tcBorders>
              <w:bottom w:val="single" w:sz="4" w:space="0" w:color="auto"/>
            </w:tcBorders>
            <w:noWrap/>
            <w:vAlign w:val="bottom"/>
          </w:tcPr>
          <w:p w14:paraId="39BFFC6D" w14:textId="77777777" w:rsidR="00657ACA" w:rsidRPr="00AF441E" w:rsidRDefault="00657ACA" w:rsidP="00657ACA">
            <w:pPr>
              <w:jc w:val="both"/>
              <w:rPr>
                <w:rFonts w:ascii="Arial" w:hAnsi="Arial" w:cs="Arial"/>
                <w:b/>
                <w:sz w:val="20"/>
                <w:szCs w:val="20"/>
              </w:rPr>
            </w:pPr>
            <w:r w:rsidRPr="00AF441E">
              <w:rPr>
                <w:rFonts w:ascii="Arial" w:hAnsi="Arial" w:cs="Arial"/>
                <w:b/>
                <w:sz w:val="20"/>
                <w:szCs w:val="20"/>
              </w:rPr>
              <w:t>J01FA09</w:t>
            </w:r>
          </w:p>
        </w:tc>
        <w:tc>
          <w:tcPr>
            <w:tcW w:w="9452" w:type="dxa"/>
            <w:tcBorders>
              <w:bottom w:val="single" w:sz="4" w:space="0" w:color="auto"/>
            </w:tcBorders>
          </w:tcPr>
          <w:p w14:paraId="1543B4D9" w14:textId="77777777" w:rsidR="00657ACA" w:rsidRPr="003E2738" w:rsidRDefault="00657ACA" w:rsidP="00657ACA">
            <w:pPr>
              <w:jc w:val="both"/>
              <w:rPr>
                <w:rFonts w:ascii="Arial" w:hAnsi="Arial"/>
                <w:color w:val="000000"/>
                <w:sz w:val="20"/>
                <w:u w:color="000000"/>
              </w:rPr>
            </w:pPr>
            <w:r w:rsidRPr="009E0CE5">
              <w:rPr>
                <w:rFonts w:ascii="Arial" w:hAnsi="Arial"/>
                <w:b/>
                <w:color w:val="000000"/>
                <w:sz w:val="20"/>
                <w:u w:color="000000"/>
              </w:rPr>
              <w:t xml:space="preserve">Klaritromycín </w:t>
            </w:r>
            <w:r w:rsidRPr="003C3421">
              <w:rPr>
                <w:rFonts w:ascii="Arial" w:hAnsi="Arial"/>
                <w:b/>
                <w:color w:val="000000"/>
                <w:sz w:val="20"/>
                <w:u w:color="000000"/>
              </w:rPr>
              <w:t>p.o. predĺžené uvoľňovanie 500 mg</w:t>
            </w:r>
          </w:p>
        </w:tc>
      </w:tr>
      <w:tr w:rsidR="00657ACA" w:rsidRPr="0000591E" w14:paraId="3DAFBBED" w14:textId="77777777" w:rsidTr="003F7925">
        <w:trPr>
          <w:gridAfter w:val="2"/>
          <w:wAfter w:w="154" w:type="dxa"/>
          <w:trHeight w:val="20"/>
        </w:trPr>
        <w:tc>
          <w:tcPr>
            <w:tcW w:w="1256" w:type="dxa"/>
            <w:tcBorders>
              <w:top w:val="single" w:sz="4" w:space="0" w:color="auto"/>
            </w:tcBorders>
            <w:noWrap/>
            <w:vAlign w:val="bottom"/>
          </w:tcPr>
          <w:p w14:paraId="29C0016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A3E5619" w14:textId="0403B1AC" w:rsidR="00657ACA" w:rsidRDefault="00657ACA" w:rsidP="00657ACA">
            <w:pPr>
              <w:jc w:val="both"/>
              <w:rPr>
                <w:rFonts w:ascii="Arial" w:hAnsi="Arial"/>
                <w:color w:val="000000"/>
                <w:sz w:val="20"/>
                <w:u w:color="000000"/>
              </w:rPr>
            </w:pPr>
            <w:r w:rsidRPr="00A761EB">
              <w:rPr>
                <w:rFonts w:ascii="Arial" w:hAnsi="Arial"/>
                <w:color w:val="000000"/>
                <w:sz w:val="20"/>
                <w:u w:color="000000"/>
              </w:rPr>
              <w:t>Liečba pacientov s cystickou fibrózou (diagnóza E84 podľa Medzinárodnej klasifikácie chorôb 10) je hradená plne.</w:t>
            </w:r>
          </w:p>
          <w:p w14:paraId="4603D2F2" w14:textId="239BC76D"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BC05CAB" w14:textId="77777777" w:rsidR="00657ACA" w:rsidRPr="003E2738" w:rsidRDefault="00657ACA" w:rsidP="00657ACA">
            <w:pPr>
              <w:jc w:val="both"/>
              <w:rPr>
                <w:rFonts w:ascii="Arial" w:hAnsi="Arial"/>
                <w:color w:val="000000"/>
                <w:sz w:val="20"/>
                <w:u w:color="000000"/>
              </w:rPr>
            </w:pPr>
          </w:p>
        </w:tc>
      </w:tr>
      <w:tr w:rsidR="00657ACA" w:rsidRPr="0000591E" w14:paraId="05BD1088" w14:textId="77777777" w:rsidTr="003F7925">
        <w:trPr>
          <w:gridAfter w:val="2"/>
          <w:wAfter w:w="154" w:type="dxa"/>
          <w:trHeight w:val="20"/>
        </w:trPr>
        <w:tc>
          <w:tcPr>
            <w:tcW w:w="1256" w:type="dxa"/>
            <w:tcBorders>
              <w:bottom w:val="single" w:sz="4" w:space="0" w:color="auto"/>
            </w:tcBorders>
            <w:noWrap/>
            <w:vAlign w:val="bottom"/>
          </w:tcPr>
          <w:p w14:paraId="19C94898" w14:textId="77777777" w:rsidR="00657ACA" w:rsidRPr="00AF441E" w:rsidRDefault="00657ACA" w:rsidP="00657ACA">
            <w:pPr>
              <w:jc w:val="both"/>
              <w:rPr>
                <w:rFonts w:ascii="Arial" w:hAnsi="Arial" w:cs="Arial"/>
                <w:b/>
                <w:sz w:val="20"/>
                <w:szCs w:val="20"/>
              </w:rPr>
            </w:pPr>
            <w:r w:rsidRPr="00AF441E">
              <w:rPr>
                <w:rFonts w:ascii="Arial" w:hAnsi="Arial" w:cs="Arial"/>
                <w:b/>
                <w:sz w:val="20"/>
                <w:szCs w:val="20"/>
              </w:rPr>
              <w:t>J01FA09</w:t>
            </w:r>
          </w:p>
        </w:tc>
        <w:tc>
          <w:tcPr>
            <w:tcW w:w="9452" w:type="dxa"/>
            <w:tcBorders>
              <w:bottom w:val="single" w:sz="4" w:space="0" w:color="auto"/>
            </w:tcBorders>
          </w:tcPr>
          <w:p w14:paraId="4DCB27A7" w14:textId="77777777" w:rsidR="00657ACA" w:rsidRPr="003E2738" w:rsidRDefault="00657ACA" w:rsidP="00657ACA">
            <w:pPr>
              <w:jc w:val="both"/>
              <w:rPr>
                <w:rFonts w:ascii="Arial" w:hAnsi="Arial"/>
                <w:color w:val="000000"/>
                <w:sz w:val="20"/>
                <w:u w:color="000000"/>
              </w:rPr>
            </w:pPr>
            <w:r w:rsidRPr="00A62EB8">
              <w:rPr>
                <w:rFonts w:ascii="Arial" w:hAnsi="Arial"/>
                <w:b/>
                <w:color w:val="000000"/>
                <w:sz w:val="20"/>
                <w:u w:color="000000"/>
              </w:rPr>
              <w:t>Klaritromycín p.o.</w:t>
            </w:r>
            <w:r>
              <w:rPr>
                <w:rFonts w:ascii="Arial" w:hAnsi="Arial"/>
                <w:b/>
                <w:color w:val="000000"/>
                <w:sz w:val="20"/>
                <w:u w:color="000000"/>
              </w:rPr>
              <w:t xml:space="preserve"> 50</w:t>
            </w:r>
            <w:r w:rsidRPr="00A62EB8">
              <w:rPr>
                <w:rFonts w:ascii="Arial" w:hAnsi="Arial"/>
                <w:b/>
                <w:color w:val="000000"/>
                <w:sz w:val="20"/>
                <w:u w:color="000000"/>
              </w:rPr>
              <w:t xml:space="preserve"> mg/ml</w:t>
            </w:r>
          </w:p>
        </w:tc>
      </w:tr>
      <w:tr w:rsidR="00657ACA" w:rsidRPr="0000591E" w14:paraId="7CA45F8D" w14:textId="77777777" w:rsidTr="003F7925">
        <w:trPr>
          <w:gridAfter w:val="2"/>
          <w:wAfter w:w="154" w:type="dxa"/>
          <w:trHeight w:val="20"/>
        </w:trPr>
        <w:tc>
          <w:tcPr>
            <w:tcW w:w="1256" w:type="dxa"/>
            <w:tcBorders>
              <w:top w:val="single" w:sz="4" w:space="0" w:color="auto"/>
            </w:tcBorders>
            <w:noWrap/>
            <w:vAlign w:val="bottom"/>
          </w:tcPr>
          <w:p w14:paraId="412FE33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03C82B2" w14:textId="62FA2895" w:rsidR="00657ACA" w:rsidRDefault="00657ACA" w:rsidP="00657ACA">
            <w:pPr>
              <w:jc w:val="both"/>
              <w:rPr>
                <w:rFonts w:ascii="Arial" w:hAnsi="Arial"/>
                <w:color w:val="000000"/>
                <w:sz w:val="20"/>
                <w:u w:color="000000"/>
              </w:rPr>
            </w:pPr>
            <w:r w:rsidRPr="00FD5BF1">
              <w:rPr>
                <w:rFonts w:ascii="Arial" w:hAnsi="Arial"/>
                <w:color w:val="000000"/>
                <w:sz w:val="20"/>
                <w:u w:color="000000"/>
              </w:rPr>
              <w:t>Liečba pacientov s cystickou fibrózou (diagnóza E84 podľa Medzinárodnej klasifikácie chorôb 10) je hradená plne.</w:t>
            </w:r>
          </w:p>
          <w:p w14:paraId="652D469E" w14:textId="591AB271"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4FB02BA" w14:textId="77777777" w:rsidR="00657ACA" w:rsidRPr="003E2738" w:rsidRDefault="00657ACA" w:rsidP="00657ACA">
            <w:pPr>
              <w:jc w:val="both"/>
              <w:rPr>
                <w:rFonts w:ascii="Arial" w:hAnsi="Arial"/>
                <w:color w:val="000000"/>
                <w:sz w:val="20"/>
                <w:u w:color="000000"/>
              </w:rPr>
            </w:pPr>
          </w:p>
        </w:tc>
      </w:tr>
      <w:tr w:rsidR="00657ACA" w:rsidRPr="0000591E" w14:paraId="322AF735" w14:textId="77777777" w:rsidTr="003F7925">
        <w:trPr>
          <w:gridAfter w:val="2"/>
          <w:wAfter w:w="154" w:type="dxa"/>
          <w:trHeight w:val="20"/>
        </w:trPr>
        <w:tc>
          <w:tcPr>
            <w:tcW w:w="1256" w:type="dxa"/>
            <w:tcBorders>
              <w:bottom w:val="single" w:sz="4" w:space="0" w:color="auto"/>
            </w:tcBorders>
            <w:noWrap/>
            <w:vAlign w:val="bottom"/>
          </w:tcPr>
          <w:p w14:paraId="48F29716" w14:textId="77777777" w:rsidR="00657ACA" w:rsidRPr="00117A10" w:rsidRDefault="00657ACA" w:rsidP="00657ACA">
            <w:pPr>
              <w:jc w:val="both"/>
              <w:rPr>
                <w:rFonts w:ascii="Arial" w:hAnsi="Arial" w:cs="Arial"/>
                <w:b/>
                <w:sz w:val="20"/>
                <w:szCs w:val="20"/>
              </w:rPr>
            </w:pPr>
            <w:r w:rsidRPr="00117A10">
              <w:rPr>
                <w:rFonts w:ascii="Arial" w:hAnsi="Arial" w:cs="Arial"/>
                <w:b/>
                <w:sz w:val="20"/>
                <w:szCs w:val="20"/>
              </w:rPr>
              <w:lastRenderedPageBreak/>
              <w:t>J01FA10</w:t>
            </w:r>
          </w:p>
        </w:tc>
        <w:tc>
          <w:tcPr>
            <w:tcW w:w="9452" w:type="dxa"/>
            <w:tcBorders>
              <w:bottom w:val="single" w:sz="4" w:space="0" w:color="auto"/>
            </w:tcBorders>
          </w:tcPr>
          <w:p w14:paraId="1D9B125E" w14:textId="77777777" w:rsidR="00657ACA" w:rsidRDefault="00657ACA" w:rsidP="00657ACA">
            <w:pPr>
              <w:jc w:val="both"/>
              <w:rPr>
                <w:rFonts w:ascii="Arial" w:hAnsi="Arial" w:cs="Arial"/>
                <w:b/>
                <w:bCs/>
                <w:sz w:val="20"/>
                <w:szCs w:val="20"/>
              </w:rPr>
            </w:pPr>
            <w:r w:rsidRPr="008329CD">
              <w:rPr>
                <w:rFonts w:ascii="Arial" w:hAnsi="Arial" w:cs="Arial"/>
                <w:b/>
                <w:bCs/>
                <w:sz w:val="20"/>
                <w:szCs w:val="20"/>
              </w:rPr>
              <w:t>Azitromycín</w:t>
            </w:r>
            <w:r>
              <w:rPr>
                <w:rFonts w:ascii="Arial" w:hAnsi="Arial" w:cs="Arial"/>
                <w:b/>
                <w:bCs/>
                <w:sz w:val="20"/>
                <w:szCs w:val="20"/>
              </w:rPr>
              <w:t xml:space="preserve"> </w:t>
            </w:r>
            <w:r w:rsidRPr="008329CD">
              <w:rPr>
                <w:rFonts w:ascii="Arial" w:hAnsi="Arial" w:cs="Arial"/>
                <w:b/>
                <w:bCs/>
                <w:sz w:val="20"/>
                <w:szCs w:val="20"/>
              </w:rPr>
              <w:t>p.o. 125 mg</w:t>
            </w:r>
            <w:r>
              <w:rPr>
                <w:rFonts w:ascii="Arial" w:hAnsi="Arial" w:cs="Arial"/>
                <w:b/>
                <w:bCs/>
                <w:sz w:val="20"/>
                <w:szCs w:val="20"/>
              </w:rPr>
              <w:t xml:space="preserve"> </w:t>
            </w:r>
          </w:p>
          <w:p w14:paraId="611C5EC9" w14:textId="77777777" w:rsidR="00657ACA" w:rsidRDefault="00657ACA" w:rsidP="00657ACA">
            <w:pPr>
              <w:jc w:val="both"/>
              <w:rPr>
                <w:rFonts w:ascii="Arial" w:hAnsi="Arial" w:cs="Arial"/>
                <w:b/>
                <w:bCs/>
                <w:sz w:val="20"/>
                <w:szCs w:val="20"/>
              </w:rPr>
            </w:pPr>
            <w:r w:rsidRPr="008329CD">
              <w:rPr>
                <w:rFonts w:ascii="Arial" w:hAnsi="Arial" w:cs="Arial"/>
                <w:b/>
                <w:bCs/>
                <w:sz w:val="20"/>
                <w:szCs w:val="20"/>
              </w:rPr>
              <w:t>Azitromycín</w:t>
            </w:r>
            <w:r>
              <w:rPr>
                <w:rFonts w:ascii="Arial" w:hAnsi="Arial" w:cs="Arial"/>
                <w:b/>
                <w:bCs/>
                <w:sz w:val="20"/>
                <w:szCs w:val="20"/>
              </w:rPr>
              <w:t xml:space="preserve"> p.o. 250</w:t>
            </w:r>
            <w:r w:rsidRPr="008329CD">
              <w:rPr>
                <w:rFonts w:ascii="Arial" w:hAnsi="Arial" w:cs="Arial"/>
                <w:b/>
                <w:bCs/>
                <w:sz w:val="20"/>
                <w:szCs w:val="20"/>
              </w:rPr>
              <w:t xml:space="preserve"> mg</w:t>
            </w:r>
            <w:r>
              <w:rPr>
                <w:rFonts w:ascii="Arial" w:hAnsi="Arial" w:cs="Arial"/>
                <w:b/>
                <w:bCs/>
                <w:sz w:val="20"/>
                <w:szCs w:val="20"/>
              </w:rPr>
              <w:t xml:space="preserve"> </w:t>
            </w:r>
          </w:p>
          <w:p w14:paraId="186D3F88" w14:textId="77777777" w:rsidR="00657ACA" w:rsidRPr="003E2738" w:rsidRDefault="00657ACA" w:rsidP="00657ACA">
            <w:pPr>
              <w:jc w:val="both"/>
              <w:rPr>
                <w:rFonts w:ascii="Arial" w:hAnsi="Arial"/>
                <w:color w:val="000000"/>
                <w:sz w:val="20"/>
                <w:u w:color="000000"/>
              </w:rPr>
            </w:pPr>
            <w:r w:rsidRPr="008329CD">
              <w:rPr>
                <w:rFonts w:ascii="Arial" w:hAnsi="Arial" w:cs="Arial"/>
                <w:b/>
                <w:bCs/>
                <w:sz w:val="20"/>
                <w:szCs w:val="20"/>
              </w:rPr>
              <w:t>Azitromycín</w:t>
            </w:r>
            <w:r>
              <w:rPr>
                <w:rFonts w:ascii="Arial" w:hAnsi="Arial" w:cs="Arial"/>
                <w:b/>
                <w:bCs/>
                <w:sz w:val="20"/>
                <w:szCs w:val="20"/>
              </w:rPr>
              <w:t xml:space="preserve"> p.o. 500</w:t>
            </w:r>
            <w:r w:rsidRPr="008329CD">
              <w:rPr>
                <w:rFonts w:ascii="Arial" w:hAnsi="Arial" w:cs="Arial"/>
                <w:b/>
                <w:bCs/>
                <w:sz w:val="20"/>
                <w:szCs w:val="20"/>
              </w:rPr>
              <w:t xml:space="preserve"> mg</w:t>
            </w:r>
          </w:p>
        </w:tc>
      </w:tr>
      <w:tr w:rsidR="00657ACA" w:rsidRPr="0000591E" w14:paraId="40BD09F6" w14:textId="77777777" w:rsidTr="003F7925">
        <w:trPr>
          <w:gridAfter w:val="2"/>
          <w:wAfter w:w="154" w:type="dxa"/>
          <w:trHeight w:val="20"/>
        </w:trPr>
        <w:tc>
          <w:tcPr>
            <w:tcW w:w="1256" w:type="dxa"/>
            <w:tcBorders>
              <w:top w:val="single" w:sz="4" w:space="0" w:color="auto"/>
            </w:tcBorders>
            <w:noWrap/>
            <w:vAlign w:val="bottom"/>
          </w:tcPr>
          <w:p w14:paraId="355A8BF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5150A88" w14:textId="24E3076E" w:rsidR="00657ACA" w:rsidRDefault="00657ACA" w:rsidP="00657ACA">
            <w:pPr>
              <w:jc w:val="both"/>
              <w:rPr>
                <w:rFonts w:ascii="Arial" w:hAnsi="Arial"/>
                <w:color w:val="000000"/>
                <w:sz w:val="20"/>
                <w:u w:color="000000"/>
              </w:rPr>
            </w:pPr>
            <w:r w:rsidRPr="00B95B3A">
              <w:rPr>
                <w:rFonts w:ascii="Arial" w:hAnsi="Arial"/>
                <w:color w:val="000000"/>
                <w:sz w:val="20"/>
                <w:u w:color="000000"/>
              </w:rPr>
              <w:t>Liečba pacientov s cystickou fibrózou (diagnóza E84 podľa Medzinárodnej klasifikácie chorôb 10) je hradená plne.</w:t>
            </w:r>
          </w:p>
          <w:p w14:paraId="6DB74E4D" w14:textId="4E0E490B"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2C43D131" w14:textId="77777777" w:rsidR="00657ACA" w:rsidRPr="003E2738" w:rsidRDefault="00657ACA" w:rsidP="00657ACA">
            <w:pPr>
              <w:jc w:val="both"/>
              <w:rPr>
                <w:rFonts w:ascii="Arial" w:hAnsi="Arial"/>
                <w:color w:val="000000"/>
                <w:sz w:val="20"/>
                <w:u w:color="000000"/>
              </w:rPr>
            </w:pPr>
          </w:p>
        </w:tc>
      </w:tr>
      <w:tr w:rsidR="00657ACA" w:rsidRPr="0000591E" w14:paraId="73261CBE" w14:textId="77777777" w:rsidTr="003F7925">
        <w:trPr>
          <w:gridAfter w:val="2"/>
          <w:wAfter w:w="154" w:type="dxa"/>
          <w:trHeight w:val="20"/>
        </w:trPr>
        <w:tc>
          <w:tcPr>
            <w:tcW w:w="1256" w:type="dxa"/>
            <w:tcBorders>
              <w:bottom w:val="single" w:sz="4" w:space="0" w:color="auto"/>
            </w:tcBorders>
            <w:noWrap/>
            <w:vAlign w:val="bottom"/>
          </w:tcPr>
          <w:p w14:paraId="2F33EEF2" w14:textId="77777777" w:rsidR="00657ACA" w:rsidRPr="00117A10" w:rsidRDefault="00657ACA" w:rsidP="00657ACA">
            <w:pPr>
              <w:jc w:val="both"/>
              <w:rPr>
                <w:rFonts w:ascii="Arial" w:hAnsi="Arial" w:cs="Arial"/>
                <w:b/>
                <w:sz w:val="20"/>
                <w:szCs w:val="20"/>
              </w:rPr>
            </w:pPr>
            <w:r w:rsidRPr="00117A10">
              <w:rPr>
                <w:rFonts w:ascii="Arial" w:hAnsi="Arial" w:cs="Arial"/>
                <w:b/>
                <w:sz w:val="20"/>
                <w:szCs w:val="20"/>
              </w:rPr>
              <w:t>J01FA10</w:t>
            </w:r>
          </w:p>
        </w:tc>
        <w:tc>
          <w:tcPr>
            <w:tcW w:w="9452" w:type="dxa"/>
            <w:tcBorders>
              <w:bottom w:val="single" w:sz="4" w:space="0" w:color="auto"/>
            </w:tcBorders>
          </w:tcPr>
          <w:p w14:paraId="766285D0" w14:textId="77777777" w:rsidR="00657ACA" w:rsidRDefault="00657ACA" w:rsidP="00657ACA">
            <w:pPr>
              <w:jc w:val="both"/>
              <w:rPr>
                <w:rFonts w:ascii="Arial" w:hAnsi="Arial"/>
                <w:b/>
                <w:color w:val="000000"/>
                <w:sz w:val="20"/>
                <w:u w:color="000000"/>
              </w:rPr>
            </w:pPr>
            <w:r w:rsidRPr="009D060B">
              <w:rPr>
                <w:rFonts w:ascii="Arial" w:hAnsi="Arial" w:cs="Arial"/>
                <w:b/>
                <w:bCs/>
                <w:sz w:val="20"/>
                <w:szCs w:val="20"/>
              </w:rPr>
              <w:t>Azitromycín</w:t>
            </w:r>
            <w:r w:rsidRPr="009D060B">
              <w:rPr>
                <w:rFonts w:ascii="Arial" w:hAnsi="Arial"/>
                <w:b/>
                <w:color w:val="000000"/>
                <w:sz w:val="20"/>
                <w:u w:color="000000"/>
              </w:rPr>
              <w:t xml:space="preserve"> p.o. 20 mg/ml</w:t>
            </w:r>
          </w:p>
          <w:p w14:paraId="3CB47CD7" w14:textId="77777777" w:rsidR="00657ACA" w:rsidRPr="003E2738" w:rsidRDefault="00657ACA" w:rsidP="00657ACA">
            <w:pPr>
              <w:jc w:val="both"/>
              <w:rPr>
                <w:rFonts w:ascii="Arial" w:hAnsi="Arial"/>
                <w:color w:val="000000"/>
                <w:sz w:val="20"/>
                <w:u w:color="000000"/>
              </w:rPr>
            </w:pPr>
            <w:r w:rsidRPr="009D060B">
              <w:rPr>
                <w:rFonts w:ascii="Arial" w:hAnsi="Arial" w:cs="Arial"/>
                <w:b/>
                <w:bCs/>
                <w:sz w:val="20"/>
                <w:szCs w:val="20"/>
              </w:rPr>
              <w:t>Azitromycín</w:t>
            </w:r>
            <w:r w:rsidRPr="009D060B">
              <w:rPr>
                <w:rFonts w:ascii="Arial" w:hAnsi="Arial"/>
                <w:b/>
                <w:color w:val="000000"/>
                <w:sz w:val="20"/>
                <w:u w:color="000000"/>
              </w:rPr>
              <w:t xml:space="preserve"> </w:t>
            </w:r>
            <w:r>
              <w:rPr>
                <w:rFonts w:ascii="Arial" w:hAnsi="Arial"/>
                <w:b/>
                <w:color w:val="000000"/>
                <w:sz w:val="20"/>
                <w:u w:color="000000"/>
              </w:rPr>
              <w:t>p.o. 4</w:t>
            </w:r>
            <w:r w:rsidRPr="009D060B">
              <w:rPr>
                <w:rFonts w:ascii="Arial" w:hAnsi="Arial"/>
                <w:b/>
                <w:color w:val="000000"/>
                <w:sz w:val="20"/>
                <w:u w:color="000000"/>
              </w:rPr>
              <w:t>0 mg/ml</w:t>
            </w:r>
          </w:p>
        </w:tc>
      </w:tr>
      <w:tr w:rsidR="00657ACA" w:rsidRPr="0000591E" w14:paraId="523E7D25" w14:textId="77777777" w:rsidTr="003F7925">
        <w:trPr>
          <w:gridAfter w:val="2"/>
          <w:wAfter w:w="154" w:type="dxa"/>
          <w:trHeight w:val="20"/>
        </w:trPr>
        <w:tc>
          <w:tcPr>
            <w:tcW w:w="1256" w:type="dxa"/>
            <w:tcBorders>
              <w:top w:val="single" w:sz="4" w:space="0" w:color="auto"/>
            </w:tcBorders>
            <w:noWrap/>
            <w:vAlign w:val="bottom"/>
          </w:tcPr>
          <w:p w14:paraId="1829A0A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6F02716" w14:textId="26F31DEE" w:rsidR="00657ACA" w:rsidRDefault="00657ACA" w:rsidP="00657ACA">
            <w:pPr>
              <w:jc w:val="both"/>
              <w:rPr>
                <w:rFonts w:ascii="Arial" w:hAnsi="Arial"/>
                <w:color w:val="000000"/>
                <w:sz w:val="20"/>
                <w:u w:color="000000"/>
              </w:rPr>
            </w:pPr>
            <w:r w:rsidRPr="00B95B3A">
              <w:rPr>
                <w:rFonts w:ascii="Arial" w:hAnsi="Arial"/>
                <w:color w:val="000000"/>
                <w:sz w:val="20"/>
                <w:u w:color="000000"/>
              </w:rPr>
              <w:t>Liečba pacientov s cystickou fibrózou (diagnóza E84 podľa Medzinárodnej klasifikácie chorôb 10) je hradená plne.</w:t>
            </w:r>
          </w:p>
          <w:p w14:paraId="10051BC9" w14:textId="4B696FBB"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2F079DD3" w14:textId="77777777" w:rsidR="00657ACA" w:rsidRPr="003E2738" w:rsidRDefault="00657ACA" w:rsidP="00657ACA">
            <w:pPr>
              <w:jc w:val="both"/>
              <w:rPr>
                <w:rFonts w:ascii="Arial" w:hAnsi="Arial"/>
                <w:color w:val="000000"/>
                <w:sz w:val="20"/>
                <w:u w:color="000000"/>
              </w:rPr>
            </w:pPr>
          </w:p>
        </w:tc>
      </w:tr>
      <w:tr w:rsidR="00657ACA" w:rsidRPr="0000591E" w14:paraId="29C4ED2A" w14:textId="77777777" w:rsidTr="003F7925">
        <w:trPr>
          <w:gridAfter w:val="2"/>
          <w:wAfter w:w="154" w:type="dxa"/>
          <w:trHeight w:val="20"/>
        </w:trPr>
        <w:tc>
          <w:tcPr>
            <w:tcW w:w="1256" w:type="dxa"/>
            <w:tcBorders>
              <w:bottom w:val="single" w:sz="4" w:space="0" w:color="auto"/>
            </w:tcBorders>
            <w:noWrap/>
            <w:vAlign w:val="bottom"/>
          </w:tcPr>
          <w:p w14:paraId="4253D7F2" w14:textId="77777777" w:rsidR="00657ACA" w:rsidRPr="00C5625E" w:rsidRDefault="00657ACA" w:rsidP="00657ACA">
            <w:pPr>
              <w:jc w:val="both"/>
              <w:rPr>
                <w:rFonts w:ascii="Arial" w:hAnsi="Arial" w:cs="Arial"/>
                <w:b/>
                <w:sz w:val="20"/>
                <w:szCs w:val="20"/>
              </w:rPr>
            </w:pPr>
            <w:r w:rsidRPr="00C5625E">
              <w:rPr>
                <w:rFonts w:ascii="Arial" w:hAnsi="Arial" w:cs="Arial"/>
                <w:b/>
                <w:sz w:val="20"/>
                <w:szCs w:val="20"/>
              </w:rPr>
              <w:t>J01FF01</w:t>
            </w:r>
          </w:p>
        </w:tc>
        <w:tc>
          <w:tcPr>
            <w:tcW w:w="9452" w:type="dxa"/>
            <w:tcBorders>
              <w:bottom w:val="single" w:sz="4" w:space="0" w:color="auto"/>
            </w:tcBorders>
          </w:tcPr>
          <w:p w14:paraId="25904126" w14:textId="77777777" w:rsidR="00657ACA" w:rsidRDefault="00657ACA" w:rsidP="00657ACA">
            <w:pPr>
              <w:jc w:val="both"/>
              <w:rPr>
                <w:rFonts w:ascii="Arial" w:hAnsi="Arial" w:cs="Arial"/>
                <w:b/>
                <w:bCs/>
                <w:sz w:val="20"/>
                <w:szCs w:val="20"/>
              </w:rPr>
            </w:pPr>
            <w:r>
              <w:rPr>
                <w:rFonts w:ascii="Arial" w:hAnsi="Arial" w:cs="Arial"/>
                <w:b/>
                <w:bCs/>
                <w:sz w:val="20"/>
                <w:szCs w:val="20"/>
              </w:rPr>
              <w:t>Klindamycín p.o</w:t>
            </w:r>
            <w:r w:rsidRPr="0000591E">
              <w:rPr>
                <w:rFonts w:ascii="Arial" w:hAnsi="Arial" w:cs="Arial"/>
                <w:b/>
                <w:bCs/>
                <w:sz w:val="20"/>
                <w:szCs w:val="20"/>
              </w:rPr>
              <w:t>.</w:t>
            </w:r>
            <w:r>
              <w:rPr>
                <w:rFonts w:ascii="Arial" w:hAnsi="Arial" w:cs="Arial"/>
                <w:b/>
                <w:bCs/>
                <w:sz w:val="20"/>
                <w:szCs w:val="20"/>
              </w:rPr>
              <w:t xml:space="preserve"> 150 mg</w:t>
            </w:r>
          </w:p>
          <w:p w14:paraId="2A20074D" w14:textId="77777777" w:rsidR="00657ACA" w:rsidRPr="003E2738" w:rsidRDefault="00657ACA" w:rsidP="00657ACA">
            <w:pPr>
              <w:jc w:val="both"/>
              <w:rPr>
                <w:rFonts w:ascii="Arial" w:hAnsi="Arial"/>
                <w:color w:val="000000"/>
                <w:sz w:val="20"/>
                <w:u w:color="000000"/>
              </w:rPr>
            </w:pPr>
            <w:r>
              <w:rPr>
                <w:rFonts w:ascii="Arial" w:hAnsi="Arial" w:cs="Arial"/>
                <w:b/>
                <w:bCs/>
                <w:sz w:val="20"/>
                <w:szCs w:val="20"/>
              </w:rPr>
              <w:t>Klindamycín p.o</w:t>
            </w:r>
            <w:r w:rsidRPr="0000591E">
              <w:rPr>
                <w:rFonts w:ascii="Arial" w:hAnsi="Arial" w:cs="Arial"/>
                <w:b/>
                <w:bCs/>
                <w:sz w:val="20"/>
                <w:szCs w:val="20"/>
              </w:rPr>
              <w:t>.</w:t>
            </w:r>
            <w:r>
              <w:rPr>
                <w:rFonts w:ascii="Arial" w:hAnsi="Arial" w:cs="Arial"/>
                <w:b/>
                <w:bCs/>
                <w:sz w:val="20"/>
                <w:szCs w:val="20"/>
              </w:rPr>
              <w:t xml:space="preserve"> 300 mg</w:t>
            </w:r>
          </w:p>
        </w:tc>
      </w:tr>
      <w:tr w:rsidR="00657ACA" w:rsidRPr="0000591E" w14:paraId="265E8B66" w14:textId="77777777" w:rsidTr="003F7925">
        <w:trPr>
          <w:gridAfter w:val="2"/>
          <w:wAfter w:w="154" w:type="dxa"/>
          <w:trHeight w:val="20"/>
        </w:trPr>
        <w:tc>
          <w:tcPr>
            <w:tcW w:w="1256" w:type="dxa"/>
            <w:tcBorders>
              <w:top w:val="single" w:sz="4" w:space="0" w:color="auto"/>
            </w:tcBorders>
            <w:noWrap/>
            <w:vAlign w:val="bottom"/>
          </w:tcPr>
          <w:p w14:paraId="02CB361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5A6E9A9" w14:textId="31EA4CB3" w:rsidR="00657ACA" w:rsidRDefault="00657ACA" w:rsidP="00657ACA">
            <w:pPr>
              <w:jc w:val="both"/>
              <w:rPr>
                <w:rFonts w:ascii="Arial" w:hAnsi="Arial"/>
                <w:color w:val="000000"/>
                <w:sz w:val="20"/>
                <w:u w:color="000000"/>
              </w:rPr>
            </w:pPr>
            <w:r w:rsidRPr="00D14E43">
              <w:rPr>
                <w:rFonts w:ascii="Arial" w:hAnsi="Arial"/>
                <w:color w:val="000000"/>
                <w:sz w:val="20"/>
                <w:u w:color="000000"/>
              </w:rPr>
              <w:t>Liečba pacientov s cystickou fibrózou (diagnóza E84 podľa Medzinárodnej klasifikácie chorôb 10) je hradená plne.</w:t>
            </w:r>
          </w:p>
          <w:p w14:paraId="48E68497" w14:textId="298886C5"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4E798134" w14:textId="77777777" w:rsidR="00657ACA" w:rsidRPr="003E2738" w:rsidRDefault="00657ACA" w:rsidP="00657ACA">
            <w:pPr>
              <w:jc w:val="both"/>
              <w:rPr>
                <w:rFonts w:ascii="Arial" w:hAnsi="Arial"/>
                <w:color w:val="000000"/>
                <w:sz w:val="20"/>
                <w:u w:color="000000"/>
              </w:rPr>
            </w:pPr>
          </w:p>
        </w:tc>
      </w:tr>
      <w:tr w:rsidR="00657ACA" w:rsidRPr="0000591E" w14:paraId="45F54669" w14:textId="77777777" w:rsidTr="003F7925">
        <w:trPr>
          <w:gridAfter w:val="2"/>
          <w:wAfter w:w="154" w:type="dxa"/>
          <w:trHeight w:val="20"/>
        </w:trPr>
        <w:tc>
          <w:tcPr>
            <w:tcW w:w="1256" w:type="dxa"/>
            <w:tcBorders>
              <w:bottom w:val="single" w:sz="4" w:space="0" w:color="auto"/>
            </w:tcBorders>
            <w:noWrap/>
            <w:vAlign w:val="bottom"/>
          </w:tcPr>
          <w:p w14:paraId="141683ED"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J01FF01</w:t>
            </w:r>
          </w:p>
        </w:tc>
        <w:tc>
          <w:tcPr>
            <w:tcW w:w="9452" w:type="dxa"/>
            <w:tcBorders>
              <w:bottom w:val="single" w:sz="4" w:space="0" w:color="auto"/>
            </w:tcBorders>
            <w:noWrap/>
            <w:vAlign w:val="bottom"/>
          </w:tcPr>
          <w:p w14:paraId="3ECFD39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Klindamycín parent.</w:t>
            </w:r>
            <w:r>
              <w:rPr>
                <w:rFonts w:ascii="Arial" w:hAnsi="Arial" w:cs="Arial"/>
                <w:b/>
                <w:bCs/>
                <w:sz w:val="20"/>
                <w:szCs w:val="20"/>
              </w:rPr>
              <w:t xml:space="preserve"> 300 mg</w:t>
            </w:r>
          </w:p>
        </w:tc>
      </w:tr>
      <w:tr w:rsidR="00657ACA" w:rsidRPr="0000591E" w14:paraId="4D2289C5" w14:textId="77777777" w:rsidTr="003F7925">
        <w:trPr>
          <w:gridAfter w:val="2"/>
          <w:wAfter w:w="154" w:type="dxa"/>
          <w:trHeight w:val="20"/>
        </w:trPr>
        <w:tc>
          <w:tcPr>
            <w:tcW w:w="1256" w:type="dxa"/>
            <w:tcBorders>
              <w:top w:val="single" w:sz="4" w:space="0" w:color="auto"/>
            </w:tcBorders>
            <w:noWrap/>
            <w:vAlign w:val="bottom"/>
          </w:tcPr>
          <w:p w14:paraId="6D9AFBF7"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DC11A0E"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kultivačným záchytom citlivých kmeňov.</w:t>
            </w:r>
          </w:p>
          <w:p w14:paraId="24117782" w14:textId="2756535E" w:rsidR="00657ACA" w:rsidRPr="0000591E" w:rsidRDefault="00657ACA" w:rsidP="00ED27F2">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sidRPr="0000591E">
              <w:rPr>
                <w:rFonts w:ascii="Arial" w:hAnsi="Arial" w:cs="Arial"/>
                <w:sz w:val="20"/>
                <w:szCs w:val="20"/>
              </w:rPr>
              <w:t xml:space="preserve"> </w:t>
            </w:r>
          </w:p>
        </w:tc>
      </w:tr>
      <w:tr w:rsidR="00657ACA" w:rsidRPr="0000591E" w14:paraId="4B46DD15" w14:textId="77777777" w:rsidTr="003F7925">
        <w:trPr>
          <w:gridAfter w:val="2"/>
          <w:wAfter w:w="154" w:type="dxa"/>
          <w:trHeight w:val="20"/>
        </w:trPr>
        <w:tc>
          <w:tcPr>
            <w:tcW w:w="1256" w:type="dxa"/>
            <w:tcBorders>
              <w:bottom w:val="single" w:sz="4" w:space="0" w:color="auto"/>
            </w:tcBorders>
            <w:noWrap/>
            <w:vAlign w:val="bottom"/>
          </w:tcPr>
          <w:p w14:paraId="775C189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J01GB01</w:t>
            </w:r>
          </w:p>
        </w:tc>
        <w:tc>
          <w:tcPr>
            <w:tcW w:w="9452" w:type="dxa"/>
            <w:tcBorders>
              <w:bottom w:val="single" w:sz="4" w:space="0" w:color="auto"/>
            </w:tcBorders>
            <w:noWrap/>
            <w:vAlign w:val="bottom"/>
          </w:tcPr>
          <w:p w14:paraId="2327DC9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Tobramycín inhal.</w:t>
            </w:r>
          </w:p>
        </w:tc>
      </w:tr>
      <w:tr w:rsidR="00657ACA" w:rsidRPr="0000591E" w14:paraId="6F039116" w14:textId="77777777" w:rsidTr="003F7925">
        <w:trPr>
          <w:gridAfter w:val="2"/>
          <w:wAfter w:w="154" w:type="dxa"/>
          <w:trHeight w:val="20"/>
        </w:trPr>
        <w:tc>
          <w:tcPr>
            <w:tcW w:w="1256" w:type="dxa"/>
            <w:tcBorders>
              <w:top w:val="single" w:sz="4" w:space="0" w:color="auto"/>
            </w:tcBorders>
            <w:noWrap/>
            <w:vAlign w:val="bottom"/>
          </w:tcPr>
          <w:p w14:paraId="789C3FFF" w14:textId="77777777" w:rsidR="00657ACA" w:rsidRDefault="00657ACA" w:rsidP="00657ACA">
            <w:pPr>
              <w:jc w:val="both"/>
              <w:rPr>
                <w:rFonts w:ascii="Arial" w:hAnsi="Arial" w:cs="Arial"/>
                <w:sz w:val="20"/>
                <w:szCs w:val="20"/>
              </w:rPr>
            </w:pPr>
          </w:p>
          <w:p w14:paraId="1D5023E2" w14:textId="77777777" w:rsidR="00657ACA" w:rsidRDefault="00657ACA" w:rsidP="00657ACA">
            <w:pPr>
              <w:jc w:val="both"/>
              <w:rPr>
                <w:rFonts w:ascii="Arial" w:hAnsi="Arial" w:cs="Arial"/>
                <w:sz w:val="20"/>
                <w:szCs w:val="20"/>
              </w:rPr>
            </w:pPr>
          </w:p>
          <w:p w14:paraId="267D4D86" w14:textId="77777777" w:rsidR="00657ACA" w:rsidRDefault="00657ACA" w:rsidP="00657ACA">
            <w:pPr>
              <w:jc w:val="both"/>
              <w:rPr>
                <w:rFonts w:ascii="Arial" w:hAnsi="Arial" w:cs="Arial"/>
                <w:sz w:val="20"/>
                <w:szCs w:val="20"/>
              </w:rPr>
            </w:pPr>
          </w:p>
          <w:p w14:paraId="3013DEE7" w14:textId="77777777" w:rsidR="00657ACA" w:rsidRDefault="00657ACA" w:rsidP="00657ACA">
            <w:pPr>
              <w:jc w:val="both"/>
              <w:rPr>
                <w:rFonts w:ascii="Arial" w:hAnsi="Arial" w:cs="Arial"/>
                <w:sz w:val="20"/>
                <w:szCs w:val="20"/>
              </w:rPr>
            </w:pPr>
          </w:p>
          <w:p w14:paraId="055B19DD" w14:textId="77777777" w:rsidR="00657ACA" w:rsidRDefault="00657ACA" w:rsidP="00657ACA">
            <w:pPr>
              <w:jc w:val="both"/>
              <w:rPr>
                <w:rFonts w:ascii="Arial" w:hAnsi="Arial" w:cs="Arial"/>
                <w:sz w:val="20"/>
                <w:szCs w:val="20"/>
              </w:rPr>
            </w:pPr>
          </w:p>
          <w:p w14:paraId="12FBF3E0" w14:textId="77777777" w:rsidR="00657ACA" w:rsidRDefault="00657ACA" w:rsidP="00657ACA">
            <w:pPr>
              <w:jc w:val="both"/>
              <w:rPr>
                <w:rFonts w:ascii="Arial" w:hAnsi="Arial" w:cs="Arial"/>
                <w:sz w:val="20"/>
                <w:szCs w:val="20"/>
              </w:rPr>
            </w:pPr>
          </w:p>
          <w:p w14:paraId="66C7A1E1" w14:textId="77777777" w:rsidR="00657ACA" w:rsidRDefault="00657ACA" w:rsidP="00657ACA">
            <w:pPr>
              <w:jc w:val="both"/>
              <w:rPr>
                <w:rFonts w:ascii="Arial" w:hAnsi="Arial" w:cs="Arial"/>
                <w:sz w:val="20"/>
                <w:szCs w:val="20"/>
              </w:rPr>
            </w:pPr>
          </w:p>
          <w:p w14:paraId="139A15D9" w14:textId="77777777" w:rsidR="00657ACA" w:rsidRPr="003F021D" w:rsidRDefault="00657ACA" w:rsidP="00657ACA">
            <w:pPr>
              <w:jc w:val="both"/>
              <w:rPr>
                <w:rFonts w:ascii="Arial" w:hAnsi="Arial" w:cs="Arial"/>
                <w:b/>
                <w:sz w:val="20"/>
                <w:szCs w:val="20"/>
              </w:rPr>
            </w:pPr>
          </w:p>
        </w:tc>
        <w:tc>
          <w:tcPr>
            <w:tcW w:w="9452" w:type="dxa"/>
            <w:tcBorders>
              <w:top w:val="single" w:sz="4" w:space="0" w:color="auto"/>
            </w:tcBorders>
          </w:tcPr>
          <w:p w14:paraId="1944E8E5"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Hradenú liečbu môže indikovať a liek predpisovať pneumológ alebo alergológ z Centra pre liečbu cystickej fibrózy u pacientov s cystickou fibrózou (diagnóza E84 podľa Medzinárodnej klasifikácie chorôb 10) s chronickou kolonizáciou kmeňmi P. aeruginosa, u ktorých zlyhala štandardná liečba s inhalačným kolistínom (pokles parametrov FEV1 alebo FVC o 5 % a viac v priebehu posledných šesť mesiacov a výskyt závažných exacerbácií vyžadujúcich hospitalizáciu v priebehu posledných šesť mesiacov).</w:t>
            </w:r>
          </w:p>
          <w:p w14:paraId="03A7627A" w14:textId="77777777" w:rsidR="00657ACA"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 xml:space="preserve">Ak počas štyroch mesiacov liečby dôjde k zhoršeniu zápalových parametrov alebo rtg nálezu, úbytku telesnej hmotnosti, zhoršeniu funkčných parametrov alebo nástupu rezistencie na tobramycín, ďalšia </w:t>
            </w:r>
            <w:r>
              <w:rPr>
                <w:rFonts w:ascii="Arial" w:hAnsi="Arial" w:cs="Arial"/>
                <w:sz w:val="20"/>
                <w:szCs w:val="20"/>
              </w:rPr>
              <w:t>liečba nie je hradenou liečbou.</w:t>
            </w:r>
          </w:p>
          <w:p w14:paraId="47798829" w14:textId="77777777" w:rsidR="00657ACA" w:rsidRPr="0000591E" w:rsidRDefault="00657ACA" w:rsidP="00657ACA">
            <w:pPr>
              <w:autoSpaceDE w:val="0"/>
              <w:autoSpaceDN w:val="0"/>
              <w:adjustRightInd w:val="0"/>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11077DF3" w14:textId="77777777" w:rsidR="00657ACA" w:rsidRDefault="00657ACA" w:rsidP="00657ACA">
            <w:pPr>
              <w:jc w:val="both"/>
              <w:rPr>
                <w:rFonts w:ascii="Arial" w:hAnsi="Arial" w:cs="Arial"/>
                <w:color w:val="000000"/>
                <w:sz w:val="20"/>
                <w:szCs w:val="18"/>
              </w:rPr>
            </w:pPr>
            <w:r w:rsidRPr="0000591E">
              <w:rPr>
                <w:rFonts w:ascii="Arial" w:hAnsi="Arial" w:cs="Arial"/>
                <w:sz w:val="20"/>
                <w:szCs w:val="20"/>
              </w:rPr>
              <w:t>Hradená liečba podlieha predchádzajúcemu súhlasu zdravotnej poisťovne.</w:t>
            </w:r>
            <w:r w:rsidRPr="003F021D">
              <w:rPr>
                <w:rFonts w:ascii="Arial" w:hAnsi="Arial" w:cs="Arial"/>
                <w:color w:val="000000"/>
                <w:sz w:val="20"/>
                <w:szCs w:val="18"/>
              </w:rPr>
              <w:t xml:space="preserve"> </w:t>
            </w:r>
          </w:p>
          <w:p w14:paraId="677783AE" w14:textId="77777777" w:rsidR="00657ACA" w:rsidRPr="003F021D" w:rsidRDefault="00657ACA" w:rsidP="00657ACA">
            <w:pPr>
              <w:jc w:val="both"/>
              <w:rPr>
                <w:rFonts w:ascii="Arial" w:hAnsi="Arial" w:cs="Arial"/>
                <w:b/>
                <w:sz w:val="20"/>
                <w:szCs w:val="20"/>
              </w:rPr>
            </w:pPr>
          </w:p>
        </w:tc>
      </w:tr>
      <w:tr w:rsidR="00657ACA" w:rsidRPr="0000591E" w14:paraId="0E52191E" w14:textId="77777777" w:rsidTr="003F7925">
        <w:trPr>
          <w:gridAfter w:val="2"/>
          <w:wAfter w:w="154" w:type="dxa"/>
          <w:trHeight w:val="20"/>
        </w:trPr>
        <w:tc>
          <w:tcPr>
            <w:tcW w:w="1256" w:type="dxa"/>
            <w:tcBorders>
              <w:bottom w:val="single" w:sz="4" w:space="0" w:color="auto"/>
            </w:tcBorders>
            <w:noWrap/>
            <w:vAlign w:val="bottom"/>
          </w:tcPr>
          <w:p w14:paraId="6A34A4C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J01GB03</w:t>
            </w:r>
          </w:p>
        </w:tc>
        <w:tc>
          <w:tcPr>
            <w:tcW w:w="9452" w:type="dxa"/>
            <w:tcBorders>
              <w:bottom w:val="single" w:sz="4" w:space="0" w:color="auto"/>
            </w:tcBorders>
            <w:noWrap/>
            <w:vAlign w:val="bottom"/>
          </w:tcPr>
          <w:p w14:paraId="00A3286A"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Gentamicín parent.</w:t>
            </w:r>
            <w:r>
              <w:rPr>
                <w:rFonts w:ascii="Arial" w:hAnsi="Arial" w:cs="Arial"/>
                <w:b/>
                <w:bCs/>
                <w:sz w:val="20"/>
                <w:szCs w:val="20"/>
              </w:rPr>
              <w:t xml:space="preserve"> 80 mg</w:t>
            </w:r>
          </w:p>
        </w:tc>
      </w:tr>
      <w:tr w:rsidR="00657ACA" w:rsidRPr="0000591E" w14:paraId="5A1FF666" w14:textId="77777777" w:rsidTr="003F7925">
        <w:trPr>
          <w:gridAfter w:val="2"/>
          <w:wAfter w:w="154" w:type="dxa"/>
          <w:trHeight w:val="20"/>
        </w:trPr>
        <w:tc>
          <w:tcPr>
            <w:tcW w:w="1256" w:type="dxa"/>
            <w:tcBorders>
              <w:top w:val="single" w:sz="4" w:space="0" w:color="auto"/>
            </w:tcBorders>
            <w:noWrap/>
            <w:vAlign w:val="bottom"/>
          </w:tcPr>
          <w:p w14:paraId="7E9A469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F944C57"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w:t>
            </w:r>
            <w:r>
              <w:rPr>
                <w:rFonts w:ascii="Arial" w:hAnsi="Arial" w:cs="Arial"/>
                <w:sz w:val="20"/>
                <w:szCs w:val="20"/>
              </w:rPr>
              <w:t>čným záchytom citlivých kmeňov.</w:t>
            </w:r>
          </w:p>
          <w:p w14:paraId="77419086"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29526CAD" w14:textId="77777777" w:rsidR="00657ACA" w:rsidRPr="0000591E" w:rsidRDefault="00657ACA" w:rsidP="00657ACA">
            <w:pPr>
              <w:jc w:val="both"/>
              <w:rPr>
                <w:rFonts w:ascii="Arial" w:hAnsi="Arial" w:cs="Arial"/>
                <w:sz w:val="20"/>
                <w:szCs w:val="20"/>
              </w:rPr>
            </w:pPr>
          </w:p>
        </w:tc>
      </w:tr>
      <w:tr w:rsidR="00657ACA" w:rsidRPr="0000591E" w14:paraId="751367C8" w14:textId="77777777" w:rsidTr="003F7925">
        <w:trPr>
          <w:gridAfter w:val="2"/>
          <w:wAfter w:w="154" w:type="dxa"/>
          <w:trHeight w:val="20"/>
        </w:trPr>
        <w:tc>
          <w:tcPr>
            <w:tcW w:w="1256" w:type="dxa"/>
            <w:tcBorders>
              <w:bottom w:val="single" w:sz="4" w:space="0" w:color="auto"/>
            </w:tcBorders>
            <w:noWrap/>
            <w:vAlign w:val="bottom"/>
          </w:tcPr>
          <w:p w14:paraId="173C80D2" w14:textId="77777777" w:rsidR="00657ACA" w:rsidRPr="00FE79D0" w:rsidRDefault="00657ACA" w:rsidP="00657ACA">
            <w:pPr>
              <w:jc w:val="both"/>
              <w:rPr>
                <w:rFonts w:ascii="Arial" w:hAnsi="Arial" w:cs="Arial"/>
                <w:b/>
                <w:sz w:val="20"/>
                <w:szCs w:val="20"/>
              </w:rPr>
            </w:pPr>
            <w:r w:rsidRPr="00FE79D0">
              <w:rPr>
                <w:rFonts w:ascii="Arial" w:hAnsi="Arial" w:cs="Arial"/>
                <w:b/>
                <w:sz w:val="20"/>
                <w:szCs w:val="20"/>
              </w:rPr>
              <w:t>J01MA01</w:t>
            </w:r>
          </w:p>
        </w:tc>
        <w:tc>
          <w:tcPr>
            <w:tcW w:w="9452" w:type="dxa"/>
            <w:tcBorders>
              <w:bottom w:val="single" w:sz="4" w:space="0" w:color="auto"/>
            </w:tcBorders>
          </w:tcPr>
          <w:p w14:paraId="0726C2FF" w14:textId="77777777" w:rsidR="00657ACA" w:rsidRPr="0000591E" w:rsidRDefault="00657ACA" w:rsidP="00657ACA">
            <w:pPr>
              <w:jc w:val="both"/>
              <w:rPr>
                <w:rFonts w:ascii="Arial" w:hAnsi="Arial" w:cs="Arial"/>
                <w:sz w:val="20"/>
                <w:szCs w:val="20"/>
              </w:rPr>
            </w:pPr>
            <w:r>
              <w:rPr>
                <w:rFonts w:ascii="Arial" w:hAnsi="Arial" w:cs="Arial"/>
                <w:b/>
                <w:bCs/>
                <w:sz w:val="20"/>
                <w:szCs w:val="20"/>
              </w:rPr>
              <w:t>Ofloxacín p.o. 20</w:t>
            </w:r>
            <w:r w:rsidRPr="00C62A86">
              <w:rPr>
                <w:rFonts w:ascii="Arial" w:hAnsi="Arial" w:cs="Arial"/>
                <w:b/>
                <w:bCs/>
                <w:sz w:val="20"/>
                <w:szCs w:val="20"/>
              </w:rPr>
              <w:t>0 mg</w:t>
            </w:r>
          </w:p>
        </w:tc>
      </w:tr>
      <w:tr w:rsidR="00657ACA" w:rsidRPr="0000591E" w14:paraId="7FA0587E" w14:textId="77777777" w:rsidTr="003F7925">
        <w:trPr>
          <w:gridAfter w:val="2"/>
          <w:wAfter w:w="154" w:type="dxa"/>
          <w:trHeight w:val="20"/>
        </w:trPr>
        <w:tc>
          <w:tcPr>
            <w:tcW w:w="1256" w:type="dxa"/>
            <w:tcBorders>
              <w:top w:val="single" w:sz="4" w:space="0" w:color="auto"/>
            </w:tcBorders>
            <w:noWrap/>
            <w:vAlign w:val="bottom"/>
          </w:tcPr>
          <w:p w14:paraId="048157E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FA417C3" w14:textId="7D2FA6E0" w:rsidR="00657ACA" w:rsidRDefault="00657ACA" w:rsidP="00657ACA">
            <w:pPr>
              <w:jc w:val="both"/>
              <w:rPr>
                <w:rFonts w:ascii="Arial" w:hAnsi="Arial"/>
                <w:color w:val="000000"/>
                <w:sz w:val="20"/>
                <w:u w:color="000000"/>
              </w:rPr>
            </w:pPr>
            <w:r w:rsidRPr="00E246DB">
              <w:rPr>
                <w:rFonts w:ascii="Arial" w:hAnsi="Arial"/>
                <w:color w:val="000000"/>
                <w:sz w:val="20"/>
                <w:u w:color="000000"/>
              </w:rPr>
              <w:t>Liečba pacientov s cystickou fibrózou (diagnóza E84 podľa Medzinárodnej klasifikácie chorôb 10) je hradená plne.</w:t>
            </w:r>
          </w:p>
          <w:p w14:paraId="7114D55C" w14:textId="70051FDB"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474A11F9" w14:textId="77777777" w:rsidR="00657ACA" w:rsidRPr="0000591E" w:rsidRDefault="00657ACA" w:rsidP="00657ACA">
            <w:pPr>
              <w:jc w:val="both"/>
              <w:rPr>
                <w:rFonts w:ascii="Arial" w:hAnsi="Arial" w:cs="Arial"/>
                <w:sz w:val="20"/>
                <w:szCs w:val="20"/>
              </w:rPr>
            </w:pPr>
          </w:p>
        </w:tc>
      </w:tr>
      <w:tr w:rsidR="00657ACA" w:rsidRPr="0000591E" w14:paraId="123236FB" w14:textId="77777777" w:rsidTr="003F7925">
        <w:trPr>
          <w:gridAfter w:val="2"/>
          <w:wAfter w:w="154" w:type="dxa"/>
          <w:trHeight w:val="20"/>
        </w:trPr>
        <w:tc>
          <w:tcPr>
            <w:tcW w:w="1256" w:type="dxa"/>
            <w:tcBorders>
              <w:bottom w:val="single" w:sz="4" w:space="0" w:color="auto"/>
            </w:tcBorders>
            <w:noWrap/>
            <w:vAlign w:val="bottom"/>
          </w:tcPr>
          <w:p w14:paraId="73932503" w14:textId="77777777" w:rsidR="00657ACA" w:rsidRPr="00FE79D0" w:rsidRDefault="00657ACA" w:rsidP="00657ACA">
            <w:pPr>
              <w:jc w:val="both"/>
              <w:rPr>
                <w:rFonts w:ascii="Arial" w:hAnsi="Arial" w:cs="Arial"/>
                <w:b/>
                <w:sz w:val="20"/>
                <w:szCs w:val="20"/>
              </w:rPr>
            </w:pPr>
            <w:r w:rsidRPr="00FE79D0">
              <w:rPr>
                <w:rFonts w:ascii="Arial" w:hAnsi="Arial" w:cs="Arial"/>
                <w:b/>
                <w:sz w:val="20"/>
                <w:szCs w:val="20"/>
              </w:rPr>
              <w:t>J01MA02</w:t>
            </w:r>
          </w:p>
        </w:tc>
        <w:tc>
          <w:tcPr>
            <w:tcW w:w="9452" w:type="dxa"/>
            <w:tcBorders>
              <w:bottom w:val="single" w:sz="4" w:space="0" w:color="auto"/>
            </w:tcBorders>
          </w:tcPr>
          <w:p w14:paraId="6EFFD3A8" w14:textId="77777777" w:rsidR="00657ACA" w:rsidRDefault="00657ACA" w:rsidP="00657ACA">
            <w:pPr>
              <w:jc w:val="both"/>
              <w:rPr>
                <w:rFonts w:ascii="Arial" w:hAnsi="Arial"/>
                <w:b/>
                <w:color w:val="000000"/>
                <w:sz w:val="20"/>
                <w:u w:color="000000"/>
              </w:rPr>
            </w:pPr>
            <w:r w:rsidRPr="000C543A">
              <w:rPr>
                <w:rFonts w:ascii="Arial" w:hAnsi="Arial"/>
                <w:b/>
                <w:color w:val="000000"/>
                <w:sz w:val="20"/>
                <w:u w:color="000000"/>
              </w:rPr>
              <w:t>Ciprofloxacín p.o. 250 mg</w:t>
            </w:r>
          </w:p>
          <w:p w14:paraId="6767BFB3" w14:textId="77777777" w:rsidR="00657ACA" w:rsidRPr="003E2738" w:rsidRDefault="00657ACA" w:rsidP="00657ACA">
            <w:pPr>
              <w:jc w:val="both"/>
              <w:rPr>
                <w:rFonts w:ascii="Arial" w:hAnsi="Arial"/>
                <w:color w:val="000000"/>
                <w:sz w:val="20"/>
                <w:u w:color="000000"/>
              </w:rPr>
            </w:pPr>
            <w:r w:rsidRPr="000C543A">
              <w:rPr>
                <w:rFonts w:ascii="Arial" w:hAnsi="Arial"/>
                <w:b/>
                <w:color w:val="000000"/>
                <w:sz w:val="20"/>
                <w:u w:color="000000"/>
              </w:rPr>
              <w:t>Ciprofloxacín</w:t>
            </w:r>
            <w:r>
              <w:rPr>
                <w:rFonts w:ascii="Arial" w:hAnsi="Arial"/>
                <w:b/>
                <w:color w:val="000000"/>
                <w:sz w:val="20"/>
                <w:u w:color="000000"/>
              </w:rPr>
              <w:t xml:space="preserve"> p.o. 50</w:t>
            </w:r>
            <w:r w:rsidRPr="000C543A">
              <w:rPr>
                <w:rFonts w:ascii="Arial" w:hAnsi="Arial"/>
                <w:b/>
                <w:color w:val="000000"/>
                <w:sz w:val="20"/>
                <w:u w:color="000000"/>
              </w:rPr>
              <w:t>0 mg</w:t>
            </w:r>
          </w:p>
        </w:tc>
      </w:tr>
      <w:tr w:rsidR="00657ACA" w:rsidRPr="0000591E" w14:paraId="5E4CBB8E" w14:textId="77777777" w:rsidTr="003F7925">
        <w:trPr>
          <w:gridAfter w:val="2"/>
          <w:wAfter w:w="154" w:type="dxa"/>
          <w:trHeight w:val="20"/>
        </w:trPr>
        <w:tc>
          <w:tcPr>
            <w:tcW w:w="1256" w:type="dxa"/>
            <w:tcBorders>
              <w:top w:val="single" w:sz="4" w:space="0" w:color="auto"/>
            </w:tcBorders>
            <w:noWrap/>
            <w:vAlign w:val="bottom"/>
          </w:tcPr>
          <w:p w14:paraId="2B7405D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DA1EABD" w14:textId="2C3C1A5D" w:rsidR="00657ACA" w:rsidRDefault="00657ACA" w:rsidP="00657ACA">
            <w:pPr>
              <w:jc w:val="both"/>
              <w:rPr>
                <w:rFonts w:ascii="Arial" w:hAnsi="Arial"/>
                <w:color w:val="000000"/>
                <w:sz w:val="20"/>
                <w:u w:color="000000"/>
              </w:rPr>
            </w:pPr>
            <w:r w:rsidRPr="00C73C9B">
              <w:rPr>
                <w:rFonts w:ascii="Arial" w:hAnsi="Arial"/>
                <w:color w:val="000000"/>
                <w:sz w:val="20"/>
                <w:u w:color="000000"/>
              </w:rPr>
              <w:t>Liečba pacientov s cystickou fibrózou (diagnóza E84 podľa Medzinárodnej klasifikácie chorôb 10) je hradená plne.</w:t>
            </w:r>
          </w:p>
          <w:p w14:paraId="1D0FD31B" w14:textId="6FE0C992"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5B9399C4" w14:textId="77777777" w:rsidR="00657ACA" w:rsidRDefault="00657ACA" w:rsidP="00657ACA">
            <w:pPr>
              <w:jc w:val="both"/>
              <w:rPr>
                <w:rFonts w:ascii="Arial" w:hAnsi="Arial"/>
                <w:color w:val="000000"/>
                <w:sz w:val="20"/>
                <w:u w:color="000000"/>
              </w:rPr>
            </w:pPr>
          </w:p>
          <w:p w14:paraId="47D51E13" w14:textId="77777777" w:rsidR="00790876" w:rsidRDefault="00790876" w:rsidP="00657ACA">
            <w:pPr>
              <w:jc w:val="both"/>
              <w:rPr>
                <w:rFonts w:ascii="Arial" w:hAnsi="Arial"/>
                <w:color w:val="000000"/>
                <w:sz w:val="20"/>
                <w:u w:color="000000"/>
              </w:rPr>
            </w:pPr>
          </w:p>
          <w:p w14:paraId="032284C9" w14:textId="77777777" w:rsidR="00790876" w:rsidRPr="003E2738" w:rsidRDefault="00790876" w:rsidP="00657ACA">
            <w:pPr>
              <w:jc w:val="both"/>
              <w:rPr>
                <w:rFonts w:ascii="Arial" w:hAnsi="Arial"/>
                <w:color w:val="000000"/>
                <w:sz w:val="20"/>
                <w:u w:color="000000"/>
              </w:rPr>
            </w:pPr>
          </w:p>
        </w:tc>
      </w:tr>
      <w:tr w:rsidR="00657ACA" w:rsidRPr="0000591E" w14:paraId="71B2EA54" w14:textId="77777777" w:rsidTr="003F7925">
        <w:trPr>
          <w:gridAfter w:val="2"/>
          <w:wAfter w:w="154" w:type="dxa"/>
          <w:trHeight w:val="20"/>
        </w:trPr>
        <w:tc>
          <w:tcPr>
            <w:tcW w:w="1256" w:type="dxa"/>
            <w:tcBorders>
              <w:bottom w:val="single" w:sz="4" w:space="0" w:color="auto"/>
            </w:tcBorders>
            <w:noWrap/>
            <w:vAlign w:val="bottom"/>
          </w:tcPr>
          <w:p w14:paraId="0A238D20" w14:textId="77777777" w:rsidR="00657ACA" w:rsidRPr="00FE79D0" w:rsidRDefault="00657ACA" w:rsidP="00657ACA">
            <w:pPr>
              <w:jc w:val="both"/>
              <w:rPr>
                <w:rFonts w:ascii="Arial" w:hAnsi="Arial" w:cs="Arial"/>
                <w:b/>
                <w:sz w:val="20"/>
                <w:szCs w:val="20"/>
              </w:rPr>
            </w:pPr>
            <w:r w:rsidRPr="00FE79D0">
              <w:rPr>
                <w:rFonts w:ascii="Arial" w:hAnsi="Arial" w:cs="Arial"/>
                <w:b/>
                <w:sz w:val="20"/>
                <w:szCs w:val="20"/>
              </w:rPr>
              <w:t>J01MA06</w:t>
            </w:r>
          </w:p>
        </w:tc>
        <w:tc>
          <w:tcPr>
            <w:tcW w:w="9452" w:type="dxa"/>
            <w:tcBorders>
              <w:bottom w:val="single" w:sz="4" w:space="0" w:color="auto"/>
            </w:tcBorders>
          </w:tcPr>
          <w:p w14:paraId="10E9BAE0" w14:textId="77777777" w:rsidR="00657ACA" w:rsidRPr="003E2738" w:rsidRDefault="00657ACA" w:rsidP="00657ACA">
            <w:pPr>
              <w:jc w:val="both"/>
              <w:rPr>
                <w:rFonts w:ascii="Arial" w:hAnsi="Arial"/>
                <w:color w:val="000000"/>
                <w:sz w:val="20"/>
                <w:u w:color="000000"/>
              </w:rPr>
            </w:pPr>
            <w:r w:rsidRPr="000C543A">
              <w:rPr>
                <w:rFonts w:ascii="Arial" w:hAnsi="Arial"/>
                <w:b/>
                <w:color w:val="000000"/>
                <w:sz w:val="20"/>
                <w:u w:color="000000"/>
              </w:rPr>
              <w:t>Norfloxacín</w:t>
            </w:r>
            <w:r>
              <w:rPr>
                <w:rFonts w:ascii="Arial" w:hAnsi="Arial"/>
                <w:b/>
                <w:color w:val="000000"/>
                <w:sz w:val="20"/>
                <w:u w:color="000000"/>
              </w:rPr>
              <w:t xml:space="preserve"> </w:t>
            </w:r>
            <w:r w:rsidRPr="000C543A">
              <w:rPr>
                <w:rFonts w:ascii="Arial" w:hAnsi="Arial"/>
                <w:b/>
                <w:color w:val="000000"/>
                <w:sz w:val="20"/>
                <w:u w:color="000000"/>
              </w:rPr>
              <w:t>p.o. 400 mg</w:t>
            </w:r>
          </w:p>
        </w:tc>
      </w:tr>
      <w:tr w:rsidR="00657ACA" w:rsidRPr="0000591E" w14:paraId="37F1DC44" w14:textId="77777777" w:rsidTr="003F7925">
        <w:trPr>
          <w:gridAfter w:val="2"/>
          <w:wAfter w:w="154" w:type="dxa"/>
          <w:trHeight w:val="20"/>
        </w:trPr>
        <w:tc>
          <w:tcPr>
            <w:tcW w:w="1256" w:type="dxa"/>
            <w:tcBorders>
              <w:top w:val="single" w:sz="4" w:space="0" w:color="auto"/>
            </w:tcBorders>
            <w:noWrap/>
            <w:vAlign w:val="bottom"/>
          </w:tcPr>
          <w:p w14:paraId="77D4993D"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3B11EEC" w14:textId="04AB6055" w:rsidR="00657ACA" w:rsidRDefault="00657ACA" w:rsidP="00657ACA">
            <w:pPr>
              <w:jc w:val="both"/>
              <w:rPr>
                <w:rFonts w:ascii="Arial" w:hAnsi="Arial"/>
                <w:color w:val="000000"/>
                <w:sz w:val="20"/>
                <w:u w:color="000000"/>
              </w:rPr>
            </w:pPr>
            <w:r w:rsidRPr="00C321F0">
              <w:rPr>
                <w:rFonts w:ascii="Arial" w:hAnsi="Arial"/>
                <w:color w:val="000000"/>
                <w:sz w:val="20"/>
                <w:u w:color="000000"/>
              </w:rPr>
              <w:t>Liečba pacientov s cystickou fibrózou (diagnóza E84 podľa Medzinárodnej klasifikácie chorôb 10) je hradená plne.</w:t>
            </w:r>
          </w:p>
          <w:p w14:paraId="3207BBC3" w14:textId="215C0ED1"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6DBAF264" w14:textId="77777777" w:rsidR="00657ACA" w:rsidRPr="003E2738" w:rsidRDefault="00657ACA" w:rsidP="00657ACA">
            <w:pPr>
              <w:jc w:val="both"/>
              <w:rPr>
                <w:rFonts w:ascii="Arial" w:hAnsi="Arial"/>
                <w:color w:val="000000"/>
                <w:sz w:val="20"/>
                <w:u w:color="000000"/>
              </w:rPr>
            </w:pPr>
          </w:p>
        </w:tc>
      </w:tr>
      <w:tr w:rsidR="00657ACA" w:rsidRPr="0000591E" w14:paraId="64CEE442" w14:textId="77777777" w:rsidTr="003F7925">
        <w:trPr>
          <w:gridAfter w:val="2"/>
          <w:wAfter w:w="154" w:type="dxa"/>
          <w:trHeight w:val="20"/>
        </w:trPr>
        <w:tc>
          <w:tcPr>
            <w:tcW w:w="1256" w:type="dxa"/>
            <w:tcBorders>
              <w:bottom w:val="single" w:sz="4" w:space="0" w:color="auto"/>
            </w:tcBorders>
            <w:noWrap/>
            <w:vAlign w:val="bottom"/>
          </w:tcPr>
          <w:p w14:paraId="549BF2F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J01MA12</w:t>
            </w:r>
          </w:p>
        </w:tc>
        <w:tc>
          <w:tcPr>
            <w:tcW w:w="9452" w:type="dxa"/>
            <w:tcBorders>
              <w:bottom w:val="single" w:sz="4" w:space="0" w:color="auto"/>
            </w:tcBorders>
            <w:noWrap/>
            <w:vAlign w:val="bottom"/>
          </w:tcPr>
          <w:p w14:paraId="7DC40A5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Levofloxacín p.o. 500 mg</w:t>
            </w:r>
          </w:p>
        </w:tc>
      </w:tr>
      <w:tr w:rsidR="00657ACA" w:rsidRPr="0000591E" w14:paraId="1BF47BB2" w14:textId="77777777" w:rsidTr="003F7925">
        <w:trPr>
          <w:gridAfter w:val="2"/>
          <w:wAfter w:w="154" w:type="dxa"/>
          <w:trHeight w:val="20"/>
        </w:trPr>
        <w:tc>
          <w:tcPr>
            <w:tcW w:w="1256" w:type="dxa"/>
            <w:tcBorders>
              <w:top w:val="single" w:sz="4" w:space="0" w:color="auto"/>
            </w:tcBorders>
            <w:noWrap/>
            <w:vAlign w:val="bottom"/>
          </w:tcPr>
          <w:p w14:paraId="70179AA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495015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w:t>
            </w:r>
          </w:p>
          <w:p w14:paraId="73612611" w14:textId="77777777" w:rsidR="00657ACA" w:rsidRPr="0000591E" w:rsidRDefault="00657ACA">
            <w:pPr>
              <w:numPr>
                <w:ilvl w:val="1"/>
                <w:numId w:val="9"/>
              </w:numPr>
              <w:tabs>
                <w:tab w:val="num" w:pos="731"/>
              </w:tabs>
              <w:ind w:left="731"/>
              <w:jc w:val="both"/>
              <w:rPr>
                <w:rFonts w:ascii="Arial" w:hAnsi="Arial" w:cs="Arial"/>
                <w:sz w:val="20"/>
                <w:szCs w:val="20"/>
              </w:rPr>
            </w:pPr>
            <w:r w:rsidRPr="0000591E">
              <w:rPr>
                <w:rFonts w:ascii="Arial" w:hAnsi="Arial" w:cs="Arial"/>
                <w:sz w:val="20"/>
                <w:szCs w:val="20"/>
              </w:rPr>
              <w:t>urológ, nefrológ alebo infektológ pri polyrezistentných gramnegatívnych urologických infekciách,</w:t>
            </w:r>
          </w:p>
          <w:p w14:paraId="70FE549B" w14:textId="77777777" w:rsidR="00657ACA" w:rsidRPr="0000591E" w:rsidRDefault="00657ACA">
            <w:pPr>
              <w:numPr>
                <w:ilvl w:val="1"/>
                <w:numId w:val="9"/>
              </w:numPr>
              <w:tabs>
                <w:tab w:val="num" w:pos="731"/>
              </w:tabs>
              <w:ind w:left="731" w:right="-316"/>
              <w:jc w:val="both"/>
              <w:rPr>
                <w:rFonts w:ascii="Arial" w:hAnsi="Arial" w:cs="Arial"/>
                <w:sz w:val="20"/>
                <w:szCs w:val="20"/>
              </w:rPr>
            </w:pPr>
            <w:r w:rsidRPr="0000591E">
              <w:rPr>
                <w:rFonts w:ascii="Arial" w:hAnsi="Arial" w:cs="Arial"/>
                <w:sz w:val="20"/>
                <w:szCs w:val="20"/>
              </w:rPr>
              <w:t>pneumológ, otorinolaryngológ alebo infektológ pri grampozitívnych respiračných</w:t>
            </w:r>
          </w:p>
          <w:p w14:paraId="6800B704" w14:textId="77777777" w:rsidR="00657ACA" w:rsidRPr="0000591E" w:rsidRDefault="00657ACA" w:rsidP="00657ACA">
            <w:pPr>
              <w:tabs>
                <w:tab w:val="num" w:pos="2160"/>
              </w:tabs>
              <w:ind w:left="371" w:right="-316"/>
              <w:jc w:val="both"/>
              <w:rPr>
                <w:rFonts w:ascii="Arial" w:hAnsi="Arial" w:cs="Arial"/>
                <w:sz w:val="20"/>
                <w:szCs w:val="20"/>
              </w:rPr>
            </w:pPr>
            <w:r w:rsidRPr="0000591E">
              <w:rPr>
                <w:rFonts w:ascii="Arial" w:hAnsi="Arial" w:cs="Arial"/>
                <w:sz w:val="20"/>
                <w:szCs w:val="20"/>
              </w:rPr>
              <w:t xml:space="preserve">    infekciách rezistentných na penicilíny a makrolidy a gramnegatívnych respiračných</w:t>
            </w:r>
          </w:p>
          <w:p w14:paraId="7E7A0644" w14:textId="77777777" w:rsidR="00657ACA" w:rsidRPr="0000591E" w:rsidRDefault="00657ACA" w:rsidP="00657ACA">
            <w:pPr>
              <w:tabs>
                <w:tab w:val="num" w:pos="2160"/>
              </w:tabs>
              <w:ind w:left="371" w:right="-316"/>
              <w:jc w:val="both"/>
              <w:rPr>
                <w:rFonts w:ascii="Arial" w:hAnsi="Arial" w:cs="Arial"/>
                <w:sz w:val="20"/>
                <w:szCs w:val="20"/>
              </w:rPr>
            </w:pPr>
            <w:r w:rsidRPr="0000591E">
              <w:rPr>
                <w:rFonts w:ascii="Arial" w:hAnsi="Arial" w:cs="Arial"/>
                <w:sz w:val="20"/>
                <w:szCs w:val="20"/>
              </w:rPr>
              <w:t xml:space="preserve">    infekciách rezistentných na iné chinolóny.</w:t>
            </w:r>
          </w:p>
          <w:p w14:paraId="2A4F5B89" w14:textId="77777777" w:rsidR="00657ACA" w:rsidRDefault="00657ACA" w:rsidP="00657ACA">
            <w:pPr>
              <w:tabs>
                <w:tab w:val="num" w:pos="2160"/>
              </w:tabs>
              <w:ind w:right="-316"/>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Pr>
                <w:rFonts w:ascii="Arial" w:hAnsi="Arial" w:cs="Arial"/>
                <w:sz w:val="20"/>
                <w:szCs w:val="20"/>
              </w:rPr>
              <w:t xml:space="preserve"> </w:t>
            </w:r>
          </w:p>
          <w:p w14:paraId="417761EC" w14:textId="77777777" w:rsidR="00657ACA" w:rsidRPr="0000591E" w:rsidRDefault="00657ACA" w:rsidP="00657ACA">
            <w:pPr>
              <w:tabs>
                <w:tab w:val="num" w:pos="2160"/>
              </w:tabs>
              <w:ind w:right="-316"/>
              <w:jc w:val="both"/>
              <w:rPr>
                <w:rFonts w:ascii="Arial" w:hAnsi="Arial" w:cs="Arial"/>
                <w:sz w:val="20"/>
                <w:szCs w:val="20"/>
              </w:rPr>
            </w:pPr>
          </w:p>
        </w:tc>
      </w:tr>
      <w:tr w:rsidR="00657ACA" w:rsidRPr="0000591E" w14:paraId="0F811DBD" w14:textId="77777777" w:rsidTr="003F7925">
        <w:trPr>
          <w:gridAfter w:val="2"/>
          <w:wAfter w:w="154" w:type="dxa"/>
          <w:trHeight w:val="20"/>
        </w:trPr>
        <w:tc>
          <w:tcPr>
            <w:tcW w:w="1256" w:type="dxa"/>
            <w:tcBorders>
              <w:bottom w:val="single" w:sz="4" w:space="0" w:color="auto"/>
            </w:tcBorders>
            <w:noWrap/>
            <w:vAlign w:val="bottom"/>
          </w:tcPr>
          <w:p w14:paraId="0D3A10CB" w14:textId="77777777" w:rsidR="00657ACA" w:rsidRPr="0000591E" w:rsidRDefault="00657ACA" w:rsidP="00657ACA">
            <w:pPr>
              <w:jc w:val="both"/>
              <w:rPr>
                <w:rFonts w:ascii="Arial" w:hAnsi="Arial" w:cs="Arial"/>
                <w:b/>
                <w:bCs/>
                <w:sz w:val="20"/>
                <w:szCs w:val="20"/>
                <w:lang w:eastAsia="cs-CZ"/>
              </w:rPr>
            </w:pPr>
            <w:r>
              <w:rPr>
                <w:rFonts w:ascii="Arial" w:hAnsi="Arial" w:cs="Arial"/>
                <w:b/>
                <w:bCs/>
                <w:sz w:val="20"/>
                <w:szCs w:val="20"/>
                <w:lang w:eastAsia="cs-CZ"/>
              </w:rPr>
              <w:t xml:space="preserve">J01MA12 </w:t>
            </w:r>
          </w:p>
        </w:tc>
        <w:tc>
          <w:tcPr>
            <w:tcW w:w="9452" w:type="dxa"/>
            <w:tcBorders>
              <w:bottom w:val="single" w:sz="4" w:space="0" w:color="auto"/>
            </w:tcBorders>
            <w:noWrap/>
            <w:vAlign w:val="bottom"/>
          </w:tcPr>
          <w:p w14:paraId="07A2E6E9" w14:textId="77777777" w:rsidR="00657ACA" w:rsidRPr="0000591E" w:rsidRDefault="00657ACA" w:rsidP="00657ACA">
            <w:pPr>
              <w:jc w:val="both"/>
              <w:rPr>
                <w:rFonts w:ascii="Arial" w:hAnsi="Arial" w:cs="Arial"/>
                <w:b/>
                <w:bCs/>
                <w:sz w:val="20"/>
                <w:szCs w:val="20"/>
                <w:lang w:eastAsia="cs-CZ"/>
              </w:rPr>
            </w:pPr>
            <w:r>
              <w:rPr>
                <w:rFonts w:ascii="Arial" w:hAnsi="Arial" w:cs="Arial"/>
                <w:b/>
                <w:bCs/>
                <w:sz w:val="20"/>
                <w:szCs w:val="20"/>
                <w:lang w:eastAsia="cs-CZ"/>
              </w:rPr>
              <w:t>Levofloxacín inhal. 100mg/ml</w:t>
            </w:r>
          </w:p>
        </w:tc>
      </w:tr>
      <w:tr w:rsidR="00657ACA" w:rsidRPr="0000591E" w14:paraId="667C2946" w14:textId="77777777" w:rsidTr="003F7925">
        <w:trPr>
          <w:gridAfter w:val="2"/>
          <w:wAfter w:w="154" w:type="dxa"/>
          <w:trHeight w:val="20"/>
        </w:trPr>
        <w:tc>
          <w:tcPr>
            <w:tcW w:w="1256" w:type="dxa"/>
            <w:tcBorders>
              <w:bottom w:val="single" w:sz="4" w:space="0" w:color="auto"/>
            </w:tcBorders>
            <w:noWrap/>
            <w:vAlign w:val="bottom"/>
          </w:tcPr>
          <w:p w14:paraId="675E8BC3" w14:textId="77777777" w:rsidR="00657ACA" w:rsidRPr="0000591E" w:rsidRDefault="00657ACA" w:rsidP="00657ACA">
            <w:pPr>
              <w:jc w:val="both"/>
              <w:rPr>
                <w:rFonts w:ascii="Arial" w:hAnsi="Arial" w:cs="Arial"/>
                <w:b/>
                <w:bCs/>
                <w:sz w:val="20"/>
                <w:szCs w:val="20"/>
                <w:lang w:eastAsia="cs-CZ"/>
              </w:rPr>
            </w:pPr>
          </w:p>
        </w:tc>
        <w:tc>
          <w:tcPr>
            <w:tcW w:w="9452" w:type="dxa"/>
            <w:tcBorders>
              <w:top w:val="single" w:sz="4" w:space="0" w:color="auto"/>
              <w:bottom w:val="single" w:sz="4" w:space="0" w:color="auto"/>
            </w:tcBorders>
            <w:noWrap/>
            <w:vAlign w:val="bottom"/>
          </w:tcPr>
          <w:p w14:paraId="7DF8C048" w14:textId="77777777" w:rsidR="00657ACA" w:rsidRDefault="00657ACA" w:rsidP="00657ACA">
            <w:pPr>
              <w:jc w:val="both"/>
              <w:rPr>
                <w:rFonts w:ascii="Arial" w:hAnsi="Arial" w:cs="Arial"/>
                <w:bCs/>
                <w:sz w:val="20"/>
                <w:szCs w:val="20"/>
                <w:lang w:eastAsia="cs-CZ"/>
              </w:rPr>
            </w:pPr>
            <w:r w:rsidRPr="00CB1A57">
              <w:rPr>
                <w:rFonts w:ascii="Arial" w:hAnsi="Arial" w:cs="Arial"/>
                <w:bCs/>
                <w:sz w:val="20"/>
                <w:szCs w:val="20"/>
                <w:lang w:eastAsia="cs-CZ"/>
              </w:rPr>
              <w:t>Hradenú liečbu môže indikovať a liek predpisovať pneumológ alebo alergológ z Centra pre liečbu cystickej fibrózy u dospelých pacientov s cystickou fibrózou (diagnóza E84 podľa Medzinárodnej klasifikácie chorôb 10) na liečbu chronických pľúcnych infekcií spôsobených bak</w:t>
            </w:r>
            <w:r>
              <w:rPr>
                <w:rFonts w:ascii="Arial" w:hAnsi="Arial" w:cs="Arial"/>
                <w:bCs/>
                <w:sz w:val="20"/>
                <w:szCs w:val="20"/>
                <w:lang w:eastAsia="cs-CZ"/>
              </w:rPr>
              <w:t>tériami Pseudomonas aeruginosa.</w:t>
            </w:r>
            <w:r w:rsidRPr="00CB1A57">
              <w:rPr>
                <w:rFonts w:ascii="Arial" w:hAnsi="Arial" w:cs="Arial"/>
                <w:bCs/>
                <w:sz w:val="20"/>
                <w:szCs w:val="20"/>
                <w:lang w:eastAsia="cs-CZ"/>
              </w:rPr>
              <w:t xml:space="preserve"> </w:t>
            </w:r>
          </w:p>
          <w:p w14:paraId="6F03A0F6" w14:textId="47DCD589" w:rsidR="00657ACA"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Pr>
                <w:rFonts w:ascii="Arial" w:hAnsi="Arial" w:cs="Arial"/>
                <w:sz w:val="20"/>
                <w:szCs w:val="20"/>
              </w:rPr>
              <w:t xml:space="preserve"> </w:t>
            </w:r>
          </w:p>
          <w:p w14:paraId="462F0E57" w14:textId="77777777" w:rsidR="00657ACA" w:rsidRDefault="00657ACA" w:rsidP="00657ACA">
            <w:pPr>
              <w:jc w:val="both"/>
              <w:rPr>
                <w:rFonts w:ascii="Arial" w:hAnsi="Arial" w:cs="Arial"/>
                <w:b/>
                <w:bCs/>
                <w:sz w:val="20"/>
                <w:szCs w:val="20"/>
                <w:lang w:eastAsia="cs-CZ"/>
              </w:rPr>
            </w:pPr>
            <w:r w:rsidRPr="00CB1A57">
              <w:rPr>
                <w:rFonts w:ascii="Arial" w:hAnsi="Arial" w:cs="Arial"/>
                <w:bCs/>
                <w:sz w:val="20"/>
                <w:szCs w:val="20"/>
                <w:lang w:eastAsia="cs-CZ"/>
              </w:rPr>
              <w:t>Hradená liečba podlieha predchádzajúcemu súhlasu zdravotnej poisťovne</w:t>
            </w:r>
            <w:r w:rsidRPr="00CB1A57">
              <w:rPr>
                <w:rFonts w:ascii="Arial" w:hAnsi="Arial" w:cs="Arial"/>
                <w:b/>
                <w:bCs/>
                <w:sz w:val="20"/>
                <w:szCs w:val="20"/>
                <w:lang w:eastAsia="cs-CZ"/>
              </w:rPr>
              <w:t>.</w:t>
            </w:r>
          </w:p>
          <w:p w14:paraId="3124A935" w14:textId="575A81B6" w:rsidR="00ED27F2" w:rsidRPr="0000591E" w:rsidRDefault="00ED27F2" w:rsidP="00657ACA">
            <w:pPr>
              <w:jc w:val="both"/>
              <w:rPr>
                <w:rFonts w:ascii="Arial" w:hAnsi="Arial" w:cs="Arial"/>
                <w:b/>
                <w:bCs/>
                <w:sz w:val="20"/>
                <w:szCs w:val="20"/>
                <w:lang w:eastAsia="cs-CZ"/>
              </w:rPr>
            </w:pPr>
          </w:p>
        </w:tc>
      </w:tr>
      <w:tr w:rsidR="00657ACA" w:rsidRPr="0000591E" w14:paraId="221153BC" w14:textId="77777777" w:rsidTr="003F7925">
        <w:trPr>
          <w:gridAfter w:val="2"/>
          <w:wAfter w:w="154" w:type="dxa"/>
          <w:trHeight w:val="20"/>
        </w:trPr>
        <w:tc>
          <w:tcPr>
            <w:tcW w:w="1256" w:type="dxa"/>
            <w:tcBorders>
              <w:bottom w:val="single" w:sz="4" w:space="0" w:color="auto"/>
            </w:tcBorders>
            <w:noWrap/>
            <w:vAlign w:val="bottom"/>
          </w:tcPr>
          <w:p w14:paraId="711EEC8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lang w:eastAsia="cs-CZ"/>
              </w:rPr>
              <w:t>J01MA14</w:t>
            </w:r>
          </w:p>
        </w:tc>
        <w:tc>
          <w:tcPr>
            <w:tcW w:w="9452" w:type="dxa"/>
            <w:tcBorders>
              <w:bottom w:val="single" w:sz="4" w:space="0" w:color="auto"/>
            </w:tcBorders>
            <w:noWrap/>
            <w:vAlign w:val="bottom"/>
          </w:tcPr>
          <w:p w14:paraId="4A650F86" w14:textId="77777777" w:rsidR="00657ACA" w:rsidRPr="003E121C" w:rsidRDefault="00657ACA" w:rsidP="00657ACA">
            <w:pPr>
              <w:rPr>
                <w:rFonts w:ascii="Arial" w:hAnsi="Arial" w:cs="Arial"/>
                <w:b/>
                <w:sz w:val="20"/>
                <w:szCs w:val="20"/>
              </w:rPr>
            </w:pPr>
            <w:r w:rsidRPr="003E121C">
              <w:rPr>
                <w:rFonts w:ascii="Arial" w:hAnsi="Arial" w:cs="Arial"/>
                <w:b/>
                <w:sz w:val="20"/>
                <w:szCs w:val="20"/>
              </w:rPr>
              <w:t>Moxifloxacín p.o. 400mg</w:t>
            </w:r>
          </w:p>
        </w:tc>
      </w:tr>
      <w:tr w:rsidR="00657ACA" w:rsidRPr="0000591E" w14:paraId="3EA6DDB6" w14:textId="77777777" w:rsidTr="003F7925">
        <w:trPr>
          <w:gridAfter w:val="2"/>
          <w:wAfter w:w="154" w:type="dxa"/>
          <w:trHeight w:val="20"/>
        </w:trPr>
        <w:tc>
          <w:tcPr>
            <w:tcW w:w="1256" w:type="dxa"/>
            <w:noWrap/>
            <w:vAlign w:val="bottom"/>
          </w:tcPr>
          <w:p w14:paraId="60E1BDFC" w14:textId="77777777" w:rsidR="00657ACA" w:rsidRPr="0000591E" w:rsidRDefault="00657ACA" w:rsidP="00657ACA">
            <w:pPr>
              <w:jc w:val="both"/>
              <w:rPr>
                <w:rFonts w:ascii="Arial" w:hAnsi="Arial" w:cs="Arial"/>
                <w:b/>
                <w:bCs/>
                <w:sz w:val="20"/>
                <w:szCs w:val="20"/>
              </w:rPr>
            </w:pPr>
          </w:p>
        </w:tc>
        <w:tc>
          <w:tcPr>
            <w:tcW w:w="9452" w:type="dxa"/>
            <w:noWrap/>
            <w:vAlign w:val="bottom"/>
          </w:tcPr>
          <w:p w14:paraId="30BFA218" w14:textId="77777777" w:rsidR="00657ACA" w:rsidRPr="005524FC" w:rsidRDefault="00657ACA" w:rsidP="00657ACA">
            <w:pPr>
              <w:rPr>
                <w:rFonts w:ascii="Arial" w:hAnsi="Arial" w:cs="Arial"/>
                <w:sz w:val="20"/>
                <w:szCs w:val="20"/>
              </w:rPr>
            </w:pPr>
            <w:r w:rsidRPr="005524FC">
              <w:rPr>
                <w:rFonts w:ascii="Arial" w:hAnsi="Arial" w:cs="Arial"/>
                <w:sz w:val="20"/>
                <w:szCs w:val="20"/>
              </w:rPr>
              <w:t>Hradená liečba sa môže indikovať pri respiračných infekciách vyvolaných</w:t>
            </w:r>
          </w:p>
          <w:p w14:paraId="42BA51CE" w14:textId="77777777" w:rsidR="00657ACA" w:rsidRPr="005524FC" w:rsidRDefault="00657ACA" w:rsidP="00657ACA">
            <w:pPr>
              <w:rPr>
                <w:rFonts w:ascii="Arial" w:hAnsi="Arial" w:cs="Arial"/>
                <w:sz w:val="20"/>
                <w:szCs w:val="20"/>
              </w:rPr>
            </w:pPr>
            <w:r w:rsidRPr="005524FC">
              <w:rPr>
                <w:rFonts w:ascii="Arial" w:hAnsi="Arial" w:cs="Arial"/>
                <w:sz w:val="20"/>
                <w:szCs w:val="20"/>
              </w:rPr>
              <w:t>a)</w:t>
            </w:r>
            <w:r w:rsidRPr="005524FC">
              <w:rPr>
                <w:rFonts w:ascii="Arial" w:hAnsi="Arial" w:cs="Arial"/>
                <w:sz w:val="20"/>
                <w:szCs w:val="20"/>
              </w:rPr>
              <w:tab/>
              <w:t xml:space="preserve">grampozitívnymi baktériami rezistentnými na makrolidy, </w:t>
            </w:r>
          </w:p>
          <w:p w14:paraId="00E11293" w14:textId="77777777" w:rsidR="00657ACA" w:rsidRPr="005524FC" w:rsidRDefault="00657ACA" w:rsidP="00657ACA">
            <w:pPr>
              <w:rPr>
                <w:rFonts w:ascii="Arial" w:hAnsi="Arial" w:cs="Arial"/>
                <w:sz w:val="20"/>
                <w:szCs w:val="20"/>
              </w:rPr>
            </w:pPr>
            <w:r w:rsidRPr="005524FC">
              <w:rPr>
                <w:rFonts w:ascii="Arial" w:hAnsi="Arial" w:cs="Arial"/>
                <w:sz w:val="20"/>
                <w:szCs w:val="20"/>
              </w:rPr>
              <w:t>b)</w:t>
            </w:r>
            <w:r w:rsidRPr="005524FC">
              <w:rPr>
                <w:rFonts w:ascii="Arial" w:hAnsi="Arial" w:cs="Arial"/>
                <w:sz w:val="20"/>
                <w:szCs w:val="20"/>
              </w:rPr>
              <w:tab/>
              <w:t>atypickými alebo anaeróbnymi patogénmi.</w:t>
            </w:r>
          </w:p>
          <w:p w14:paraId="048DCDAB" w14:textId="77777777" w:rsidR="00657ACA" w:rsidRDefault="00657ACA" w:rsidP="00657ACA">
            <w:pPr>
              <w:rPr>
                <w:rFonts w:ascii="Arial" w:hAnsi="Arial" w:cs="Arial"/>
                <w:sz w:val="20"/>
                <w:szCs w:val="20"/>
              </w:rPr>
            </w:pPr>
            <w:r w:rsidRPr="005524FC">
              <w:rPr>
                <w:rFonts w:ascii="Arial" w:hAnsi="Arial" w:cs="Arial"/>
                <w:sz w:val="20"/>
                <w:szCs w:val="20"/>
              </w:rPr>
              <w:t>Liečba pacientov s cystickou fibrózou (diagnóza E84 podľa Medzinárodnej klasifikácie chorôb 10) je hradená plne.</w:t>
            </w:r>
          </w:p>
          <w:p w14:paraId="4F42543F" w14:textId="4ECF5F74" w:rsidR="00657ACA" w:rsidRPr="0000591E" w:rsidRDefault="00657ACA" w:rsidP="00657ACA">
            <w:pPr>
              <w:rPr>
                <w:rFonts w:ascii="Arial" w:hAnsi="Arial" w:cs="Arial"/>
                <w:sz w:val="20"/>
                <w:szCs w:val="20"/>
              </w:rPr>
            </w:pPr>
          </w:p>
        </w:tc>
      </w:tr>
      <w:tr w:rsidR="00657ACA" w:rsidRPr="0000591E" w14:paraId="40E0396C" w14:textId="77777777" w:rsidTr="003F7925">
        <w:trPr>
          <w:gridAfter w:val="2"/>
          <w:wAfter w:w="154" w:type="dxa"/>
          <w:trHeight w:val="20"/>
        </w:trPr>
        <w:tc>
          <w:tcPr>
            <w:tcW w:w="1256" w:type="dxa"/>
            <w:tcBorders>
              <w:bottom w:val="single" w:sz="4" w:space="0" w:color="auto"/>
            </w:tcBorders>
            <w:noWrap/>
            <w:vAlign w:val="bottom"/>
          </w:tcPr>
          <w:p w14:paraId="0DC614CA" w14:textId="7F8A233D" w:rsidR="00657ACA" w:rsidRPr="0000591E" w:rsidRDefault="00657ACA" w:rsidP="00657ACA">
            <w:pPr>
              <w:jc w:val="both"/>
              <w:rPr>
                <w:rFonts w:ascii="Arial" w:hAnsi="Arial" w:cs="Arial"/>
                <w:b/>
                <w:bCs/>
                <w:sz w:val="20"/>
                <w:szCs w:val="20"/>
              </w:rPr>
            </w:pPr>
            <w:r w:rsidRPr="005524FC">
              <w:rPr>
                <w:rFonts w:ascii="Arial" w:hAnsi="Arial" w:cs="Arial"/>
                <w:b/>
                <w:bCs/>
                <w:sz w:val="20"/>
                <w:szCs w:val="20"/>
              </w:rPr>
              <w:t>J01XA01</w:t>
            </w:r>
          </w:p>
        </w:tc>
        <w:tc>
          <w:tcPr>
            <w:tcW w:w="9452" w:type="dxa"/>
            <w:tcBorders>
              <w:bottom w:val="single" w:sz="4" w:space="0" w:color="auto"/>
            </w:tcBorders>
            <w:noWrap/>
            <w:vAlign w:val="bottom"/>
          </w:tcPr>
          <w:p w14:paraId="5D21EAE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Vankomycín parent. 500 mg,</w:t>
            </w:r>
          </w:p>
          <w:p w14:paraId="793D548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Vankomycín parent. 1000 mg</w:t>
            </w:r>
          </w:p>
        </w:tc>
      </w:tr>
      <w:tr w:rsidR="00657ACA" w:rsidRPr="0000591E" w14:paraId="46859472" w14:textId="77777777" w:rsidTr="003F7925">
        <w:trPr>
          <w:gridAfter w:val="2"/>
          <w:wAfter w:w="154" w:type="dxa"/>
          <w:trHeight w:val="20"/>
        </w:trPr>
        <w:tc>
          <w:tcPr>
            <w:tcW w:w="1256" w:type="dxa"/>
            <w:noWrap/>
            <w:vAlign w:val="bottom"/>
          </w:tcPr>
          <w:p w14:paraId="7507CC9B" w14:textId="77777777" w:rsidR="00657ACA" w:rsidRPr="0000591E" w:rsidRDefault="00657ACA" w:rsidP="00657ACA">
            <w:pPr>
              <w:jc w:val="both"/>
              <w:rPr>
                <w:rFonts w:ascii="Arial" w:hAnsi="Arial" w:cs="Arial"/>
                <w:sz w:val="20"/>
                <w:szCs w:val="20"/>
              </w:rPr>
            </w:pPr>
          </w:p>
        </w:tc>
        <w:tc>
          <w:tcPr>
            <w:tcW w:w="9452" w:type="dxa"/>
            <w:noWrap/>
            <w:vAlign w:val="bottom"/>
          </w:tcPr>
          <w:p w14:paraId="4741577C" w14:textId="77777777" w:rsidR="00657ACA" w:rsidRDefault="00657ACA" w:rsidP="00657ACA">
            <w:pPr>
              <w:jc w:val="both"/>
              <w:rPr>
                <w:rFonts w:ascii="Arial" w:hAnsi="Arial" w:cs="Arial"/>
                <w:sz w:val="20"/>
                <w:szCs w:val="20"/>
              </w:rPr>
            </w:pPr>
            <w:r w:rsidRPr="0000591E">
              <w:rPr>
                <w:rFonts w:ascii="Arial" w:hAnsi="Arial" w:cs="Arial"/>
                <w:sz w:val="20"/>
                <w:szCs w:val="20"/>
              </w:rPr>
              <w:t>Hradenú liečbu môže indikovať pneumológ z centra pre liečbu cystickej fibrózy alebo alergológ z centra pre liečbu cystickej fibrózy pre ambulantnú intravenóznu liečbu u pacientov s cystickou fibrózou (diagnóza E84 podľa Medzinárodnej klasifikácie chorôb 10) s kultivačným záchytom kmeňov St. aureus.</w:t>
            </w:r>
          </w:p>
          <w:p w14:paraId="30C60F95"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62E356CB" w14:textId="0302896A" w:rsidR="00657ACA" w:rsidRPr="0000591E" w:rsidRDefault="00657ACA" w:rsidP="00657ACA">
            <w:pPr>
              <w:jc w:val="both"/>
              <w:rPr>
                <w:rFonts w:ascii="Arial" w:hAnsi="Arial" w:cs="Arial"/>
                <w:sz w:val="20"/>
                <w:szCs w:val="20"/>
              </w:rPr>
            </w:pPr>
          </w:p>
        </w:tc>
      </w:tr>
      <w:tr w:rsidR="00657ACA" w:rsidRPr="0000591E" w14:paraId="684A7B26" w14:textId="77777777" w:rsidTr="003F7925">
        <w:trPr>
          <w:gridAfter w:val="2"/>
          <w:wAfter w:w="154" w:type="dxa"/>
          <w:trHeight w:val="20"/>
        </w:trPr>
        <w:tc>
          <w:tcPr>
            <w:tcW w:w="1256" w:type="dxa"/>
            <w:tcBorders>
              <w:bottom w:val="single" w:sz="4" w:space="0" w:color="auto"/>
            </w:tcBorders>
            <w:noWrap/>
            <w:vAlign w:val="bottom"/>
          </w:tcPr>
          <w:p w14:paraId="0D9CA612" w14:textId="77777777" w:rsidR="00657ACA" w:rsidRPr="0000591E" w:rsidRDefault="00657ACA" w:rsidP="00657ACA">
            <w:pPr>
              <w:jc w:val="both"/>
              <w:rPr>
                <w:rFonts w:ascii="Arial" w:hAnsi="Arial" w:cs="Arial"/>
                <w:b/>
                <w:bCs/>
                <w:sz w:val="20"/>
                <w:szCs w:val="20"/>
              </w:rPr>
            </w:pPr>
            <w:r w:rsidRPr="008B547C">
              <w:rPr>
                <w:rFonts w:ascii="Arial" w:hAnsi="Arial" w:cs="Arial"/>
                <w:b/>
                <w:sz w:val="20"/>
                <w:szCs w:val="20"/>
              </w:rPr>
              <w:t>J01XB01</w:t>
            </w:r>
          </w:p>
        </w:tc>
        <w:tc>
          <w:tcPr>
            <w:tcW w:w="9452" w:type="dxa"/>
            <w:tcBorders>
              <w:bottom w:val="single" w:sz="4" w:space="0" w:color="auto"/>
            </w:tcBorders>
            <w:noWrap/>
            <w:vAlign w:val="bottom"/>
          </w:tcPr>
          <w:p w14:paraId="4D9BAD0C" w14:textId="77777777" w:rsidR="00657ACA" w:rsidRPr="0000591E" w:rsidRDefault="00657ACA" w:rsidP="00657ACA">
            <w:pPr>
              <w:jc w:val="both"/>
              <w:rPr>
                <w:rFonts w:ascii="Arial" w:hAnsi="Arial" w:cs="Arial"/>
                <w:b/>
                <w:bCs/>
                <w:sz w:val="20"/>
                <w:szCs w:val="20"/>
              </w:rPr>
            </w:pPr>
            <w:r w:rsidRPr="001A229E">
              <w:rPr>
                <w:rFonts w:ascii="Arial" w:hAnsi="Arial" w:cs="Arial"/>
                <w:b/>
                <w:bCs/>
                <w:sz w:val="20"/>
                <w:szCs w:val="20"/>
              </w:rPr>
              <w:t>Kolistín</w:t>
            </w:r>
            <w:r>
              <w:rPr>
                <w:rFonts w:ascii="Arial" w:hAnsi="Arial" w:cs="Arial"/>
                <w:b/>
                <w:bCs/>
                <w:sz w:val="20"/>
                <w:szCs w:val="20"/>
              </w:rPr>
              <w:t xml:space="preserve"> </w:t>
            </w:r>
            <w:r w:rsidRPr="00C16014">
              <w:rPr>
                <w:rFonts w:ascii="Arial" w:hAnsi="Arial" w:cs="Arial"/>
                <w:b/>
                <w:bCs/>
                <w:sz w:val="20"/>
                <w:szCs w:val="20"/>
              </w:rPr>
              <w:t>inhal. 125 mg</w:t>
            </w:r>
          </w:p>
        </w:tc>
      </w:tr>
      <w:tr w:rsidR="00657ACA" w:rsidRPr="0000591E" w14:paraId="20463E69" w14:textId="77777777" w:rsidTr="00810656">
        <w:trPr>
          <w:gridAfter w:val="2"/>
          <w:wAfter w:w="154" w:type="dxa"/>
          <w:trHeight w:val="20"/>
        </w:trPr>
        <w:tc>
          <w:tcPr>
            <w:tcW w:w="1256" w:type="dxa"/>
            <w:noWrap/>
            <w:vAlign w:val="bottom"/>
          </w:tcPr>
          <w:p w14:paraId="0C636030" w14:textId="77777777" w:rsidR="00657ACA" w:rsidRPr="0000591E" w:rsidRDefault="00657ACA" w:rsidP="00657ACA">
            <w:pPr>
              <w:jc w:val="both"/>
              <w:rPr>
                <w:rFonts w:ascii="Arial" w:hAnsi="Arial" w:cs="Arial"/>
                <w:b/>
                <w:bCs/>
                <w:sz w:val="20"/>
                <w:szCs w:val="20"/>
              </w:rPr>
            </w:pPr>
          </w:p>
        </w:tc>
        <w:tc>
          <w:tcPr>
            <w:tcW w:w="9452" w:type="dxa"/>
            <w:noWrap/>
            <w:vAlign w:val="bottom"/>
          </w:tcPr>
          <w:p w14:paraId="1065D8E2" w14:textId="6A8E85F6" w:rsidR="00657ACA" w:rsidRDefault="00657ACA" w:rsidP="00657ACA">
            <w:pPr>
              <w:jc w:val="both"/>
              <w:rPr>
                <w:rFonts w:ascii="Arial" w:hAnsi="Arial"/>
                <w:color w:val="000000"/>
                <w:sz w:val="20"/>
                <w:u w:color="000000"/>
              </w:rPr>
            </w:pPr>
            <w:r w:rsidRPr="00F449C0">
              <w:rPr>
                <w:rFonts w:ascii="Arial" w:hAnsi="Arial"/>
                <w:color w:val="000000"/>
                <w:sz w:val="20"/>
                <w:u w:color="000000"/>
              </w:rPr>
              <w:t>Liečba pacientov s cystickou fibrózou (diagnóza E84 podľa Medzinárodnej klasifikácie chorôb 10) je hradená plne.</w:t>
            </w:r>
          </w:p>
          <w:p w14:paraId="5B6DBCD2" w14:textId="6E8C1DF3"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BF1A4A6" w14:textId="77777777" w:rsidR="00657ACA" w:rsidRPr="0000591E" w:rsidRDefault="00657ACA" w:rsidP="00657ACA">
            <w:pPr>
              <w:jc w:val="both"/>
              <w:rPr>
                <w:rFonts w:ascii="Arial" w:hAnsi="Arial" w:cs="Arial"/>
                <w:b/>
                <w:bCs/>
                <w:sz w:val="20"/>
                <w:szCs w:val="20"/>
              </w:rPr>
            </w:pPr>
          </w:p>
        </w:tc>
      </w:tr>
      <w:tr w:rsidR="00657ACA" w:rsidRPr="0000591E" w14:paraId="547EDFBE" w14:textId="77777777" w:rsidTr="00810656">
        <w:trPr>
          <w:gridAfter w:val="2"/>
          <w:wAfter w:w="154" w:type="dxa"/>
          <w:trHeight w:val="20"/>
        </w:trPr>
        <w:tc>
          <w:tcPr>
            <w:tcW w:w="1256" w:type="dxa"/>
            <w:tcBorders>
              <w:bottom w:val="single" w:sz="4" w:space="0" w:color="auto"/>
            </w:tcBorders>
            <w:noWrap/>
            <w:vAlign w:val="bottom"/>
          </w:tcPr>
          <w:p w14:paraId="41D50E4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J01XX08</w:t>
            </w:r>
          </w:p>
        </w:tc>
        <w:tc>
          <w:tcPr>
            <w:tcW w:w="9452" w:type="dxa"/>
            <w:tcBorders>
              <w:bottom w:val="single" w:sz="4" w:space="0" w:color="auto"/>
            </w:tcBorders>
            <w:noWrap/>
            <w:vAlign w:val="bottom"/>
          </w:tcPr>
          <w:p w14:paraId="25915BE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Linezolid p.o. 600 mg                     </w:t>
            </w:r>
          </w:p>
        </w:tc>
      </w:tr>
      <w:tr w:rsidR="00657ACA" w:rsidRPr="0000591E" w14:paraId="45D7349E" w14:textId="77777777" w:rsidTr="00810656">
        <w:trPr>
          <w:gridAfter w:val="2"/>
          <w:wAfter w:w="154" w:type="dxa"/>
          <w:trHeight w:val="20"/>
        </w:trPr>
        <w:tc>
          <w:tcPr>
            <w:tcW w:w="1256" w:type="dxa"/>
            <w:tcBorders>
              <w:top w:val="single" w:sz="4" w:space="0" w:color="auto"/>
            </w:tcBorders>
            <w:noWrap/>
            <w:vAlign w:val="bottom"/>
          </w:tcPr>
          <w:p w14:paraId="225A526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E1896E7"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Hradená liečba sa môže indikovať u pacientov so závažnými infekciami spôsobenými</w:t>
            </w:r>
          </w:p>
          <w:p w14:paraId="1062196D" w14:textId="77777777" w:rsidR="00657ACA" w:rsidRPr="0000591E" w:rsidRDefault="00657ACA">
            <w:pPr>
              <w:numPr>
                <w:ilvl w:val="0"/>
                <w:numId w:val="14"/>
              </w:numPr>
              <w:tabs>
                <w:tab w:val="num" w:pos="731"/>
              </w:tabs>
              <w:autoSpaceDE w:val="0"/>
              <w:autoSpaceDN w:val="0"/>
              <w:adjustRightInd w:val="0"/>
              <w:ind w:left="731" w:hanging="360"/>
              <w:jc w:val="both"/>
              <w:rPr>
                <w:rFonts w:ascii="Arial" w:hAnsi="Arial" w:cs="Arial"/>
                <w:sz w:val="20"/>
                <w:szCs w:val="20"/>
              </w:rPr>
            </w:pPr>
            <w:r w:rsidRPr="0000591E">
              <w:rPr>
                <w:rFonts w:ascii="Arial" w:hAnsi="Arial" w:cs="Arial"/>
                <w:sz w:val="20"/>
                <w:szCs w:val="20"/>
              </w:rPr>
              <w:t>meticilín-rezistentnými kmeňmi stafylokokov, polyrezistentnými enterokokmi a polyrezistentnými pneumokokmi ako pokračovanie intravenóznej liečby,</w:t>
            </w:r>
          </w:p>
          <w:p w14:paraId="1E7627AB" w14:textId="77777777" w:rsidR="00657ACA" w:rsidRPr="0000591E" w:rsidRDefault="00657ACA">
            <w:pPr>
              <w:numPr>
                <w:ilvl w:val="0"/>
                <w:numId w:val="14"/>
              </w:numPr>
              <w:tabs>
                <w:tab w:val="num" w:pos="731"/>
              </w:tabs>
              <w:autoSpaceDE w:val="0"/>
              <w:autoSpaceDN w:val="0"/>
              <w:adjustRightInd w:val="0"/>
              <w:ind w:left="731" w:hanging="360"/>
              <w:jc w:val="both"/>
              <w:rPr>
                <w:rFonts w:ascii="Arial" w:hAnsi="Arial" w:cs="Arial"/>
                <w:sz w:val="20"/>
                <w:szCs w:val="20"/>
              </w:rPr>
            </w:pPr>
            <w:r w:rsidRPr="0000591E">
              <w:rPr>
                <w:rFonts w:ascii="Arial" w:hAnsi="Arial" w:cs="Arial"/>
                <w:sz w:val="20"/>
                <w:szCs w:val="20"/>
              </w:rPr>
              <w:t>polyrezistentnými kmeňmi grampozitívnych baktérií, u ktorých nie je možné podávať vankomycín pre poruchu obličkových funkcií, kde nie je možné meraním hladín vankomycínu predísť toxicite, alebo neodpovedajú na liečbu vankomycínom vzhľadom k nízkym hladinám v sére pri podávaní štandardných dávok.</w:t>
            </w:r>
          </w:p>
          <w:p w14:paraId="35DC8005"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 xml:space="preserve">Polyrezistenciou sa rozumie rezistencia na tri a viac skupín antibiotík. </w:t>
            </w:r>
          </w:p>
          <w:p w14:paraId="672822C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Začiatok liečby môže indikovať lekár zdravotníckeho zariadenia ústavnej zdravotnej starostlivosti.</w:t>
            </w:r>
          </w:p>
          <w:p w14:paraId="09CBC3EE"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69283070" w14:textId="77777777" w:rsidR="00657ACA" w:rsidRPr="0000591E" w:rsidRDefault="00657ACA" w:rsidP="00657ACA">
            <w:pPr>
              <w:jc w:val="both"/>
              <w:rPr>
                <w:rFonts w:ascii="Arial" w:hAnsi="Arial" w:cs="Arial"/>
                <w:sz w:val="20"/>
                <w:szCs w:val="20"/>
              </w:rPr>
            </w:pPr>
          </w:p>
        </w:tc>
      </w:tr>
      <w:tr w:rsidR="00657ACA" w:rsidRPr="0000591E" w14:paraId="7C3D1240" w14:textId="77777777" w:rsidTr="00CC73CE">
        <w:trPr>
          <w:gridAfter w:val="2"/>
          <w:wAfter w:w="154" w:type="dxa"/>
          <w:trHeight w:val="20"/>
        </w:trPr>
        <w:tc>
          <w:tcPr>
            <w:tcW w:w="1256" w:type="dxa"/>
            <w:tcBorders>
              <w:bottom w:val="single" w:sz="4" w:space="0" w:color="auto"/>
            </w:tcBorders>
            <w:noWrap/>
            <w:vAlign w:val="center"/>
          </w:tcPr>
          <w:p w14:paraId="49D32DD1" w14:textId="02F5F5EF" w:rsidR="00657ACA" w:rsidRPr="0000591E" w:rsidRDefault="00657ACA" w:rsidP="00657ACA">
            <w:pPr>
              <w:rPr>
                <w:rFonts w:ascii="Arial" w:hAnsi="Arial" w:cs="Arial"/>
                <w:b/>
                <w:bCs/>
                <w:sz w:val="20"/>
                <w:szCs w:val="20"/>
              </w:rPr>
            </w:pPr>
            <w:r w:rsidRPr="00CC73CE">
              <w:rPr>
                <w:rFonts w:ascii="Arial" w:hAnsi="Arial" w:cs="Arial"/>
                <w:b/>
                <w:bCs/>
                <w:sz w:val="20"/>
                <w:szCs w:val="20"/>
              </w:rPr>
              <w:t>J02</w:t>
            </w:r>
          </w:p>
        </w:tc>
        <w:tc>
          <w:tcPr>
            <w:tcW w:w="9452" w:type="dxa"/>
            <w:tcBorders>
              <w:bottom w:val="single" w:sz="4" w:space="0" w:color="auto"/>
            </w:tcBorders>
            <w:noWrap/>
            <w:vAlign w:val="bottom"/>
          </w:tcPr>
          <w:p w14:paraId="45918F8E" w14:textId="721BA197" w:rsidR="00657ACA" w:rsidRPr="0000591E" w:rsidRDefault="00657ACA" w:rsidP="00657ACA">
            <w:pPr>
              <w:rPr>
                <w:rFonts w:ascii="Arial" w:hAnsi="Arial" w:cs="Arial"/>
                <w:b/>
                <w:bCs/>
                <w:sz w:val="20"/>
                <w:szCs w:val="20"/>
              </w:rPr>
            </w:pPr>
            <w:r w:rsidRPr="00CC73CE">
              <w:rPr>
                <w:rFonts w:ascii="Arial" w:hAnsi="Arial" w:cs="Arial"/>
                <w:b/>
                <w:bCs/>
                <w:sz w:val="20"/>
                <w:szCs w:val="20"/>
              </w:rPr>
              <w:t>Antimykotiká na systémové použitie</w:t>
            </w:r>
          </w:p>
        </w:tc>
      </w:tr>
      <w:tr w:rsidR="00657ACA" w:rsidRPr="0000591E" w14:paraId="7112F414" w14:textId="77777777" w:rsidTr="00CC73CE">
        <w:trPr>
          <w:gridAfter w:val="2"/>
          <w:wAfter w:w="154" w:type="dxa"/>
          <w:trHeight w:val="20"/>
        </w:trPr>
        <w:tc>
          <w:tcPr>
            <w:tcW w:w="1256" w:type="dxa"/>
            <w:tcBorders>
              <w:top w:val="single" w:sz="4" w:space="0" w:color="auto"/>
            </w:tcBorders>
            <w:noWrap/>
            <w:vAlign w:val="center"/>
          </w:tcPr>
          <w:p w14:paraId="04DA8E2D"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23E5E3C4" w14:textId="662419BF" w:rsidR="00657ACA" w:rsidRDefault="00657ACA" w:rsidP="00657ACA">
            <w:pPr>
              <w:jc w:val="both"/>
              <w:rPr>
                <w:rFonts w:ascii="Arial" w:hAnsi="Arial" w:cs="Arial"/>
                <w:bCs/>
                <w:sz w:val="20"/>
                <w:szCs w:val="20"/>
              </w:rPr>
            </w:pPr>
            <w:r w:rsidRPr="00CC73CE">
              <w:rPr>
                <w:rFonts w:ascii="Arial" w:hAnsi="Arial" w:cs="Arial"/>
                <w:bCs/>
                <w:sz w:val="20"/>
                <w:szCs w:val="20"/>
              </w:rPr>
              <w:t>Liečba pacientov s cystickou fibrózou (diagnóza E84 podľa Medzináro</w:t>
            </w:r>
            <w:r>
              <w:rPr>
                <w:rFonts w:ascii="Arial" w:hAnsi="Arial" w:cs="Arial"/>
                <w:bCs/>
                <w:sz w:val="20"/>
                <w:szCs w:val="20"/>
              </w:rPr>
              <w:t>dnej klasifikácie chorôb 10) je h</w:t>
            </w:r>
            <w:r w:rsidRPr="00CC73CE">
              <w:rPr>
                <w:rFonts w:ascii="Arial" w:hAnsi="Arial" w:cs="Arial"/>
                <w:bCs/>
                <w:sz w:val="20"/>
                <w:szCs w:val="20"/>
              </w:rPr>
              <w:t>radená plne.</w:t>
            </w:r>
          </w:p>
          <w:p w14:paraId="6664246E" w14:textId="77777777" w:rsidR="00657ACA" w:rsidRDefault="00657ACA" w:rsidP="00657ACA">
            <w:pPr>
              <w:rPr>
                <w:rFonts w:ascii="Arial" w:hAnsi="Arial" w:cs="Arial"/>
                <w:bCs/>
                <w:sz w:val="20"/>
                <w:szCs w:val="20"/>
              </w:rPr>
            </w:pPr>
          </w:p>
          <w:p w14:paraId="4F8D0C05" w14:textId="46C237DD" w:rsidR="00790876" w:rsidRPr="00CC73CE" w:rsidRDefault="00790876" w:rsidP="00657ACA">
            <w:pPr>
              <w:rPr>
                <w:rFonts w:ascii="Arial" w:hAnsi="Arial" w:cs="Arial"/>
                <w:bCs/>
                <w:sz w:val="20"/>
                <w:szCs w:val="20"/>
              </w:rPr>
            </w:pPr>
          </w:p>
        </w:tc>
      </w:tr>
      <w:tr w:rsidR="00657ACA" w:rsidRPr="0000591E" w14:paraId="22CC0E9A" w14:textId="77777777" w:rsidTr="00CC73CE">
        <w:trPr>
          <w:gridAfter w:val="2"/>
          <w:wAfter w:w="154" w:type="dxa"/>
          <w:trHeight w:val="20"/>
        </w:trPr>
        <w:tc>
          <w:tcPr>
            <w:tcW w:w="1256" w:type="dxa"/>
            <w:tcBorders>
              <w:bottom w:val="single" w:sz="4" w:space="0" w:color="auto"/>
            </w:tcBorders>
            <w:noWrap/>
            <w:vAlign w:val="center"/>
          </w:tcPr>
          <w:p w14:paraId="0033B0C9" w14:textId="77777777" w:rsidR="00657ACA" w:rsidRDefault="00657ACA" w:rsidP="00657ACA">
            <w:pPr>
              <w:rPr>
                <w:rFonts w:ascii="Arial" w:hAnsi="Arial" w:cs="Arial"/>
                <w:b/>
                <w:bCs/>
                <w:sz w:val="20"/>
                <w:szCs w:val="20"/>
              </w:rPr>
            </w:pPr>
          </w:p>
          <w:p w14:paraId="68FAC156" w14:textId="4C089472" w:rsidR="00657ACA" w:rsidRPr="0000591E" w:rsidRDefault="00657ACA" w:rsidP="00657ACA">
            <w:pPr>
              <w:rPr>
                <w:rFonts w:ascii="Arial" w:hAnsi="Arial" w:cs="Arial"/>
                <w:b/>
                <w:bCs/>
                <w:sz w:val="20"/>
                <w:szCs w:val="20"/>
              </w:rPr>
            </w:pPr>
            <w:r w:rsidRPr="0000591E">
              <w:rPr>
                <w:rFonts w:ascii="Arial" w:hAnsi="Arial" w:cs="Arial"/>
                <w:b/>
                <w:bCs/>
                <w:sz w:val="20"/>
                <w:szCs w:val="20"/>
              </w:rPr>
              <w:lastRenderedPageBreak/>
              <w:t>J02AC01</w:t>
            </w:r>
          </w:p>
        </w:tc>
        <w:tc>
          <w:tcPr>
            <w:tcW w:w="9452" w:type="dxa"/>
            <w:tcBorders>
              <w:bottom w:val="single" w:sz="4" w:space="0" w:color="auto"/>
            </w:tcBorders>
            <w:noWrap/>
            <w:vAlign w:val="bottom"/>
          </w:tcPr>
          <w:p w14:paraId="55DB3B00"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lastRenderedPageBreak/>
              <w:t>Flukonazol p.o. 100 mg,</w:t>
            </w:r>
          </w:p>
          <w:p w14:paraId="56735D3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 xml:space="preserve">Flukonazol p.o. 150 mg </w:t>
            </w:r>
          </w:p>
        </w:tc>
      </w:tr>
      <w:tr w:rsidR="00657ACA" w:rsidRPr="0000591E" w14:paraId="271ED93B" w14:textId="77777777" w:rsidTr="003F7925">
        <w:trPr>
          <w:gridAfter w:val="2"/>
          <w:wAfter w:w="154" w:type="dxa"/>
          <w:trHeight w:val="20"/>
        </w:trPr>
        <w:tc>
          <w:tcPr>
            <w:tcW w:w="1256" w:type="dxa"/>
            <w:tcBorders>
              <w:top w:val="single" w:sz="4" w:space="0" w:color="auto"/>
            </w:tcBorders>
            <w:noWrap/>
            <w:vAlign w:val="bottom"/>
          </w:tcPr>
          <w:p w14:paraId="0958FAF2"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59FD6F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krátkodobo na základe kultivačného alebo mikroskopického vyšetrenia pri</w:t>
            </w:r>
          </w:p>
          <w:p w14:paraId="50061B97" w14:textId="77777777" w:rsidR="00657ACA" w:rsidRPr="0000591E" w:rsidRDefault="00657ACA">
            <w:pPr>
              <w:numPr>
                <w:ilvl w:val="0"/>
                <w:numId w:val="15"/>
              </w:numPr>
              <w:jc w:val="both"/>
              <w:rPr>
                <w:rFonts w:ascii="Arial" w:hAnsi="Arial" w:cs="Arial"/>
                <w:sz w:val="20"/>
                <w:szCs w:val="20"/>
              </w:rPr>
            </w:pPr>
            <w:r w:rsidRPr="0000591E">
              <w:rPr>
                <w:rFonts w:ascii="Arial" w:hAnsi="Arial" w:cs="Arial"/>
                <w:sz w:val="20"/>
                <w:szCs w:val="20"/>
              </w:rPr>
              <w:t>vaginálnych mykózach nereagujúcich na lokálne aplikované antimykotiká,</w:t>
            </w:r>
          </w:p>
          <w:p w14:paraId="155D5E9A" w14:textId="77777777" w:rsidR="00657ACA" w:rsidRPr="0000591E" w:rsidRDefault="00657ACA">
            <w:pPr>
              <w:numPr>
                <w:ilvl w:val="0"/>
                <w:numId w:val="15"/>
              </w:numPr>
              <w:jc w:val="both"/>
              <w:rPr>
                <w:rFonts w:ascii="Arial" w:hAnsi="Arial" w:cs="Arial"/>
                <w:sz w:val="20"/>
                <w:szCs w:val="20"/>
              </w:rPr>
            </w:pPr>
            <w:r w:rsidRPr="0000591E">
              <w:rPr>
                <w:rFonts w:ascii="Arial" w:hAnsi="Arial" w:cs="Arial"/>
                <w:sz w:val="20"/>
                <w:szCs w:val="20"/>
              </w:rPr>
              <w:t>recidívach vaginálnych mykóz.</w:t>
            </w:r>
          </w:p>
          <w:p w14:paraId="3A02FF4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Viacdenná hradená liečba sa môže indikovať na základe kultivácie alebo mikroskopického vyšetrenia pri</w:t>
            </w:r>
          </w:p>
          <w:p w14:paraId="20073B21" w14:textId="77777777" w:rsidR="00657ACA" w:rsidRPr="0000591E" w:rsidRDefault="00657ACA">
            <w:pPr>
              <w:numPr>
                <w:ilvl w:val="0"/>
                <w:numId w:val="16"/>
              </w:numPr>
              <w:jc w:val="both"/>
              <w:rPr>
                <w:rFonts w:ascii="Arial" w:hAnsi="Arial" w:cs="Arial"/>
                <w:sz w:val="20"/>
                <w:szCs w:val="20"/>
              </w:rPr>
            </w:pPr>
            <w:r w:rsidRPr="0000591E">
              <w:rPr>
                <w:rFonts w:ascii="Arial" w:hAnsi="Arial" w:cs="Arial"/>
                <w:sz w:val="20"/>
                <w:szCs w:val="20"/>
              </w:rPr>
              <w:t>systémových mykózach u imunokompromitovaných pacientov,</w:t>
            </w:r>
          </w:p>
          <w:p w14:paraId="507424A6" w14:textId="77777777" w:rsidR="00657ACA" w:rsidRPr="0000591E" w:rsidRDefault="00657ACA">
            <w:pPr>
              <w:numPr>
                <w:ilvl w:val="0"/>
                <w:numId w:val="16"/>
              </w:numPr>
              <w:jc w:val="both"/>
              <w:rPr>
                <w:rFonts w:ascii="Arial" w:hAnsi="Arial" w:cs="Arial"/>
                <w:sz w:val="20"/>
                <w:szCs w:val="20"/>
              </w:rPr>
            </w:pPr>
            <w:r w:rsidRPr="0000591E">
              <w:rPr>
                <w:rFonts w:ascii="Arial" w:hAnsi="Arial" w:cs="Arial"/>
                <w:sz w:val="20"/>
                <w:szCs w:val="20"/>
              </w:rPr>
              <w:t>dermatomykózach,</w:t>
            </w:r>
          </w:p>
          <w:p w14:paraId="5746D1B1" w14:textId="3F9A7E45" w:rsidR="00657ACA" w:rsidRPr="0026396C" w:rsidRDefault="00657ACA">
            <w:pPr>
              <w:numPr>
                <w:ilvl w:val="0"/>
                <w:numId w:val="16"/>
              </w:numPr>
              <w:jc w:val="both"/>
              <w:rPr>
                <w:rFonts w:ascii="Arial" w:hAnsi="Arial" w:cs="Arial"/>
                <w:sz w:val="20"/>
                <w:szCs w:val="20"/>
              </w:rPr>
            </w:pPr>
            <w:r w:rsidRPr="0000591E">
              <w:rPr>
                <w:rFonts w:ascii="Arial" w:hAnsi="Arial" w:cs="Arial"/>
                <w:sz w:val="20"/>
                <w:szCs w:val="20"/>
              </w:rPr>
              <w:t>liečbe orálnej,</w:t>
            </w:r>
            <w:r>
              <w:rPr>
                <w:rFonts w:ascii="Arial" w:hAnsi="Arial" w:cs="Arial"/>
                <w:sz w:val="20"/>
                <w:szCs w:val="20"/>
              </w:rPr>
              <w:t xml:space="preserve"> alebo oesophageálnej kandidózy.</w:t>
            </w:r>
          </w:p>
          <w:p w14:paraId="52E745B9"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u imunokompromitovaných pacientov a u pacientov pred vykonaním transplantácie.</w:t>
            </w:r>
          </w:p>
          <w:p w14:paraId="0D6A9C8E" w14:textId="77777777" w:rsidR="00657ACA" w:rsidRPr="0000591E"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4E04BEF7" w14:textId="77777777" w:rsidR="00657ACA" w:rsidRPr="0000591E" w:rsidRDefault="00657ACA" w:rsidP="00657ACA">
            <w:pPr>
              <w:jc w:val="both"/>
              <w:rPr>
                <w:rFonts w:ascii="Arial" w:hAnsi="Arial" w:cs="Arial"/>
                <w:sz w:val="20"/>
                <w:szCs w:val="20"/>
              </w:rPr>
            </w:pPr>
          </w:p>
        </w:tc>
      </w:tr>
      <w:tr w:rsidR="00657ACA" w:rsidRPr="0000591E" w14:paraId="56A7BDF8" w14:textId="77777777" w:rsidTr="003F7925">
        <w:trPr>
          <w:gridAfter w:val="2"/>
          <w:wAfter w:w="154" w:type="dxa"/>
          <w:trHeight w:val="20"/>
        </w:trPr>
        <w:tc>
          <w:tcPr>
            <w:tcW w:w="1256" w:type="dxa"/>
            <w:tcBorders>
              <w:bottom w:val="single" w:sz="4" w:space="0" w:color="auto"/>
            </w:tcBorders>
            <w:noWrap/>
            <w:vAlign w:val="center"/>
          </w:tcPr>
          <w:p w14:paraId="53999CBC" w14:textId="77777777" w:rsidR="00657ACA" w:rsidRDefault="00657ACA" w:rsidP="00657ACA">
            <w:pPr>
              <w:rPr>
                <w:rFonts w:ascii="Arial" w:hAnsi="Arial" w:cs="Arial"/>
                <w:b/>
                <w:bCs/>
                <w:sz w:val="20"/>
                <w:szCs w:val="20"/>
              </w:rPr>
            </w:pPr>
          </w:p>
          <w:p w14:paraId="65807B8E" w14:textId="09B3D907" w:rsidR="00657ACA" w:rsidRPr="0000591E" w:rsidRDefault="00657ACA" w:rsidP="00657ACA">
            <w:pPr>
              <w:rPr>
                <w:rFonts w:ascii="Arial" w:hAnsi="Arial" w:cs="Arial"/>
                <w:b/>
                <w:bCs/>
                <w:sz w:val="20"/>
                <w:szCs w:val="20"/>
              </w:rPr>
            </w:pPr>
            <w:r w:rsidRPr="0000591E">
              <w:rPr>
                <w:rFonts w:ascii="Arial" w:hAnsi="Arial" w:cs="Arial"/>
                <w:b/>
                <w:bCs/>
                <w:sz w:val="20"/>
                <w:szCs w:val="20"/>
              </w:rPr>
              <w:t>J02AC01</w:t>
            </w:r>
          </w:p>
        </w:tc>
        <w:tc>
          <w:tcPr>
            <w:tcW w:w="9452" w:type="dxa"/>
            <w:tcBorders>
              <w:bottom w:val="single" w:sz="4" w:space="0" w:color="auto"/>
            </w:tcBorders>
            <w:noWrap/>
            <w:vAlign w:val="bottom"/>
          </w:tcPr>
          <w:p w14:paraId="0D10EF9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Flukonazol p.o. 10 mg/ml,</w:t>
            </w:r>
          </w:p>
          <w:p w14:paraId="5DC4817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Flukonazol p.o. 40 mg/ml</w:t>
            </w:r>
          </w:p>
        </w:tc>
      </w:tr>
      <w:tr w:rsidR="00657ACA" w:rsidRPr="0000591E" w14:paraId="0E8B749A" w14:textId="77777777" w:rsidTr="003F7925">
        <w:trPr>
          <w:gridAfter w:val="2"/>
          <w:wAfter w:w="154" w:type="dxa"/>
          <w:trHeight w:val="20"/>
        </w:trPr>
        <w:tc>
          <w:tcPr>
            <w:tcW w:w="1256" w:type="dxa"/>
            <w:tcBorders>
              <w:top w:val="single" w:sz="4" w:space="0" w:color="auto"/>
            </w:tcBorders>
            <w:noWrap/>
            <w:vAlign w:val="bottom"/>
          </w:tcPr>
          <w:p w14:paraId="7C2FCA1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0684C3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krátkodobo pre pacientov s obmedzeným perorálnym príjmom na základe kultivačného alebo mikroskopického vyšetrenia pri</w:t>
            </w:r>
          </w:p>
          <w:p w14:paraId="4C3FAF12" w14:textId="77777777" w:rsidR="00657ACA" w:rsidRPr="0000591E" w:rsidRDefault="00657ACA">
            <w:pPr>
              <w:numPr>
                <w:ilvl w:val="0"/>
                <w:numId w:val="17"/>
              </w:numPr>
              <w:jc w:val="both"/>
              <w:rPr>
                <w:rFonts w:ascii="Arial" w:hAnsi="Arial" w:cs="Arial"/>
                <w:sz w:val="20"/>
                <w:szCs w:val="20"/>
              </w:rPr>
            </w:pPr>
            <w:r w:rsidRPr="0000591E">
              <w:rPr>
                <w:rFonts w:ascii="Arial" w:hAnsi="Arial" w:cs="Arial"/>
                <w:sz w:val="20"/>
                <w:szCs w:val="20"/>
              </w:rPr>
              <w:t>vaginálnych mykózach nereagujúcich na lokálne aplikované antimykotiká,</w:t>
            </w:r>
          </w:p>
          <w:p w14:paraId="422C1304" w14:textId="77777777" w:rsidR="00657ACA" w:rsidRPr="0000591E" w:rsidRDefault="00657ACA">
            <w:pPr>
              <w:numPr>
                <w:ilvl w:val="0"/>
                <w:numId w:val="17"/>
              </w:numPr>
              <w:jc w:val="both"/>
              <w:rPr>
                <w:rFonts w:ascii="Arial" w:hAnsi="Arial" w:cs="Arial"/>
                <w:sz w:val="20"/>
                <w:szCs w:val="20"/>
              </w:rPr>
            </w:pPr>
            <w:r w:rsidRPr="0000591E">
              <w:rPr>
                <w:rFonts w:ascii="Arial" w:hAnsi="Arial" w:cs="Arial"/>
                <w:sz w:val="20"/>
                <w:szCs w:val="20"/>
              </w:rPr>
              <w:t>recidívach vaginálnych mykóz.</w:t>
            </w:r>
          </w:p>
          <w:p w14:paraId="2FE2534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Viacdenná hradená liečba sa môže indikovať na základe kultivácie alebo mikroskopického vyšetrenia pri</w:t>
            </w:r>
          </w:p>
          <w:p w14:paraId="18A08D14" w14:textId="77777777" w:rsidR="00657ACA" w:rsidRPr="0000591E" w:rsidRDefault="00657ACA">
            <w:pPr>
              <w:numPr>
                <w:ilvl w:val="0"/>
                <w:numId w:val="18"/>
              </w:numPr>
              <w:jc w:val="both"/>
              <w:rPr>
                <w:rFonts w:ascii="Arial" w:hAnsi="Arial" w:cs="Arial"/>
                <w:sz w:val="20"/>
                <w:szCs w:val="20"/>
              </w:rPr>
            </w:pPr>
            <w:r w:rsidRPr="0000591E">
              <w:rPr>
                <w:rFonts w:ascii="Arial" w:hAnsi="Arial" w:cs="Arial"/>
                <w:sz w:val="20"/>
                <w:szCs w:val="20"/>
              </w:rPr>
              <w:t>systémových mykózach u imunokompromitovaných pacientov,</w:t>
            </w:r>
          </w:p>
          <w:p w14:paraId="6250EF09" w14:textId="77777777" w:rsidR="00657ACA" w:rsidRPr="0000591E" w:rsidRDefault="00657ACA">
            <w:pPr>
              <w:numPr>
                <w:ilvl w:val="0"/>
                <w:numId w:val="18"/>
              </w:numPr>
              <w:jc w:val="both"/>
              <w:rPr>
                <w:rFonts w:ascii="Arial" w:hAnsi="Arial" w:cs="Arial"/>
                <w:sz w:val="20"/>
                <w:szCs w:val="20"/>
              </w:rPr>
            </w:pPr>
            <w:r w:rsidRPr="0000591E">
              <w:rPr>
                <w:rFonts w:ascii="Arial" w:hAnsi="Arial" w:cs="Arial"/>
                <w:sz w:val="20"/>
                <w:szCs w:val="20"/>
              </w:rPr>
              <w:t>dermatomykózach,</w:t>
            </w:r>
          </w:p>
          <w:p w14:paraId="52451E3E" w14:textId="15635651" w:rsidR="00657ACA" w:rsidRPr="0026396C" w:rsidRDefault="00657ACA">
            <w:pPr>
              <w:numPr>
                <w:ilvl w:val="0"/>
                <w:numId w:val="18"/>
              </w:numPr>
              <w:jc w:val="both"/>
              <w:rPr>
                <w:rFonts w:ascii="Arial" w:hAnsi="Arial" w:cs="Arial"/>
                <w:sz w:val="20"/>
                <w:szCs w:val="20"/>
              </w:rPr>
            </w:pPr>
            <w:r w:rsidRPr="0000591E">
              <w:rPr>
                <w:rFonts w:ascii="Arial" w:hAnsi="Arial" w:cs="Arial"/>
                <w:sz w:val="20"/>
                <w:szCs w:val="20"/>
              </w:rPr>
              <w:t>liečbe orálnej,</w:t>
            </w:r>
            <w:r>
              <w:rPr>
                <w:rFonts w:ascii="Arial" w:hAnsi="Arial" w:cs="Arial"/>
                <w:sz w:val="20"/>
                <w:szCs w:val="20"/>
              </w:rPr>
              <w:t xml:space="preserve"> alebo oesophageálnej kandidózy.</w:t>
            </w:r>
          </w:p>
          <w:p w14:paraId="40A60F3C"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u imunokompromitovaných pacientov a u pacientov pred vykonaním transplantácie.</w:t>
            </w:r>
          </w:p>
          <w:p w14:paraId="0700045E" w14:textId="77777777" w:rsidR="00657ACA"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3A1D3BCA" w14:textId="2601B125" w:rsidR="00ED27F2" w:rsidRPr="0000591E" w:rsidRDefault="00ED27F2" w:rsidP="00657ACA">
            <w:pPr>
              <w:jc w:val="both"/>
              <w:rPr>
                <w:rFonts w:ascii="Arial" w:hAnsi="Arial" w:cs="Arial"/>
                <w:sz w:val="20"/>
                <w:szCs w:val="20"/>
              </w:rPr>
            </w:pPr>
          </w:p>
        </w:tc>
      </w:tr>
      <w:tr w:rsidR="00657ACA" w:rsidRPr="0000591E" w14:paraId="230B655F" w14:textId="77777777" w:rsidTr="003F7925">
        <w:trPr>
          <w:gridAfter w:val="2"/>
          <w:wAfter w:w="154" w:type="dxa"/>
          <w:trHeight w:val="20"/>
        </w:trPr>
        <w:tc>
          <w:tcPr>
            <w:tcW w:w="1256" w:type="dxa"/>
            <w:tcBorders>
              <w:bottom w:val="single" w:sz="4" w:space="0" w:color="auto"/>
            </w:tcBorders>
            <w:noWrap/>
            <w:vAlign w:val="center"/>
          </w:tcPr>
          <w:p w14:paraId="1704DE9C"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J02AC02</w:t>
            </w:r>
          </w:p>
        </w:tc>
        <w:tc>
          <w:tcPr>
            <w:tcW w:w="9452" w:type="dxa"/>
            <w:tcBorders>
              <w:bottom w:val="single" w:sz="4" w:space="0" w:color="auto"/>
            </w:tcBorders>
            <w:noWrap/>
            <w:vAlign w:val="bottom"/>
          </w:tcPr>
          <w:p w14:paraId="30DCD60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Itrakonazol p.o. 100 mg</w:t>
            </w:r>
          </w:p>
        </w:tc>
      </w:tr>
      <w:tr w:rsidR="00657ACA" w:rsidRPr="0000591E" w14:paraId="45134732" w14:textId="77777777" w:rsidTr="003F7925">
        <w:trPr>
          <w:gridAfter w:val="2"/>
          <w:wAfter w:w="154" w:type="dxa"/>
          <w:trHeight w:val="20"/>
        </w:trPr>
        <w:tc>
          <w:tcPr>
            <w:tcW w:w="1256" w:type="dxa"/>
            <w:tcBorders>
              <w:top w:val="single" w:sz="4" w:space="0" w:color="auto"/>
            </w:tcBorders>
            <w:noWrap/>
            <w:vAlign w:val="bottom"/>
          </w:tcPr>
          <w:p w14:paraId="073CA20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C2119C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krátkodobo na základe kultivačného alebo mikroskopického vyšetrenia pri</w:t>
            </w:r>
          </w:p>
          <w:p w14:paraId="5CE686FC" w14:textId="77777777" w:rsidR="00657ACA" w:rsidRPr="0000591E" w:rsidRDefault="00657ACA">
            <w:pPr>
              <w:numPr>
                <w:ilvl w:val="0"/>
                <w:numId w:val="19"/>
              </w:numPr>
              <w:jc w:val="both"/>
              <w:rPr>
                <w:rFonts w:ascii="Arial" w:hAnsi="Arial" w:cs="Arial"/>
                <w:sz w:val="20"/>
                <w:szCs w:val="20"/>
              </w:rPr>
            </w:pPr>
            <w:r w:rsidRPr="0000591E">
              <w:rPr>
                <w:rFonts w:ascii="Arial" w:hAnsi="Arial" w:cs="Arial"/>
                <w:sz w:val="20"/>
                <w:szCs w:val="20"/>
              </w:rPr>
              <w:t>vaginálnych mykózach nereagujúcich na lokálne aplikované antimykotiká,</w:t>
            </w:r>
          </w:p>
          <w:p w14:paraId="12D56B62" w14:textId="77777777" w:rsidR="00657ACA" w:rsidRPr="0000591E" w:rsidRDefault="00657ACA">
            <w:pPr>
              <w:numPr>
                <w:ilvl w:val="0"/>
                <w:numId w:val="19"/>
              </w:numPr>
              <w:jc w:val="both"/>
              <w:rPr>
                <w:rFonts w:ascii="Arial" w:hAnsi="Arial" w:cs="Arial"/>
                <w:sz w:val="20"/>
                <w:szCs w:val="20"/>
              </w:rPr>
            </w:pPr>
            <w:r w:rsidRPr="0000591E">
              <w:rPr>
                <w:rFonts w:ascii="Arial" w:hAnsi="Arial" w:cs="Arial"/>
                <w:sz w:val="20"/>
                <w:szCs w:val="20"/>
              </w:rPr>
              <w:t>recidívach vaginálnych mykóz.</w:t>
            </w:r>
          </w:p>
          <w:p w14:paraId="20854F6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Viacdenná liečba sa môže indikovať na základe kultivácie alebo mikroskopického vyšetrenia pri</w:t>
            </w:r>
          </w:p>
          <w:p w14:paraId="354473EB" w14:textId="77777777" w:rsidR="00657ACA" w:rsidRPr="0000591E" w:rsidRDefault="00657ACA">
            <w:pPr>
              <w:numPr>
                <w:ilvl w:val="0"/>
                <w:numId w:val="20"/>
              </w:numPr>
              <w:jc w:val="both"/>
              <w:rPr>
                <w:rFonts w:ascii="Arial" w:hAnsi="Arial" w:cs="Arial"/>
                <w:sz w:val="20"/>
                <w:szCs w:val="20"/>
              </w:rPr>
            </w:pPr>
            <w:r w:rsidRPr="0000591E">
              <w:rPr>
                <w:rFonts w:ascii="Arial" w:hAnsi="Arial" w:cs="Arial"/>
                <w:sz w:val="20"/>
                <w:szCs w:val="20"/>
              </w:rPr>
              <w:t>systémových mykózach u imunokompromitovaných pacientov,</w:t>
            </w:r>
          </w:p>
          <w:p w14:paraId="1E1FD31E" w14:textId="77777777" w:rsidR="00657ACA" w:rsidRPr="0000591E" w:rsidRDefault="00657ACA">
            <w:pPr>
              <w:numPr>
                <w:ilvl w:val="0"/>
                <w:numId w:val="20"/>
              </w:numPr>
              <w:jc w:val="both"/>
              <w:rPr>
                <w:rFonts w:ascii="Arial" w:hAnsi="Arial" w:cs="Arial"/>
                <w:sz w:val="20"/>
                <w:szCs w:val="20"/>
              </w:rPr>
            </w:pPr>
            <w:r w:rsidRPr="0000591E">
              <w:rPr>
                <w:rFonts w:ascii="Arial" w:hAnsi="Arial" w:cs="Arial"/>
                <w:sz w:val="20"/>
                <w:szCs w:val="20"/>
              </w:rPr>
              <w:t>dermatomykózach,</w:t>
            </w:r>
          </w:p>
          <w:p w14:paraId="45F2EA15" w14:textId="77777777" w:rsidR="00657ACA" w:rsidRPr="0000591E" w:rsidRDefault="00657ACA">
            <w:pPr>
              <w:numPr>
                <w:ilvl w:val="0"/>
                <w:numId w:val="20"/>
              </w:numPr>
              <w:jc w:val="both"/>
              <w:rPr>
                <w:rFonts w:ascii="Arial" w:hAnsi="Arial" w:cs="Arial"/>
                <w:sz w:val="20"/>
                <w:szCs w:val="20"/>
              </w:rPr>
            </w:pPr>
            <w:r w:rsidRPr="0000591E">
              <w:rPr>
                <w:rFonts w:ascii="Arial" w:hAnsi="Arial" w:cs="Arial"/>
                <w:sz w:val="20"/>
                <w:szCs w:val="20"/>
              </w:rPr>
              <w:t xml:space="preserve">liečbe orálnej, alebo oesophageálnej kandidózy, </w:t>
            </w:r>
          </w:p>
          <w:p w14:paraId="130B0CB6" w14:textId="77777777" w:rsidR="00657ACA" w:rsidRDefault="00657ACA">
            <w:pPr>
              <w:numPr>
                <w:ilvl w:val="0"/>
                <w:numId w:val="20"/>
              </w:numPr>
              <w:jc w:val="both"/>
              <w:rPr>
                <w:rFonts w:ascii="Arial" w:hAnsi="Arial" w:cs="Arial"/>
                <w:sz w:val="20"/>
                <w:szCs w:val="20"/>
              </w:rPr>
            </w:pPr>
            <w:r w:rsidRPr="0000591E">
              <w:rPr>
                <w:rFonts w:ascii="Arial" w:hAnsi="Arial" w:cs="Arial"/>
                <w:sz w:val="20"/>
                <w:szCs w:val="20"/>
              </w:rPr>
              <w:t xml:space="preserve">onychomykózach, ak je liečba započatá na základe pozitívneho mikroskopického nálezu a urobený </w:t>
            </w:r>
            <w:r>
              <w:rPr>
                <w:rFonts w:ascii="Arial" w:hAnsi="Arial" w:cs="Arial"/>
                <w:sz w:val="20"/>
                <w:szCs w:val="20"/>
              </w:rPr>
              <w:t>odber na mykologickú kultiváciu.</w:t>
            </w:r>
          </w:p>
          <w:p w14:paraId="29F356DE" w14:textId="77777777" w:rsidR="00657ACA" w:rsidRPr="0000591E" w:rsidRDefault="00657ACA" w:rsidP="00657ACA">
            <w:pPr>
              <w:ind w:left="720"/>
              <w:jc w:val="both"/>
              <w:rPr>
                <w:rFonts w:ascii="Arial" w:hAnsi="Arial" w:cs="Arial"/>
                <w:sz w:val="20"/>
                <w:szCs w:val="20"/>
              </w:rPr>
            </w:pPr>
          </w:p>
          <w:p w14:paraId="775857B0"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u imunokompromitovaných pacientov a u pacientov pred vykonaním transplantácie.</w:t>
            </w:r>
          </w:p>
          <w:p w14:paraId="1329015D" w14:textId="77777777" w:rsidR="00657ACA"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572517EA" w14:textId="1AE3505F" w:rsidR="00657ACA" w:rsidRPr="0000591E" w:rsidRDefault="00657ACA" w:rsidP="00657ACA">
            <w:pPr>
              <w:jc w:val="both"/>
              <w:rPr>
                <w:rFonts w:ascii="Arial" w:hAnsi="Arial" w:cs="Arial"/>
                <w:sz w:val="20"/>
                <w:szCs w:val="20"/>
              </w:rPr>
            </w:pPr>
          </w:p>
        </w:tc>
      </w:tr>
      <w:tr w:rsidR="00657ACA" w:rsidRPr="0000591E" w14:paraId="70A7AD37" w14:textId="77777777" w:rsidTr="003F7925">
        <w:trPr>
          <w:gridAfter w:val="2"/>
          <w:wAfter w:w="154" w:type="dxa"/>
          <w:trHeight w:val="20"/>
        </w:trPr>
        <w:tc>
          <w:tcPr>
            <w:tcW w:w="1256" w:type="dxa"/>
            <w:tcBorders>
              <w:bottom w:val="single" w:sz="4" w:space="0" w:color="auto"/>
            </w:tcBorders>
            <w:noWrap/>
            <w:vAlign w:val="bottom"/>
          </w:tcPr>
          <w:p w14:paraId="3D19C88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J02AC03</w:t>
            </w:r>
          </w:p>
        </w:tc>
        <w:tc>
          <w:tcPr>
            <w:tcW w:w="9452" w:type="dxa"/>
            <w:tcBorders>
              <w:bottom w:val="single" w:sz="4" w:space="0" w:color="auto"/>
            </w:tcBorders>
            <w:noWrap/>
            <w:vAlign w:val="bottom"/>
          </w:tcPr>
          <w:p w14:paraId="212DAF3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Vorikonazol p.o. 200 mg</w:t>
            </w:r>
          </w:p>
        </w:tc>
      </w:tr>
      <w:tr w:rsidR="00657ACA" w:rsidRPr="0000591E" w14:paraId="47717B51" w14:textId="77777777" w:rsidTr="003F7925">
        <w:trPr>
          <w:gridAfter w:val="2"/>
          <w:wAfter w:w="154" w:type="dxa"/>
          <w:trHeight w:val="20"/>
        </w:trPr>
        <w:tc>
          <w:tcPr>
            <w:tcW w:w="1256" w:type="dxa"/>
            <w:tcBorders>
              <w:top w:val="single" w:sz="4" w:space="0" w:color="auto"/>
            </w:tcBorders>
            <w:noWrap/>
            <w:vAlign w:val="bottom"/>
          </w:tcPr>
          <w:p w14:paraId="6BAD07D2" w14:textId="77777777" w:rsidR="00657ACA" w:rsidRPr="0000591E" w:rsidRDefault="00657ACA" w:rsidP="00657ACA">
            <w:pPr>
              <w:jc w:val="both"/>
              <w:rPr>
                <w:rFonts w:ascii="Arial" w:hAnsi="Arial" w:cs="Arial"/>
                <w:sz w:val="20"/>
                <w:szCs w:val="20"/>
              </w:rPr>
            </w:pPr>
          </w:p>
          <w:p w14:paraId="6811F268" w14:textId="77777777" w:rsidR="00657ACA" w:rsidRPr="0000591E" w:rsidRDefault="00657ACA" w:rsidP="00657ACA">
            <w:pPr>
              <w:jc w:val="both"/>
              <w:rPr>
                <w:rFonts w:ascii="Arial" w:hAnsi="Arial" w:cs="Arial"/>
                <w:sz w:val="20"/>
                <w:szCs w:val="20"/>
              </w:rPr>
            </w:pPr>
          </w:p>
          <w:p w14:paraId="138D6802" w14:textId="77777777" w:rsidR="00657ACA" w:rsidRPr="0000591E" w:rsidRDefault="00657ACA" w:rsidP="00657ACA">
            <w:pPr>
              <w:jc w:val="both"/>
              <w:rPr>
                <w:rFonts w:ascii="Arial" w:hAnsi="Arial" w:cs="Arial"/>
                <w:sz w:val="20"/>
                <w:szCs w:val="20"/>
              </w:rPr>
            </w:pPr>
          </w:p>
          <w:p w14:paraId="32DBE19B" w14:textId="77777777" w:rsidR="00657ACA" w:rsidRPr="0000591E" w:rsidRDefault="00657ACA" w:rsidP="00657ACA">
            <w:pPr>
              <w:jc w:val="both"/>
              <w:rPr>
                <w:rFonts w:ascii="Arial" w:hAnsi="Arial" w:cs="Arial"/>
                <w:sz w:val="20"/>
                <w:szCs w:val="20"/>
              </w:rPr>
            </w:pPr>
          </w:p>
          <w:p w14:paraId="386AB8B9" w14:textId="77777777" w:rsidR="00657ACA" w:rsidRPr="0000591E" w:rsidRDefault="00657ACA" w:rsidP="00657ACA">
            <w:pPr>
              <w:jc w:val="both"/>
              <w:rPr>
                <w:rFonts w:ascii="Arial" w:hAnsi="Arial" w:cs="Arial"/>
                <w:sz w:val="20"/>
                <w:szCs w:val="20"/>
              </w:rPr>
            </w:pPr>
          </w:p>
          <w:p w14:paraId="713D5AA2" w14:textId="77777777" w:rsidR="00657ACA" w:rsidRPr="0000591E" w:rsidRDefault="00657ACA" w:rsidP="00657ACA">
            <w:pPr>
              <w:jc w:val="both"/>
              <w:rPr>
                <w:rFonts w:ascii="Arial" w:hAnsi="Arial" w:cs="Arial"/>
                <w:sz w:val="20"/>
                <w:szCs w:val="20"/>
              </w:rPr>
            </w:pPr>
          </w:p>
          <w:p w14:paraId="59CAF95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ACCDF50"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 Hradená liečba sa môže indikovať na základe kultivácie alebo mikroskopického vyšetrenia pri </w:t>
            </w:r>
          </w:p>
          <w:p w14:paraId="009FF64E" w14:textId="77777777" w:rsidR="00657ACA" w:rsidRPr="0000591E" w:rsidRDefault="00657ACA">
            <w:pPr>
              <w:numPr>
                <w:ilvl w:val="0"/>
                <w:numId w:val="21"/>
              </w:numPr>
              <w:jc w:val="both"/>
              <w:rPr>
                <w:rFonts w:ascii="Arial" w:hAnsi="Arial" w:cs="Arial"/>
                <w:sz w:val="20"/>
                <w:szCs w:val="20"/>
              </w:rPr>
            </w:pPr>
            <w:r w:rsidRPr="0000591E">
              <w:rPr>
                <w:rFonts w:ascii="Arial" w:hAnsi="Arial" w:cs="Arial"/>
                <w:sz w:val="20"/>
                <w:szCs w:val="20"/>
              </w:rPr>
              <w:t>invazívnej aspergilóze ako pokračovanie liečby v ambulantnej starostlivosti,</w:t>
            </w:r>
          </w:p>
          <w:p w14:paraId="13B8B394" w14:textId="77777777" w:rsidR="00657ACA" w:rsidRPr="0000591E" w:rsidRDefault="00657ACA">
            <w:pPr>
              <w:numPr>
                <w:ilvl w:val="0"/>
                <w:numId w:val="21"/>
              </w:numPr>
              <w:jc w:val="both"/>
              <w:rPr>
                <w:rFonts w:ascii="Arial" w:hAnsi="Arial" w:cs="Arial"/>
                <w:sz w:val="20"/>
                <w:szCs w:val="20"/>
              </w:rPr>
            </w:pPr>
            <w:r w:rsidRPr="0000591E">
              <w:rPr>
                <w:rFonts w:ascii="Arial" w:hAnsi="Arial" w:cs="Arial"/>
                <w:sz w:val="20"/>
                <w:szCs w:val="20"/>
              </w:rPr>
              <w:t xml:space="preserve">závažných systémových kandidových infekciách rezistentných na flukonazol a na ostatné antimykotiká, </w:t>
            </w:r>
          </w:p>
          <w:p w14:paraId="2FCDF2CF" w14:textId="77777777" w:rsidR="00657ACA" w:rsidRPr="0000591E" w:rsidRDefault="00657ACA">
            <w:pPr>
              <w:numPr>
                <w:ilvl w:val="0"/>
                <w:numId w:val="21"/>
              </w:numPr>
              <w:jc w:val="both"/>
              <w:rPr>
                <w:rFonts w:ascii="Arial" w:hAnsi="Arial" w:cs="Arial"/>
                <w:sz w:val="20"/>
                <w:szCs w:val="20"/>
              </w:rPr>
            </w:pPr>
            <w:r w:rsidRPr="0000591E">
              <w:rPr>
                <w:rFonts w:ascii="Arial" w:hAnsi="Arial" w:cs="Arial"/>
                <w:sz w:val="20"/>
                <w:szCs w:val="20"/>
              </w:rPr>
              <w:t>závažných infekciách vyvolaných scedosporium spp. a fusarium spp.</w:t>
            </w:r>
          </w:p>
          <w:p w14:paraId="0AE8BD77" w14:textId="77777777" w:rsidR="00657ACA" w:rsidRPr="0000591E" w:rsidRDefault="00657ACA" w:rsidP="00657ACA">
            <w:pPr>
              <w:jc w:val="both"/>
              <w:rPr>
                <w:rFonts w:ascii="Arial" w:hAnsi="Arial" w:cs="Arial"/>
                <w:sz w:val="20"/>
                <w:szCs w:val="20"/>
              </w:rPr>
            </w:pPr>
          </w:p>
          <w:p w14:paraId="1DB93A4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Liečba sa môže začať aj pred získaním výsledku kultivácie a ďalších laboratórnych vyšetrení; avšak po ich získaní sa musí antiinfekčná liečba upraviť podľa výsledku vyšetrení.</w:t>
            </w:r>
          </w:p>
          <w:p w14:paraId="65FDDF9E" w14:textId="77777777" w:rsidR="00657ACA" w:rsidRPr="0000591E"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57789178" w14:textId="77777777" w:rsidR="00657ACA" w:rsidRPr="0000591E" w:rsidRDefault="00657ACA" w:rsidP="00657ACA">
            <w:pPr>
              <w:rPr>
                <w:rFonts w:ascii="Arial" w:hAnsi="Arial" w:cs="Arial"/>
                <w:sz w:val="20"/>
                <w:szCs w:val="20"/>
              </w:rPr>
            </w:pPr>
          </w:p>
        </w:tc>
      </w:tr>
      <w:tr w:rsidR="00657ACA" w:rsidRPr="0000591E" w14:paraId="172A8844" w14:textId="77777777" w:rsidTr="003F7925">
        <w:trPr>
          <w:gridAfter w:val="2"/>
          <w:wAfter w:w="154" w:type="dxa"/>
          <w:trHeight w:val="20"/>
        </w:trPr>
        <w:tc>
          <w:tcPr>
            <w:tcW w:w="1256" w:type="dxa"/>
            <w:tcBorders>
              <w:bottom w:val="single" w:sz="4" w:space="0" w:color="auto"/>
            </w:tcBorders>
            <w:noWrap/>
            <w:vAlign w:val="bottom"/>
          </w:tcPr>
          <w:p w14:paraId="67949A48" w14:textId="77777777" w:rsidR="00657ACA" w:rsidRPr="0000591E" w:rsidRDefault="00657ACA" w:rsidP="00657ACA">
            <w:pPr>
              <w:pStyle w:val="Nadpis6"/>
              <w:rPr>
                <w:color w:val="auto"/>
              </w:rPr>
            </w:pPr>
            <w:r w:rsidRPr="0000591E">
              <w:rPr>
                <w:color w:val="auto"/>
              </w:rPr>
              <w:lastRenderedPageBreak/>
              <w:t>J02AC04</w:t>
            </w:r>
          </w:p>
        </w:tc>
        <w:tc>
          <w:tcPr>
            <w:tcW w:w="9452" w:type="dxa"/>
            <w:tcBorders>
              <w:bottom w:val="single" w:sz="4" w:space="0" w:color="auto"/>
            </w:tcBorders>
            <w:noWrap/>
            <w:vAlign w:val="bottom"/>
          </w:tcPr>
          <w:p w14:paraId="4AEF9D6A"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Posakonazol p.o. 40 mg/ml</w:t>
            </w:r>
          </w:p>
          <w:p w14:paraId="6576BC81"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Posakonazol p.o. 100 mg</w:t>
            </w:r>
          </w:p>
        </w:tc>
      </w:tr>
      <w:tr w:rsidR="00657ACA" w:rsidRPr="0000591E" w14:paraId="02562D4B" w14:textId="77777777" w:rsidTr="003F7925">
        <w:trPr>
          <w:gridBefore w:val="1"/>
          <w:gridAfter w:val="2"/>
          <w:wBefore w:w="1256" w:type="dxa"/>
          <w:wAfter w:w="154" w:type="dxa"/>
          <w:trHeight w:val="20"/>
        </w:trPr>
        <w:tc>
          <w:tcPr>
            <w:tcW w:w="9452" w:type="dxa"/>
            <w:vAlign w:val="bottom"/>
          </w:tcPr>
          <w:p w14:paraId="55BA65A7" w14:textId="77777777" w:rsidR="00657ACA" w:rsidRPr="0000591E" w:rsidRDefault="00657ACA" w:rsidP="00657ACA">
            <w:pPr>
              <w:autoSpaceDE w:val="0"/>
              <w:autoSpaceDN w:val="0"/>
              <w:adjustRightInd w:val="0"/>
              <w:rPr>
                <w:rFonts w:ascii="Arial" w:hAnsi="Arial" w:cs="Arial"/>
                <w:sz w:val="20"/>
                <w:szCs w:val="20"/>
              </w:rPr>
            </w:pPr>
            <w:r w:rsidRPr="0000591E">
              <w:rPr>
                <w:rFonts w:ascii="Arial" w:hAnsi="Arial" w:cs="Arial"/>
                <w:sz w:val="20"/>
                <w:szCs w:val="20"/>
              </w:rPr>
              <w:t xml:space="preserve"> Hradená liečba sa môže indikovať na základe kultivácie alebo mikroskopického vyšetrenia pri</w:t>
            </w:r>
          </w:p>
          <w:p w14:paraId="6ADAA669" w14:textId="77777777" w:rsidR="00657ACA" w:rsidRPr="0000591E" w:rsidRDefault="00657ACA">
            <w:pPr>
              <w:numPr>
                <w:ilvl w:val="0"/>
                <w:numId w:val="36"/>
              </w:numPr>
              <w:autoSpaceDE w:val="0"/>
              <w:autoSpaceDN w:val="0"/>
              <w:adjustRightInd w:val="0"/>
              <w:jc w:val="both"/>
              <w:rPr>
                <w:rFonts w:ascii="Arial" w:hAnsi="Arial" w:cs="Arial"/>
                <w:sz w:val="20"/>
                <w:szCs w:val="20"/>
              </w:rPr>
            </w:pPr>
            <w:r w:rsidRPr="0000591E">
              <w:rPr>
                <w:rFonts w:ascii="Arial" w:hAnsi="Arial" w:cs="Arial"/>
                <w:sz w:val="20"/>
                <w:szCs w:val="20"/>
              </w:rPr>
              <w:t>invazívnej aspergilóze ako pokračovanie liečby v ambulantnej starostlivosti,</w:t>
            </w:r>
          </w:p>
          <w:p w14:paraId="612EF5D1" w14:textId="77777777" w:rsidR="00657ACA" w:rsidRPr="0000591E" w:rsidRDefault="00657ACA">
            <w:pPr>
              <w:numPr>
                <w:ilvl w:val="0"/>
                <w:numId w:val="36"/>
              </w:numPr>
              <w:autoSpaceDE w:val="0"/>
              <w:autoSpaceDN w:val="0"/>
              <w:adjustRightInd w:val="0"/>
              <w:jc w:val="both"/>
              <w:rPr>
                <w:rFonts w:ascii="Arial" w:hAnsi="Arial" w:cs="Arial"/>
                <w:sz w:val="20"/>
                <w:szCs w:val="20"/>
              </w:rPr>
            </w:pPr>
            <w:r w:rsidRPr="0000591E">
              <w:rPr>
                <w:rFonts w:ascii="Arial" w:hAnsi="Arial" w:cs="Arial"/>
                <w:sz w:val="20"/>
                <w:szCs w:val="20"/>
              </w:rPr>
              <w:t>fuzarióze ako pokračovanie liečby v ambulantnej starostlivosti,</w:t>
            </w:r>
          </w:p>
          <w:p w14:paraId="61992D83" w14:textId="77777777" w:rsidR="00657ACA" w:rsidRPr="0000591E" w:rsidRDefault="00657ACA">
            <w:pPr>
              <w:numPr>
                <w:ilvl w:val="0"/>
                <w:numId w:val="36"/>
              </w:numPr>
              <w:autoSpaceDE w:val="0"/>
              <w:autoSpaceDN w:val="0"/>
              <w:adjustRightInd w:val="0"/>
              <w:jc w:val="both"/>
              <w:rPr>
                <w:rFonts w:ascii="Arial" w:hAnsi="Arial" w:cs="Arial"/>
                <w:sz w:val="20"/>
                <w:szCs w:val="20"/>
              </w:rPr>
            </w:pPr>
            <w:r w:rsidRPr="0000591E">
              <w:rPr>
                <w:rFonts w:ascii="Arial" w:hAnsi="Arial" w:cs="Arial"/>
                <w:sz w:val="20"/>
                <w:szCs w:val="20"/>
              </w:rPr>
              <w:t>chromoblastomykóze a mycetóme ako pokračovanie liečby v ambulantnej</w:t>
            </w:r>
          </w:p>
          <w:p w14:paraId="4C73EB95" w14:textId="77777777" w:rsidR="00657ACA" w:rsidRPr="0000591E" w:rsidRDefault="00657ACA" w:rsidP="00657ACA">
            <w:pPr>
              <w:autoSpaceDE w:val="0"/>
              <w:autoSpaceDN w:val="0"/>
              <w:adjustRightInd w:val="0"/>
              <w:ind w:left="777"/>
              <w:rPr>
                <w:rFonts w:ascii="Arial" w:hAnsi="Arial" w:cs="Arial"/>
                <w:sz w:val="20"/>
                <w:szCs w:val="20"/>
              </w:rPr>
            </w:pPr>
            <w:r w:rsidRPr="0000591E">
              <w:rPr>
                <w:rFonts w:ascii="Arial" w:hAnsi="Arial" w:cs="Arial"/>
                <w:sz w:val="20"/>
                <w:szCs w:val="20"/>
              </w:rPr>
              <w:t>starostlivosti u pacientov s ochorením refraktérnym na itrakonazol alebo u pacientov, ktorí majú nežiadúce účinky na itrakonazol,</w:t>
            </w:r>
          </w:p>
          <w:p w14:paraId="162189AD" w14:textId="77777777" w:rsidR="00657ACA" w:rsidRPr="0000591E" w:rsidRDefault="00657ACA">
            <w:pPr>
              <w:numPr>
                <w:ilvl w:val="0"/>
                <w:numId w:val="36"/>
              </w:numPr>
              <w:autoSpaceDE w:val="0"/>
              <w:autoSpaceDN w:val="0"/>
              <w:adjustRightInd w:val="0"/>
              <w:jc w:val="both"/>
              <w:rPr>
                <w:rFonts w:ascii="Arial" w:hAnsi="Arial" w:cs="Arial"/>
                <w:sz w:val="20"/>
                <w:szCs w:val="20"/>
              </w:rPr>
            </w:pPr>
            <w:r w:rsidRPr="0000591E">
              <w:rPr>
                <w:rFonts w:ascii="Arial" w:hAnsi="Arial" w:cs="Arial"/>
                <w:sz w:val="20"/>
                <w:szCs w:val="20"/>
              </w:rPr>
              <w:t>kokcidioidomykóze ako pokračovanie liečby v ambulantnej starostlivosti u pacientov s ochorením refraktérnym na amfotericín B, itrakonazol alebo flukonazol alebo u pacientov, ktorí majú nežiadúce účinky na tieto lieky.</w:t>
            </w:r>
          </w:p>
          <w:p w14:paraId="1FAB5D75" w14:textId="77777777" w:rsidR="00657ACA" w:rsidRPr="0000591E" w:rsidRDefault="00657ACA" w:rsidP="00657ACA">
            <w:pPr>
              <w:autoSpaceDE w:val="0"/>
              <w:autoSpaceDN w:val="0"/>
              <w:adjustRightInd w:val="0"/>
              <w:ind w:left="360"/>
              <w:jc w:val="both"/>
              <w:rPr>
                <w:rFonts w:ascii="Arial" w:hAnsi="Arial" w:cs="Arial"/>
                <w:sz w:val="20"/>
                <w:szCs w:val="20"/>
              </w:rPr>
            </w:pPr>
          </w:p>
          <w:p w14:paraId="0C2D2068"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Hradená liečba sa môže indikovať na profylaxiu</w:t>
            </w:r>
          </w:p>
          <w:p w14:paraId="3A40F386" w14:textId="77777777" w:rsidR="00657ACA" w:rsidRPr="0000591E" w:rsidRDefault="00657ACA">
            <w:pPr>
              <w:numPr>
                <w:ilvl w:val="0"/>
                <w:numId w:val="40"/>
              </w:numPr>
              <w:autoSpaceDE w:val="0"/>
              <w:autoSpaceDN w:val="0"/>
              <w:adjustRightInd w:val="0"/>
              <w:jc w:val="both"/>
              <w:rPr>
                <w:rFonts w:ascii="Arial" w:hAnsi="Arial" w:cs="Arial"/>
                <w:sz w:val="20"/>
                <w:szCs w:val="20"/>
              </w:rPr>
            </w:pPr>
            <w:r w:rsidRPr="0000591E">
              <w:rPr>
                <w:rFonts w:ascii="Arial" w:hAnsi="Arial" w:cs="Arial"/>
                <w:sz w:val="20"/>
                <w:szCs w:val="20"/>
              </w:rPr>
              <w:t>pri neutropénii (≤1000/ml) u pacientov, ktorí dostávajú remisnú indukčnú chemoterapiu pri akútnej myelogénnej leukémii alebo myelodysplastickom syndróme,</w:t>
            </w:r>
          </w:p>
          <w:p w14:paraId="68CB28EE" w14:textId="77777777" w:rsidR="00657ACA" w:rsidRPr="0000591E" w:rsidRDefault="00657ACA">
            <w:pPr>
              <w:numPr>
                <w:ilvl w:val="0"/>
                <w:numId w:val="40"/>
              </w:numPr>
              <w:autoSpaceDE w:val="0"/>
              <w:autoSpaceDN w:val="0"/>
              <w:adjustRightInd w:val="0"/>
              <w:jc w:val="both"/>
              <w:rPr>
                <w:rFonts w:ascii="Arial" w:hAnsi="Arial" w:cs="Arial"/>
                <w:sz w:val="20"/>
                <w:szCs w:val="20"/>
              </w:rPr>
            </w:pPr>
            <w:r w:rsidRPr="0000591E">
              <w:rPr>
                <w:rFonts w:ascii="Arial" w:hAnsi="Arial" w:cs="Arial"/>
                <w:sz w:val="20"/>
                <w:szCs w:val="20"/>
              </w:rPr>
              <w:t>u príjemcov transplantátu hemopoetických kmeňových buniek, ktorí sú liečení vysokodávkovou imunosupresívnou liečbou kvôli reakcii proti transplantátu a u ktorých je vysoké riziko vzniku invazívnych hubových infekcií.</w:t>
            </w:r>
          </w:p>
          <w:p w14:paraId="54EE16B7" w14:textId="77777777" w:rsidR="00657ACA" w:rsidRPr="0000591E" w:rsidRDefault="00657ACA" w:rsidP="00657ACA">
            <w:pPr>
              <w:rPr>
                <w:rFonts w:ascii="Arial" w:hAnsi="Arial" w:cs="Arial"/>
                <w:sz w:val="20"/>
                <w:szCs w:val="20"/>
              </w:rPr>
            </w:pPr>
          </w:p>
          <w:p w14:paraId="4CEA45AB" w14:textId="77777777" w:rsidR="00657ACA"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6C4DED8D" w14:textId="77777777" w:rsidR="00ED27F2" w:rsidRPr="0000591E" w:rsidRDefault="00ED27F2" w:rsidP="00657ACA">
            <w:pPr>
              <w:jc w:val="both"/>
              <w:rPr>
                <w:rFonts w:ascii="Arial" w:hAnsi="Arial" w:cs="Arial"/>
                <w:sz w:val="20"/>
                <w:szCs w:val="20"/>
              </w:rPr>
            </w:pPr>
          </w:p>
          <w:p w14:paraId="527F8D22" w14:textId="77777777" w:rsidR="00657ACA" w:rsidRPr="0000591E" w:rsidRDefault="00657ACA" w:rsidP="00657ACA">
            <w:pPr>
              <w:rPr>
                <w:rFonts w:ascii="Arial" w:hAnsi="Arial" w:cs="Arial"/>
                <w:sz w:val="20"/>
                <w:szCs w:val="20"/>
              </w:rPr>
            </w:pPr>
          </w:p>
        </w:tc>
      </w:tr>
      <w:tr w:rsidR="00657ACA" w:rsidRPr="0000591E" w14:paraId="2CDCEB74" w14:textId="77777777" w:rsidTr="003F7925">
        <w:trPr>
          <w:gridAfter w:val="2"/>
          <w:wAfter w:w="154" w:type="dxa"/>
          <w:trHeight w:val="20"/>
        </w:trPr>
        <w:tc>
          <w:tcPr>
            <w:tcW w:w="1256" w:type="dxa"/>
            <w:tcBorders>
              <w:bottom w:val="single" w:sz="4" w:space="0" w:color="auto"/>
            </w:tcBorders>
            <w:noWrap/>
            <w:vAlign w:val="center"/>
          </w:tcPr>
          <w:p w14:paraId="0765FB59" w14:textId="656A6CC3" w:rsidR="00657ACA" w:rsidRDefault="00657ACA" w:rsidP="00657ACA">
            <w:pPr>
              <w:rPr>
                <w:rFonts w:ascii="Arial" w:hAnsi="Arial" w:cs="Arial"/>
                <w:b/>
                <w:bCs/>
                <w:sz w:val="20"/>
                <w:szCs w:val="20"/>
              </w:rPr>
            </w:pPr>
            <w:r>
              <w:rPr>
                <w:rFonts w:ascii="Arial" w:hAnsi="Arial" w:cs="Arial"/>
                <w:b/>
                <w:bCs/>
                <w:sz w:val="20"/>
                <w:szCs w:val="20"/>
              </w:rPr>
              <w:t>J02AC05</w:t>
            </w:r>
          </w:p>
        </w:tc>
        <w:tc>
          <w:tcPr>
            <w:tcW w:w="9452" w:type="dxa"/>
            <w:tcBorders>
              <w:bottom w:val="single" w:sz="4" w:space="0" w:color="auto"/>
            </w:tcBorders>
            <w:noWrap/>
            <w:vAlign w:val="bottom"/>
          </w:tcPr>
          <w:p w14:paraId="6E68283F" w14:textId="30BEA1EA" w:rsidR="00657ACA" w:rsidRDefault="00657ACA" w:rsidP="00657ACA">
            <w:pPr>
              <w:jc w:val="both"/>
              <w:rPr>
                <w:rFonts w:ascii="Arial" w:hAnsi="Arial" w:cs="Arial"/>
                <w:b/>
                <w:bCs/>
                <w:sz w:val="20"/>
                <w:szCs w:val="20"/>
              </w:rPr>
            </w:pPr>
            <w:r>
              <w:rPr>
                <w:rFonts w:ascii="Arial" w:hAnsi="Arial" w:cs="Arial"/>
                <w:b/>
                <w:bCs/>
                <w:sz w:val="20"/>
                <w:szCs w:val="20"/>
              </w:rPr>
              <w:t xml:space="preserve">Isavukonazol p.o. 100 mg </w:t>
            </w:r>
          </w:p>
        </w:tc>
      </w:tr>
      <w:tr w:rsidR="00657ACA" w:rsidRPr="0000591E" w14:paraId="7556383C" w14:textId="77777777" w:rsidTr="003F7925">
        <w:trPr>
          <w:gridAfter w:val="2"/>
          <w:wAfter w:w="154" w:type="dxa"/>
          <w:trHeight w:val="20"/>
        </w:trPr>
        <w:tc>
          <w:tcPr>
            <w:tcW w:w="1256" w:type="dxa"/>
            <w:tcBorders>
              <w:top w:val="single" w:sz="4" w:space="0" w:color="auto"/>
            </w:tcBorders>
            <w:noWrap/>
            <w:vAlign w:val="center"/>
          </w:tcPr>
          <w:p w14:paraId="3F1444DA" w14:textId="28CCBF75"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0A4E6703" w14:textId="77777777" w:rsidR="00657ACA" w:rsidRPr="00FF1A04" w:rsidRDefault="00657ACA" w:rsidP="00657ACA">
            <w:pPr>
              <w:jc w:val="both"/>
              <w:rPr>
                <w:rFonts w:ascii="Arial" w:hAnsi="Arial" w:cs="Arial"/>
                <w:bCs/>
                <w:sz w:val="20"/>
                <w:szCs w:val="20"/>
              </w:rPr>
            </w:pPr>
            <w:r w:rsidRPr="00FF1A04">
              <w:rPr>
                <w:rFonts w:ascii="Arial" w:hAnsi="Arial" w:cs="Arial"/>
                <w:bCs/>
                <w:sz w:val="20"/>
                <w:szCs w:val="20"/>
              </w:rPr>
              <w:t>Hradená liečba sa môže indikovať na základe kultivácie alebo mikroskopického vyšetrenia pri</w:t>
            </w:r>
          </w:p>
          <w:p w14:paraId="7CD29EC0" w14:textId="77777777" w:rsidR="00657ACA" w:rsidRPr="00FF1A04" w:rsidRDefault="00657ACA" w:rsidP="00657ACA">
            <w:pPr>
              <w:jc w:val="both"/>
              <w:rPr>
                <w:rFonts w:ascii="Arial" w:hAnsi="Arial" w:cs="Arial"/>
                <w:bCs/>
                <w:sz w:val="20"/>
                <w:szCs w:val="20"/>
              </w:rPr>
            </w:pPr>
            <w:r w:rsidRPr="00FF1A04">
              <w:rPr>
                <w:rFonts w:ascii="Arial" w:hAnsi="Arial" w:cs="Arial"/>
                <w:bCs/>
                <w:sz w:val="20"/>
                <w:szCs w:val="20"/>
              </w:rPr>
              <w:t>a) invazívnej aspergilóze ako pokračovanie liečby v ambulantnej starostlivosti,</w:t>
            </w:r>
          </w:p>
          <w:p w14:paraId="37212296" w14:textId="77777777" w:rsidR="00657ACA" w:rsidRPr="00FF1A04" w:rsidRDefault="00657ACA" w:rsidP="00657ACA">
            <w:pPr>
              <w:jc w:val="both"/>
              <w:rPr>
                <w:rFonts w:ascii="Arial" w:hAnsi="Arial" w:cs="Arial"/>
                <w:bCs/>
                <w:sz w:val="20"/>
                <w:szCs w:val="20"/>
              </w:rPr>
            </w:pPr>
            <w:r w:rsidRPr="00FF1A04">
              <w:rPr>
                <w:rFonts w:ascii="Arial" w:hAnsi="Arial" w:cs="Arial"/>
                <w:bCs/>
                <w:sz w:val="20"/>
                <w:szCs w:val="20"/>
              </w:rPr>
              <w:t>b) mukormykóze ako pokračovanie liečby v ambulantnej starostlivosti.</w:t>
            </w:r>
          </w:p>
          <w:p w14:paraId="0D38B1A2" w14:textId="77777777" w:rsidR="00657ACA" w:rsidRPr="00FF1A04" w:rsidRDefault="00657ACA" w:rsidP="00657ACA">
            <w:pPr>
              <w:jc w:val="both"/>
              <w:rPr>
                <w:rFonts w:ascii="Arial" w:hAnsi="Arial" w:cs="Arial"/>
                <w:bCs/>
                <w:sz w:val="20"/>
                <w:szCs w:val="20"/>
              </w:rPr>
            </w:pPr>
          </w:p>
          <w:p w14:paraId="53033EDC" w14:textId="3E7ACFF8" w:rsidR="00657ACA" w:rsidRDefault="00657ACA" w:rsidP="00657ACA">
            <w:pPr>
              <w:jc w:val="both"/>
              <w:rPr>
                <w:rFonts w:ascii="Arial" w:hAnsi="Arial" w:cs="Arial"/>
                <w:bCs/>
                <w:sz w:val="20"/>
                <w:szCs w:val="20"/>
              </w:rPr>
            </w:pPr>
            <w:r w:rsidRPr="00FF1A04">
              <w:rPr>
                <w:rFonts w:ascii="Arial" w:hAnsi="Arial" w:cs="Arial"/>
                <w:bCs/>
                <w:sz w:val="20"/>
                <w:szCs w:val="20"/>
              </w:rPr>
              <w:t>Liečba pacientov s cystickou fibrózou (diagnóza E84 podľa Medzinárodnej klasifikácie chorôb 10) je hradená plne.</w:t>
            </w:r>
          </w:p>
          <w:p w14:paraId="088942A0" w14:textId="77777777" w:rsidR="00657ACA" w:rsidRPr="00FF1A04" w:rsidRDefault="00657ACA" w:rsidP="00657ACA">
            <w:pPr>
              <w:jc w:val="both"/>
              <w:rPr>
                <w:rFonts w:ascii="Arial" w:hAnsi="Arial" w:cs="Arial"/>
                <w:bCs/>
                <w:sz w:val="20"/>
                <w:szCs w:val="20"/>
              </w:rPr>
            </w:pPr>
          </w:p>
          <w:p w14:paraId="6B68FB27" w14:textId="77777777" w:rsidR="00657ACA" w:rsidRDefault="00657ACA" w:rsidP="00657ACA">
            <w:pPr>
              <w:jc w:val="both"/>
              <w:rPr>
                <w:rFonts w:ascii="Arial" w:hAnsi="Arial" w:cs="Arial"/>
                <w:bCs/>
                <w:sz w:val="20"/>
                <w:szCs w:val="20"/>
              </w:rPr>
            </w:pPr>
            <w:r w:rsidRPr="00FF1A04">
              <w:rPr>
                <w:rFonts w:ascii="Arial" w:hAnsi="Arial" w:cs="Arial"/>
                <w:bCs/>
                <w:sz w:val="20"/>
                <w:szCs w:val="20"/>
              </w:rPr>
              <w:t>Hradená liečba podlieha predchádzajúcemu súhlasu zdravotnej poisťovne.</w:t>
            </w:r>
          </w:p>
          <w:p w14:paraId="07A2384B" w14:textId="1DA7D42F" w:rsidR="00ED27F2" w:rsidRPr="00FF1A04" w:rsidRDefault="00ED27F2" w:rsidP="00657ACA">
            <w:pPr>
              <w:jc w:val="both"/>
              <w:rPr>
                <w:rFonts w:ascii="Arial" w:hAnsi="Arial" w:cs="Arial"/>
                <w:bCs/>
                <w:sz w:val="20"/>
                <w:szCs w:val="20"/>
              </w:rPr>
            </w:pPr>
          </w:p>
        </w:tc>
      </w:tr>
      <w:tr w:rsidR="00657ACA" w:rsidRPr="0000591E" w14:paraId="350DA608" w14:textId="77777777" w:rsidTr="003F7925">
        <w:trPr>
          <w:gridAfter w:val="2"/>
          <w:wAfter w:w="154" w:type="dxa"/>
          <w:trHeight w:val="20"/>
        </w:trPr>
        <w:tc>
          <w:tcPr>
            <w:tcW w:w="1256" w:type="dxa"/>
            <w:tcBorders>
              <w:bottom w:val="single" w:sz="4" w:space="0" w:color="auto"/>
            </w:tcBorders>
            <w:noWrap/>
            <w:vAlign w:val="center"/>
          </w:tcPr>
          <w:p w14:paraId="038C6FE5" w14:textId="77777777" w:rsidR="00657ACA" w:rsidRDefault="00657ACA" w:rsidP="00657ACA">
            <w:pPr>
              <w:rPr>
                <w:rFonts w:ascii="Arial" w:hAnsi="Arial" w:cs="Arial"/>
                <w:b/>
                <w:bCs/>
                <w:sz w:val="20"/>
                <w:szCs w:val="20"/>
              </w:rPr>
            </w:pPr>
          </w:p>
          <w:p w14:paraId="518007F6" w14:textId="0C71C482" w:rsidR="00657ACA" w:rsidRPr="0000591E" w:rsidRDefault="00657ACA" w:rsidP="00657ACA">
            <w:pPr>
              <w:rPr>
                <w:rFonts w:ascii="Arial" w:hAnsi="Arial" w:cs="Arial"/>
                <w:b/>
                <w:bCs/>
                <w:sz w:val="20"/>
                <w:szCs w:val="20"/>
              </w:rPr>
            </w:pPr>
            <w:r w:rsidRPr="0000591E">
              <w:rPr>
                <w:rFonts w:ascii="Arial" w:hAnsi="Arial" w:cs="Arial"/>
                <w:b/>
                <w:bCs/>
                <w:sz w:val="20"/>
                <w:szCs w:val="20"/>
              </w:rPr>
              <w:t>J04AB02</w:t>
            </w:r>
          </w:p>
        </w:tc>
        <w:tc>
          <w:tcPr>
            <w:tcW w:w="9452" w:type="dxa"/>
            <w:tcBorders>
              <w:bottom w:val="single" w:sz="4" w:space="0" w:color="auto"/>
            </w:tcBorders>
            <w:noWrap/>
            <w:vAlign w:val="bottom"/>
          </w:tcPr>
          <w:p w14:paraId="1657D57F"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Rifampicín p.o. 150 mg</w:t>
            </w:r>
            <w:r>
              <w:rPr>
                <w:rFonts w:ascii="Arial" w:hAnsi="Arial" w:cs="Arial"/>
                <w:b/>
                <w:bCs/>
                <w:sz w:val="20"/>
                <w:szCs w:val="20"/>
              </w:rPr>
              <w:t>,</w:t>
            </w:r>
          </w:p>
          <w:p w14:paraId="17806E21" w14:textId="104CA423"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Rifampicín p.o. 300 mg</w:t>
            </w:r>
          </w:p>
        </w:tc>
      </w:tr>
      <w:tr w:rsidR="00657ACA" w:rsidRPr="0000591E" w14:paraId="3B551FFB" w14:textId="77777777" w:rsidTr="003F7925">
        <w:trPr>
          <w:gridAfter w:val="2"/>
          <w:wAfter w:w="154" w:type="dxa"/>
          <w:trHeight w:val="20"/>
        </w:trPr>
        <w:tc>
          <w:tcPr>
            <w:tcW w:w="1256" w:type="dxa"/>
            <w:noWrap/>
            <w:vAlign w:val="bottom"/>
          </w:tcPr>
          <w:p w14:paraId="67A743AA" w14:textId="77777777" w:rsidR="00657ACA" w:rsidRPr="0000591E" w:rsidRDefault="00657ACA" w:rsidP="00657ACA">
            <w:pPr>
              <w:jc w:val="both"/>
              <w:rPr>
                <w:rFonts w:ascii="Arial" w:hAnsi="Arial" w:cs="Arial"/>
                <w:sz w:val="20"/>
                <w:szCs w:val="20"/>
              </w:rPr>
            </w:pPr>
          </w:p>
        </w:tc>
        <w:tc>
          <w:tcPr>
            <w:tcW w:w="9452" w:type="dxa"/>
            <w:noWrap/>
          </w:tcPr>
          <w:p w14:paraId="16DBCAE5"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pri TBC a polyrezistentných stafylokokových infekciách.</w:t>
            </w:r>
          </w:p>
          <w:p w14:paraId="62F3BAE0" w14:textId="12351A5F" w:rsidR="00657ACA" w:rsidRPr="0000591E" w:rsidRDefault="00657ACA" w:rsidP="00657ACA">
            <w:pPr>
              <w:jc w:val="both"/>
              <w:rPr>
                <w:rFonts w:ascii="Arial" w:hAnsi="Arial" w:cs="Arial"/>
                <w:sz w:val="20"/>
                <w:szCs w:val="20"/>
              </w:rPr>
            </w:pPr>
          </w:p>
        </w:tc>
      </w:tr>
      <w:tr w:rsidR="00657ACA" w:rsidRPr="0000591E" w14:paraId="274F83C3" w14:textId="77777777" w:rsidTr="003F7925">
        <w:trPr>
          <w:gridAfter w:val="2"/>
          <w:wAfter w:w="154" w:type="dxa"/>
          <w:trHeight w:val="20"/>
        </w:trPr>
        <w:tc>
          <w:tcPr>
            <w:tcW w:w="1256" w:type="dxa"/>
            <w:tcBorders>
              <w:bottom w:val="single" w:sz="4" w:space="0" w:color="auto"/>
            </w:tcBorders>
            <w:noWrap/>
            <w:vAlign w:val="bottom"/>
          </w:tcPr>
          <w:p w14:paraId="4BB8BCA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J04AC01</w:t>
            </w:r>
          </w:p>
        </w:tc>
        <w:tc>
          <w:tcPr>
            <w:tcW w:w="9452" w:type="dxa"/>
            <w:tcBorders>
              <w:bottom w:val="single" w:sz="4" w:space="0" w:color="auto"/>
            </w:tcBorders>
            <w:noWrap/>
            <w:vAlign w:val="bottom"/>
          </w:tcPr>
          <w:p w14:paraId="0929E55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Izoniazid p.o. 100 mg</w:t>
            </w:r>
          </w:p>
        </w:tc>
      </w:tr>
      <w:tr w:rsidR="00657ACA" w:rsidRPr="0000591E" w14:paraId="68F6583D" w14:textId="77777777" w:rsidTr="003F7925">
        <w:trPr>
          <w:gridAfter w:val="2"/>
          <w:wAfter w:w="154" w:type="dxa"/>
          <w:trHeight w:val="20"/>
        </w:trPr>
        <w:tc>
          <w:tcPr>
            <w:tcW w:w="1256" w:type="dxa"/>
            <w:tcBorders>
              <w:top w:val="single" w:sz="4" w:space="0" w:color="auto"/>
            </w:tcBorders>
            <w:noWrap/>
            <w:vAlign w:val="bottom"/>
          </w:tcPr>
          <w:p w14:paraId="307E84D1"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0BA098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TBC.</w:t>
            </w:r>
          </w:p>
          <w:p w14:paraId="7C0BBA48" w14:textId="77777777" w:rsidR="00657ACA" w:rsidRPr="0000591E" w:rsidRDefault="00657ACA" w:rsidP="00657ACA">
            <w:pPr>
              <w:jc w:val="both"/>
              <w:rPr>
                <w:rFonts w:ascii="Arial" w:hAnsi="Arial" w:cs="Arial"/>
                <w:sz w:val="20"/>
                <w:szCs w:val="20"/>
              </w:rPr>
            </w:pPr>
          </w:p>
        </w:tc>
      </w:tr>
      <w:tr w:rsidR="00657ACA" w:rsidRPr="0000591E" w14:paraId="5978B3BD" w14:textId="77777777" w:rsidTr="003F7925">
        <w:trPr>
          <w:gridAfter w:val="2"/>
          <w:wAfter w:w="154" w:type="dxa"/>
          <w:trHeight w:val="20"/>
        </w:trPr>
        <w:tc>
          <w:tcPr>
            <w:tcW w:w="1256" w:type="dxa"/>
            <w:tcBorders>
              <w:bottom w:val="single" w:sz="4" w:space="0" w:color="auto"/>
            </w:tcBorders>
            <w:noWrap/>
            <w:vAlign w:val="center"/>
          </w:tcPr>
          <w:p w14:paraId="4DA3F9B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J05AB01</w:t>
            </w:r>
          </w:p>
        </w:tc>
        <w:tc>
          <w:tcPr>
            <w:tcW w:w="9452" w:type="dxa"/>
            <w:tcBorders>
              <w:bottom w:val="single" w:sz="4" w:space="0" w:color="auto"/>
            </w:tcBorders>
            <w:noWrap/>
            <w:vAlign w:val="bottom"/>
          </w:tcPr>
          <w:p w14:paraId="6BEF6168"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Aci</w:t>
            </w:r>
            <w:r w:rsidRPr="0000591E">
              <w:rPr>
                <w:rFonts w:ascii="Arial" w:hAnsi="Arial" w:cs="Arial"/>
                <w:b/>
                <w:bCs/>
                <w:sz w:val="20"/>
                <w:szCs w:val="20"/>
              </w:rPr>
              <w:t xml:space="preserve">klovir p.o. 400 mg </w:t>
            </w:r>
          </w:p>
        </w:tc>
      </w:tr>
      <w:tr w:rsidR="00657ACA" w:rsidRPr="0000591E" w14:paraId="033E5228" w14:textId="77777777" w:rsidTr="003F7925">
        <w:trPr>
          <w:gridAfter w:val="2"/>
          <w:wAfter w:w="154" w:type="dxa"/>
          <w:trHeight w:val="20"/>
        </w:trPr>
        <w:tc>
          <w:tcPr>
            <w:tcW w:w="1256" w:type="dxa"/>
            <w:tcBorders>
              <w:top w:val="single" w:sz="4" w:space="0" w:color="auto"/>
            </w:tcBorders>
            <w:noWrap/>
            <w:vAlign w:val="bottom"/>
          </w:tcPr>
          <w:p w14:paraId="0694354D"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ECD841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w:t>
            </w:r>
          </w:p>
          <w:p w14:paraId="2D5069C0" w14:textId="77777777" w:rsidR="00657ACA" w:rsidRPr="0000591E" w:rsidRDefault="00657ACA">
            <w:pPr>
              <w:numPr>
                <w:ilvl w:val="0"/>
                <w:numId w:val="22"/>
              </w:numPr>
              <w:jc w:val="both"/>
              <w:rPr>
                <w:rFonts w:ascii="Arial" w:hAnsi="Arial" w:cs="Arial"/>
                <w:sz w:val="20"/>
                <w:szCs w:val="20"/>
              </w:rPr>
            </w:pPr>
            <w:r w:rsidRPr="0000591E">
              <w:rPr>
                <w:rFonts w:ascii="Arial" w:hAnsi="Arial" w:cs="Arial"/>
                <w:sz w:val="20"/>
                <w:szCs w:val="20"/>
              </w:rPr>
              <w:t xml:space="preserve">herpes zoster, </w:t>
            </w:r>
          </w:p>
          <w:p w14:paraId="00F5C20C" w14:textId="77777777" w:rsidR="00657ACA" w:rsidRPr="0000591E" w:rsidRDefault="00657ACA">
            <w:pPr>
              <w:numPr>
                <w:ilvl w:val="0"/>
                <w:numId w:val="22"/>
              </w:numPr>
              <w:jc w:val="both"/>
              <w:rPr>
                <w:rFonts w:ascii="Arial" w:hAnsi="Arial" w:cs="Arial"/>
                <w:sz w:val="20"/>
                <w:szCs w:val="20"/>
              </w:rPr>
            </w:pPr>
            <w:r w:rsidRPr="0000591E">
              <w:rPr>
                <w:rFonts w:ascii="Arial" w:hAnsi="Arial" w:cs="Arial"/>
                <w:sz w:val="20"/>
                <w:szCs w:val="20"/>
              </w:rPr>
              <w:t>herpes genitalis.</w:t>
            </w:r>
          </w:p>
          <w:p w14:paraId="6F21EAEC" w14:textId="77777777" w:rsidR="00657ACA" w:rsidRPr="0000591E" w:rsidRDefault="00657ACA" w:rsidP="00657ACA">
            <w:pPr>
              <w:ind w:left="360"/>
              <w:jc w:val="both"/>
              <w:rPr>
                <w:rFonts w:ascii="Arial" w:hAnsi="Arial" w:cs="Arial"/>
                <w:sz w:val="20"/>
                <w:szCs w:val="20"/>
              </w:rPr>
            </w:pPr>
          </w:p>
        </w:tc>
      </w:tr>
      <w:tr w:rsidR="00657ACA" w:rsidRPr="0000591E" w14:paraId="59F12A06" w14:textId="77777777" w:rsidTr="003F7925">
        <w:trPr>
          <w:gridAfter w:val="2"/>
          <w:wAfter w:w="154" w:type="dxa"/>
          <w:trHeight w:val="20"/>
        </w:trPr>
        <w:tc>
          <w:tcPr>
            <w:tcW w:w="1256" w:type="dxa"/>
            <w:tcBorders>
              <w:bottom w:val="single" w:sz="4" w:space="0" w:color="auto"/>
            </w:tcBorders>
            <w:noWrap/>
            <w:vAlign w:val="bottom"/>
          </w:tcPr>
          <w:p w14:paraId="08E26F4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J05AB01</w:t>
            </w:r>
          </w:p>
        </w:tc>
        <w:tc>
          <w:tcPr>
            <w:tcW w:w="9452" w:type="dxa"/>
            <w:tcBorders>
              <w:bottom w:val="single" w:sz="4" w:space="0" w:color="auto"/>
            </w:tcBorders>
            <w:noWrap/>
            <w:vAlign w:val="bottom"/>
          </w:tcPr>
          <w:p w14:paraId="71D38062"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Aci</w:t>
            </w:r>
            <w:r w:rsidRPr="0000591E">
              <w:rPr>
                <w:rFonts w:ascii="Arial" w:hAnsi="Arial" w:cs="Arial"/>
                <w:b/>
                <w:bCs/>
                <w:sz w:val="20"/>
                <w:szCs w:val="20"/>
              </w:rPr>
              <w:t xml:space="preserve">klovir p.o. 200 mg </w:t>
            </w:r>
          </w:p>
        </w:tc>
      </w:tr>
      <w:tr w:rsidR="00657ACA" w:rsidRPr="0000591E" w14:paraId="07BDD47B" w14:textId="77777777" w:rsidTr="003F7925">
        <w:trPr>
          <w:gridAfter w:val="2"/>
          <w:wAfter w:w="154" w:type="dxa"/>
          <w:trHeight w:val="20"/>
        </w:trPr>
        <w:tc>
          <w:tcPr>
            <w:tcW w:w="1256" w:type="dxa"/>
            <w:tcBorders>
              <w:top w:val="single" w:sz="4" w:space="0" w:color="auto"/>
            </w:tcBorders>
            <w:noWrap/>
            <w:vAlign w:val="bottom"/>
          </w:tcPr>
          <w:p w14:paraId="13E6119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C3E309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Hradenú liečbu môže indikovať lekár transplantačného centra u indikovaných pacientov po transplantácii.</w:t>
            </w:r>
          </w:p>
          <w:p w14:paraId="78DADD0E"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Hradenú liečbu môže indikovať dermatológ u detí pri herpes zoster a herpes genitalis.</w:t>
            </w:r>
          </w:p>
          <w:p w14:paraId="7F5F57F2" w14:textId="77777777" w:rsidR="00657ACA" w:rsidRPr="0000591E" w:rsidRDefault="00657ACA" w:rsidP="00657ACA">
            <w:pPr>
              <w:jc w:val="both"/>
              <w:rPr>
                <w:rFonts w:ascii="Arial" w:hAnsi="Arial" w:cs="Arial"/>
                <w:sz w:val="20"/>
                <w:szCs w:val="20"/>
              </w:rPr>
            </w:pPr>
          </w:p>
        </w:tc>
      </w:tr>
      <w:tr w:rsidR="00657ACA" w:rsidRPr="0000591E" w14:paraId="6FF16211" w14:textId="77777777" w:rsidTr="003F7925">
        <w:trPr>
          <w:gridAfter w:val="2"/>
          <w:wAfter w:w="154" w:type="dxa"/>
          <w:trHeight w:val="20"/>
        </w:trPr>
        <w:tc>
          <w:tcPr>
            <w:tcW w:w="1256" w:type="dxa"/>
            <w:tcBorders>
              <w:bottom w:val="single" w:sz="4" w:space="0" w:color="auto"/>
            </w:tcBorders>
            <w:noWrap/>
            <w:vAlign w:val="bottom"/>
          </w:tcPr>
          <w:p w14:paraId="188D260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 J05AB09</w:t>
            </w:r>
          </w:p>
        </w:tc>
        <w:tc>
          <w:tcPr>
            <w:tcW w:w="9452" w:type="dxa"/>
            <w:tcBorders>
              <w:bottom w:val="single" w:sz="4" w:space="0" w:color="auto"/>
            </w:tcBorders>
            <w:noWrap/>
            <w:vAlign w:val="bottom"/>
          </w:tcPr>
          <w:p w14:paraId="79F804D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Famciklovír p.o. 250 mg,</w:t>
            </w:r>
          </w:p>
          <w:p w14:paraId="3ADDF44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Famciklovír p.o. 500 mg</w:t>
            </w:r>
          </w:p>
        </w:tc>
      </w:tr>
      <w:tr w:rsidR="00657ACA" w:rsidRPr="0000591E" w14:paraId="7A60F86A" w14:textId="77777777" w:rsidTr="003F7925">
        <w:trPr>
          <w:gridAfter w:val="2"/>
          <w:wAfter w:w="154" w:type="dxa"/>
          <w:trHeight w:val="20"/>
        </w:trPr>
        <w:tc>
          <w:tcPr>
            <w:tcW w:w="1256" w:type="dxa"/>
            <w:tcBorders>
              <w:top w:val="single" w:sz="4" w:space="0" w:color="auto"/>
            </w:tcBorders>
            <w:noWrap/>
            <w:vAlign w:val="bottom"/>
          </w:tcPr>
          <w:p w14:paraId="1A4C264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6664930"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 Hradená liečba sa môže indikovať pri</w:t>
            </w:r>
          </w:p>
          <w:p w14:paraId="4D12A1E2"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    a)</w:t>
            </w:r>
            <w:r w:rsidRPr="0000591E">
              <w:rPr>
                <w:rFonts w:ascii="Arial" w:hAnsi="Arial" w:cs="Arial"/>
                <w:sz w:val="20"/>
                <w:szCs w:val="20"/>
              </w:rPr>
              <w:tab/>
              <w:t>herpes zoster,</w:t>
            </w:r>
          </w:p>
          <w:p w14:paraId="5ED94739"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    b)</w:t>
            </w:r>
            <w:r w:rsidRPr="0000591E">
              <w:rPr>
                <w:rFonts w:ascii="Arial" w:hAnsi="Arial" w:cs="Arial"/>
                <w:sz w:val="20"/>
                <w:szCs w:val="20"/>
              </w:rPr>
              <w:tab/>
              <w:t>herpes genitalis.</w:t>
            </w:r>
          </w:p>
          <w:p w14:paraId="508E33AB" w14:textId="77777777" w:rsidR="00657ACA" w:rsidRPr="0000591E" w:rsidRDefault="00657ACA" w:rsidP="00657ACA">
            <w:pPr>
              <w:jc w:val="both"/>
              <w:rPr>
                <w:rFonts w:ascii="Arial" w:hAnsi="Arial" w:cs="Arial"/>
                <w:sz w:val="20"/>
                <w:szCs w:val="20"/>
              </w:rPr>
            </w:pPr>
          </w:p>
        </w:tc>
      </w:tr>
      <w:tr w:rsidR="00657ACA" w:rsidRPr="0000591E" w14:paraId="5D98B95D" w14:textId="77777777" w:rsidTr="003F7925">
        <w:trPr>
          <w:gridAfter w:val="2"/>
          <w:wAfter w:w="154" w:type="dxa"/>
          <w:trHeight w:val="280"/>
        </w:trPr>
        <w:tc>
          <w:tcPr>
            <w:tcW w:w="1256" w:type="dxa"/>
            <w:tcBorders>
              <w:bottom w:val="single" w:sz="4" w:space="0" w:color="auto"/>
            </w:tcBorders>
            <w:noWrap/>
            <w:vAlign w:val="bottom"/>
          </w:tcPr>
          <w:p w14:paraId="7526FDC7"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J05AB11</w:t>
            </w:r>
          </w:p>
        </w:tc>
        <w:tc>
          <w:tcPr>
            <w:tcW w:w="9452" w:type="dxa"/>
            <w:tcBorders>
              <w:bottom w:val="single" w:sz="4" w:space="0" w:color="auto"/>
            </w:tcBorders>
            <w:noWrap/>
            <w:vAlign w:val="bottom"/>
          </w:tcPr>
          <w:p w14:paraId="73E2C47C" w14:textId="77777777" w:rsidR="00657ACA" w:rsidRPr="0000591E" w:rsidRDefault="00657ACA" w:rsidP="00657ACA">
            <w:pPr>
              <w:jc w:val="both"/>
              <w:rPr>
                <w:rFonts w:ascii="Arial" w:hAnsi="Arial" w:cs="Arial"/>
                <w:b/>
                <w:bCs/>
                <w:sz w:val="20"/>
                <w:szCs w:val="20"/>
              </w:rPr>
            </w:pPr>
            <w:r w:rsidRPr="007E2C6F">
              <w:rPr>
                <w:rFonts w:ascii="Arial" w:hAnsi="Arial" w:cs="Arial"/>
                <w:b/>
                <w:bCs/>
                <w:sz w:val="20"/>
                <w:szCs w:val="20"/>
              </w:rPr>
              <w:t>Valaciklovir</w:t>
            </w:r>
            <w:r w:rsidRPr="0000591E">
              <w:rPr>
                <w:rFonts w:ascii="Arial" w:hAnsi="Arial" w:cs="Arial"/>
                <w:b/>
                <w:bCs/>
                <w:sz w:val="20"/>
                <w:szCs w:val="20"/>
              </w:rPr>
              <w:t xml:space="preserve"> p.o. 500 mg</w:t>
            </w:r>
          </w:p>
        </w:tc>
      </w:tr>
      <w:tr w:rsidR="00657ACA" w:rsidRPr="0000591E" w14:paraId="512351EC" w14:textId="77777777" w:rsidTr="003F7925">
        <w:trPr>
          <w:gridAfter w:val="2"/>
          <w:wAfter w:w="154" w:type="dxa"/>
          <w:trHeight w:val="20"/>
        </w:trPr>
        <w:tc>
          <w:tcPr>
            <w:tcW w:w="1256" w:type="dxa"/>
            <w:tcBorders>
              <w:top w:val="single" w:sz="4" w:space="0" w:color="auto"/>
            </w:tcBorders>
            <w:noWrap/>
            <w:vAlign w:val="bottom"/>
          </w:tcPr>
          <w:p w14:paraId="470C096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33D1FF2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herpes zoster a herpes genitalis, lekár transplantačného centra a hepatológ v prevencii a liečbe CMV infekcie.</w:t>
            </w:r>
          </w:p>
          <w:p w14:paraId="1A3728C2" w14:textId="77777777" w:rsidR="00657ACA" w:rsidRPr="0000591E" w:rsidRDefault="00657ACA" w:rsidP="00657ACA">
            <w:pPr>
              <w:jc w:val="both"/>
              <w:rPr>
                <w:rFonts w:ascii="Arial" w:hAnsi="Arial" w:cs="Arial"/>
                <w:sz w:val="20"/>
                <w:szCs w:val="20"/>
              </w:rPr>
            </w:pPr>
          </w:p>
        </w:tc>
      </w:tr>
      <w:tr w:rsidR="00657ACA" w:rsidRPr="0000591E" w14:paraId="5FACFC1C" w14:textId="77777777" w:rsidTr="003F7925">
        <w:trPr>
          <w:gridAfter w:val="2"/>
          <w:wAfter w:w="154" w:type="dxa"/>
          <w:trHeight w:val="20"/>
        </w:trPr>
        <w:tc>
          <w:tcPr>
            <w:tcW w:w="1256" w:type="dxa"/>
            <w:tcBorders>
              <w:bottom w:val="single" w:sz="4" w:space="0" w:color="auto"/>
            </w:tcBorders>
            <w:noWrap/>
            <w:vAlign w:val="bottom"/>
          </w:tcPr>
          <w:p w14:paraId="530AB47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J05AB15   </w:t>
            </w:r>
          </w:p>
        </w:tc>
        <w:tc>
          <w:tcPr>
            <w:tcW w:w="9452" w:type="dxa"/>
            <w:tcBorders>
              <w:bottom w:val="single" w:sz="4" w:space="0" w:color="auto"/>
            </w:tcBorders>
            <w:noWrap/>
            <w:vAlign w:val="bottom"/>
          </w:tcPr>
          <w:p w14:paraId="5CB9D1A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Brivudín p.o. 125 mg</w:t>
            </w:r>
          </w:p>
        </w:tc>
      </w:tr>
      <w:tr w:rsidR="00657ACA" w:rsidRPr="0000591E" w14:paraId="7F22AB58" w14:textId="77777777" w:rsidTr="003F7925">
        <w:trPr>
          <w:gridAfter w:val="2"/>
          <w:wAfter w:w="154" w:type="dxa"/>
          <w:trHeight w:val="20"/>
        </w:trPr>
        <w:tc>
          <w:tcPr>
            <w:tcW w:w="1256" w:type="dxa"/>
            <w:tcBorders>
              <w:top w:val="single" w:sz="4" w:space="0" w:color="auto"/>
            </w:tcBorders>
            <w:noWrap/>
            <w:vAlign w:val="bottom"/>
          </w:tcPr>
          <w:p w14:paraId="0A50B576"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554E29F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herpes zoster.</w:t>
            </w:r>
          </w:p>
          <w:p w14:paraId="32ABAD43" w14:textId="77777777" w:rsidR="00657ACA" w:rsidRPr="0000591E" w:rsidRDefault="00657ACA" w:rsidP="00657ACA">
            <w:pPr>
              <w:pStyle w:val="Nadpis1"/>
              <w:jc w:val="both"/>
              <w:rPr>
                <w:sz w:val="20"/>
                <w:szCs w:val="20"/>
                <w:lang w:val="sk-SK"/>
              </w:rPr>
            </w:pPr>
          </w:p>
        </w:tc>
      </w:tr>
      <w:tr w:rsidR="00657ACA" w:rsidRPr="0000591E" w14:paraId="799E4D50" w14:textId="77777777" w:rsidTr="003F7925">
        <w:trPr>
          <w:gridAfter w:val="2"/>
          <w:wAfter w:w="154" w:type="dxa"/>
          <w:trHeight w:val="20"/>
        </w:trPr>
        <w:tc>
          <w:tcPr>
            <w:tcW w:w="1256" w:type="dxa"/>
            <w:tcBorders>
              <w:bottom w:val="single" w:sz="4" w:space="0" w:color="auto"/>
            </w:tcBorders>
            <w:noWrap/>
            <w:vAlign w:val="bottom"/>
          </w:tcPr>
          <w:p w14:paraId="70143E29"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J05AE03</w:t>
            </w:r>
          </w:p>
        </w:tc>
        <w:tc>
          <w:tcPr>
            <w:tcW w:w="9452" w:type="dxa"/>
            <w:tcBorders>
              <w:bottom w:val="single" w:sz="4" w:space="0" w:color="auto"/>
            </w:tcBorders>
            <w:noWrap/>
          </w:tcPr>
          <w:p w14:paraId="53A19A03" w14:textId="77777777" w:rsidR="00657ACA" w:rsidRPr="0000591E" w:rsidRDefault="00657ACA" w:rsidP="00657ACA">
            <w:pPr>
              <w:rPr>
                <w:rFonts w:ascii="Arial" w:hAnsi="Arial" w:cs="Arial"/>
                <w:sz w:val="20"/>
                <w:szCs w:val="20"/>
              </w:rPr>
            </w:pPr>
            <w:r w:rsidRPr="0000591E">
              <w:rPr>
                <w:rFonts w:ascii="Arial" w:hAnsi="Arial" w:cs="Arial"/>
                <w:b/>
                <w:bCs/>
                <w:sz w:val="20"/>
                <w:szCs w:val="20"/>
              </w:rPr>
              <w:t>Ritonavír p.o. 100 mg</w:t>
            </w:r>
          </w:p>
        </w:tc>
      </w:tr>
      <w:tr w:rsidR="00657ACA" w:rsidRPr="0000591E" w14:paraId="32278D86" w14:textId="77777777" w:rsidTr="003F7925">
        <w:trPr>
          <w:gridAfter w:val="2"/>
          <w:wAfter w:w="154" w:type="dxa"/>
          <w:trHeight w:val="20"/>
        </w:trPr>
        <w:tc>
          <w:tcPr>
            <w:tcW w:w="1256" w:type="dxa"/>
            <w:tcBorders>
              <w:top w:val="single" w:sz="4" w:space="0" w:color="auto"/>
            </w:tcBorders>
            <w:noWrap/>
            <w:vAlign w:val="bottom"/>
          </w:tcPr>
          <w:p w14:paraId="4908E94D"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5EB16E5"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v kombinácii s inými antiretrovírusovými látkami na liečbu pacientov infikovaných HIV-1 (dospelí a deti od dvoch rokov veku).</w:t>
            </w:r>
          </w:p>
          <w:p w14:paraId="56DA4CEC"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Hradenú liečbu môže indikovať infektológ v AIDS centre. </w:t>
            </w:r>
          </w:p>
          <w:p w14:paraId="0FC5CBC9" w14:textId="77777777" w:rsidR="00657ACA" w:rsidRPr="0000591E" w:rsidRDefault="00657ACA" w:rsidP="00657ACA">
            <w:pPr>
              <w:rPr>
                <w:rFonts w:ascii="Arial" w:hAnsi="Arial" w:cs="Arial"/>
                <w:b/>
                <w:bCs/>
                <w:sz w:val="20"/>
                <w:szCs w:val="20"/>
              </w:rPr>
            </w:pPr>
          </w:p>
        </w:tc>
      </w:tr>
      <w:tr w:rsidR="00657ACA" w:rsidRPr="0000591E" w14:paraId="796F3D5A" w14:textId="77777777" w:rsidTr="00D43AD0">
        <w:trPr>
          <w:gridAfter w:val="1"/>
          <w:wAfter w:w="109" w:type="dxa"/>
          <w:trHeight w:val="20"/>
        </w:trPr>
        <w:tc>
          <w:tcPr>
            <w:tcW w:w="1256" w:type="dxa"/>
            <w:tcBorders>
              <w:bottom w:val="single" w:sz="4" w:space="0" w:color="auto"/>
            </w:tcBorders>
            <w:noWrap/>
            <w:vAlign w:val="center"/>
          </w:tcPr>
          <w:p w14:paraId="252F8775" w14:textId="33BCCF33" w:rsidR="00657ACA" w:rsidRPr="00F752F1" w:rsidRDefault="00657ACA" w:rsidP="00657ACA">
            <w:pPr>
              <w:rPr>
                <w:rFonts w:ascii="Arial" w:hAnsi="Arial" w:cs="Arial"/>
                <w:b/>
                <w:bCs/>
                <w:sz w:val="20"/>
                <w:szCs w:val="20"/>
              </w:rPr>
            </w:pPr>
            <w:r>
              <w:rPr>
                <w:rFonts w:ascii="Arial" w:hAnsi="Arial" w:cs="Arial"/>
                <w:b/>
                <w:bCs/>
                <w:sz w:val="20"/>
                <w:szCs w:val="20"/>
              </w:rPr>
              <w:t>J05AE10</w:t>
            </w:r>
          </w:p>
        </w:tc>
        <w:tc>
          <w:tcPr>
            <w:tcW w:w="9497" w:type="dxa"/>
            <w:gridSpan w:val="2"/>
            <w:tcBorders>
              <w:bottom w:val="single" w:sz="4" w:space="0" w:color="auto"/>
            </w:tcBorders>
            <w:noWrap/>
            <w:vAlign w:val="bottom"/>
          </w:tcPr>
          <w:p w14:paraId="2B6C6BC5" w14:textId="414F575B" w:rsidR="00657ACA" w:rsidRPr="00F752F1" w:rsidRDefault="00657ACA" w:rsidP="00657ACA">
            <w:pPr>
              <w:jc w:val="both"/>
              <w:rPr>
                <w:rFonts w:ascii="Arial" w:hAnsi="Arial" w:cs="Arial"/>
                <w:b/>
                <w:bCs/>
                <w:sz w:val="20"/>
                <w:szCs w:val="20"/>
              </w:rPr>
            </w:pPr>
            <w:r w:rsidRPr="003F7925">
              <w:rPr>
                <w:rFonts w:ascii="Arial" w:hAnsi="Arial" w:cs="Arial"/>
                <w:b/>
                <w:bCs/>
                <w:sz w:val="20"/>
                <w:szCs w:val="20"/>
              </w:rPr>
              <w:t>Darunavir p.o. 800 mg</w:t>
            </w:r>
          </w:p>
        </w:tc>
      </w:tr>
      <w:tr w:rsidR="00657ACA" w:rsidRPr="0000591E" w14:paraId="1131CFD0" w14:textId="77777777" w:rsidTr="00D43AD0">
        <w:trPr>
          <w:gridAfter w:val="1"/>
          <w:wAfter w:w="109" w:type="dxa"/>
          <w:trHeight w:val="20"/>
        </w:trPr>
        <w:tc>
          <w:tcPr>
            <w:tcW w:w="1256" w:type="dxa"/>
            <w:tcBorders>
              <w:top w:val="single" w:sz="4" w:space="0" w:color="auto"/>
            </w:tcBorders>
            <w:noWrap/>
            <w:vAlign w:val="center"/>
          </w:tcPr>
          <w:p w14:paraId="7800449E" w14:textId="77777777" w:rsidR="00657ACA" w:rsidRPr="00F752F1" w:rsidRDefault="00657ACA" w:rsidP="00657ACA">
            <w:pPr>
              <w:rPr>
                <w:rFonts w:ascii="Arial" w:hAnsi="Arial" w:cs="Arial"/>
                <w:b/>
                <w:bCs/>
                <w:sz w:val="20"/>
                <w:szCs w:val="20"/>
              </w:rPr>
            </w:pPr>
          </w:p>
        </w:tc>
        <w:tc>
          <w:tcPr>
            <w:tcW w:w="9497" w:type="dxa"/>
            <w:gridSpan w:val="2"/>
            <w:tcBorders>
              <w:top w:val="single" w:sz="4" w:space="0" w:color="auto"/>
            </w:tcBorders>
            <w:noWrap/>
            <w:vAlign w:val="bottom"/>
          </w:tcPr>
          <w:p w14:paraId="09930DDC" w14:textId="77777777" w:rsidR="00657ACA" w:rsidRPr="003F7925" w:rsidRDefault="00657ACA" w:rsidP="00657ACA">
            <w:pPr>
              <w:rPr>
                <w:rFonts w:ascii="Arial" w:hAnsi="Arial" w:cs="Arial"/>
                <w:bCs/>
                <w:sz w:val="20"/>
                <w:szCs w:val="20"/>
              </w:rPr>
            </w:pPr>
            <w:r w:rsidRPr="003F7925">
              <w:rPr>
                <w:rFonts w:ascii="Arial" w:hAnsi="Arial" w:cs="Arial"/>
                <w:bCs/>
                <w:sz w:val="20"/>
                <w:szCs w:val="20"/>
              </w:rPr>
              <w:t xml:space="preserve">Hradenú liečbu môže indikovať infektológ v AIDS centre. </w:t>
            </w:r>
          </w:p>
          <w:p w14:paraId="3D556C8A" w14:textId="77777777" w:rsidR="00657ACA" w:rsidRPr="00F752F1" w:rsidRDefault="00657ACA" w:rsidP="00657ACA">
            <w:pPr>
              <w:jc w:val="both"/>
              <w:rPr>
                <w:rFonts w:ascii="Arial" w:hAnsi="Arial" w:cs="Arial"/>
                <w:b/>
                <w:bCs/>
                <w:sz w:val="20"/>
                <w:szCs w:val="20"/>
              </w:rPr>
            </w:pPr>
          </w:p>
        </w:tc>
      </w:tr>
      <w:tr w:rsidR="00657ACA" w:rsidRPr="0000591E" w14:paraId="6B7EB055" w14:textId="77777777" w:rsidTr="00D43AD0">
        <w:trPr>
          <w:gridAfter w:val="1"/>
          <w:wAfter w:w="109" w:type="dxa"/>
          <w:trHeight w:val="20"/>
        </w:trPr>
        <w:tc>
          <w:tcPr>
            <w:tcW w:w="1256" w:type="dxa"/>
            <w:tcBorders>
              <w:bottom w:val="single" w:sz="4" w:space="0" w:color="auto"/>
            </w:tcBorders>
            <w:noWrap/>
            <w:vAlign w:val="center"/>
          </w:tcPr>
          <w:p w14:paraId="326D2DAA" w14:textId="77777777" w:rsidR="00657ACA" w:rsidRPr="0000591E" w:rsidRDefault="00657ACA" w:rsidP="00657ACA">
            <w:pPr>
              <w:rPr>
                <w:rFonts w:ascii="Arial" w:hAnsi="Arial" w:cs="Arial"/>
                <w:b/>
                <w:bCs/>
                <w:sz w:val="20"/>
                <w:szCs w:val="20"/>
              </w:rPr>
            </w:pPr>
            <w:r w:rsidRPr="00F752F1">
              <w:rPr>
                <w:rFonts w:ascii="Arial" w:hAnsi="Arial" w:cs="Arial"/>
                <w:b/>
                <w:bCs/>
                <w:sz w:val="20"/>
                <w:szCs w:val="20"/>
              </w:rPr>
              <w:t>J05AE30</w:t>
            </w:r>
          </w:p>
        </w:tc>
        <w:tc>
          <w:tcPr>
            <w:tcW w:w="9497" w:type="dxa"/>
            <w:gridSpan w:val="2"/>
            <w:tcBorders>
              <w:bottom w:val="single" w:sz="4" w:space="0" w:color="auto"/>
            </w:tcBorders>
            <w:noWrap/>
            <w:vAlign w:val="bottom"/>
          </w:tcPr>
          <w:p w14:paraId="217DA063" w14:textId="77777777" w:rsidR="00657ACA" w:rsidRPr="0000591E" w:rsidRDefault="00657ACA" w:rsidP="00657ACA">
            <w:pPr>
              <w:jc w:val="both"/>
              <w:rPr>
                <w:rFonts w:ascii="Arial" w:hAnsi="Arial" w:cs="Arial"/>
                <w:b/>
                <w:bCs/>
                <w:sz w:val="20"/>
                <w:szCs w:val="20"/>
              </w:rPr>
            </w:pPr>
            <w:r w:rsidRPr="00F752F1">
              <w:rPr>
                <w:rFonts w:ascii="Arial" w:hAnsi="Arial" w:cs="Arial"/>
                <w:b/>
                <w:bCs/>
                <w:sz w:val="20"/>
                <w:szCs w:val="20"/>
              </w:rPr>
              <w:t>Nirmatrelvir a</w:t>
            </w:r>
            <w:r>
              <w:rPr>
                <w:rFonts w:ascii="Arial" w:hAnsi="Arial" w:cs="Arial"/>
                <w:b/>
                <w:bCs/>
                <w:sz w:val="20"/>
                <w:szCs w:val="20"/>
              </w:rPr>
              <w:t> </w:t>
            </w:r>
            <w:r w:rsidRPr="00F752F1">
              <w:rPr>
                <w:rFonts w:ascii="Arial" w:hAnsi="Arial" w:cs="Arial"/>
                <w:b/>
                <w:bCs/>
                <w:sz w:val="20"/>
                <w:szCs w:val="20"/>
              </w:rPr>
              <w:t>ritonavir</w:t>
            </w:r>
            <w:r>
              <w:rPr>
                <w:rFonts w:ascii="Arial" w:hAnsi="Arial" w:cs="Arial"/>
                <w:b/>
                <w:bCs/>
                <w:sz w:val="20"/>
                <w:szCs w:val="20"/>
              </w:rPr>
              <w:t xml:space="preserve"> </w:t>
            </w:r>
            <w:r w:rsidRPr="00F752F1">
              <w:rPr>
                <w:rFonts w:ascii="Arial" w:hAnsi="Arial" w:cs="Arial"/>
                <w:b/>
                <w:bCs/>
                <w:sz w:val="20"/>
                <w:szCs w:val="20"/>
              </w:rPr>
              <w:t>p.o. 150 mg + 100 mg</w:t>
            </w:r>
          </w:p>
        </w:tc>
      </w:tr>
      <w:tr w:rsidR="00657ACA" w:rsidRPr="0000591E" w14:paraId="2EADFDE6" w14:textId="77777777" w:rsidTr="00D43AD0">
        <w:trPr>
          <w:gridAfter w:val="1"/>
          <w:wAfter w:w="109" w:type="dxa"/>
          <w:trHeight w:val="20"/>
        </w:trPr>
        <w:tc>
          <w:tcPr>
            <w:tcW w:w="1256" w:type="dxa"/>
            <w:tcBorders>
              <w:top w:val="single" w:sz="4" w:space="0" w:color="auto"/>
            </w:tcBorders>
            <w:noWrap/>
            <w:vAlign w:val="center"/>
          </w:tcPr>
          <w:p w14:paraId="763F99D2" w14:textId="77777777" w:rsidR="00657ACA" w:rsidRPr="00F752F1" w:rsidRDefault="00657ACA" w:rsidP="00657ACA">
            <w:pPr>
              <w:rPr>
                <w:rFonts w:ascii="Arial" w:hAnsi="Arial" w:cs="Arial"/>
                <w:bCs/>
                <w:sz w:val="20"/>
                <w:szCs w:val="20"/>
              </w:rPr>
            </w:pPr>
          </w:p>
        </w:tc>
        <w:tc>
          <w:tcPr>
            <w:tcW w:w="9497" w:type="dxa"/>
            <w:gridSpan w:val="2"/>
            <w:tcBorders>
              <w:top w:val="single" w:sz="4" w:space="0" w:color="auto"/>
            </w:tcBorders>
            <w:noWrap/>
            <w:vAlign w:val="bottom"/>
          </w:tcPr>
          <w:p w14:paraId="00FD11B1"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Paxlovid je indikovaný dospelým pacientom na liečbu ochorenia spôsobeného koronavírusom 2019 (COVID-19), ktorých stav si nevyžaduje</w:t>
            </w:r>
          </w:p>
          <w:p w14:paraId="079C6548"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podpornú liečbu kyslíkom, a u ktorých je prítomné zvýšené riziko progresie k závažnému ochoreniu COVID-19.</w:t>
            </w:r>
          </w:p>
          <w:p w14:paraId="15E6348E"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Pacienti vo zvýšenom riziku progresie ochorenia COVID-19 do závažného stavu musia mať ≥1 z uvedených rizikových faktorov:</w:t>
            </w:r>
          </w:p>
          <w:p w14:paraId="3B7AEFCF"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1. vek ≥ 60 rokov,</w:t>
            </w:r>
          </w:p>
          <w:p w14:paraId="764EAD94"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2. Pacienti s obezitou a BMI viac ako 35,</w:t>
            </w:r>
          </w:p>
          <w:p w14:paraId="4365F2F6"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3. Pacienti s renálnym zlyhávaním (eGFR ≥ 45ml/min/1,73m2),</w:t>
            </w:r>
          </w:p>
          <w:p w14:paraId="3926AC4C"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4. Pacienti s chronickým ochorením pečene (Child-Pugh trieda A - B),</w:t>
            </w:r>
          </w:p>
          <w:p w14:paraId="1BACACCA"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5. Pacienti s chronickým srdcovocievnym ochorením v štádiu srdcového zlyhávania alebo s významnou kardiálnou dekompenzáciou v</w:t>
            </w:r>
          </w:p>
          <w:p w14:paraId="4A6D784E"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minulosti,</w:t>
            </w:r>
          </w:p>
          <w:p w14:paraId="64AD27A5"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6. Pacienti s arteriálnou hypertenziou v štádiu pokročilých orgánových komplikácií,</w:t>
            </w:r>
          </w:p>
          <w:p w14:paraId="61D6C094"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7. Pacienti s chronickým ochorením pľúc s chronickou respiračnou insuficienciou a s exacerbáciami vyžadujúcimi hospitalizáciu v</w:t>
            </w:r>
          </w:p>
          <w:p w14:paraId="06A6CD3A"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minulosti,</w:t>
            </w:r>
          </w:p>
          <w:p w14:paraId="481BED48"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8. Pacienti s diabetes mellitus 1. alebo 2. typu s pokročilými chronickými komplikáciami,</w:t>
            </w:r>
          </w:p>
          <w:p w14:paraId="726ABA5F"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9. Pacienti s ťažkou formou Parkinsonovej choroby a inými neurologickými ochoreniami s rizikom respiračného zlyhania pri ochorení</w:t>
            </w:r>
          </w:p>
          <w:p w14:paraId="037CB8D7"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COVID-19,</w:t>
            </w:r>
          </w:p>
          <w:p w14:paraId="62CBB9FD"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10. Imunokompromitovaní pacienti so závažnou poruchou imunity alebo pacienti s rizikom závažného priebehu infekcie ochorenia</w:t>
            </w:r>
          </w:p>
          <w:p w14:paraId="3CAB0D5B" w14:textId="77777777" w:rsidR="00657ACA" w:rsidRPr="00060E67" w:rsidRDefault="00657ACA" w:rsidP="00657ACA">
            <w:pPr>
              <w:jc w:val="both"/>
              <w:rPr>
                <w:rFonts w:ascii="Arial" w:hAnsi="Arial" w:cs="Arial"/>
                <w:bCs/>
                <w:sz w:val="20"/>
                <w:szCs w:val="20"/>
              </w:rPr>
            </w:pPr>
            <w:r w:rsidRPr="00F752F1">
              <w:rPr>
                <w:rFonts w:ascii="Arial" w:hAnsi="Arial" w:cs="Arial"/>
                <w:bCs/>
                <w:sz w:val="20"/>
                <w:szCs w:val="20"/>
              </w:rPr>
              <w:t>COVID-19 na základe rozhodnutia lekára. Medzi pacientov s rôznymi druhmi klinicky významných porúch imunitných mechanizmov patria</w:t>
            </w:r>
            <w:r>
              <w:rPr>
                <w:rFonts w:ascii="Arial" w:hAnsi="Arial" w:cs="Arial"/>
                <w:bCs/>
                <w:sz w:val="20"/>
                <w:szCs w:val="20"/>
              </w:rPr>
              <w:t xml:space="preserve"> </w:t>
            </w:r>
            <w:r w:rsidRPr="00F752F1">
              <w:rPr>
                <w:rFonts w:ascii="Arial" w:hAnsi="Arial" w:cs="Arial"/>
                <w:bCs/>
                <w:sz w:val="20"/>
                <w:szCs w:val="20"/>
              </w:rPr>
              <w:t>napr. pacienti s Downovým syndrómom a obezitou alebo inou vrodenou chybou asociovanou s Downovým syndrómom, pacienti na aktívnej</w:t>
            </w:r>
            <w:r>
              <w:rPr>
                <w:rFonts w:ascii="Arial" w:hAnsi="Arial" w:cs="Arial"/>
                <w:bCs/>
                <w:sz w:val="20"/>
                <w:szCs w:val="20"/>
              </w:rPr>
              <w:t xml:space="preserve"> </w:t>
            </w:r>
            <w:r w:rsidRPr="00060E67">
              <w:rPr>
                <w:rFonts w:ascii="Arial" w:hAnsi="Arial" w:cs="Arial"/>
                <w:bCs/>
                <w:sz w:val="20"/>
                <w:szCs w:val="20"/>
              </w:rPr>
              <w:t>hematoonkologickej liečbe a po orgánových transplantáciách, alebo po transplantáciách krvotvorných buniek, pacienti so zle kontrolovanou</w:t>
            </w:r>
          </w:p>
          <w:p w14:paraId="092C2BDC" w14:textId="77777777" w:rsidR="00657ACA" w:rsidRDefault="00657ACA" w:rsidP="00657ACA">
            <w:pPr>
              <w:jc w:val="both"/>
              <w:rPr>
                <w:rFonts w:ascii="Arial" w:hAnsi="Arial" w:cs="Arial"/>
                <w:bCs/>
                <w:sz w:val="20"/>
                <w:szCs w:val="20"/>
              </w:rPr>
            </w:pPr>
            <w:r w:rsidRPr="00060E67">
              <w:rPr>
                <w:rFonts w:ascii="Arial" w:hAnsi="Arial" w:cs="Arial"/>
                <w:bCs/>
                <w:sz w:val="20"/>
                <w:szCs w:val="20"/>
              </w:rPr>
              <w:t>infekciou HIV alebo na imunosupresívnej liečbe. Títo pacienti sú tiež kandidátmi na liečbu liekom (Paxlovid 150 mg + 100 mg) v</w:t>
            </w:r>
            <w:r>
              <w:rPr>
                <w:rFonts w:ascii="Arial" w:hAnsi="Arial" w:cs="Arial"/>
                <w:bCs/>
                <w:sz w:val="20"/>
                <w:szCs w:val="20"/>
              </w:rPr>
              <w:t> </w:t>
            </w:r>
            <w:r w:rsidRPr="00060E67">
              <w:rPr>
                <w:rFonts w:ascii="Arial" w:hAnsi="Arial" w:cs="Arial"/>
                <w:bCs/>
                <w:sz w:val="20"/>
                <w:szCs w:val="20"/>
              </w:rPr>
              <w:t>prípade</w:t>
            </w:r>
            <w:r>
              <w:rPr>
                <w:rFonts w:ascii="Arial" w:hAnsi="Arial" w:cs="Arial"/>
                <w:bCs/>
                <w:sz w:val="20"/>
                <w:szCs w:val="20"/>
              </w:rPr>
              <w:t xml:space="preserve"> </w:t>
            </w:r>
            <w:r w:rsidRPr="00060E67">
              <w:rPr>
                <w:rFonts w:ascii="Arial" w:hAnsi="Arial" w:cs="Arial"/>
                <w:bCs/>
                <w:sz w:val="20"/>
                <w:szCs w:val="20"/>
              </w:rPr>
              <w:t>potvrdenia ochorenia COVID-19.</w:t>
            </w:r>
          </w:p>
          <w:p w14:paraId="7E9B5B8D" w14:textId="77777777" w:rsidR="00657ACA" w:rsidRPr="00060E67" w:rsidRDefault="00657ACA" w:rsidP="00657ACA">
            <w:pPr>
              <w:jc w:val="both"/>
              <w:rPr>
                <w:rFonts w:ascii="Arial" w:hAnsi="Arial" w:cs="Arial"/>
                <w:bCs/>
                <w:sz w:val="20"/>
                <w:szCs w:val="20"/>
              </w:rPr>
            </w:pPr>
          </w:p>
          <w:p w14:paraId="29143F1D" w14:textId="77777777" w:rsidR="00657ACA" w:rsidRDefault="00657ACA" w:rsidP="00657ACA">
            <w:pPr>
              <w:jc w:val="both"/>
              <w:rPr>
                <w:rFonts w:ascii="Arial" w:hAnsi="Arial" w:cs="Arial"/>
                <w:bCs/>
                <w:sz w:val="20"/>
                <w:szCs w:val="20"/>
              </w:rPr>
            </w:pPr>
            <w:r w:rsidRPr="00060E67">
              <w:rPr>
                <w:rFonts w:ascii="Arial" w:hAnsi="Arial" w:cs="Arial"/>
                <w:bCs/>
                <w:sz w:val="20"/>
                <w:szCs w:val="20"/>
              </w:rPr>
              <w:t>Liečba sa môže predpísať iba symptomatickým pacientom do 5 dní od nástupu príznakov</w:t>
            </w:r>
            <w:r>
              <w:rPr>
                <w:rFonts w:ascii="Arial" w:hAnsi="Arial" w:cs="Arial"/>
                <w:bCs/>
                <w:sz w:val="20"/>
                <w:szCs w:val="20"/>
              </w:rPr>
              <w:t>.</w:t>
            </w:r>
          </w:p>
          <w:p w14:paraId="08C5FE00" w14:textId="77777777" w:rsidR="00657ACA" w:rsidRPr="00F752F1" w:rsidRDefault="00657ACA" w:rsidP="00657ACA">
            <w:pPr>
              <w:jc w:val="both"/>
              <w:rPr>
                <w:rFonts w:ascii="Arial" w:hAnsi="Arial" w:cs="Arial"/>
                <w:bCs/>
                <w:sz w:val="20"/>
                <w:szCs w:val="20"/>
              </w:rPr>
            </w:pPr>
          </w:p>
        </w:tc>
      </w:tr>
      <w:tr w:rsidR="00657ACA" w:rsidRPr="0000591E" w14:paraId="0518AEFC" w14:textId="77777777" w:rsidTr="003F7925">
        <w:trPr>
          <w:gridAfter w:val="2"/>
          <w:wAfter w:w="154" w:type="dxa"/>
          <w:trHeight w:val="20"/>
        </w:trPr>
        <w:tc>
          <w:tcPr>
            <w:tcW w:w="1256" w:type="dxa"/>
            <w:tcBorders>
              <w:bottom w:val="single" w:sz="4" w:space="0" w:color="auto"/>
            </w:tcBorders>
            <w:noWrap/>
            <w:vAlign w:val="center"/>
          </w:tcPr>
          <w:p w14:paraId="32C69039"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J05AF05</w:t>
            </w:r>
          </w:p>
        </w:tc>
        <w:tc>
          <w:tcPr>
            <w:tcW w:w="9452" w:type="dxa"/>
            <w:tcBorders>
              <w:bottom w:val="single" w:sz="4" w:space="0" w:color="auto"/>
            </w:tcBorders>
            <w:noWrap/>
            <w:vAlign w:val="bottom"/>
          </w:tcPr>
          <w:p w14:paraId="0697B573" w14:textId="64CCC076" w:rsidR="00657ACA" w:rsidRPr="0000591E" w:rsidRDefault="00657ACA" w:rsidP="00657ACA">
            <w:pPr>
              <w:jc w:val="both"/>
              <w:rPr>
                <w:rFonts w:ascii="Arial" w:hAnsi="Arial" w:cs="Arial"/>
                <w:b/>
                <w:bCs/>
                <w:sz w:val="20"/>
                <w:szCs w:val="20"/>
              </w:rPr>
            </w:pPr>
            <w:r>
              <w:rPr>
                <w:rFonts w:ascii="Arial" w:hAnsi="Arial" w:cs="Arial"/>
                <w:b/>
                <w:bCs/>
                <w:sz w:val="20"/>
                <w:szCs w:val="20"/>
              </w:rPr>
              <w:t>Lamivudin p.o. 100 mg</w:t>
            </w:r>
          </w:p>
        </w:tc>
      </w:tr>
      <w:tr w:rsidR="00657ACA" w:rsidRPr="0000591E" w14:paraId="6F1938EA" w14:textId="77777777" w:rsidTr="003F7925">
        <w:trPr>
          <w:gridAfter w:val="2"/>
          <w:wAfter w:w="154" w:type="dxa"/>
          <w:trHeight w:val="20"/>
        </w:trPr>
        <w:tc>
          <w:tcPr>
            <w:tcW w:w="1256" w:type="dxa"/>
            <w:tcBorders>
              <w:top w:val="single" w:sz="4" w:space="0" w:color="auto"/>
            </w:tcBorders>
            <w:noWrap/>
            <w:vAlign w:val="bottom"/>
          </w:tcPr>
          <w:p w14:paraId="1EFDA17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328E4C6"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kompenzovanej a dekompenzovanej chronickej vírusovej hepatitíde typu B sa môže indikovať len u dospelých pacientov pri chronickej vírusovej hepatitíde typu B, ak je </w:t>
            </w:r>
          </w:p>
          <w:p w14:paraId="52DD216C"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trvale alebo intermitentne zvýšená aktivita ALT trvajúca najmenej šesť mesiacov pred začatím liečby (dĺžka trvania nie je rozhodujúca v prípadoch histologicky dokázanej chronickej hepatitídy B), </w:t>
            </w:r>
          </w:p>
          <w:p w14:paraId="08580D7F"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pozitivita HBsAg v sére trvajúcej minimálne šesť mesiacov pred začatím liečby, </w:t>
            </w:r>
          </w:p>
          <w:p w14:paraId="350A82C6"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pozitivita HBsAg a HBeAg v sére v čase indikovania liečby, výsledok nie starší ako jeden mesiac (HBeAg môže byť negatívny pri infekcii HBeAg negatívnou mutantou), </w:t>
            </w:r>
          </w:p>
          <w:p w14:paraId="6F47C443"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overená replikácia vírusu vyšetrením HBV-DNA v sére PCR metódou,</w:t>
            </w:r>
          </w:p>
          <w:p w14:paraId="2F41327B"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nález chronickej hepatitídy pri histologickom vyšetrení pečeňovej biopsie (nie starší ako jeden rok), ak nie je takéto vyšetrenie kontraindikované. </w:t>
            </w:r>
          </w:p>
          <w:p w14:paraId="733A6123" w14:textId="77777777" w:rsidR="00657ACA" w:rsidRPr="0000591E" w:rsidRDefault="00657ACA" w:rsidP="00657ACA">
            <w:pPr>
              <w:rPr>
                <w:rFonts w:ascii="Arial" w:hAnsi="Arial" w:cs="Arial"/>
                <w:sz w:val="20"/>
                <w:szCs w:val="20"/>
              </w:rPr>
            </w:pPr>
            <w:r w:rsidRPr="0000591E">
              <w:rPr>
                <w:rFonts w:ascii="Arial" w:hAnsi="Arial" w:cs="Arial"/>
                <w:sz w:val="20"/>
                <w:szCs w:val="20"/>
              </w:rPr>
              <w:t>Liečba lamivudínom sa môže indikovať pred začatím liečby interferónom. Hradená liečba podlieha vyhodnocovaniu efektivity v pravidelných trojmesačných intervaloch počas liečby a šesť mesiacov po ukončení liečby a výsledok sa zaznamenáva do zdravotnej dokumentácie pacienta.</w:t>
            </w:r>
          </w:p>
          <w:p w14:paraId="21AD6E5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Podmienkou hradenej liečby u drogovo závislých pacientov je preukázanie aspoň šesť mesiacov trvajúcej abstinencie doloženej psychiatrickým vyšetrením a potvrdenie o abstinencii v trojmesačných intervaloch.</w:t>
            </w:r>
          </w:p>
          <w:p w14:paraId="156F6F9B" w14:textId="77777777" w:rsidR="00657ACA" w:rsidRPr="0000591E" w:rsidRDefault="00657ACA" w:rsidP="00657ACA">
            <w:pPr>
              <w:rPr>
                <w:rFonts w:ascii="Arial" w:hAnsi="Arial" w:cs="Arial"/>
                <w:sz w:val="20"/>
                <w:szCs w:val="20"/>
              </w:rPr>
            </w:pPr>
          </w:p>
        </w:tc>
      </w:tr>
      <w:tr w:rsidR="00657ACA" w:rsidRPr="0000591E" w14:paraId="33A9821B" w14:textId="77777777" w:rsidTr="003F7925">
        <w:trPr>
          <w:gridAfter w:val="2"/>
          <w:wAfter w:w="154" w:type="dxa"/>
          <w:trHeight w:val="20"/>
        </w:trPr>
        <w:tc>
          <w:tcPr>
            <w:tcW w:w="1256" w:type="dxa"/>
            <w:tcBorders>
              <w:bottom w:val="single" w:sz="4" w:space="0" w:color="auto"/>
            </w:tcBorders>
            <w:noWrap/>
            <w:vAlign w:val="bottom"/>
          </w:tcPr>
          <w:p w14:paraId="35A95E4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J05AF05</w:t>
            </w:r>
          </w:p>
        </w:tc>
        <w:tc>
          <w:tcPr>
            <w:tcW w:w="9452" w:type="dxa"/>
            <w:tcBorders>
              <w:bottom w:val="single" w:sz="4" w:space="0" w:color="auto"/>
            </w:tcBorders>
            <w:vAlign w:val="bottom"/>
          </w:tcPr>
          <w:p w14:paraId="3D92613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Lamivudin p.o. 150 mg </w:t>
            </w:r>
          </w:p>
        </w:tc>
      </w:tr>
      <w:tr w:rsidR="00657ACA" w:rsidRPr="0000591E" w14:paraId="5678DAE0" w14:textId="77777777" w:rsidTr="003F7925">
        <w:trPr>
          <w:gridAfter w:val="2"/>
          <w:wAfter w:w="154" w:type="dxa"/>
          <w:trHeight w:val="20"/>
        </w:trPr>
        <w:tc>
          <w:tcPr>
            <w:tcW w:w="1256" w:type="dxa"/>
            <w:tcBorders>
              <w:top w:val="single" w:sz="4" w:space="0" w:color="auto"/>
            </w:tcBorders>
            <w:noWrap/>
            <w:vAlign w:val="bottom"/>
          </w:tcPr>
          <w:p w14:paraId="08F125F2"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26496A1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Hradenú liečbu môže indikovať infektológ v AIDS centre.</w:t>
            </w:r>
          </w:p>
          <w:p w14:paraId="6978B306" w14:textId="77777777" w:rsidR="00657ACA" w:rsidRPr="0000591E" w:rsidRDefault="00657ACA" w:rsidP="00657ACA">
            <w:pPr>
              <w:jc w:val="both"/>
              <w:rPr>
                <w:rFonts w:ascii="Arial" w:hAnsi="Arial" w:cs="Arial"/>
                <w:sz w:val="20"/>
                <w:szCs w:val="20"/>
              </w:rPr>
            </w:pPr>
          </w:p>
        </w:tc>
      </w:tr>
      <w:tr w:rsidR="00657ACA" w:rsidRPr="0000591E" w14:paraId="11230C95" w14:textId="77777777" w:rsidTr="003F7925">
        <w:trPr>
          <w:gridAfter w:val="2"/>
          <w:wAfter w:w="154" w:type="dxa"/>
          <w:trHeight w:val="20"/>
        </w:trPr>
        <w:tc>
          <w:tcPr>
            <w:tcW w:w="1256" w:type="dxa"/>
            <w:tcBorders>
              <w:bottom w:val="single" w:sz="4" w:space="0" w:color="auto"/>
            </w:tcBorders>
            <w:noWrap/>
            <w:vAlign w:val="bottom"/>
          </w:tcPr>
          <w:p w14:paraId="75719A37" w14:textId="77777777" w:rsidR="00657ACA" w:rsidRPr="0000591E" w:rsidRDefault="00657ACA" w:rsidP="00657ACA">
            <w:pPr>
              <w:jc w:val="both"/>
              <w:rPr>
                <w:rFonts w:ascii="Arial" w:hAnsi="Arial" w:cs="Arial"/>
                <w:sz w:val="20"/>
                <w:szCs w:val="20"/>
              </w:rPr>
            </w:pPr>
            <w:r w:rsidRPr="0000591E">
              <w:rPr>
                <w:rFonts w:ascii="Arial" w:hAnsi="Arial" w:cs="Arial"/>
                <w:b/>
                <w:bCs/>
                <w:sz w:val="20"/>
                <w:szCs w:val="20"/>
              </w:rPr>
              <w:t>J05AF07</w:t>
            </w:r>
          </w:p>
        </w:tc>
        <w:tc>
          <w:tcPr>
            <w:tcW w:w="9452" w:type="dxa"/>
            <w:tcBorders>
              <w:bottom w:val="single" w:sz="4" w:space="0" w:color="auto"/>
            </w:tcBorders>
          </w:tcPr>
          <w:p w14:paraId="22361DD4" w14:textId="77777777" w:rsidR="00657ACA" w:rsidRPr="0000591E" w:rsidRDefault="00657ACA" w:rsidP="00657ACA">
            <w:pPr>
              <w:jc w:val="both"/>
              <w:rPr>
                <w:rFonts w:ascii="Arial" w:hAnsi="Arial" w:cs="Arial"/>
                <w:sz w:val="20"/>
                <w:szCs w:val="20"/>
              </w:rPr>
            </w:pPr>
            <w:r w:rsidRPr="0000591E">
              <w:rPr>
                <w:rFonts w:ascii="Arial" w:hAnsi="Arial" w:cs="Arial"/>
                <w:b/>
                <w:bCs/>
                <w:sz w:val="20"/>
                <w:szCs w:val="20"/>
              </w:rPr>
              <w:t>Tenofovir p.o. 145 mg</w:t>
            </w:r>
          </w:p>
        </w:tc>
      </w:tr>
      <w:tr w:rsidR="00657ACA" w:rsidRPr="0000591E" w14:paraId="3CE8F66D" w14:textId="77777777" w:rsidTr="003F7925">
        <w:trPr>
          <w:gridBefore w:val="1"/>
          <w:gridAfter w:val="2"/>
          <w:wBefore w:w="1256" w:type="dxa"/>
          <w:wAfter w:w="154" w:type="dxa"/>
          <w:trHeight w:val="20"/>
        </w:trPr>
        <w:tc>
          <w:tcPr>
            <w:tcW w:w="9452" w:type="dxa"/>
          </w:tcPr>
          <w:p w14:paraId="08A67D4F"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Hradenú liečbu môže indikovať infektológ v AIDS centre ako liek ďalšej voľby. </w:t>
            </w:r>
          </w:p>
          <w:p w14:paraId="7621F69E"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u dospelých pacientov pri kompenzovanej chronickej vírusovej hepatitíde typu B, ak sú splnené tieto podmienky:</w:t>
            </w:r>
          </w:p>
          <w:p w14:paraId="0FFF1113"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 xml:space="preserve">pri trvalo alebo intermitentne zvýšenej aktivite ALT (dĺžka trvania nie je rozhodujúca v prípadoch histologicky dokázanej chronickej hepatitídy B), </w:t>
            </w:r>
          </w:p>
          <w:p w14:paraId="473EBB2D"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pozitivita HBsAg a HBeAg v sére v čase indikovania liečby, výsledok nie starší ako jeden mesiac (HBeAg môže byť negatívny pri infekcii HBeAg negatívnou mutantou),</w:t>
            </w:r>
          </w:p>
          <w:p w14:paraId="4C9F8CCE"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je overená replikácia vírusu vyšetrením HBV-DNA v sére PCR metódou (vyžaduje sa pri infekcii HBeAg negatívnou mutantou),</w:t>
            </w:r>
          </w:p>
          <w:p w14:paraId="1FE9A46A"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histologická verifikácia chronickej hepatitídy B, ak nie je takéto vyšetrenie kontraindikované.</w:t>
            </w:r>
          </w:p>
          <w:p w14:paraId="6155275C"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podlieha vyhodnocovaniu efektivity v pravidelných trojmesačných intervaloch počas liečby a šesť mesiacov po ukončení liečby, výsledok sa zaznamenáva do zdravotnej dokumentácie pacienta. Ak nedôjde k poklesu koncentrácie HBV-DNA aspoň o 2 log</w:t>
            </w:r>
            <w:r w:rsidRPr="0000591E">
              <w:rPr>
                <w:rFonts w:ascii="Arial" w:hAnsi="Arial" w:cs="Arial"/>
                <w:sz w:val="20"/>
                <w:szCs w:val="20"/>
                <w:vertAlign w:val="subscript"/>
              </w:rPr>
              <w:t xml:space="preserve">10 </w:t>
            </w:r>
            <w:r w:rsidRPr="0000591E">
              <w:rPr>
                <w:rFonts w:ascii="Arial" w:hAnsi="Arial" w:cs="Arial"/>
                <w:sz w:val="20"/>
                <w:szCs w:val="20"/>
              </w:rPr>
              <w:t xml:space="preserve">IU/ml v krvi do 12 mesiacov od začiatku liečby, ďalšia liečba nie je hradenou liečbou. </w:t>
            </w:r>
          </w:p>
          <w:p w14:paraId="1AD3DEBF" w14:textId="77777777" w:rsidR="00657ACA" w:rsidRDefault="00657ACA" w:rsidP="00657ACA">
            <w:pPr>
              <w:rPr>
                <w:rFonts w:ascii="Arial" w:hAnsi="Arial" w:cs="Arial"/>
                <w:sz w:val="20"/>
                <w:szCs w:val="20"/>
              </w:rPr>
            </w:pPr>
            <w:r w:rsidRPr="0000591E">
              <w:rPr>
                <w:rFonts w:ascii="Arial" w:hAnsi="Arial" w:cs="Arial"/>
                <w:sz w:val="20"/>
                <w:szCs w:val="20"/>
              </w:rPr>
              <w:t>Pri liečbe drogovo závislých osôb sa postupuje rovnako ako pri liečbe lamivudínom alebo interferónom alfa.</w:t>
            </w:r>
          </w:p>
          <w:p w14:paraId="56DF8EC8" w14:textId="77777777" w:rsidR="00ED27F2" w:rsidRPr="0000591E" w:rsidRDefault="00ED27F2" w:rsidP="00657ACA">
            <w:pPr>
              <w:rPr>
                <w:rFonts w:ascii="Arial" w:hAnsi="Arial" w:cs="Arial"/>
                <w:sz w:val="20"/>
                <w:szCs w:val="20"/>
              </w:rPr>
            </w:pPr>
          </w:p>
          <w:p w14:paraId="4D15158F" w14:textId="77777777" w:rsidR="00657ACA" w:rsidRPr="0000591E" w:rsidRDefault="00657ACA" w:rsidP="00657ACA">
            <w:pPr>
              <w:jc w:val="both"/>
              <w:rPr>
                <w:rFonts w:ascii="Arial" w:hAnsi="Arial" w:cs="Arial"/>
                <w:sz w:val="20"/>
                <w:szCs w:val="20"/>
              </w:rPr>
            </w:pPr>
          </w:p>
        </w:tc>
      </w:tr>
      <w:tr w:rsidR="00657ACA" w:rsidRPr="0000591E" w14:paraId="45688015" w14:textId="77777777" w:rsidTr="003F7925">
        <w:trPr>
          <w:gridAfter w:val="2"/>
          <w:wAfter w:w="154" w:type="dxa"/>
          <w:trHeight w:val="20"/>
        </w:trPr>
        <w:tc>
          <w:tcPr>
            <w:tcW w:w="1256" w:type="dxa"/>
            <w:tcBorders>
              <w:bottom w:val="single" w:sz="4" w:space="0" w:color="auto"/>
            </w:tcBorders>
            <w:noWrap/>
            <w:vAlign w:val="center"/>
          </w:tcPr>
          <w:p w14:paraId="34BCBEC5" w14:textId="77777777" w:rsidR="00657ACA" w:rsidRPr="0000591E" w:rsidRDefault="00657ACA" w:rsidP="00657ACA">
            <w:pPr>
              <w:rPr>
                <w:rFonts w:ascii="Arial" w:hAnsi="Arial" w:cs="Arial"/>
                <w:sz w:val="20"/>
                <w:szCs w:val="20"/>
              </w:rPr>
            </w:pPr>
            <w:r w:rsidRPr="0000591E">
              <w:rPr>
                <w:rFonts w:ascii="Arial" w:hAnsi="Arial" w:cs="Arial"/>
                <w:b/>
                <w:bCs/>
                <w:sz w:val="20"/>
                <w:szCs w:val="20"/>
              </w:rPr>
              <w:t>J05AF10</w:t>
            </w:r>
          </w:p>
        </w:tc>
        <w:tc>
          <w:tcPr>
            <w:tcW w:w="9452" w:type="dxa"/>
            <w:tcBorders>
              <w:bottom w:val="single" w:sz="4" w:space="0" w:color="auto"/>
            </w:tcBorders>
            <w:noWrap/>
          </w:tcPr>
          <w:p w14:paraId="47EF60F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Entekavir p.o. 1 mg</w:t>
            </w:r>
          </w:p>
        </w:tc>
      </w:tr>
      <w:tr w:rsidR="00657ACA" w:rsidRPr="0000591E" w14:paraId="710B8B14" w14:textId="77777777" w:rsidTr="003F7925">
        <w:trPr>
          <w:gridBefore w:val="1"/>
          <w:gridAfter w:val="2"/>
          <w:wBefore w:w="1256" w:type="dxa"/>
          <w:wAfter w:w="154" w:type="dxa"/>
          <w:trHeight w:val="20"/>
        </w:trPr>
        <w:tc>
          <w:tcPr>
            <w:tcW w:w="9452" w:type="dxa"/>
          </w:tcPr>
          <w:p w14:paraId="55068BFB"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len u dospelých pacientov pri kompenzovanej chronickej vírusovej hepatitíde typu B, ak sú splnené tieto podmienky:</w:t>
            </w:r>
          </w:p>
          <w:p w14:paraId="7734FAAA"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je dokázaná rezistencia na lamivudín na základe pozitivity HBV-DNA v sére, ktorá vznikla po predchádzajúcej negativizácii HBV-DNA v priebehu liečby lamivudínom alebo absentuje odpoveď na predchádzajúcu štandardnú liečbu interferónom alfa a lamivudínom,</w:t>
            </w:r>
          </w:p>
          <w:p w14:paraId="46814DD5"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 xml:space="preserve">pri trvalo alebo itermitentne zvýšenej aktivite ALT (dĺžka trvania nie je rozhodujúca v prípadoch histologicky dokázanej chronickej hepatitídy B), </w:t>
            </w:r>
          </w:p>
          <w:p w14:paraId="6993CACE"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pozitivita HBsAg a HBeAg v sére v čase indikovania liečby, výsledok nie starší ako jeden mesiac (HBeAg môže byť negatívny pri infekcii HBeAg negatívnou mutantou),</w:t>
            </w:r>
          </w:p>
          <w:p w14:paraId="65D82649"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je overená replikácia vírusu vyšetrením HBV-DNA v sére PCR metódou (vyžaduje sa pri infekcii HBeAg negatívnou mutantou),</w:t>
            </w:r>
          </w:p>
          <w:p w14:paraId="3041BC7A"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histologická verifikácia chronickej hepatitídy B, ak nie je takéto vyšetrenie kontraindikované.</w:t>
            </w:r>
          </w:p>
          <w:p w14:paraId="64E854C2"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podlieha vyhodnocovaniu efektivity v pravidelných trojmesačných intervaloch počas liečby a šesť mesiacov po ukončení liečby, výsledok sa zaznamenáva do zdravotnej dokumentácie pacienta. Ak nedôjde k poklesu koncentrácie HBV-DNA aspoň o 2 log</w:t>
            </w:r>
            <w:r w:rsidRPr="0000591E">
              <w:rPr>
                <w:rFonts w:ascii="Arial" w:hAnsi="Arial" w:cs="Arial"/>
                <w:sz w:val="20"/>
                <w:szCs w:val="20"/>
                <w:vertAlign w:val="subscript"/>
              </w:rPr>
              <w:t xml:space="preserve">10 </w:t>
            </w:r>
            <w:r w:rsidRPr="0000591E">
              <w:rPr>
                <w:rFonts w:ascii="Arial" w:hAnsi="Arial" w:cs="Arial"/>
                <w:sz w:val="20"/>
                <w:szCs w:val="20"/>
              </w:rPr>
              <w:t xml:space="preserve">IU/ml v krvi do 12 mesiacov od začiatku liečby, ďalšia liečba nie je hradenou liečbou. </w:t>
            </w:r>
          </w:p>
          <w:p w14:paraId="40087868" w14:textId="77777777" w:rsidR="00657ACA" w:rsidRDefault="00657ACA" w:rsidP="00657ACA">
            <w:pPr>
              <w:rPr>
                <w:rFonts w:ascii="Arial" w:hAnsi="Arial" w:cs="Arial"/>
                <w:sz w:val="20"/>
                <w:szCs w:val="20"/>
              </w:rPr>
            </w:pPr>
            <w:r w:rsidRPr="0000591E">
              <w:rPr>
                <w:rFonts w:ascii="Arial" w:hAnsi="Arial" w:cs="Arial"/>
                <w:sz w:val="20"/>
                <w:szCs w:val="20"/>
              </w:rPr>
              <w:t>Pri liečbe drogovo závislých osôb sa postupuje rovnako ako pri liečbe lamivudínom alebo interferónom alfa.</w:t>
            </w:r>
          </w:p>
          <w:p w14:paraId="3E8435AA" w14:textId="77777777" w:rsidR="00657ACA" w:rsidRPr="0000591E" w:rsidRDefault="00657ACA" w:rsidP="00657ACA">
            <w:pPr>
              <w:rPr>
                <w:rFonts w:ascii="Arial" w:hAnsi="Arial" w:cs="Arial"/>
                <w:sz w:val="20"/>
                <w:szCs w:val="20"/>
              </w:rPr>
            </w:pPr>
          </w:p>
        </w:tc>
      </w:tr>
      <w:tr w:rsidR="00657ACA" w:rsidRPr="0000591E" w14:paraId="1AC0C0B6" w14:textId="77777777" w:rsidTr="003F7925">
        <w:trPr>
          <w:gridAfter w:val="2"/>
          <w:wAfter w:w="154" w:type="dxa"/>
          <w:trHeight w:val="20"/>
        </w:trPr>
        <w:tc>
          <w:tcPr>
            <w:tcW w:w="1256" w:type="dxa"/>
            <w:tcBorders>
              <w:bottom w:val="single" w:sz="4" w:space="0" w:color="auto"/>
            </w:tcBorders>
            <w:noWrap/>
            <w:vAlign w:val="bottom"/>
          </w:tcPr>
          <w:p w14:paraId="62E373AD"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J05AF10</w:t>
            </w:r>
          </w:p>
        </w:tc>
        <w:tc>
          <w:tcPr>
            <w:tcW w:w="9452" w:type="dxa"/>
            <w:tcBorders>
              <w:bottom w:val="single" w:sz="4" w:space="0" w:color="auto"/>
            </w:tcBorders>
            <w:vAlign w:val="bottom"/>
          </w:tcPr>
          <w:p w14:paraId="4AD9A5F7"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Entekavir p.o. 0,5 mg</w:t>
            </w:r>
          </w:p>
        </w:tc>
      </w:tr>
      <w:tr w:rsidR="00657ACA" w:rsidRPr="0000591E" w14:paraId="7FAA58B0" w14:textId="77777777" w:rsidTr="003F7925">
        <w:trPr>
          <w:gridAfter w:val="2"/>
          <w:wAfter w:w="154" w:type="dxa"/>
          <w:trHeight w:val="20"/>
        </w:trPr>
        <w:tc>
          <w:tcPr>
            <w:tcW w:w="1256" w:type="dxa"/>
            <w:noWrap/>
            <w:vAlign w:val="bottom"/>
          </w:tcPr>
          <w:p w14:paraId="6FADC0A2" w14:textId="77777777" w:rsidR="00657ACA" w:rsidRPr="0000591E" w:rsidRDefault="00657ACA" w:rsidP="00657ACA">
            <w:pPr>
              <w:jc w:val="both"/>
              <w:rPr>
                <w:rFonts w:ascii="Arial" w:hAnsi="Arial" w:cs="Arial"/>
                <w:b/>
                <w:bCs/>
                <w:sz w:val="20"/>
                <w:szCs w:val="20"/>
              </w:rPr>
            </w:pPr>
          </w:p>
        </w:tc>
        <w:tc>
          <w:tcPr>
            <w:tcW w:w="9452" w:type="dxa"/>
            <w:vAlign w:val="bottom"/>
          </w:tcPr>
          <w:p w14:paraId="77C401BB"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len u dospelých pacientov pri kompenzovanej chronickej vírusovej hepatitíde typu B, ak sú splnené tieto podmienky:</w:t>
            </w:r>
          </w:p>
          <w:p w14:paraId="35835EF1"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 xml:space="preserve">pri trvalo alebo itermitentne zvýšenej aktivite ALT (dĺžka trvania nie je rozhodujúca v prípadoch histologicky dokázanej chronickej hepatitídy B), </w:t>
            </w:r>
          </w:p>
          <w:p w14:paraId="0BDE0EB5"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pozitivita HBsAg a HBeAg v sére v čase indikovania liečby, výsledok nie starší ako jeden mesiac (HBeAg môže byť negatívny pri infekcii HBeAg negatívnou mutantou),</w:t>
            </w:r>
          </w:p>
          <w:p w14:paraId="60E6F059"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je overená replikácia vírusu vyšetrením HBV-DNA v sére PCR metódou (vyžaduje sa pri infekcii HBeAg negatívnou mutantou),</w:t>
            </w:r>
          </w:p>
          <w:p w14:paraId="169F61D3"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histologická verifikácia chronickej hepatitídy B, ak nie je takéto vyšetrenie kontraindikované.</w:t>
            </w:r>
          </w:p>
          <w:p w14:paraId="7B7886CF"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podlieha vyhodnocovaniu efektivity v pravidelných trojmesačných intervaloch počas liečby a šesť mesiacov po ukončení liečby, výsledok sa zaznamenáva do zdravotnej dokumentácie pacienta. Ak nedôjde k poklesu koncentrácie HBV-DNA aspoň o 2 log</w:t>
            </w:r>
            <w:r w:rsidRPr="0000591E">
              <w:rPr>
                <w:rFonts w:ascii="Arial" w:hAnsi="Arial" w:cs="Arial"/>
                <w:sz w:val="20"/>
                <w:szCs w:val="20"/>
                <w:vertAlign w:val="subscript"/>
              </w:rPr>
              <w:t xml:space="preserve">10 </w:t>
            </w:r>
            <w:r w:rsidRPr="0000591E">
              <w:rPr>
                <w:rFonts w:ascii="Arial" w:hAnsi="Arial" w:cs="Arial"/>
                <w:sz w:val="20"/>
                <w:szCs w:val="20"/>
              </w:rPr>
              <w:t xml:space="preserve">IU/ml v krvi do 12 mesiacov od začiatku liečby, ďalšia liečba nie je hradenou liečbou. </w:t>
            </w:r>
          </w:p>
          <w:p w14:paraId="59D8A504" w14:textId="77777777" w:rsidR="00657ACA" w:rsidRDefault="00657ACA" w:rsidP="00657ACA">
            <w:pPr>
              <w:rPr>
                <w:rFonts w:ascii="Arial" w:hAnsi="Arial" w:cs="Arial"/>
                <w:sz w:val="20"/>
                <w:szCs w:val="20"/>
              </w:rPr>
            </w:pPr>
            <w:r w:rsidRPr="0000591E">
              <w:rPr>
                <w:rFonts w:ascii="Arial" w:hAnsi="Arial" w:cs="Arial"/>
                <w:sz w:val="20"/>
                <w:szCs w:val="20"/>
              </w:rPr>
              <w:t>Pri liečbe drogovo závislých osôb sa postupuje rovnako ako pri liečbe lamivudínom alebo interferónom alfa.</w:t>
            </w:r>
          </w:p>
          <w:p w14:paraId="7D780024" w14:textId="5EA73969" w:rsidR="00657ACA" w:rsidRPr="0000591E" w:rsidRDefault="00657ACA" w:rsidP="00657ACA">
            <w:pPr>
              <w:rPr>
                <w:rFonts w:ascii="Arial" w:hAnsi="Arial" w:cs="Arial"/>
                <w:b/>
                <w:bCs/>
                <w:sz w:val="20"/>
                <w:szCs w:val="20"/>
              </w:rPr>
            </w:pPr>
          </w:p>
        </w:tc>
      </w:tr>
      <w:tr w:rsidR="00657ACA" w:rsidRPr="0000591E" w14:paraId="122E1DB5" w14:textId="77777777" w:rsidTr="003F7925">
        <w:trPr>
          <w:gridAfter w:val="2"/>
          <w:wAfter w:w="154" w:type="dxa"/>
          <w:trHeight w:val="20"/>
        </w:trPr>
        <w:tc>
          <w:tcPr>
            <w:tcW w:w="1256" w:type="dxa"/>
            <w:tcBorders>
              <w:bottom w:val="single" w:sz="4" w:space="0" w:color="auto"/>
            </w:tcBorders>
            <w:noWrap/>
            <w:vAlign w:val="bottom"/>
          </w:tcPr>
          <w:p w14:paraId="451962A1" w14:textId="77777777" w:rsidR="00657ACA" w:rsidRPr="0000591E" w:rsidRDefault="00657ACA" w:rsidP="00657ACA">
            <w:pPr>
              <w:rPr>
                <w:rFonts w:ascii="Arial" w:hAnsi="Arial" w:cs="Arial"/>
                <w:b/>
                <w:bCs/>
                <w:sz w:val="20"/>
                <w:szCs w:val="20"/>
              </w:rPr>
            </w:pPr>
            <w:r w:rsidRPr="0000591E">
              <w:rPr>
                <w:rFonts w:ascii="Arial" w:hAnsi="Arial" w:cs="Arial"/>
                <w:b/>
                <w:sz w:val="20"/>
              </w:rPr>
              <w:lastRenderedPageBreak/>
              <w:t>J05AG05</w:t>
            </w:r>
          </w:p>
        </w:tc>
        <w:tc>
          <w:tcPr>
            <w:tcW w:w="9452" w:type="dxa"/>
            <w:tcBorders>
              <w:bottom w:val="single" w:sz="4" w:space="0" w:color="auto"/>
            </w:tcBorders>
            <w:noWrap/>
            <w:vAlign w:val="bottom"/>
          </w:tcPr>
          <w:p w14:paraId="79E99CB7" w14:textId="77777777" w:rsidR="00657ACA" w:rsidRPr="0000591E" w:rsidRDefault="00657ACA" w:rsidP="00657ACA">
            <w:pPr>
              <w:rPr>
                <w:rFonts w:ascii="Arial" w:hAnsi="Arial" w:cs="Arial"/>
                <w:b/>
                <w:bCs/>
                <w:sz w:val="20"/>
                <w:szCs w:val="20"/>
              </w:rPr>
            </w:pPr>
            <w:r w:rsidRPr="0000591E">
              <w:rPr>
                <w:rFonts w:ascii="Arial" w:hAnsi="Arial" w:cs="Arial"/>
                <w:b/>
                <w:sz w:val="20"/>
                <w:szCs w:val="20"/>
              </w:rPr>
              <w:t>Rilpivirín p.o. 25 mg</w:t>
            </w:r>
          </w:p>
        </w:tc>
      </w:tr>
      <w:tr w:rsidR="00657ACA" w:rsidRPr="0000591E" w14:paraId="1BF5DCB3" w14:textId="77777777" w:rsidTr="003F7925">
        <w:trPr>
          <w:gridAfter w:val="2"/>
          <w:wAfter w:w="154" w:type="dxa"/>
          <w:trHeight w:val="20"/>
        </w:trPr>
        <w:tc>
          <w:tcPr>
            <w:tcW w:w="1256" w:type="dxa"/>
            <w:tcBorders>
              <w:top w:val="single" w:sz="4" w:space="0" w:color="auto"/>
            </w:tcBorders>
            <w:noWrap/>
            <w:vAlign w:val="bottom"/>
          </w:tcPr>
          <w:p w14:paraId="0E365ABC"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564397B1" w14:textId="77777777" w:rsidR="00657ACA" w:rsidRPr="0000591E" w:rsidRDefault="00657ACA" w:rsidP="00657ACA">
            <w:pPr>
              <w:pStyle w:val="Zkladntext"/>
            </w:pPr>
            <w:r w:rsidRPr="0000591E">
              <w:rPr>
                <w:lang w:val="sk-SK"/>
              </w:rPr>
              <w:t xml:space="preserve">Hradenú liečbu môže indikovať infektológ v AIDS centre na </w:t>
            </w:r>
            <w:r w:rsidRPr="0000591E">
              <w:t xml:space="preserve">liečbu infekcie vyvolanej vírusom ľudskej imunodeficiencie typu 1 (HIV-1) u dospelých pacientov bez predchádzajúcej antiretrovírusovej liečby s vírusovou záťažou ≤ 100 000 HIV -1 RNA kópií/ml. </w:t>
            </w:r>
          </w:p>
          <w:p w14:paraId="7A1F4062" w14:textId="77777777" w:rsidR="00657ACA" w:rsidRPr="0000591E" w:rsidRDefault="00657ACA" w:rsidP="00657ACA">
            <w:pPr>
              <w:jc w:val="both"/>
              <w:rPr>
                <w:rFonts w:ascii="Arial" w:hAnsi="Arial" w:cs="Arial"/>
                <w:sz w:val="20"/>
              </w:rPr>
            </w:pPr>
          </w:p>
        </w:tc>
      </w:tr>
      <w:tr w:rsidR="00657ACA" w:rsidRPr="0000591E" w14:paraId="5E8D1E39" w14:textId="77777777" w:rsidTr="003F7925">
        <w:trPr>
          <w:gridAfter w:val="2"/>
          <w:wAfter w:w="154" w:type="dxa"/>
          <w:trHeight w:val="80"/>
        </w:trPr>
        <w:tc>
          <w:tcPr>
            <w:tcW w:w="1256" w:type="dxa"/>
            <w:tcBorders>
              <w:bottom w:val="single" w:sz="4" w:space="0" w:color="auto"/>
            </w:tcBorders>
            <w:noWrap/>
            <w:vAlign w:val="bottom"/>
          </w:tcPr>
          <w:p w14:paraId="4C19205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w:t>
            </w:r>
            <w:r>
              <w:rPr>
                <w:rFonts w:ascii="Arial" w:hAnsi="Arial" w:cs="Arial"/>
                <w:b/>
                <w:bCs/>
                <w:sz w:val="20"/>
                <w:szCs w:val="20"/>
              </w:rPr>
              <w:t>J01</w:t>
            </w:r>
          </w:p>
        </w:tc>
        <w:tc>
          <w:tcPr>
            <w:tcW w:w="9452" w:type="dxa"/>
            <w:tcBorders>
              <w:bottom w:val="single" w:sz="4" w:space="0" w:color="auto"/>
            </w:tcBorders>
            <w:noWrap/>
            <w:vAlign w:val="bottom"/>
          </w:tcPr>
          <w:p w14:paraId="7AF9DC8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Raltegravír p.o. </w:t>
            </w:r>
            <w:r>
              <w:rPr>
                <w:rFonts w:ascii="Arial" w:hAnsi="Arial" w:cs="Arial"/>
                <w:b/>
                <w:bCs/>
                <w:sz w:val="20"/>
                <w:szCs w:val="20"/>
              </w:rPr>
              <w:t>600 mg</w:t>
            </w:r>
          </w:p>
        </w:tc>
      </w:tr>
      <w:tr w:rsidR="00657ACA" w:rsidRPr="0000591E" w14:paraId="1DB2D17E" w14:textId="77777777" w:rsidTr="003F7925">
        <w:trPr>
          <w:gridAfter w:val="2"/>
          <w:wAfter w:w="154" w:type="dxa"/>
          <w:trHeight w:val="80"/>
        </w:trPr>
        <w:tc>
          <w:tcPr>
            <w:tcW w:w="1256" w:type="dxa"/>
            <w:noWrap/>
            <w:vAlign w:val="bottom"/>
          </w:tcPr>
          <w:p w14:paraId="66CD5722" w14:textId="77777777" w:rsidR="00657ACA" w:rsidRPr="0000591E" w:rsidRDefault="00657ACA" w:rsidP="00657ACA">
            <w:pPr>
              <w:jc w:val="both"/>
              <w:rPr>
                <w:rFonts w:ascii="Arial" w:hAnsi="Arial" w:cs="Arial"/>
                <w:b/>
                <w:bCs/>
                <w:sz w:val="20"/>
                <w:szCs w:val="20"/>
              </w:rPr>
            </w:pPr>
          </w:p>
        </w:tc>
        <w:tc>
          <w:tcPr>
            <w:tcW w:w="9452" w:type="dxa"/>
            <w:noWrap/>
            <w:vAlign w:val="bottom"/>
          </w:tcPr>
          <w:p w14:paraId="6E9498CD" w14:textId="77777777" w:rsidR="00657ACA" w:rsidRPr="00DC0735" w:rsidRDefault="00657ACA" w:rsidP="00657ACA">
            <w:pPr>
              <w:jc w:val="both"/>
              <w:rPr>
                <w:rFonts w:ascii="Arial" w:hAnsi="Arial" w:cs="Arial"/>
                <w:sz w:val="20"/>
                <w:szCs w:val="20"/>
              </w:rPr>
            </w:pPr>
            <w:r>
              <w:rPr>
                <w:rFonts w:ascii="Arial" w:hAnsi="Arial" w:cs="Arial"/>
                <w:sz w:val="20"/>
                <w:szCs w:val="20"/>
              </w:rPr>
              <w:t>Hra</w:t>
            </w:r>
            <w:r w:rsidRPr="00DC0735">
              <w:rPr>
                <w:rFonts w:ascii="Arial" w:hAnsi="Arial" w:cs="Arial"/>
                <w:sz w:val="20"/>
                <w:szCs w:val="20"/>
              </w:rPr>
              <w:t>denú liečbu môže indikovať infektológ v AIDS centre pre podskupiny pacientov infikovaných HIV – 1 ako liek prvej voľby</w:t>
            </w:r>
          </w:p>
          <w:p w14:paraId="55B6EE6D" w14:textId="77777777" w:rsidR="00657ACA" w:rsidRPr="00DC0735" w:rsidRDefault="00657ACA" w:rsidP="00657ACA">
            <w:pPr>
              <w:jc w:val="both"/>
              <w:rPr>
                <w:rFonts w:ascii="Arial" w:hAnsi="Arial" w:cs="Arial"/>
                <w:sz w:val="20"/>
                <w:szCs w:val="20"/>
              </w:rPr>
            </w:pPr>
            <w:r w:rsidRPr="00DC0735">
              <w:rPr>
                <w:rFonts w:ascii="Arial" w:hAnsi="Arial" w:cs="Arial"/>
                <w:sz w:val="20"/>
                <w:szCs w:val="20"/>
              </w:rPr>
              <w:t>1. u pacientov, ktorí sú zároveň infikovaní vírusom hepatitídy typu B, vírusom hepatitídy typu C alebo tuberkulózou,</w:t>
            </w:r>
          </w:p>
          <w:p w14:paraId="65E5B279" w14:textId="77777777" w:rsidR="00657ACA" w:rsidRPr="00DC0735" w:rsidRDefault="00657ACA" w:rsidP="00657ACA">
            <w:pPr>
              <w:jc w:val="both"/>
              <w:rPr>
                <w:rFonts w:ascii="Arial" w:hAnsi="Arial" w:cs="Arial"/>
                <w:sz w:val="20"/>
                <w:szCs w:val="20"/>
              </w:rPr>
            </w:pPr>
            <w:r w:rsidRPr="00DC0735">
              <w:rPr>
                <w:rFonts w:ascii="Arial" w:hAnsi="Arial" w:cs="Arial"/>
                <w:sz w:val="20"/>
                <w:szCs w:val="20"/>
              </w:rPr>
              <w:t>2. u pacientov so zdokumentovanými závažnými neurologickými alebo psychiatrickými ochoreniami,</w:t>
            </w:r>
          </w:p>
          <w:p w14:paraId="37FCB4DC" w14:textId="77777777" w:rsidR="00657ACA" w:rsidRPr="00DC0735" w:rsidRDefault="00657ACA" w:rsidP="00657ACA">
            <w:pPr>
              <w:jc w:val="both"/>
              <w:rPr>
                <w:rFonts w:ascii="Arial" w:hAnsi="Arial" w:cs="Arial"/>
                <w:sz w:val="20"/>
                <w:szCs w:val="20"/>
              </w:rPr>
            </w:pPr>
            <w:r w:rsidRPr="00DC0735">
              <w:rPr>
                <w:rFonts w:ascii="Arial" w:hAnsi="Arial" w:cs="Arial"/>
                <w:sz w:val="20"/>
                <w:szCs w:val="20"/>
              </w:rPr>
              <w:t>3. u pacientov so zvýšeným kardiovaskulárnym rizikom – podľa skórovacieho systému SCORE s 5 % a vyššou pravdepodobnosťou úmrtia na kardiovaskulárne ochorenie v najbližších 10 rokoch,</w:t>
            </w:r>
          </w:p>
          <w:p w14:paraId="16177A12" w14:textId="0C0D251D" w:rsidR="00657ACA" w:rsidRPr="0000591E" w:rsidRDefault="00657ACA" w:rsidP="00657ACA">
            <w:pPr>
              <w:jc w:val="both"/>
              <w:rPr>
                <w:rFonts w:ascii="Arial" w:hAnsi="Arial" w:cs="Arial"/>
                <w:b/>
                <w:bCs/>
                <w:sz w:val="20"/>
                <w:szCs w:val="20"/>
              </w:rPr>
            </w:pPr>
          </w:p>
        </w:tc>
      </w:tr>
      <w:tr w:rsidR="00657ACA" w:rsidRPr="0060328F" w14:paraId="5C11F43B" w14:textId="77777777" w:rsidTr="00BA2956">
        <w:trPr>
          <w:gridAfter w:val="2"/>
          <w:wAfter w:w="154" w:type="dxa"/>
          <w:trHeight w:val="20"/>
        </w:trPr>
        <w:tc>
          <w:tcPr>
            <w:tcW w:w="1256" w:type="dxa"/>
            <w:tcBorders>
              <w:bottom w:val="single" w:sz="4" w:space="0" w:color="auto"/>
            </w:tcBorders>
            <w:noWrap/>
            <w:vAlign w:val="bottom"/>
          </w:tcPr>
          <w:p w14:paraId="14B60698" w14:textId="2F17962D" w:rsidR="00657ACA" w:rsidRDefault="00657ACA" w:rsidP="00657ACA">
            <w:pPr>
              <w:jc w:val="both"/>
              <w:rPr>
                <w:rFonts w:ascii="Arial" w:hAnsi="Arial" w:cs="Arial"/>
                <w:b/>
                <w:bCs/>
                <w:sz w:val="20"/>
                <w:szCs w:val="20"/>
              </w:rPr>
            </w:pPr>
            <w:r w:rsidRPr="00BA2956">
              <w:rPr>
                <w:rFonts w:ascii="Arial" w:hAnsi="Arial" w:cs="Arial"/>
                <w:b/>
                <w:bCs/>
                <w:sz w:val="20"/>
                <w:szCs w:val="20"/>
              </w:rPr>
              <w:t>J05AJ03</w:t>
            </w:r>
          </w:p>
        </w:tc>
        <w:tc>
          <w:tcPr>
            <w:tcW w:w="9452" w:type="dxa"/>
            <w:tcBorders>
              <w:bottom w:val="single" w:sz="4" w:space="0" w:color="auto"/>
            </w:tcBorders>
            <w:noWrap/>
            <w:vAlign w:val="bottom"/>
          </w:tcPr>
          <w:p w14:paraId="2627B330" w14:textId="7B22B2AB" w:rsidR="00657ACA" w:rsidRPr="0060328F" w:rsidRDefault="00657ACA" w:rsidP="00657ACA">
            <w:pPr>
              <w:jc w:val="both"/>
              <w:rPr>
                <w:rFonts w:ascii="Arial" w:hAnsi="Arial" w:cs="Arial"/>
                <w:b/>
                <w:bCs/>
                <w:sz w:val="20"/>
                <w:szCs w:val="20"/>
              </w:rPr>
            </w:pPr>
            <w:r w:rsidRPr="00BA2956">
              <w:rPr>
                <w:rFonts w:ascii="Arial" w:hAnsi="Arial" w:cs="Arial"/>
                <w:b/>
                <w:bCs/>
                <w:sz w:val="20"/>
                <w:szCs w:val="20"/>
              </w:rPr>
              <w:t>Dolutegravir p.o. 50 mg</w:t>
            </w:r>
          </w:p>
        </w:tc>
      </w:tr>
      <w:tr w:rsidR="00657ACA" w:rsidRPr="0060328F" w14:paraId="700B3ED6" w14:textId="77777777" w:rsidTr="00BA2956">
        <w:trPr>
          <w:gridAfter w:val="2"/>
          <w:wAfter w:w="154" w:type="dxa"/>
          <w:trHeight w:val="20"/>
        </w:trPr>
        <w:tc>
          <w:tcPr>
            <w:tcW w:w="1256" w:type="dxa"/>
            <w:tcBorders>
              <w:top w:val="single" w:sz="4" w:space="0" w:color="auto"/>
            </w:tcBorders>
            <w:noWrap/>
            <w:vAlign w:val="bottom"/>
          </w:tcPr>
          <w:p w14:paraId="5F710558" w14:textId="77777777" w:rsidR="00657ACA"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5B3259E"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 xml:space="preserve">Hradenú liečbu môže indikovať infektológ v AIDS centre  </w:t>
            </w:r>
          </w:p>
          <w:p w14:paraId="14B6D387"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a)</w:t>
            </w:r>
            <w:r w:rsidRPr="00BA2956">
              <w:rPr>
                <w:rFonts w:ascii="Arial" w:hAnsi="Arial" w:cs="Arial"/>
                <w:bCs/>
                <w:sz w:val="20"/>
                <w:szCs w:val="20"/>
              </w:rPr>
              <w:tab/>
              <w:t xml:space="preserve">pre podskupiny pacientov infikovaných HIV – 1 ako liek prvej voľby </w:t>
            </w:r>
          </w:p>
          <w:p w14:paraId="44DD8D34"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1.</w:t>
            </w:r>
            <w:r w:rsidRPr="00BA2956">
              <w:rPr>
                <w:rFonts w:ascii="Arial" w:hAnsi="Arial" w:cs="Arial"/>
                <w:bCs/>
                <w:sz w:val="20"/>
                <w:szCs w:val="20"/>
              </w:rPr>
              <w:tab/>
              <w:t xml:space="preserve">u pacientov, ktorí sú zároveň infikovaní vírusom hepatitídy typu B, vírusom hepatitídy typu C alebo tuberkulózou, </w:t>
            </w:r>
          </w:p>
          <w:p w14:paraId="027ECF59"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2.</w:t>
            </w:r>
            <w:r w:rsidRPr="00BA2956">
              <w:rPr>
                <w:rFonts w:ascii="Arial" w:hAnsi="Arial" w:cs="Arial"/>
                <w:bCs/>
                <w:sz w:val="20"/>
                <w:szCs w:val="20"/>
              </w:rPr>
              <w:tab/>
              <w:t xml:space="preserve">u pacientov so zdokumentovanými závažnými neurologickými alebo psychiatrickými ochoreniami, </w:t>
            </w:r>
          </w:p>
          <w:p w14:paraId="55E5396F"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3.</w:t>
            </w:r>
            <w:r w:rsidRPr="00BA2956">
              <w:rPr>
                <w:rFonts w:ascii="Arial" w:hAnsi="Arial" w:cs="Arial"/>
                <w:bCs/>
                <w:sz w:val="20"/>
                <w:szCs w:val="20"/>
              </w:rPr>
              <w:tab/>
              <w:t>u pacientov so zvýšeným kardiovaskulárnym rizikom – podľa skórovacieho systému SCORE s 5% a vyššou pravdepodobnosťou úmrtia na kardiovaskulárne ochorenie v najbližších 10 rokoch,</w:t>
            </w:r>
          </w:p>
          <w:p w14:paraId="361E7E37" w14:textId="77777777" w:rsidR="00657ACA" w:rsidRDefault="00657ACA" w:rsidP="00657ACA">
            <w:pPr>
              <w:jc w:val="both"/>
              <w:rPr>
                <w:rFonts w:ascii="Arial" w:hAnsi="Arial" w:cs="Arial"/>
                <w:bCs/>
                <w:sz w:val="20"/>
                <w:szCs w:val="20"/>
              </w:rPr>
            </w:pPr>
            <w:r w:rsidRPr="00BA2956">
              <w:rPr>
                <w:rFonts w:ascii="Arial" w:hAnsi="Arial" w:cs="Arial"/>
                <w:bCs/>
                <w:sz w:val="20"/>
                <w:szCs w:val="20"/>
              </w:rPr>
              <w:t>b)</w:t>
            </w:r>
            <w:r w:rsidRPr="00BA2956">
              <w:rPr>
                <w:rFonts w:ascii="Arial" w:hAnsi="Arial" w:cs="Arial"/>
                <w:bCs/>
                <w:sz w:val="20"/>
                <w:szCs w:val="20"/>
              </w:rPr>
              <w:tab/>
              <w:t xml:space="preserve">ako liek druhej voľby v liečbe pacientov infikovaných HIV – 1, u ktorých zlyhal klasický doterajší antiretrovírusový režim alebo ktorí netolerovali antiretrovírusový liečebný režim zahŕňajúci aspoň jeden liek z nasledujúcich tried antiretrovírusových látok: inhibítorov proteáz, nenukleozidových inhibítorov reverznej transkriptázy a nukleozidových inhibítorov reverznej transkriptázy.  </w:t>
            </w:r>
          </w:p>
          <w:p w14:paraId="0DE6F32A" w14:textId="721F4ECA" w:rsidR="00657ACA" w:rsidRPr="00BA2956" w:rsidRDefault="00657ACA" w:rsidP="00657ACA">
            <w:pPr>
              <w:jc w:val="both"/>
              <w:rPr>
                <w:rFonts w:ascii="Arial" w:hAnsi="Arial" w:cs="Arial"/>
                <w:bCs/>
                <w:sz w:val="20"/>
                <w:szCs w:val="20"/>
              </w:rPr>
            </w:pPr>
          </w:p>
        </w:tc>
      </w:tr>
      <w:tr w:rsidR="00657ACA" w:rsidRPr="0000591E" w14:paraId="1BA43AFB" w14:textId="77777777" w:rsidTr="006C1275">
        <w:trPr>
          <w:gridAfter w:val="2"/>
          <w:wAfter w:w="154" w:type="dxa"/>
          <w:trHeight w:val="20"/>
        </w:trPr>
        <w:tc>
          <w:tcPr>
            <w:tcW w:w="1256" w:type="dxa"/>
            <w:tcBorders>
              <w:bottom w:val="single" w:sz="4" w:space="0" w:color="auto"/>
            </w:tcBorders>
            <w:noWrap/>
            <w:vAlign w:val="bottom"/>
          </w:tcPr>
          <w:p w14:paraId="52E97065"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J05AP55</w:t>
            </w:r>
          </w:p>
        </w:tc>
        <w:tc>
          <w:tcPr>
            <w:tcW w:w="9452" w:type="dxa"/>
            <w:tcBorders>
              <w:bottom w:val="single" w:sz="4" w:space="0" w:color="auto"/>
            </w:tcBorders>
            <w:noWrap/>
            <w:vAlign w:val="bottom"/>
          </w:tcPr>
          <w:p w14:paraId="6089A5A3" w14:textId="77777777" w:rsidR="00657ACA" w:rsidRPr="0060328F" w:rsidRDefault="00657ACA" w:rsidP="00657ACA">
            <w:pPr>
              <w:pStyle w:val="Zkladntext"/>
              <w:rPr>
                <w:b/>
                <w:lang w:val="sk-SK"/>
              </w:rPr>
            </w:pPr>
            <w:r w:rsidRPr="0060328F">
              <w:rPr>
                <w:b/>
                <w:lang w:val="sk-SK"/>
              </w:rPr>
              <w:t xml:space="preserve">Sofosbuvir a velpatasvir p.o. 400 mg/100 mg </w:t>
            </w:r>
          </w:p>
        </w:tc>
      </w:tr>
      <w:tr w:rsidR="00657ACA" w:rsidRPr="0000591E" w14:paraId="6B9B7E85" w14:textId="77777777" w:rsidTr="003F7925">
        <w:trPr>
          <w:gridAfter w:val="2"/>
          <w:wAfter w:w="154" w:type="dxa"/>
          <w:trHeight w:val="20"/>
        </w:trPr>
        <w:tc>
          <w:tcPr>
            <w:tcW w:w="1256" w:type="dxa"/>
            <w:noWrap/>
            <w:vAlign w:val="bottom"/>
          </w:tcPr>
          <w:p w14:paraId="06775DB8" w14:textId="77777777" w:rsidR="00657ACA" w:rsidRDefault="00657ACA" w:rsidP="00657ACA">
            <w:pPr>
              <w:jc w:val="both"/>
              <w:rPr>
                <w:rFonts w:ascii="Arial" w:hAnsi="Arial" w:cs="Arial"/>
                <w:b/>
                <w:bCs/>
                <w:sz w:val="20"/>
                <w:szCs w:val="20"/>
              </w:rPr>
            </w:pPr>
          </w:p>
        </w:tc>
        <w:tc>
          <w:tcPr>
            <w:tcW w:w="9452" w:type="dxa"/>
            <w:noWrap/>
            <w:vAlign w:val="bottom"/>
          </w:tcPr>
          <w:p w14:paraId="08577BC9" w14:textId="0A6A8CCE" w:rsidR="00657ACA" w:rsidRDefault="00657ACA" w:rsidP="00657ACA">
            <w:pPr>
              <w:pStyle w:val="Zkladntext"/>
              <w:jc w:val="both"/>
              <w:rPr>
                <w:lang w:val="sk-SK"/>
              </w:rPr>
            </w:pPr>
            <w:r w:rsidRPr="00F94F46">
              <w:rPr>
                <w:lang w:val="sk-SK"/>
              </w:rPr>
              <w:t>Hradená liečba je indikovaná na liečbu chronickej infekcie vírusom hepatitídy C (HCV) v</w:t>
            </w:r>
            <w:r w:rsidR="0007064A">
              <w:rPr>
                <w:lang w:val="sk-SK"/>
              </w:rPr>
              <w:t xml:space="preserve"> </w:t>
            </w:r>
            <w:r w:rsidRPr="00F94F46">
              <w:rPr>
                <w:lang w:val="sk-SK"/>
              </w:rPr>
              <w:t>dĺžke 12 týždňov u detí vo veku troch rokov a starších a dospelých:</w:t>
            </w:r>
          </w:p>
          <w:p w14:paraId="1F348385" w14:textId="77777777" w:rsidR="00657ACA" w:rsidRPr="00F94F46" w:rsidRDefault="00657ACA" w:rsidP="00657ACA">
            <w:pPr>
              <w:pStyle w:val="Zkladntext"/>
              <w:jc w:val="both"/>
              <w:rPr>
                <w:lang w:val="sk-SK"/>
              </w:rPr>
            </w:pPr>
          </w:p>
          <w:p w14:paraId="3CA65351" w14:textId="77777777" w:rsidR="00657ACA" w:rsidRPr="00F94F46" w:rsidRDefault="00657ACA" w:rsidP="00657ACA">
            <w:pPr>
              <w:pStyle w:val="Zkladntext"/>
              <w:jc w:val="both"/>
              <w:rPr>
                <w:lang w:val="sk-SK"/>
              </w:rPr>
            </w:pPr>
            <w:r w:rsidRPr="00F94F46">
              <w:rPr>
                <w:lang w:val="sk-SK"/>
              </w:rPr>
              <w:t>a) pacientov s genotypom 1, 2, 4, 5, 6 bez cirhózy alebo v štádiu kompenzovanej</w:t>
            </w:r>
            <w:r>
              <w:rPr>
                <w:lang w:val="sk-SK"/>
              </w:rPr>
              <w:t xml:space="preserve"> </w:t>
            </w:r>
            <w:r w:rsidRPr="00F94F46">
              <w:rPr>
                <w:lang w:val="sk-SK"/>
              </w:rPr>
              <w:t>cirhózy,</w:t>
            </w:r>
          </w:p>
          <w:p w14:paraId="53D727A3" w14:textId="77777777" w:rsidR="00657ACA" w:rsidRPr="00F94F46" w:rsidRDefault="00657ACA" w:rsidP="00657ACA">
            <w:pPr>
              <w:pStyle w:val="Zkladntext"/>
              <w:jc w:val="both"/>
              <w:rPr>
                <w:lang w:val="sk-SK"/>
              </w:rPr>
            </w:pPr>
            <w:r w:rsidRPr="00F94F46">
              <w:rPr>
                <w:lang w:val="sk-SK"/>
              </w:rPr>
              <w:t>b) pacientov s genotypom 3 bez cirhózy alebo v štádiu kompenzovanej cirhózy (okrem</w:t>
            </w:r>
            <w:r>
              <w:rPr>
                <w:lang w:val="sk-SK"/>
              </w:rPr>
              <w:t xml:space="preserve"> </w:t>
            </w:r>
            <w:r w:rsidRPr="00F94F46">
              <w:rPr>
                <w:lang w:val="sk-SK"/>
              </w:rPr>
              <w:t>triedy C podľa Child-Pugha).</w:t>
            </w:r>
          </w:p>
          <w:p w14:paraId="0018708F" w14:textId="77777777" w:rsidR="00657ACA" w:rsidRDefault="00657ACA" w:rsidP="00657ACA">
            <w:pPr>
              <w:pStyle w:val="Zkladntext"/>
              <w:jc w:val="both"/>
              <w:rPr>
                <w:lang w:val="sk-SK"/>
              </w:rPr>
            </w:pPr>
            <w:r w:rsidRPr="00F94F46">
              <w:rPr>
                <w:lang w:val="sk-SK"/>
              </w:rPr>
              <w:t>Hradená liečba sa môže indikovať na týchto pracoviskách:</w:t>
            </w:r>
          </w:p>
          <w:p w14:paraId="44A2D758" w14:textId="77777777" w:rsidR="00657ACA" w:rsidRPr="00F94F46" w:rsidRDefault="00657ACA" w:rsidP="00657ACA">
            <w:pPr>
              <w:pStyle w:val="Zkladntext"/>
              <w:jc w:val="both"/>
              <w:rPr>
                <w:lang w:val="sk-SK"/>
              </w:rPr>
            </w:pPr>
          </w:p>
          <w:p w14:paraId="362C2A0E" w14:textId="77777777" w:rsidR="00657ACA" w:rsidRDefault="00657ACA">
            <w:pPr>
              <w:pStyle w:val="Zkladntext"/>
              <w:numPr>
                <w:ilvl w:val="0"/>
                <w:numId w:val="131"/>
              </w:numPr>
              <w:jc w:val="both"/>
              <w:rPr>
                <w:lang w:val="sk-SK"/>
              </w:rPr>
            </w:pPr>
            <w:r w:rsidRPr="00F94F46">
              <w:rPr>
                <w:lang w:val="sk-SK"/>
              </w:rPr>
              <w:t>infektologické pracoviská</w:t>
            </w:r>
          </w:p>
          <w:p w14:paraId="57562F74" w14:textId="77777777" w:rsidR="00657ACA" w:rsidRPr="00F94F46" w:rsidRDefault="00657ACA" w:rsidP="00657ACA">
            <w:pPr>
              <w:pStyle w:val="Zkladntext"/>
              <w:ind w:left="720"/>
              <w:jc w:val="both"/>
              <w:rPr>
                <w:lang w:val="sk-SK"/>
              </w:rPr>
            </w:pPr>
          </w:p>
          <w:p w14:paraId="20676336" w14:textId="77777777" w:rsidR="00657ACA" w:rsidRPr="00F94F46" w:rsidRDefault="00657ACA" w:rsidP="00657ACA">
            <w:pPr>
              <w:pStyle w:val="Zkladntext"/>
              <w:jc w:val="both"/>
              <w:rPr>
                <w:lang w:val="sk-SK"/>
              </w:rPr>
            </w:pPr>
            <w:r w:rsidRPr="00F94F46">
              <w:rPr>
                <w:lang w:val="sk-SK"/>
              </w:rPr>
              <w:t>1. Klinika infektológie a geografickej medicíny Lekárskej fakulty UK a</w:t>
            </w:r>
            <w:r>
              <w:rPr>
                <w:lang w:val="sk-SK"/>
              </w:rPr>
              <w:t xml:space="preserve"> </w:t>
            </w:r>
            <w:r w:rsidRPr="00F94F46">
              <w:rPr>
                <w:lang w:val="sk-SK"/>
              </w:rPr>
              <w:t>Univerzitnej nemocnice, Bratislava,</w:t>
            </w:r>
          </w:p>
          <w:p w14:paraId="3955E1F0" w14:textId="77777777" w:rsidR="00657ACA" w:rsidRPr="00F94F46" w:rsidRDefault="00657ACA" w:rsidP="00657ACA">
            <w:pPr>
              <w:pStyle w:val="Zkladntext"/>
              <w:jc w:val="both"/>
              <w:rPr>
                <w:lang w:val="sk-SK"/>
              </w:rPr>
            </w:pPr>
            <w:r w:rsidRPr="00F94F46">
              <w:rPr>
                <w:lang w:val="sk-SK"/>
              </w:rPr>
              <w:t>2. Infekčná klinika Fakultnej nemocnice, Nitra,</w:t>
            </w:r>
          </w:p>
          <w:p w14:paraId="2EC98D6E" w14:textId="77777777" w:rsidR="00657ACA" w:rsidRPr="00F94F46" w:rsidRDefault="00657ACA" w:rsidP="00657ACA">
            <w:pPr>
              <w:pStyle w:val="Zkladntext"/>
              <w:jc w:val="both"/>
              <w:rPr>
                <w:lang w:val="sk-SK"/>
              </w:rPr>
            </w:pPr>
            <w:r w:rsidRPr="00F94F46">
              <w:rPr>
                <w:lang w:val="sk-SK"/>
              </w:rPr>
              <w:t>3. Klinika infektológie a cestovnej medicíny Univerzitnej nemocnice, Martin,</w:t>
            </w:r>
          </w:p>
          <w:p w14:paraId="05437541" w14:textId="77777777" w:rsidR="00657ACA" w:rsidRPr="00F94F46" w:rsidRDefault="00657ACA" w:rsidP="00657ACA">
            <w:pPr>
              <w:pStyle w:val="Zkladntext"/>
              <w:jc w:val="both"/>
              <w:rPr>
                <w:lang w:val="sk-SK"/>
              </w:rPr>
            </w:pPr>
            <w:r w:rsidRPr="00F94F46">
              <w:rPr>
                <w:lang w:val="sk-SK"/>
              </w:rPr>
              <w:t>4. Infekčné oddelenie Fakultnej nemocnice s poliklinikou F.D. Roosevelta,</w:t>
            </w:r>
            <w:r>
              <w:rPr>
                <w:lang w:val="sk-SK"/>
              </w:rPr>
              <w:t xml:space="preserve"> </w:t>
            </w:r>
            <w:r w:rsidRPr="00F94F46">
              <w:rPr>
                <w:lang w:val="sk-SK"/>
              </w:rPr>
              <w:t>Banská Bystrica,</w:t>
            </w:r>
          </w:p>
          <w:p w14:paraId="07F5EC40" w14:textId="77777777" w:rsidR="00657ACA" w:rsidRPr="00F94F46" w:rsidRDefault="00657ACA" w:rsidP="00657ACA">
            <w:pPr>
              <w:pStyle w:val="Zkladntext"/>
              <w:jc w:val="both"/>
              <w:rPr>
                <w:lang w:val="sk-SK"/>
              </w:rPr>
            </w:pPr>
            <w:r w:rsidRPr="00F94F46">
              <w:rPr>
                <w:lang w:val="sk-SK"/>
              </w:rPr>
              <w:t>5. Infekčné oddelenie Všeobecnej nemocnice s poliklinikou n.o., Lučenec,</w:t>
            </w:r>
          </w:p>
          <w:p w14:paraId="0074F81E" w14:textId="77777777" w:rsidR="00657ACA" w:rsidRPr="00F94F46" w:rsidRDefault="00657ACA" w:rsidP="00657ACA">
            <w:pPr>
              <w:pStyle w:val="Zkladntext"/>
              <w:jc w:val="both"/>
              <w:rPr>
                <w:lang w:val="sk-SK"/>
              </w:rPr>
            </w:pPr>
            <w:r w:rsidRPr="00F94F46">
              <w:rPr>
                <w:lang w:val="sk-SK"/>
              </w:rPr>
              <w:t>6. Klinika infektológie a cestovnej medicíny Univerzitnej nemocnice L. Pasteura,</w:t>
            </w:r>
            <w:r>
              <w:rPr>
                <w:lang w:val="sk-SK"/>
              </w:rPr>
              <w:t xml:space="preserve"> </w:t>
            </w:r>
            <w:r w:rsidRPr="00F94F46">
              <w:rPr>
                <w:lang w:val="sk-SK"/>
              </w:rPr>
              <w:t>Košice,</w:t>
            </w:r>
          </w:p>
          <w:p w14:paraId="225F5876" w14:textId="77777777" w:rsidR="00657ACA" w:rsidRPr="00F94F46" w:rsidRDefault="00657ACA" w:rsidP="00657ACA">
            <w:pPr>
              <w:pStyle w:val="Zkladntext"/>
              <w:jc w:val="both"/>
              <w:rPr>
                <w:lang w:val="sk-SK"/>
              </w:rPr>
            </w:pPr>
            <w:r w:rsidRPr="00F94F46">
              <w:rPr>
                <w:lang w:val="sk-SK"/>
              </w:rPr>
              <w:t>7. Oddelenie infektológie Fakultnej nemocnice s poliklinikou J.A. Reimana,</w:t>
            </w:r>
            <w:r>
              <w:rPr>
                <w:lang w:val="sk-SK"/>
              </w:rPr>
              <w:t xml:space="preserve"> </w:t>
            </w:r>
            <w:r w:rsidRPr="00F94F46">
              <w:rPr>
                <w:lang w:val="sk-SK"/>
              </w:rPr>
              <w:t>Prešov,</w:t>
            </w:r>
          </w:p>
          <w:p w14:paraId="3ED17E3C" w14:textId="77777777" w:rsidR="00657ACA" w:rsidRPr="00F94F46" w:rsidRDefault="00657ACA" w:rsidP="00657ACA">
            <w:pPr>
              <w:pStyle w:val="Zkladntext"/>
              <w:jc w:val="both"/>
              <w:rPr>
                <w:lang w:val="sk-SK"/>
              </w:rPr>
            </w:pPr>
            <w:r w:rsidRPr="00F94F46">
              <w:rPr>
                <w:lang w:val="sk-SK"/>
              </w:rPr>
              <w:t>8. Infekčná klinika Fakultnej nemocnice Trnava,</w:t>
            </w:r>
          </w:p>
          <w:p w14:paraId="05E4A133" w14:textId="77777777" w:rsidR="00657ACA" w:rsidRDefault="00657ACA" w:rsidP="00657ACA">
            <w:pPr>
              <w:pStyle w:val="Zkladntext"/>
              <w:jc w:val="both"/>
              <w:rPr>
                <w:lang w:val="sk-SK"/>
              </w:rPr>
            </w:pPr>
            <w:r w:rsidRPr="00F94F46">
              <w:rPr>
                <w:lang w:val="sk-SK"/>
              </w:rPr>
              <w:t>9. Detské infekčné oddelenie Detskej fakuoltnej nemocnice Košice</w:t>
            </w:r>
          </w:p>
          <w:p w14:paraId="2F08D1C8" w14:textId="77777777" w:rsidR="00657ACA" w:rsidRPr="00F94F46" w:rsidRDefault="00657ACA" w:rsidP="00657ACA">
            <w:pPr>
              <w:pStyle w:val="Zkladntext"/>
              <w:jc w:val="both"/>
              <w:rPr>
                <w:lang w:val="sk-SK"/>
              </w:rPr>
            </w:pPr>
          </w:p>
          <w:p w14:paraId="0064BE9A" w14:textId="77777777" w:rsidR="00657ACA" w:rsidRDefault="00657ACA">
            <w:pPr>
              <w:pStyle w:val="Zkladntext"/>
              <w:numPr>
                <w:ilvl w:val="0"/>
                <w:numId w:val="131"/>
              </w:numPr>
              <w:jc w:val="both"/>
              <w:rPr>
                <w:lang w:val="sk-SK"/>
              </w:rPr>
            </w:pPr>
            <w:r w:rsidRPr="00F94F46">
              <w:rPr>
                <w:lang w:val="sk-SK"/>
              </w:rPr>
              <w:t>hepatologické a gastroenterologické pracoviská</w:t>
            </w:r>
          </w:p>
          <w:p w14:paraId="33F0BE5D" w14:textId="77777777" w:rsidR="00657ACA" w:rsidRPr="00F94F46" w:rsidRDefault="00657ACA" w:rsidP="00657ACA">
            <w:pPr>
              <w:pStyle w:val="Zkladntext"/>
              <w:ind w:left="720"/>
              <w:jc w:val="both"/>
              <w:rPr>
                <w:lang w:val="sk-SK"/>
              </w:rPr>
            </w:pPr>
          </w:p>
          <w:p w14:paraId="35C3B3E7" w14:textId="77777777" w:rsidR="00657ACA" w:rsidRPr="00F94F46" w:rsidRDefault="00657ACA" w:rsidP="00657ACA">
            <w:pPr>
              <w:pStyle w:val="Zkladntext"/>
              <w:jc w:val="both"/>
              <w:rPr>
                <w:lang w:val="sk-SK"/>
              </w:rPr>
            </w:pPr>
            <w:r w:rsidRPr="00F94F46">
              <w:rPr>
                <w:lang w:val="sk-SK"/>
              </w:rPr>
              <w:t>1. Hepatologická ambulancia, 1. interná klinika SZU a Univerzitnej nemocnice,</w:t>
            </w:r>
            <w:r>
              <w:rPr>
                <w:lang w:val="sk-SK"/>
              </w:rPr>
              <w:t xml:space="preserve"> </w:t>
            </w:r>
            <w:r w:rsidRPr="00F94F46">
              <w:rPr>
                <w:lang w:val="sk-SK"/>
              </w:rPr>
              <w:t>Bratislava – Kramáre,</w:t>
            </w:r>
          </w:p>
          <w:p w14:paraId="2FD97D09" w14:textId="77777777" w:rsidR="00657ACA" w:rsidRPr="00F94F46" w:rsidRDefault="00657ACA" w:rsidP="00657ACA">
            <w:pPr>
              <w:pStyle w:val="Zkladntext"/>
              <w:jc w:val="both"/>
              <w:rPr>
                <w:lang w:val="sk-SK"/>
              </w:rPr>
            </w:pPr>
            <w:r w:rsidRPr="00F94F46">
              <w:rPr>
                <w:lang w:val="sk-SK"/>
              </w:rPr>
              <w:t>2. Hepatologická ambulancia, 3. interná klinika Lekárskej fakulty UK a</w:t>
            </w:r>
            <w:r>
              <w:rPr>
                <w:lang w:val="sk-SK"/>
              </w:rPr>
              <w:t xml:space="preserve"> </w:t>
            </w:r>
            <w:r w:rsidRPr="00F94F46">
              <w:rPr>
                <w:lang w:val="sk-SK"/>
              </w:rPr>
              <w:t>Univerzitnej nemocnice, Bratislava – Kramáre,</w:t>
            </w:r>
          </w:p>
          <w:p w14:paraId="459E8D1F" w14:textId="77777777" w:rsidR="00657ACA" w:rsidRPr="00F94F46" w:rsidRDefault="00657ACA" w:rsidP="00657ACA">
            <w:pPr>
              <w:pStyle w:val="Zkladntext"/>
              <w:jc w:val="both"/>
              <w:rPr>
                <w:lang w:val="sk-SK"/>
              </w:rPr>
            </w:pPr>
            <w:r w:rsidRPr="00F94F46">
              <w:rPr>
                <w:lang w:val="sk-SK"/>
              </w:rPr>
              <w:t>3. Hepatologická ambulancia, 5. interná klinika Lekárskej fakulty UK a</w:t>
            </w:r>
            <w:r>
              <w:rPr>
                <w:lang w:val="sk-SK"/>
              </w:rPr>
              <w:t xml:space="preserve"> </w:t>
            </w:r>
            <w:r w:rsidRPr="00F94F46">
              <w:rPr>
                <w:lang w:val="sk-SK"/>
              </w:rPr>
              <w:t>Univerzitnej nemocnice, Bratislava – Ružinov,</w:t>
            </w:r>
          </w:p>
          <w:p w14:paraId="6E98C9B5" w14:textId="77777777" w:rsidR="00657ACA" w:rsidRPr="00F94F46" w:rsidRDefault="00657ACA" w:rsidP="00657ACA">
            <w:pPr>
              <w:pStyle w:val="Zkladntext"/>
              <w:jc w:val="both"/>
              <w:rPr>
                <w:lang w:val="sk-SK"/>
              </w:rPr>
            </w:pPr>
            <w:r w:rsidRPr="00F94F46">
              <w:rPr>
                <w:lang w:val="sk-SK"/>
              </w:rPr>
              <w:t>4. Gastroenterologicko - hepatologické centrum THALION, Bratislava,</w:t>
            </w:r>
          </w:p>
          <w:p w14:paraId="767F10B9" w14:textId="77777777" w:rsidR="00657ACA" w:rsidRPr="00F94F46" w:rsidRDefault="00657ACA" w:rsidP="00657ACA">
            <w:pPr>
              <w:pStyle w:val="Zkladntext"/>
              <w:jc w:val="both"/>
              <w:rPr>
                <w:lang w:val="sk-SK"/>
              </w:rPr>
            </w:pPr>
            <w:r w:rsidRPr="00F94F46">
              <w:rPr>
                <w:lang w:val="sk-SK"/>
              </w:rPr>
              <w:t>5. Hepatologická ambulancia, Interné oddelenie Fakultnej nemocnice, Trenčín,</w:t>
            </w:r>
          </w:p>
          <w:p w14:paraId="03B17FAC" w14:textId="77777777" w:rsidR="00657ACA" w:rsidRPr="00F94F46" w:rsidRDefault="00657ACA" w:rsidP="00657ACA">
            <w:pPr>
              <w:pStyle w:val="Zkladntext"/>
              <w:jc w:val="both"/>
              <w:rPr>
                <w:lang w:val="sk-SK"/>
              </w:rPr>
            </w:pPr>
            <w:r w:rsidRPr="00F94F46">
              <w:rPr>
                <w:lang w:val="sk-SK"/>
              </w:rPr>
              <w:t>6. Gastro-hepatologická ambulancia LUNAMED s.r.o., Trenčín</w:t>
            </w:r>
          </w:p>
          <w:p w14:paraId="4B7BA3B4" w14:textId="77777777" w:rsidR="00657ACA" w:rsidRPr="00F94F46" w:rsidRDefault="00657ACA" w:rsidP="00657ACA">
            <w:pPr>
              <w:pStyle w:val="Zkladntext"/>
              <w:jc w:val="both"/>
              <w:rPr>
                <w:lang w:val="sk-SK"/>
              </w:rPr>
            </w:pPr>
            <w:r w:rsidRPr="00F94F46">
              <w:rPr>
                <w:lang w:val="sk-SK"/>
              </w:rPr>
              <w:t>7. Hepatologická ambulancia, Fakultná nemocnica, Nitra</w:t>
            </w:r>
          </w:p>
          <w:p w14:paraId="61440F66" w14:textId="77777777" w:rsidR="00657ACA" w:rsidRPr="00F94F46" w:rsidRDefault="00657ACA" w:rsidP="00657ACA">
            <w:pPr>
              <w:pStyle w:val="Zkladntext"/>
              <w:jc w:val="both"/>
              <w:rPr>
                <w:lang w:val="sk-SK"/>
              </w:rPr>
            </w:pPr>
            <w:r w:rsidRPr="00F94F46">
              <w:rPr>
                <w:lang w:val="sk-SK"/>
              </w:rPr>
              <w:lastRenderedPageBreak/>
              <w:t>8. Hepatologická ambulancia, Klinika vnútorného lekárstva II Fakultnej</w:t>
            </w:r>
            <w:r>
              <w:rPr>
                <w:lang w:val="sk-SK"/>
              </w:rPr>
              <w:t xml:space="preserve"> </w:t>
            </w:r>
            <w:r w:rsidRPr="00F94F46">
              <w:rPr>
                <w:lang w:val="sk-SK"/>
              </w:rPr>
              <w:t>nemocnice s poliklinikou, Nové Zámky,</w:t>
            </w:r>
          </w:p>
          <w:p w14:paraId="0B0FA22F" w14:textId="77777777" w:rsidR="00657ACA" w:rsidRPr="00F94F46" w:rsidRDefault="00657ACA" w:rsidP="00657ACA">
            <w:pPr>
              <w:pStyle w:val="Zkladntext"/>
              <w:jc w:val="both"/>
              <w:rPr>
                <w:lang w:val="sk-SK"/>
              </w:rPr>
            </w:pPr>
            <w:r w:rsidRPr="00F94F46">
              <w:rPr>
                <w:lang w:val="sk-SK"/>
              </w:rPr>
              <w:t>9. Hepatologická ambulancia, Interná klinika Fakultnej nemocnice F.D.</w:t>
            </w:r>
            <w:r>
              <w:rPr>
                <w:lang w:val="sk-SK"/>
              </w:rPr>
              <w:t xml:space="preserve"> </w:t>
            </w:r>
            <w:r w:rsidRPr="00F94F46">
              <w:rPr>
                <w:lang w:val="sk-SK"/>
              </w:rPr>
              <w:t>Roosevelta, Banská Bystrica,</w:t>
            </w:r>
          </w:p>
          <w:p w14:paraId="71CDAEA7" w14:textId="77777777" w:rsidR="00657ACA" w:rsidRPr="00F94F46" w:rsidRDefault="00657ACA" w:rsidP="00657ACA">
            <w:pPr>
              <w:pStyle w:val="Zkladntext"/>
              <w:jc w:val="both"/>
              <w:rPr>
                <w:lang w:val="sk-SK"/>
              </w:rPr>
            </w:pPr>
            <w:r w:rsidRPr="00F94F46">
              <w:rPr>
                <w:lang w:val="sk-SK"/>
              </w:rPr>
              <w:t>10. Hepatologická ambulancia, Interné oddelenie Nemocnica Poprad a.s., Poprad,</w:t>
            </w:r>
          </w:p>
          <w:p w14:paraId="7AB224BD" w14:textId="77777777" w:rsidR="00657ACA" w:rsidRPr="00F94F46" w:rsidRDefault="00657ACA" w:rsidP="00657ACA">
            <w:pPr>
              <w:pStyle w:val="Zkladntext"/>
              <w:jc w:val="both"/>
              <w:rPr>
                <w:lang w:val="sk-SK"/>
              </w:rPr>
            </w:pPr>
            <w:r w:rsidRPr="00F94F46">
              <w:rPr>
                <w:lang w:val="sk-SK"/>
              </w:rPr>
              <w:t>11. Hepatologická ambulancia, 1. interná klinika UNLP a Lekárskej fakulty UPJŠ,</w:t>
            </w:r>
            <w:r>
              <w:rPr>
                <w:lang w:val="sk-SK"/>
              </w:rPr>
              <w:t xml:space="preserve"> </w:t>
            </w:r>
            <w:r w:rsidRPr="00F94F46">
              <w:rPr>
                <w:lang w:val="sk-SK"/>
              </w:rPr>
              <w:t>Košice,</w:t>
            </w:r>
          </w:p>
          <w:p w14:paraId="1F387267" w14:textId="77777777" w:rsidR="00657ACA" w:rsidRDefault="00657ACA" w:rsidP="00657ACA">
            <w:pPr>
              <w:pStyle w:val="Zkladntext"/>
              <w:jc w:val="both"/>
              <w:rPr>
                <w:lang w:val="sk-SK"/>
              </w:rPr>
            </w:pPr>
            <w:r w:rsidRPr="00F94F46">
              <w:rPr>
                <w:lang w:val="sk-SK"/>
              </w:rPr>
              <w:t>12. Hepatologická ambulancia Polikliniky SZU/Ústav farmakológie, klinickej a</w:t>
            </w:r>
            <w:r>
              <w:rPr>
                <w:lang w:val="sk-SK"/>
              </w:rPr>
              <w:t xml:space="preserve"> </w:t>
            </w:r>
            <w:r w:rsidRPr="00F94F46">
              <w:rPr>
                <w:lang w:val="sk-SK"/>
              </w:rPr>
              <w:t>experimentálnej farmakológie LF SZU, Bratislava</w:t>
            </w:r>
            <w:r>
              <w:rPr>
                <w:lang w:val="sk-SK"/>
              </w:rPr>
              <w:t>.</w:t>
            </w:r>
          </w:p>
          <w:p w14:paraId="5389AA1D" w14:textId="77777777" w:rsidR="00657ACA" w:rsidRDefault="00657ACA" w:rsidP="00657ACA">
            <w:pPr>
              <w:pStyle w:val="Zkladntext"/>
              <w:jc w:val="both"/>
            </w:pPr>
            <w:r>
              <w:rPr>
                <w:lang w:val="sk-SK"/>
              </w:rPr>
              <w:t>13.</w:t>
            </w:r>
            <w:r>
              <w:t xml:space="preserve"> Hepatologická ambulancia, Interná klinika gastroenterologická, Univerzitná nemocnica Martin,</w:t>
            </w:r>
          </w:p>
          <w:p w14:paraId="63500C6D" w14:textId="77777777" w:rsidR="00657ACA" w:rsidRDefault="00657ACA" w:rsidP="00657ACA">
            <w:pPr>
              <w:pStyle w:val="Zkladntext"/>
              <w:jc w:val="both"/>
              <w:rPr>
                <w:lang w:val="sk-SK"/>
              </w:rPr>
            </w:pPr>
            <w:r>
              <w:t xml:space="preserve">14. </w:t>
            </w:r>
            <w:r w:rsidRPr="00CC0E77">
              <w:t>Hepatologická ambulancia, Interná klinika SZU, Univerzitná nemocnica, Nemocnica sv. Michala a.s., Bratislava.</w:t>
            </w:r>
          </w:p>
          <w:p w14:paraId="10F98F09" w14:textId="77777777" w:rsidR="00657ACA" w:rsidRPr="00F94F46" w:rsidRDefault="00657ACA" w:rsidP="00657ACA">
            <w:pPr>
              <w:pStyle w:val="Zkladntext"/>
              <w:jc w:val="both"/>
              <w:rPr>
                <w:lang w:val="sk-SK"/>
              </w:rPr>
            </w:pPr>
          </w:p>
          <w:p w14:paraId="50F11327" w14:textId="77777777" w:rsidR="00657ACA" w:rsidRPr="00F94F46" w:rsidRDefault="00657ACA" w:rsidP="00657ACA">
            <w:pPr>
              <w:pStyle w:val="Zkladntext"/>
              <w:jc w:val="both"/>
              <w:rPr>
                <w:lang w:val="sk-SK"/>
              </w:rPr>
            </w:pPr>
            <w:r w:rsidRPr="00F94F46">
              <w:rPr>
                <w:lang w:val="sk-SK"/>
              </w:rPr>
              <w:t>Hradená liečba podlieha predchádzajúcemu súhlasu zdravotnej poisťovne.</w:t>
            </w:r>
          </w:p>
          <w:p w14:paraId="4B789290" w14:textId="77777777" w:rsidR="00657ACA" w:rsidRPr="00D75A1D" w:rsidRDefault="00657ACA" w:rsidP="00657ACA">
            <w:pPr>
              <w:pStyle w:val="Zkladntext"/>
              <w:jc w:val="both"/>
              <w:rPr>
                <w:b/>
                <w:lang w:val="sk-SK"/>
              </w:rPr>
            </w:pPr>
          </w:p>
        </w:tc>
      </w:tr>
      <w:tr w:rsidR="00657ACA" w:rsidRPr="0000591E" w14:paraId="5A938D77" w14:textId="77777777" w:rsidTr="003F7925">
        <w:trPr>
          <w:gridAfter w:val="2"/>
          <w:wAfter w:w="154" w:type="dxa"/>
          <w:trHeight w:val="20"/>
        </w:trPr>
        <w:tc>
          <w:tcPr>
            <w:tcW w:w="1256" w:type="dxa"/>
            <w:tcBorders>
              <w:bottom w:val="single" w:sz="4" w:space="0" w:color="auto"/>
            </w:tcBorders>
            <w:noWrap/>
            <w:vAlign w:val="bottom"/>
          </w:tcPr>
          <w:p w14:paraId="475196D9"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lastRenderedPageBreak/>
              <w:t>J05AP56</w:t>
            </w:r>
          </w:p>
        </w:tc>
        <w:tc>
          <w:tcPr>
            <w:tcW w:w="9452" w:type="dxa"/>
            <w:tcBorders>
              <w:bottom w:val="single" w:sz="4" w:space="0" w:color="auto"/>
            </w:tcBorders>
            <w:noWrap/>
            <w:vAlign w:val="bottom"/>
          </w:tcPr>
          <w:p w14:paraId="2014D747" w14:textId="77777777" w:rsidR="00657ACA" w:rsidRPr="0060328F" w:rsidRDefault="00657ACA" w:rsidP="00657ACA">
            <w:pPr>
              <w:pStyle w:val="Zkladntext"/>
              <w:rPr>
                <w:b/>
                <w:lang w:val="sk-SK"/>
              </w:rPr>
            </w:pPr>
            <w:r w:rsidRPr="0060328F">
              <w:rPr>
                <w:b/>
                <w:lang w:val="sk-SK"/>
              </w:rPr>
              <w:t xml:space="preserve">Sofosbuvir, velpatasvir a voxilaprevir p.o. 400mg/100mg/100mg </w:t>
            </w:r>
          </w:p>
        </w:tc>
      </w:tr>
      <w:tr w:rsidR="00657ACA" w:rsidRPr="0000591E" w14:paraId="193C59D7" w14:textId="77777777" w:rsidTr="003F7925">
        <w:trPr>
          <w:gridAfter w:val="2"/>
          <w:wAfter w:w="154" w:type="dxa"/>
          <w:trHeight w:val="20"/>
        </w:trPr>
        <w:tc>
          <w:tcPr>
            <w:tcW w:w="1256" w:type="dxa"/>
            <w:noWrap/>
            <w:vAlign w:val="bottom"/>
          </w:tcPr>
          <w:p w14:paraId="69A703CA" w14:textId="77777777" w:rsidR="00657ACA" w:rsidRPr="00450215" w:rsidRDefault="00657ACA" w:rsidP="00657ACA">
            <w:pPr>
              <w:jc w:val="both"/>
              <w:rPr>
                <w:rFonts w:ascii="Arial" w:hAnsi="Arial" w:cs="Arial"/>
                <w:bCs/>
                <w:sz w:val="20"/>
                <w:szCs w:val="20"/>
              </w:rPr>
            </w:pPr>
          </w:p>
        </w:tc>
        <w:tc>
          <w:tcPr>
            <w:tcW w:w="9452" w:type="dxa"/>
            <w:noWrap/>
            <w:vAlign w:val="bottom"/>
          </w:tcPr>
          <w:p w14:paraId="47495C5C" w14:textId="77777777" w:rsidR="00657ACA" w:rsidRDefault="00657ACA" w:rsidP="00657ACA">
            <w:pPr>
              <w:pStyle w:val="Zkladntext"/>
              <w:jc w:val="both"/>
              <w:rPr>
                <w:lang w:val="sk-SK"/>
              </w:rPr>
            </w:pPr>
            <w:r w:rsidRPr="00450215">
              <w:rPr>
                <w:lang w:val="sk-SK"/>
              </w:rPr>
              <w:t>Hradená liečba sa môže indikovať na liečbu chronickej hepatitídy C (bez ohľadu na genotyp)</w:t>
            </w:r>
            <w:r>
              <w:rPr>
                <w:lang w:val="sk-SK"/>
              </w:rPr>
              <w:t xml:space="preserve"> </w:t>
            </w:r>
            <w:r w:rsidRPr="00450215">
              <w:rPr>
                <w:lang w:val="sk-SK"/>
              </w:rPr>
              <w:t>u dospelých pacientov, ktorí majú ochorenie v štádiu fibrózy F0 až F4, predtým liečených</w:t>
            </w:r>
            <w:r>
              <w:rPr>
                <w:lang w:val="sk-SK"/>
              </w:rPr>
              <w:t xml:space="preserve"> </w:t>
            </w:r>
            <w:r w:rsidRPr="00450215">
              <w:rPr>
                <w:lang w:val="sk-SK"/>
              </w:rPr>
              <w:t>antivírusovým liekom s priamym účinkom, u ktorých nebola dosiahnutá trvalá virologická</w:t>
            </w:r>
            <w:r>
              <w:rPr>
                <w:lang w:val="sk-SK"/>
              </w:rPr>
              <w:t xml:space="preserve"> </w:t>
            </w:r>
            <w:r w:rsidRPr="00450215">
              <w:rPr>
                <w:lang w:val="sk-SK"/>
              </w:rPr>
              <w:t>odpoveď, pričom táto liečba je odporúčaná v dĺžke trvania 12 týždňov.</w:t>
            </w:r>
          </w:p>
          <w:p w14:paraId="2EDFBEFA" w14:textId="77777777" w:rsidR="00657ACA" w:rsidRDefault="00657ACA" w:rsidP="00657ACA">
            <w:pPr>
              <w:pStyle w:val="Zkladntext"/>
              <w:jc w:val="both"/>
              <w:rPr>
                <w:lang w:val="sk-SK"/>
              </w:rPr>
            </w:pPr>
            <w:r w:rsidRPr="00450215">
              <w:rPr>
                <w:lang w:val="sk-SK"/>
              </w:rPr>
              <w:t>Hradená liečba sa môže indikovať na týchto pracoviskách:</w:t>
            </w:r>
          </w:p>
          <w:p w14:paraId="58AE49EC" w14:textId="77777777" w:rsidR="00657ACA" w:rsidRPr="00450215" w:rsidRDefault="00657ACA" w:rsidP="00657ACA">
            <w:pPr>
              <w:pStyle w:val="Zkladntext"/>
              <w:jc w:val="both"/>
              <w:rPr>
                <w:lang w:val="sk-SK"/>
              </w:rPr>
            </w:pPr>
          </w:p>
          <w:p w14:paraId="3156B90E" w14:textId="77777777" w:rsidR="00657ACA" w:rsidRDefault="00657ACA">
            <w:pPr>
              <w:pStyle w:val="Zkladntext"/>
              <w:numPr>
                <w:ilvl w:val="0"/>
                <w:numId w:val="132"/>
              </w:numPr>
              <w:jc w:val="both"/>
              <w:rPr>
                <w:lang w:val="sk-SK"/>
              </w:rPr>
            </w:pPr>
            <w:r w:rsidRPr="00450215">
              <w:rPr>
                <w:lang w:val="sk-SK"/>
              </w:rPr>
              <w:t>infektologické pracoviská</w:t>
            </w:r>
          </w:p>
          <w:p w14:paraId="67060B27" w14:textId="77777777" w:rsidR="00657ACA" w:rsidRPr="00450215" w:rsidRDefault="00657ACA" w:rsidP="00657ACA">
            <w:pPr>
              <w:pStyle w:val="Zkladntext"/>
              <w:ind w:left="720"/>
              <w:jc w:val="both"/>
              <w:rPr>
                <w:lang w:val="sk-SK"/>
              </w:rPr>
            </w:pPr>
          </w:p>
          <w:p w14:paraId="6DE6B26E" w14:textId="77777777" w:rsidR="00657ACA" w:rsidRDefault="00657ACA" w:rsidP="00657ACA">
            <w:pPr>
              <w:pStyle w:val="Zkladntext"/>
              <w:jc w:val="both"/>
              <w:rPr>
                <w:lang w:val="sk-SK"/>
              </w:rPr>
            </w:pPr>
            <w:r w:rsidRPr="00450215">
              <w:rPr>
                <w:lang w:val="sk-SK"/>
              </w:rPr>
              <w:t>Klinika infektológie a geografickej medicíny Lekárskej fakulty UK a</w:t>
            </w:r>
            <w:r>
              <w:rPr>
                <w:lang w:val="sk-SK"/>
              </w:rPr>
              <w:t> </w:t>
            </w:r>
            <w:r w:rsidRPr="00450215">
              <w:rPr>
                <w:lang w:val="sk-SK"/>
              </w:rPr>
              <w:t>Univerzitnej</w:t>
            </w:r>
            <w:r>
              <w:rPr>
                <w:lang w:val="sk-SK"/>
              </w:rPr>
              <w:t xml:space="preserve"> </w:t>
            </w:r>
            <w:r w:rsidRPr="00450215">
              <w:rPr>
                <w:lang w:val="sk-SK"/>
              </w:rPr>
              <w:t xml:space="preserve">nemocnice, Bratislava, Infekčná klinika Fakultnej nemocnice, Nitra, </w:t>
            </w:r>
          </w:p>
          <w:p w14:paraId="465808F1" w14:textId="77777777" w:rsidR="00657ACA" w:rsidRDefault="00657ACA" w:rsidP="00657ACA">
            <w:pPr>
              <w:pStyle w:val="Zkladntext"/>
              <w:jc w:val="both"/>
              <w:rPr>
                <w:lang w:val="sk-SK"/>
              </w:rPr>
            </w:pPr>
            <w:r w:rsidRPr="00450215">
              <w:rPr>
                <w:lang w:val="sk-SK"/>
              </w:rPr>
              <w:t>Klinika</w:t>
            </w:r>
            <w:r>
              <w:rPr>
                <w:lang w:val="sk-SK"/>
              </w:rPr>
              <w:t xml:space="preserve"> </w:t>
            </w:r>
            <w:r w:rsidRPr="00450215">
              <w:rPr>
                <w:lang w:val="sk-SK"/>
              </w:rPr>
              <w:t xml:space="preserve">infektológie a cestovnej medicíny Univerzitnej nemocnice, Martin, </w:t>
            </w:r>
          </w:p>
          <w:p w14:paraId="3A5BDD71" w14:textId="77777777" w:rsidR="00657ACA" w:rsidRDefault="00657ACA" w:rsidP="00657ACA">
            <w:pPr>
              <w:pStyle w:val="Zkladntext"/>
              <w:jc w:val="both"/>
              <w:rPr>
                <w:lang w:val="sk-SK"/>
              </w:rPr>
            </w:pPr>
            <w:r w:rsidRPr="00450215">
              <w:rPr>
                <w:lang w:val="sk-SK"/>
              </w:rPr>
              <w:t>Infekčné oddelenie</w:t>
            </w:r>
            <w:r>
              <w:rPr>
                <w:lang w:val="sk-SK"/>
              </w:rPr>
              <w:t xml:space="preserve"> </w:t>
            </w:r>
            <w:r w:rsidRPr="00450215">
              <w:rPr>
                <w:lang w:val="sk-SK"/>
              </w:rPr>
              <w:t xml:space="preserve">Fakultnej nemocnice s poliklinikou F.D. Roosevelta, Banská Bystrica, </w:t>
            </w:r>
          </w:p>
          <w:p w14:paraId="714B145C" w14:textId="77777777" w:rsidR="00657ACA" w:rsidRDefault="00657ACA" w:rsidP="00657ACA">
            <w:pPr>
              <w:pStyle w:val="Zkladntext"/>
              <w:jc w:val="both"/>
              <w:rPr>
                <w:lang w:val="sk-SK"/>
              </w:rPr>
            </w:pPr>
            <w:r w:rsidRPr="00450215">
              <w:rPr>
                <w:lang w:val="sk-SK"/>
              </w:rPr>
              <w:t>Infekčné</w:t>
            </w:r>
            <w:r>
              <w:rPr>
                <w:lang w:val="sk-SK"/>
              </w:rPr>
              <w:t xml:space="preserve"> </w:t>
            </w:r>
            <w:r w:rsidRPr="00450215">
              <w:rPr>
                <w:lang w:val="sk-SK"/>
              </w:rPr>
              <w:t xml:space="preserve">oddelenie Všeobecnej nemocnice s poliklinikou n.o., Lučenec, </w:t>
            </w:r>
          </w:p>
          <w:p w14:paraId="6859053B" w14:textId="77777777" w:rsidR="00657ACA" w:rsidRDefault="00657ACA" w:rsidP="00657ACA">
            <w:pPr>
              <w:pStyle w:val="Zkladntext"/>
              <w:jc w:val="both"/>
              <w:rPr>
                <w:lang w:val="sk-SK"/>
              </w:rPr>
            </w:pPr>
            <w:r w:rsidRPr="00450215">
              <w:rPr>
                <w:lang w:val="sk-SK"/>
              </w:rPr>
              <w:t>Klinika infektológie a</w:t>
            </w:r>
            <w:r>
              <w:rPr>
                <w:lang w:val="sk-SK"/>
              </w:rPr>
              <w:t xml:space="preserve"> </w:t>
            </w:r>
            <w:r w:rsidRPr="00450215">
              <w:rPr>
                <w:lang w:val="sk-SK"/>
              </w:rPr>
              <w:t xml:space="preserve">cestovnej medicíny Univerzitnej nemocnice L. Pasteura, Košice, </w:t>
            </w:r>
          </w:p>
          <w:p w14:paraId="3A2A935B" w14:textId="77777777" w:rsidR="00657ACA" w:rsidRDefault="00657ACA" w:rsidP="00657ACA">
            <w:pPr>
              <w:pStyle w:val="Zkladntext"/>
              <w:jc w:val="both"/>
              <w:rPr>
                <w:lang w:val="sk-SK"/>
              </w:rPr>
            </w:pPr>
            <w:r w:rsidRPr="00450215">
              <w:rPr>
                <w:lang w:val="sk-SK"/>
              </w:rPr>
              <w:t>Oddelenie</w:t>
            </w:r>
            <w:r>
              <w:rPr>
                <w:lang w:val="sk-SK"/>
              </w:rPr>
              <w:t xml:space="preserve"> </w:t>
            </w:r>
            <w:r w:rsidRPr="00450215">
              <w:rPr>
                <w:lang w:val="sk-SK"/>
              </w:rPr>
              <w:t xml:space="preserve">infektológie Fakultnej nemocnice s poliklinikou J.A. Reimana, Prešov, </w:t>
            </w:r>
          </w:p>
          <w:p w14:paraId="0E63EB9E" w14:textId="77777777" w:rsidR="00657ACA" w:rsidRDefault="00657ACA" w:rsidP="00657ACA">
            <w:pPr>
              <w:pStyle w:val="Zkladntext"/>
              <w:jc w:val="both"/>
              <w:rPr>
                <w:lang w:val="sk-SK"/>
              </w:rPr>
            </w:pPr>
            <w:r w:rsidRPr="00450215">
              <w:rPr>
                <w:lang w:val="sk-SK"/>
              </w:rPr>
              <w:t>Infekčná</w:t>
            </w:r>
            <w:r>
              <w:rPr>
                <w:lang w:val="sk-SK"/>
              </w:rPr>
              <w:t xml:space="preserve"> </w:t>
            </w:r>
            <w:r w:rsidRPr="00450215">
              <w:rPr>
                <w:lang w:val="sk-SK"/>
              </w:rPr>
              <w:t>kli</w:t>
            </w:r>
            <w:r>
              <w:rPr>
                <w:lang w:val="sk-SK"/>
              </w:rPr>
              <w:t>nika Fakultnej nemocnice Trnava.</w:t>
            </w:r>
          </w:p>
          <w:p w14:paraId="2A52D2E8" w14:textId="77777777" w:rsidR="00657ACA" w:rsidRDefault="00657ACA" w:rsidP="00657ACA">
            <w:pPr>
              <w:pStyle w:val="Zkladntext"/>
              <w:jc w:val="both"/>
              <w:rPr>
                <w:lang w:val="sk-SK"/>
              </w:rPr>
            </w:pPr>
          </w:p>
          <w:p w14:paraId="4671E533" w14:textId="77777777" w:rsidR="00657ACA" w:rsidRDefault="00657ACA">
            <w:pPr>
              <w:pStyle w:val="Zkladntext"/>
              <w:numPr>
                <w:ilvl w:val="0"/>
                <w:numId w:val="132"/>
              </w:numPr>
              <w:jc w:val="both"/>
              <w:rPr>
                <w:lang w:val="sk-SK"/>
              </w:rPr>
            </w:pPr>
            <w:r w:rsidRPr="00450215">
              <w:rPr>
                <w:lang w:val="sk-SK"/>
              </w:rPr>
              <w:t>hepatologické a gastroenterologické pracoviská</w:t>
            </w:r>
          </w:p>
          <w:p w14:paraId="1A72A3FB" w14:textId="77777777" w:rsidR="00657ACA" w:rsidRPr="00450215" w:rsidRDefault="00657ACA" w:rsidP="00657ACA">
            <w:pPr>
              <w:pStyle w:val="Zkladntext"/>
              <w:ind w:left="720"/>
              <w:jc w:val="both"/>
              <w:rPr>
                <w:lang w:val="sk-SK"/>
              </w:rPr>
            </w:pPr>
          </w:p>
          <w:p w14:paraId="3B098E7A" w14:textId="77777777" w:rsidR="00657ACA" w:rsidRDefault="00657ACA" w:rsidP="00657ACA">
            <w:pPr>
              <w:pStyle w:val="Zkladntext"/>
              <w:jc w:val="both"/>
              <w:rPr>
                <w:lang w:val="sk-SK"/>
              </w:rPr>
            </w:pPr>
            <w:r w:rsidRPr="00450215">
              <w:rPr>
                <w:lang w:val="sk-SK"/>
              </w:rPr>
              <w:t>Hepatologická ambulancia, interná klinika SZU a Univerzitnej nemocnice, Bratislava</w:t>
            </w:r>
            <w:r>
              <w:rPr>
                <w:lang w:val="sk-SK"/>
              </w:rPr>
              <w:t xml:space="preserve"> </w:t>
            </w:r>
            <w:r w:rsidRPr="00450215">
              <w:rPr>
                <w:lang w:val="sk-SK"/>
              </w:rPr>
              <w:t>– Kramáre, Hepatologická ambulancia, interná klinika Lekárskej fakulty UK a</w:t>
            </w:r>
            <w:r>
              <w:rPr>
                <w:lang w:val="sk-SK"/>
              </w:rPr>
              <w:t xml:space="preserve"> </w:t>
            </w:r>
            <w:r w:rsidRPr="00450215">
              <w:rPr>
                <w:lang w:val="sk-SK"/>
              </w:rPr>
              <w:t xml:space="preserve">Univerzitnej nemocnice, Bratislava – Kramáre, </w:t>
            </w:r>
          </w:p>
          <w:p w14:paraId="78ABC44B" w14:textId="77777777" w:rsidR="00657ACA" w:rsidRDefault="00657ACA" w:rsidP="00657ACA">
            <w:pPr>
              <w:pStyle w:val="Zkladntext"/>
              <w:jc w:val="both"/>
              <w:rPr>
                <w:lang w:val="sk-SK"/>
              </w:rPr>
            </w:pPr>
            <w:r w:rsidRPr="00450215">
              <w:rPr>
                <w:lang w:val="sk-SK"/>
              </w:rPr>
              <w:t>Hepatologická ambulancia, interná</w:t>
            </w:r>
            <w:r>
              <w:rPr>
                <w:lang w:val="sk-SK"/>
              </w:rPr>
              <w:t xml:space="preserve"> </w:t>
            </w:r>
            <w:r w:rsidRPr="00450215">
              <w:rPr>
                <w:lang w:val="sk-SK"/>
              </w:rPr>
              <w:t>klinika Lekárskej fakulty UK a Univerzitnej nemocnice, Bratislava – Ružinov,</w:t>
            </w:r>
            <w:r>
              <w:rPr>
                <w:lang w:val="sk-SK"/>
              </w:rPr>
              <w:t xml:space="preserve"> </w:t>
            </w:r>
          </w:p>
          <w:p w14:paraId="7096799D" w14:textId="77777777" w:rsidR="00657ACA" w:rsidRDefault="00657ACA" w:rsidP="00657ACA">
            <w:pPr>
              <w:pStyle w:val="Zkladntext"/>
              <w:jc w:val="both"/>
              <w:rPr>
                <w:lang w:val="sk-SK"/>
              </w:rPr>
            </w:pPr>
            <w:r w:rsidRPr="00450215">
              <w:rPr>
                <w:lang w:val="sk-SK"/>
              </w:rPr>
              <w:t xml:space="preserve">Gastroenterologicko - hepatologické centrum THALION, Bratislava, </w:t>
            </w:r>
          </w:p>
          <w:p w14:paraId="57C46C5A" w14:textId="77777777" w:rsidR="00657ACA" w:rsidRDefault="00657ACA" w:rsidP="00657ACA">
            <w:pPr>
              <w:pStyle w:val="Zkladntext"/>
              <w:jc w:val="both"/>
              <w:rPr>
                <w:lang w:val="sk-SK"/>
              </w:rPr>
            </w:pPr>
            <w:r w:rsidRPr="00450215">
              <w:rPr>
                <w:lang w:val="sk-SK"/>
              </w:rPr>
              <w:t>Hepatologická</w:t>
            </w:r>
            <w:r>
              <w:rPr>
                <w:lang w:val="sk-SK"/>
              </w:rPr>
              <w:t xml:space="preserve"> </w:t>
            </w:r>
            <w:r w:rsidRPr="00450215">
              <w:rPr>
                <w:lang w:val="sk-SK"/>
              </w:rPr>
              <w:t xml:space="preserve">ambulancia, Interné oddelenie Fakultnej nemocnice, Trenčín, </w:t>
            </w:r>
          </w:p>
          <w:p w14:paraId="257D9D53" w14:textId="77777777" w:rsidR="00657ACA" w:rsidRDefault="00657ACA" w:rsidP="00657ACA">
            <w:pPr>
              <w:pStyle w:val="Zkladntext"/>
              <w:jc w:val="both"/>
              <w:rPr>
                <w:lang w:val="sk-SK"/>
              </w:rPr>
            </w:pPr>
            <w:r w:rsidRPr="00450215">
              <w:rPr>
                <w:lang w:val="sk-SK"/>
              </w:rPr>
              <w:t>Gastro-hepatologická</w:t>
            </w:r>
            <w:r>
              <w:rPr>
                <w:lang w:val="sk-SK"/>
              </w:rPr>
              <w:t xml:space="preserve"> </w:t>
            </w:r>
            <w:r w:rsidRPr="00450215">
              <w:rPr>
                <w:lang w:val="sk-SK"/>
              </w:rPr>
              <w:t xml:space="preserve">ambulancia LUNAMED s.r.o., Trenčín, </w:t>
            </w:r>
          </w:p>
          <w:p w14:paraId="5F0950D1" w14:textId="77777777" w:rsidR="00657ACA" w:rsidRDefault="00657ACA" w:rsidP="00657ACA">
            <w:pPr>
              <w:pStyle w:val="Zkladntext"/>
              <w:jc w:val="both"/>
              <w:rPr>
                <w:lang w:val="sk-SK"/>
              </w:rPr>
            </w:pPr>
            <w:r w:rsidRPr="00450215">
              <w:rPr>
                <w:lang w:val="sk-SK"/>
              </w:rPr>
              <w:t>Hepatologická ambulancia, Fakultná</w:t>
            </w:r>
            <w:r>
              <w:rPr>
                <w:lang w:val="sk-SK"/>
              </w:rPr>
              <w:t xml:space="preserve"> </w:t>
            </w:r>
            <w:r w:rsidRPr="00450215">
              <w:rPr>
                <w:lang w:val="sk-SK"/>
              </w:rPr>
              <w:t xml:space="preserve">nemocnica, Nitra </w:t>
            </w:r>
          </w:p>
          <w:p w14:paraId="036E4FB3" w14:textId="77777777" w:rsidR="00657ACA" w:rsidRDefault="00657ACA" w:rsidP="00657ACA">
            <w:pPr>
              <w:pStyle w:val="Zkladntext"/>
              <w:jc w:val="both"/>
              <w:rPr>
                <w:lang w:val="sk-SK"/>
              </w:rPr>
            </w:pPr>
            <w:r w:rsidRPr="00450215">
              <w:rPr>
                <w:lang w:val="sk-SK"/>
              </w:rPr>
              <w:t>Hepatologická ambulancia, Klinika vnútorného lekárstva II</w:t>
            </w:r>
            <w:r>
              <w:rPr>
                <w:lang w:val="sk-SK"/>
              </w:rPr>
              <w:t xml:space="preserve"> </w:t>
            </w:r>
            <w:r w:rsidRPr="00450215">
              <w:rPr>
                <w:lang w:val="sk-SK"/>
              </w:rPr>
              <w:t xml:space="preserve">Fakultnej nemocnice s poliklinikou, Nové Zámky, </w:t>
            </w:r>
          </w:p>
          <w:p w14:paraId="39F43D7A" w14:textId="77777777" w:rsidR="00657ACA" w:rsidRDefault="00657ACA" w:rsidP="00657ACA">
            <w:pPr>
              <w:pStyle w:val="Zkladntext"/>
              <w:jc w:val="both"/>
              <w:rPr>
                <w:lang w:val="sk-SK"/>
              </w:rPr>
            </w:pPr>
            <w:r w:rsidRPr="00450215">
              <w:rPr>
                <w:lang w:val="sk-SK"/>
              </w:rPr>
              <w:t>Hepatologická ambulancia, Interná</w:t>
            </w:r>
            <w:r>
              <w:rPr>
                <w:lang w:val="sk-SK"/>
              </w:rPr>
              <w:t xml:space="preserve"> </w:t>
            </w:r>
            <w:r w:rsidRPr="00450215">
              <w:rPr>
                <w:lang w:val="sk-SK"/>
              </w:rPr>
              <w:t>klinika Fakultnej nemocnice F.D. Roosevelta, Banská Bystrica, Hepatologická</w:t>
            </w:r>
            <w:r>
              <w:rPr>
                <w:lang w:val="sk-SK"/>
              </w:rPr>
              <w:t xml:space="preserve">  </w:t>
            </w:r>
            <w:r w:rsidRPr="00450215">
              <w:rPr>
                <w:lang w:val="sk-SK"/>
              </w:rPr>
              <w:t xml:space="preserve">ambulancia, Interné oddelenie Nemocnica Poprad a.s., Poprad, </w:t>
            </w:r>
          </w:p>
          <w:p w14:paraId="69E734AE" w14:textId="77777777" w:rsidR="00657ACA" w:rsidRDefault="00657ACA" w:rsidP="00657ACA">
            <w:pPr>
              <w:pStyle w:val="Zkladntext"/>
              <w:jc w:val="both"/>
              <w:rPr>
                <w:lang w:val="sk-SK"/>
              </w:rPr>
            </w:pPr>
            <w:r w:rsidRPr="00450215">
              <w:rPr>
                <w:lang w:val="sk-SK"/>
              </w:rPr>
              <w:t>Hepatologická</w:t>
            </w:r>
            <w:r>
              <w:rPr>
                <w:lang w:val="sk-SK"/>
              </w:rPr>
              <w:t xml:space="preserve"> </w:t>
            </w:r>
            <w:r w:rsidRPr="00450215">
              <w:rPr>
                <w:lang w:val="sk-SK"/>
              </w:rPr>
              <w:t xml:space="preserve">ambulancia, interná klinika UNLP a Lekárskej fakulty UPJŠ, Košice, </w:t>
            </w:r>
          </w:p>
          <w:p w14:paraId="65DCDC5D" w14:textId="77777777" w:rsidR="00657ACA" w:rsidRDefault="00657ACA" w:rsidP="00657ACA">
            <w:pPr>
              <w:pStyle w:val="Zkladntext"/>
              <w:jc w:val="both"/>
              <w:rPr>
                <w:lang w:val="sk-SK"/>
              </w:rPr>
            </w:pPr>
            <w:r w:rsidRPr="00450215">
              <w:rPr>
                <w:lang w:val="sk-SK"/>
              </w:rPr>
              <w:t>Hepatologická</w:t>
            </w:r>
            <w:r>
              <w:rPr>
                <w:lang w:val="sk-SK"/>
              </w:rPr>
              <w:t xml:space="preserve"> </w:t>
            </w:r>
            <w:r w:rsidRPr="00450215">
              <w:rPr>
                <w:lang w:val="sk-SK"/>
              </w:rPr>
              <w:t>ambulancia Polikliniky SZU/Ústav farmakológie, klinickej a</w:t>
            </w:r>
            <w:r>
              <w:rPr>
                <w:lang w:val="sk-SK"/>
              </w:rPr>
              <w:t> </w:t>
            </w:r>
            <w:r w:rsidRPr="00450215">
              <w:rPr>
                <w:lang w:val="sk-SK"/>
              </w:rPr>
              <w:t>experimentálnej</w:t>
            </w:r>
            <w:r>
              <w:rPr>
                <w:lang w:val="sk-SK"/>
              </w:rPr>
              <w:t xml:space="preserve"> farmakológie LF SZU, Bratislava, </w:t>
            </w:r>
          </w:p>
          <w:p w14:paraId="64FEBDDD" w14:textId="77777777" w:rsidR="00657ACA" w:rsidRDefault="00657ACA" w:rsidP="00657ACA">
            <w:pPr>
              <w:pStyle w:val="Zkladntext"/>
              <w:jc w:val="both"/>
              <w:rPr>
                <w:lang w:val="sk-SK"/>
              </w:rPr>
            </w:pPr>
            <w:r>
              <w:t>Hepatologická ambulancia, Interná klinika gastroenterologická, Univerzitná nemocnica Martin.</w:t>
            </w:r>
          </w:p>
          <w:p w14:paraId="1BC6BE93" w14:textId="77777777" w:rsidR="00657ACA" w:rsidRDefault="00657ACA" w:rsidP="00657ACA">
            <w:pPr>
              <w:pStyle w:val="Zkladntext"/>
              <w:jc w:val="both"/>
              <w:rPr>
                <w:lang w:val="sk-SK"/>
              </w:rPr>
            </w:pPr>
            <w:r w:rsidRPr="00C56A59">
              <w:rPr>
                <w:lang w:val="sk-SK"/>
              </w:rPr>
              <w:t>Hepatologická ambulancia,</w:t>
            </w:r>
            <w:r>
              <w:rPr>
                <w:lang w:val="sk-SK"/>
              </w:rPr>
              <w:t xml:space="preserve"> </w:t>
            </w:r>
            <w:r w:rsidRPr="00C56A59">
              <w:rPr>
                <w:lang w:val="sk-SK"/>
              </w:rPr>
              <w:t>Interná klinika SZU, Univerzitná nemocnica, Nemocnica sv. Michala a.s., Bratislava</w:t>
            </w:r>
          </w:p>
          <w:p w14:paraId="3289C779" w14:textId="77777777" w:rsidR="00657ACA" w:rsidRPr="00450215" w:rsidRDefault="00657ACA" w:rsidP="00657ACA">
            <w:pPr>
              <w:pStyle w:val="Zkladntext"/>
              <w:jc w:val="both"/>
              <w:rPr>
                <w:lang w:val="sk-SK"/>
              </w:rPr>
            </w:pPr>
          </w:p>
          <w:p w14:paraId="6AB63E07" w14:textId="77777777" w:rsidR="00657ACA" w:rsidRDefault="00657ACA" w:rsidP="00657ACA">
            <w:pPr>
              <w:pStyle w:val="Zkladntext"/>
              <w:jc w:val="both"/>
              <w:rPr>
                <w:lang w:val="sk-SK"/>
              </w:rPr>
            </w:pPr>
            <w:r w:rsidRPr="00450215">
              <w:rPr>
                <w:lang w:val="sk-SK"/>
              </w:rPr>
              <w:t>Hradená liečba podlieha predchádzajúcemu súhlasu zdravotnej poisťovne.</w:t>
            </w:r>
          </w:p>
          <w:p w14:paraId="6C7680E9" w14:textId="77777777" w:rsidR="00657ACA" w:rsidRPr="00450215" w:rsidRDefault="00657ACA" w:rsidP="00657ACA">
            <w:pPr>
              <w:pStyle w:val="Zkladntext"/>
              <w:jc w:val="both"/>
              <w:rPr>
                <w:lang w:val="sk-SK"/>
              </w:rPr>
            </w:pPr>
          </w:p>
        </w:tc>
      </w:tr>
      <w:tr w:rsidR="00657ACA" w:rsidRPr="0000591E" w14:paraId="5804BBCF" w14:textId="77777777" w:rsidTr="003F7925">
        <w:trPr>
          <w:gridAfter w:val="2"/>
          <w:wAfter w:w="154" w:type="dxa"/>
          <w:trHeight w:val="20"/>
        </w:trPr>
        <w:tc>
          <w:tcPr>
            <w:tcW w:w="1256" w:type="dxa"/>
            <w:tcBorders>
              <w:bottom w:val="single" w:sz="4" w:space="0" w:color="auto"/>
            </w:tcBorders>
            <w:noWrap/>
            <w:vAlign w:val="bottom"/>
          </w:tcPr>
          <w:p w14:paraId="3B4F55DD"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 xml:space="preserve">J05AP57       </w:t>
            </w:r>
          </w:p>
        </w:tc>
        <w:tc>
          <w:tcPr>
            <w:tcW w:w="9452" w:type="dxa"/>
            <w:tcBorders>
              <w:bottom w:val="single" w:sz="4" w:space="0" w:color="auto"/>
            </w:tcBorders>
            <w:noWrap/>
            <w:vAlign w:val="bottom"/>
          </w:tcPr>
          <w:p w14:paraId="6D9DC112" w14:textId="77777777" w:rsidR="00657ACA" w:rsidRPr="0060328F" w:rsidRDefault="00657ACA" w:rsidP="00657ACA">
            <w:pPr>
              <w:pStyle w:val="Zkladntext"/>
              <w:rPr>
                <w:b/>
                <w:lang w:val="sk-SK"/>
              </w:rPr>
            </w:pPr>
            <w:r w:rsidRPr="0060328F">
              <w:rPr>
                <w:b/>
                <w:lang w:val="sk-SK"/>
              </w:rPr>
              <w:t>Glekaprevir a pibrentasvir p.o. 100 mg/40 mg</w:t>
            </w:r>
          </w:p>
        </w:tc>
      </w:tr>
      <w:tr w:rsidR="00657ACA" w:rsidRPr="0000591E" w14:paraId="09963443" w14:textId="77777777" w:rsidTr="003F7925">
        <w:trPr>
          <w:gridAfter w:val="2"/>
          <w:wAfter w:w="154" w:type="dxa"/>
          <w:trHeight w:val="20"/>
        </w:trPr>
        <w:tc>
          <w:tcPr>
            <w:tcW w:w="1256" w:type="dxa"/>
            <w:noWrap/>
            <w:vAlign w:val="bottom"/>
          </w:tcPr>
          <w:p w14:paraId="48A5E02C" w14:textId="77777777" w:rsidR="00657ACA" w:rsidRPr="0060328F" w:rsidRDefault="00657ACA" w:rsidP="00657ACA">
            <w:pPr>
              <w:jc w:val="both"/>
              <w:rPr>
                <w:rFonts w:ascii="Arial" w:hAnsi="Arial" w:cs="Arial"/>
                <w:b/>
                <w:bCs/>
                <w:sz w:val="20"/>
                <w:szCs w:val="20"/>
              </w:rPr>
            </w:pPr>
          </w:p>
        </w:tc>
        <w:tc>
          <w:tcPr>
            <w:tcW w:w="9452" w:type="dxa"/>
            <w:noWrap/>
            <w:vAlign w:val="bottom"/>
          </w:tcPr>
          <w:p w14:paraId="1E95C803" w14:textId="77777777" w:rsidR="00657ACA" w:rsidRDefault="00657ACA" w:rsidP="00657ACA">
            <w:pPr>
              <w:pStyle w:val="Zkladntext"/>
              <w:jc w:val="both"/>
            </w:pPr>
            <w:r>
              <w:t>Hradená liečba sa môže indikovať na liečbu chronickej infekcie vírusom hepatitídy C (HCV) u dospelých a u detí vo veku 3 rokov a starších:</w:t>
            </w:r>
          </w:p>
          <w:p w14:paraId="7326CE43" w14:textId="77777777" w:rsidR="00657ACA" w:rsidRDefault="00657ACA" w:rsidP="00657ACA">
            <w:pPr>
              <w:pStyle w:val="Zkladntext"/>
              <w:jc w:val="both"/>
            </w:pPr>
            <w:r>
              <w:t>a) doteraz neliečených pacientov s genotypom 1,2,3,4,5,6 bez cirhózy alebo v štádiu kompenzovanej cirhózy v dĺžke 8 týždňov</w:t>
            </w:r>
          </w:p>
          <w:p w14:paraId="32C3E2DE" w14:textId="77777777" w:rsidR="00657ACA" w:rsidRDefault="00657ACA" w:rsidP="00657ACA">
            <w:pPr>
              <w:pStyle w:val="Zkladntext"/>
              <w:jc w:val="both"/>
            </w:pPr>
            <w:r>
              <w:lastRenderedPageBreak/>
              <w:t>b) predtým liečených pacientov s genotypom 1,2,4,5,6, bez cirhózy v dĺžke 8 týždňov alebo v štádiu kompenzovanej cirhózy (okrem triedy C podľa Child-Pugha) v dĺžke 12 týždňov</w:t>
            </w:r>
          </w:p>
          <w:p w14:paraId="1FE32250" w14:textId="77777777" w:rsidR="00657ACA" w:rsidRDefault="00657ACA" w:rsidP="00657ACA">
            <w:pPr>
              <w:pStyle w:val="Zkladntext"/>
              <w:jc w:val="both"/>
            </w:pPr>
            <w:r>
              <w:t>c) predtým liečených pacientov s genotypom 3, ktorí majú ochorenie bez cirhózy alebo v štádiu</w:t>
            </w:r>
          </w:p>
          <w:p w14:paraId="67A80B5C" w14:textId="77777777" w:rsidR="00657ACA" w:rsidRDefault="00657ACA" w:rsidP="00657ACA">
            <w:pPr>
              <w:pStyle w:val="Zkladntext"/>
              <w:jc w:val="both"/>
            </w:pPr>
            <w:r>
              <w:t>kompenzovanej cirhózy (okrem triedy C podľa Child-Pugha), v dĺžke 16 týždňov.</w:t>
            </w:r>
          </w:p>
          <w:p w14:paraId="34C8C062" w14:textId="77777777" w:rsidR="00657ACA" w:rsidRDefault="00657ACA" w:rsidP="00657ACA">
            <w:pPr>
              <w:pStyle w:val="Zkladntext"/>
              <w:jc w:val="both"/>
            </w:pPr>
          </w:p>
          <w:p w14:paraId="14894207" w14:textId="77777777" w:rsidR="00657ACA" w:rsidRDefault="00657ACA" w:rsidP="00657ACA">
            <w:pPr>
              <w:pStyle w:val="Zkladntext"/>
              <w:jc w:val="both"/>
            </w:pPr>
            <w:r>
              <w:t>Hradená liečba sa môže indikovať na týchto pracoviskách:</w:t>
            </w:r>
          </w:p>
          <w:p w14:paraId="70B6B286" w14:textId="77777777" w:rsidR="00657ACA" w:rsidRDefault="00657ACA" w:rsidP="00657ACA">
            <w:pPr>
              <w:pStyle w:val="Zkladntext"/>
              <w:jc w:val="both"/>
            </w:pPr>
            <w:r>
              <w:t xml:space="preserve">a) infektologické pracoviská </w:t>
            </w:r>
          </w:p>
          <w:p w14:paraId="2BEBB06C" w14:textId="77777777" w:rsidR="00657ACA" w:rsidRDefault="00657ACA" w:rsidP="00657ACA">
            <w:pPr>
              <w:pStyle w:val="Zkladntext"/>
              <w:jc w:val="both"/>
            </w:pPr>
            <w:r>
              <w:t xml:space="preserve">1. Klinika infektológie a geografickej medicíny Lekárskej fakulty UK a Univerzitnej nemocnice, Bratislava, </w:t>
            </w:r>
          </w:p>
          <w:p w14:paraId="0BDBEEE3" w14:textId="77777777" w:rsidR="00657ACA" w:rsidRDefault="00657ACA" w:rsidP="00657ACA">
            <w:pPr>
              <w:pStyle w:val="Zkladntext"/>
              <w:jc w:val="both"/>
            </w:pPr>
            <w:r>
              <w:t>2. Infekčná klinika Fakultnej nemocnice, Trnava,</w:t>
            </w:r>
          </w:p>
          <w:p w14:paraId="0F68312A" w14:textId="77777777" w:rsidR="00657ACA" w:rsidRDefault="00657ACA" w:rsidP="00657ACA">
            <w:pPr>
              <w:pStyle w:val="Zkladntext"/>
              <w:jc w:val="both"/>
            </w:pPr>
            <w:r>
              <w:t>3. Infekčná klinika Fakultnej nemocnice, Nitra,</w:t>
            </w:r>
          </w:p>
          <w:p w14:paraId="2B32E2AA" w14:textId="77777777" w:rsidR="00657ACA" w:rsidRDefault="00657ACA" w:rsidP="00657ACA">
            <w:pPr>
              <w:pStyle w:val="Zkladntext"/>
              <w:jc w:val="both"/>
            </w:pPr>
            <w:r>
              <w:t xml:space="preserve">4. Klinika infektológie a cestovnej medicíny Univerzitnej nemocnice, Martin, </w:t>
            </w:r>
          </w:p>
          <w:p w14:paraId="5A2E5565" w14:textId="77777777" w:rsidR="00657ACA" w:rsidRDefault="00657ACA" w:rsidP="00657ACA">
            <w:pPr>
              <w:pStyle w:val="Zkladntext"/>
              <w:jc w:val="both"/>
            </w:pPr>
            <w:r>
              <w:t>5. Infekčné oddelenie Fakultnej nemocnice s poliklinikou F.D. Roosevelta, Banská Bystrica,</w:t>
            </w:r>
          </w:p>
          <w:p w14:paraId="3E8EE207" w14:textId="77777777" w:rsidR="00657ACA" w:rsidRDefault="00657ACA" w:rsidP="00657ACA">
            <w:pPr>
              <w:pStyle w:val="Zkladntext"/>
              <w:jc w:val="both"/>
            </w:pPr>
            <w:r>
              <w:t>6. Infekčné oddelenie Všeobecnej nemocnice s poliklinikou n.o., Lučenec,</w:t>
            </w:r>
          </w:p>
          <w:p w14:paraId="0A81F452" w14:textId="77777777" w:rsidR="00657ACA" w:rsidRDefault="00657ACA" w:rsidP="00657ACA">
            <w:pPr>
              <w:pStyle w:val="Zkladntext"/>
              <w:jc w:val="both"/>
            </w:pPr>
            <w:r>
              <w:t xml:space="preserve">7. Klinika infektológie a cestovnej medicíny Univerzitnej nemocnice L. Pasteura, Košice, </w:t>
            </w:r>
          </w:p>
          <w:p w14:paraId="3686B619" w14:textId="77777777" w:rsidR="00657ACA" w:rsidRDefault="00657ACA" w:rsidP="00657ACA">
            <w:pPr>
              <w:pStyle w:val="Zkladntext"/>
              <w:jc w:val="both"/>
            </w:pPr>
            <w:r>
              <w:t xml:space="preserve">8. Oddelenie infektológie Fakultnej nemocnice s poliklinikou J.A. Reimana, Prešov, </w:t>
            </w:r>
          </w:p>
          <w:p w14:paraId="69049B6C" w14:textId="77777777" w:rsidR="00657ACA" w:rsidRDefault="00657ACA" w:rsidP="00657ACA">
            <w:pPr>
              <w:pStyle w:val="Zkladntext"/>
              <w:jc w:val="both"/>
            </w:pPr>
            <w:r>
              <w:t>9. Detské infekčné oddelenie Detskej fakultnej nemocnice Košice</w:t>
            </w:r>
          </w:p>
          <w:p w14:paraId="70CB5CDE" w14:textId="77777777" w:rsidR="00657ACA" w:rsidRDefault="00657ACA" w:rsidP="00657ACA">
            <w:pPr>
              <w:pStyle w:val="Zkladntext"/>
              <w:jc w:val="both"/>
            </w:pPr>
          </w:p>
          <w:p w14:paraId="44B69A4C" w14:textId="77777777" w:rsidR="00657ACA" w:rsidRDefault="00657ACA" w:rsidP="00657ACA">
            <w:pPr>
              <w:pStyle w:val="Zkladntext"/>
              <w:jc w:val="both"/>
            </w:pPr>
            <w:r>
              <w:t xml:space="preserve">b) hepatologické a gastroenterologické pracoviská </w:t>
            </w:r>
          </w:p>
          <w:p w14:paraId="2C4A33F2" w14:textId="77777777" w:rsidR="00657ACA" w:rsidRDefault="00657ACA" w:rsidP="00657ACA">
            <w:pPr>
              <w:pStyle w:val="Zkladntext"/>
              <w:jc w:val="both"/>
            </w:pPr>
            <w:r>
              <w:t xml:space="preserve">1. Hepatologická ambulancia, 1. interná klinika SZU a Univerzitnej nemocnice, Bratislava –  Kramáre, </w:t>
            </w:r>
          </w:p>
          <w:p w14:paraId="35B798B1" w14:textId="77777777" w:rsidR="00657ACA" w:rsidRDefault="00657ACA" w:rsidP="00657ACA">
            <w:pPr>
              <w:pStyle w:val="Zkladntext"/>
              <w:jc w:val="both"/>
            </w:pPr>
            <w:r>
              <w:t xml:space="preserve">2. Hepatologická ambulancia, 3. interná klinika Lekárskej fakulty UK a Univerzitnej nemocnice, Bratislava – Kramáre, </w:t>
            </w:r>
          </w:p>
          <w:p w14:paraId="5F69869B" w14:textId="77777777" w:rsidR="00657ACA" w:rsidRDefault="00657ACA" w:rsidP="00657ACA">
            <w:pPr>
              <w:pStyle w:val="Zkladntext"/>
              <w:jc w:val="both"/>
            </w:pPr>
            <w:r>
              <w:t xml:space="preserve">3. Hepatologická ambulancia Polikliniky SZU / Ústav farmakológie, klinickej a experimentálnej  farmakológie LF SZU, Bratislava, </w:t>
            </w:r>
          </w:p>
          <w:p w14:paraId="6E5DCD02" w14:textId="77777777" w:rsidR="00657ACA" w:rsidRDefault="00657ACA" w:rsidP="00657ACA">
            <w:pPr>
              <w:pStyle w:val="Zkladntext"/>
              <w:jc w:val="both"/>
            </w:pPr>
            <w:r>
              <w:t>4. Hepatologická ambulancia, 5. interná klinika Lekárskej fakulty UK a Univerzitnej nemocnice, Bratislava – Ružinov,</w:t>
            </w:r>
          </w:p>
          <w:p w14:paraId="1F8ECABA" w14:textId="77777777" w:rsidR="00657ACA" w:rsidRDefault="00657ACA" w:rsidP="00657ACA">
            <w:pPr>
              <w:pStyle w:val="Zkladntext"/>
              <w:jc w:val="both"/>
            </w:pPr>
            <w:r>
              <w:t xml:space="preserve">5. Gastroenterologicko - hepatologické centrum THALION, Bratislava, </w:t>
            </w:r>
          </w:p>
          <w:p w14:paraId="440404EE" w14:textId="77777777" w:rsidR="00657ACA" w:rsidRDefault="00657ACA" w:rsidP="00657ACA">
            <w:pPr>
              <w:pStyle w:val="Zkladntext"/>
              <w:jc w:val="both"/>
            </w:pPr>
            <w:r>
              <w:t>6. Gastro-hepatologická ambulancia LUNAMED s.r.o., Trenčín</w:t>
            </w:r>
          </w:p>
          <w:p w14:paraId="693E039D" w14:textId="77777777" w:rsidR="00657ACA" w:rsidRDefault="00657ACA" w:rsidP="00657ACA">
            <w:pPr>
              <w:pStyle w:val="Zkladntext"/>
              <w:jc w:val="both"/>
            </w:pPr>
            <w:r>
              <w:t>7. Hepatologická ambulancia, Interné oddelenie Fakultnej nemocnice, Trenčín,</w:t>
            </w:r>
          </w:p>
          <w:p w14:paraId="0B1D801F" w14:textId="77777777" w:rsidR="00657ACA" w:rsidRDefault="00657ACA" w:rsidP="00657ACA">
            <w:pPr>
              <w:pStyle w:val="Zkladntext"/>
              <w:jc w:val="both"/>
            </w:pPr>
            <w:r>
              <w:t xml:space="preserve">8. Hepatologická ambulancia, Fakultná nemocnica, Nitra </w:t>
            </w:r>
          </w:p>
          <w:p w14:paraId="05C8CFD3" w14:textId="77777777" w:rsidR="00657ACA" w:rsidRDefault="00657ACA" w:rsidP="00657ACA">
            <w:pPr>
              <w:pStyle w:val="Zkladntext"/>
              <w:jc w:val="both"/>
            </w:pPr>
            <w:r>
              <w:t xml:space="preserve">9. Hepatologická ambulancia, Klinika vnútorného lekárstva II Fakultnej nemocnice s poliklinikou, Nové Zámky, </w:t>
            </w:r>
          </w:p>
          <w:p w14:paraId="03D98BBA" w14:textId="77777777" w:rsidR="00657ACA" w:rsidRDefault="00657ACA" w:rsidP="00657ACA">
            <w:pPr>
              <w:pStyle w:val="Zkladntext"/>
              <w:jc w:val="both"/>
            </w:pPr>
            <w:r>
              <w:t xml:space="preserve">10. Hepatologická ambulancia, Interná klinika Fakultnej nemocnice F.D. Roosevelta, Banská Bystrica, </w:t>
            </w:r>
          </w:p>
          <w:p w14:paraId="4BD20947" w14:textId="77777777" w:rsidR="00657ACA" w:rsidRDefault="00657ACA" w:rsidP="00657ACA">
            <w:pPr>
              <w:pStyle w:val="Zkladntext"/>
              <w:jc w:val="both"/>
            </w:pPr>
            <w:r>
              <w:t xml:space="preserve">11. Hepatologická ambulancia, Interné oddelenie Nemocnica Poprad a.s., Poprad, </w:t>
            </w:r>
          </w:p>
          <w:p w14:paraId="53BAD729" w14:textId="77777777" w:rsidR="00657ACA" w:rsidRDefault="00657ACA" w:rsidP="00657ACA">
            <w:pPr>
              <w:pStyle w:val="Zkladntext"/>
              <w:jc w:val="both"/>
            </w:pPr>
            <w:r>
              <w:t xml:space="preserve">12. Hepatologická ambulancia, 1. interná klinika UNLP a Lekárskej fakulty UPJŠ, Košice. </w:t>
            </w:r>
          </w:p>
          <w:p w14:paraId="41DD2F17" w14:textId="77777777" w:rsidR="00657ACA" w:rsidRDefault="00657ACA" w:rsidP="00657ACA">
            <w:pPr>
              <w:pStyle w:val="Zkladntext"/>
              <w:jc w:val="both"/>
            </w:pPr>
            <w:r>
              <w:t>13. Hepatologická ambulancia, Interná klinika gastroenterologická, Univerzitná nemocnica Martin,</w:t>
            </w:r>
          </w:p>
          <w:p w14:paraId="5D644E1C" w14:textId="77777777" w:rsidR="00657ACA" w:rsidRDefault="00657ACA" w:rsidP="00657ACA">
            <w:pPr>
              <w:pStyle w:val="Zkladntext"/>
              <w:jc w:val="both"/>
            </w:pPr>
            <w:r>
              <w:t>14. Hepatologická ambulancia, Interná klinika SZU, Univerzitná nemocnica, Nemocnica sv. Michala a.s., Bratislava.</w:t>
            </w:r>
          </w:p>
          <w:p w14:paraId="6C157052" w14:textId="77777777" w:rsidR="00657ACA" w:rsidRDefault="00657ACA" w:rsidP="00657ACA">
            <w:pPr>
              <w:pStyle w:val="Zkladntext"/>
              <w:jc w:val="both"/>
            </w:pPr>
          </w:p>
          <w:p w14:paraId="0D82E610" w14:textId="77777777" w:rsidR="00657ACA" w:rsidRPr="0060328F" w:rsidRDefault="00657ACA" w:rsidP="00657ACA">
            <w:pPr>
              <w:pStyle w:val="Zkladntext"/>
              <w:jc w:val="both"/>
            </w:pPr>
            <w:r>
              <w:t>Hradená liečba podlieha predchádzajúcemu súhlasu zdravotnej poisťovne.</w:t>
            </w:r>
            <w:r w:rsidRPr="0060328F">
              <w:t xml:space="preserve"> </w:t>
            </w:r>
          </w:p>
          <w:p w14:paraId="71C0B96B" w14:textId="77777777" w:rsidR="00657ACA" w:rsidRPr="0060328F" w:rsidRDefault="00657ACA" w:rsidP="00657ACA">
            <w:pPr>
              <w:pStyle w:val="Zkladntext"/>
              <w:jc w:val="both"/>
              <w:rPr>
                <w:lang w:val="sk-SK"/>
              </w:rPr>
            </w:pPr>
          </w:p>
        </w:tc>
      </w:tr>
      <w:tr w:rsidR="00657ACA" w:rsidRPr="0000591E" w14:paraId="162F33DF" w14:textId="77777777" w:rsidTr="003F7925">
        <w:trPr>
          <w:gridAfter w:val="2"/>
          <w:wAfter w:w="154" w:type="dxa"/>
          <w:trHeight w:val="20"/>
        </w:trPr>
        <w:tc>
          <w:tcPr>
            <w:tcW w:w="1256" w:type="dxa"/>
            <w:tcBorders>
              <w:bottom w:val="single" w:sz="4" w:space="0" w:color="auto"/>
            </w:tcBorders>
            <w:noWrap/>
            <w:vAlign w:val="bottom"/>
          </w:tcPr>
          <w:p w14:paraId="16886BE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J05AR03</w:t>
            </w:r>
          </w:p>
        </w:tc>
        <w:tc>
          <w:tcPr>
            <w:tcW w:w="9452" w:type="dxa"/>
            <w:tcBorders>
              <w:bottom w:val="single" w:sz="4" w:space="0" w:color="auto"/>
            </w:tcBorders>
            <w:noWrap/>
            <w:vAlign w:val="bottom"/>
          </w:tcPr>
          <w:p w14:paraId="0A9F23DB" w14:textId="7E5F9B1F" w:rsidR="00657ACA" w:rsidRPr="0000591E" w:rsidRDefault="00657ACA" w:rsidP="00657ACA">
            <w:pPr>
              <w:jc w:val="both"/>
              <w:rPr>
                <w:rFonts w:ascii="Arial" w:hAnsi="Arial" w:cs="Arial"/>
                <w:b/>
                <w:bCs/>
                <w:sz w:val="20"/>
                <w:szCs w:val="20"/>
              </w:rPr>
            </w:pPr>
            <w:r w:rsidRPr="0056215B">
              <w:rPr>
                <w:rFonts w:ascii="Arial" w:hAnsi="Arial" w:cs="Arial"/>
                <w:b/>
                <w:bCs/>
                <w:sz w:val="20"/>
                <w:szCs w:val="20"/>
              </w:rPr>
              <w:t>Tenofovir dizoproxil a</w:t>
            </w:r>
            <w:r>
              <w:rPr>
                <w:rFonts w:ascii="Arial" w:hAnsi="Arial" w:cs="Arial"/>
                <w:b/>
                <w:bCs/>
                <w:sz w:val="20"/>
                <w:szCs w:val="20"/>
              </w:rPr>
              <w:t> </w:t>
            </w:r>
            <w:r w:rsidRPr="0056215B">
              <w:rPr>
                <w:rFonts w:ascii="Arial" w:hAnsi="Arial" w:cs="Arial"/>
                <w:b/>
                <w:bCs/>
                <w:sz w:val="20"/>
                <w:szCs w:val="20"/>
              </w:rPr>
              <w:t>emtricitabín</w:t>
            </w:r>
            <w:r>
              <w:rPr>
                <w:rFonts w:ascii="Arial" w:hAnsi="Arial" w:cs="Arial"/>
                <w:b/>
                <w:bCs/>
                <w:sz w:val="20"/>
                <w:szCs w:val="20"/>
              </w:rPr>
              <w:t xml:space="preserve"> </w:t>
            </w:r>
            <w:r w:rsidRPr="0000591E">
              <w:rPr>
                <w:rFonts w:ascii="Arial" w:hAnsi="Arial" w:cs="Arial"/>
                <w:b/>
                <w:bCs/>
                <w:sz w:val="20"/>
                <w:szCs w:val="20"/>
              </w:rPr>
              <w:t xml:space="preserve">p.o. </w:t>
            </w:r>
            <w:r>
              <w:rPr>
                <w:rFonts w:ascii="Arial" w:hAnsi="Arial" w:cs="Arial"/>
                <w:b/>
                <w:bCs/>
                <w:sz w:val="20"/>
                <w:szCs w:val="20"/>
              </w:rPr>
              <w:t>200/</w:t>
            </w:r>
            <w:r w:rsidRPr="0000591E">
              <w:rPr>
                <w:rFonts w:ascii="Arial" w:hAnsi="Arial" w:cs="Arial"/>
                <w:b/>
                <w:bCs/>
                <w:sz w:val="20"/>
                <w:szCs w:val="20"/>
              </w:rPr>
              <w:t>245</w:t>
            </w:r>
            <w:r>
              <w:rPr>
                <w:rFonts w:ascii="Arial" w:hAnsi="Arial" w:cs="Arial"/>
                <w:b/>
                <w:bCs/>
                <w:sz w:val="20"/>
                <w:szCs w:val="20"/>
              </w:rPr>
              <w:t xml:space="preserve"> </w:t>
            </w:r>
            <w:r w:rsidRPr="0000591E">
              <w:rPr>
                <w:rFonts w:ascii="Arial" w:hAnsi="Arial" w:cs="Arial"/>
                <w:b/>
                <w:bCs/>
                <w:sz w:val="20"/>
                <w:szCs w:val="20"/>
              </w:rPr>
              <w:t>mg</w:t>
            </w:r>
          </w:p>
        </w:tc>
      </w:tr>
      <w:tr w:rsidR="00657ACA" w:rsidRPr="0000591E" w14:paraId="49303DD3" w14:textId="77777777" w:rsidTr="003F7925">
        <w:trPr>
          <w:gridAfter w:val="2"/>
          <w:wAfter w:w="154" w:type="dxa"/>
          <w:trHeight w:val="20"/>
        </w:trPr>
        <w:tc>
          <w:tcPr>
            <w:tcW w:w="1256" w:type="dxa"/>
            <w:tcBorders>
              <w:top w:val="single" w:sz="4" w:space="0" w:color="auto"/>
            </w:tcBorders>
            <w:noWrap/>
            <w:vAlign w:val="bottom"/>
          </w:tcPr>
          <w:p w14:paraId="2BE5A50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23F93EDC" w14:textId="77777777" w:rsidR="00657ACA" w:rsidRPr="0000591E" w:rsidRDefault="00657ACA" w:rsidP="00657ACA">
            <w:pPr>
              <w:rPr>
                <w:rFonts w:ascii="Arial" w:hAnsi="Arial" w:cs="Arial"/>
                <w:sz w:val="20"/>
                <w:szCs w:val="20"/>
              </w:rPr>
            </w:pPr>
            <w:r w:rsidRPr="0000591E">
              <w:rPr>
                <w:rFonts w:ascii="Arial" w:hAnsi="Arial" w:cs="Arial"/>
                <w:sz w:val="20"/>
                <w:szCs w:val="20"/>
              </w:rPr>
              <w:t>Hradenú liečbu môže indikovať infektológ v AIDS centre.</w:t>
            </w:r>
          </w:p>
          <w:p w14:paraId="2BED49AD" w14:textId="77777777" w:rsidR="00657ACA" w:rsidRPr="0000591E" w:rsidRDefault="00657ACA" w:rsidP="00657ACA">
            <w:pPr>
              <w:jc w:val="both"/>
              <w:rPr>
                <w:rFonts w:ascii="Arial" w:hAnsi="Arial" w:cs="Arial"/>
                <w:b/>
                <w:bCs/>
                <w:sz w:val="20"/>
                <w:szCs w:val="20"/>
              </w:rPr>
            </w:pPr>
          </w:p>
        </w:tc>
      </w:tr>
      <w:tr w:rsidR="00657ACA" w:rsidRPr="0000591E" w14:paraId="374D56F8" w14:textId="77777777" w:rsidTr="00502867">
        <w:trPr>
          <w:gridAfter w:val="2"/>
          <w:wAfter w:w="154" w:type="dxa"/>
          <w:trHeight w:val="20"/>
        </w:trPr>
        <w:tc>
          <w:tcPr>
            <w:tcW w:w="1256" w:type="dxa"/>
            <w:tcBorders>
              <w:bottom w:val="single" w:sz="4" w:space="0" w:color="auto"/>
            </w:tcBorders>
            <w:noWrap/>
            <w:vAlign w:val="bottom"/>
          </w:tcPr>
          <w:p w14:paraId="714982A3" w14:textId="0518660A" w:rsidR="00657ACA" w:rsidRDefault="00657ACA" w:rsidP="00657ACA">
            <w:pPr>
              <w:jc w:val="both"/>
              <w:rPr>
                <w:rFonts w:ascii="Arial" w:hAnsi="Arial" w:cs="Arial"/>
                <w:b/>
                <w:bCs/>
                <w:sz w:val="20"/>
                <w:szCs w:val="20"/>
              </w:rPr>
            </w:pPr>
            <w:r>
              <w:rPr>
                <w:rFonts w:ascii="Arial" w:hAnsi="Arial" w:cs="Arial"/>
                <w:b/>
                <w:bCs/>
                <w:sz w:val="20"/>
                <w:szCs w:val="20"/>
              </w:rPr>
              <w:t>J05AR13</w:t>
            </w:r>
          </w:p>
        </w:tc>
        <w:tc>
          <w:tcPr>
            <w:tcW w:w="9452" w:type="dxa"/>
            <w:tcBorders>
              <w:bottom w:val="single" w:sz="4" w:space="0" w:color="auto"/>
            </w:tcBorders>
            <w:noWrap/>
            <w:vAlign w:val="bottom"/>
          </w:tcPr>
          <w:p w14:paraId="2C258ADF" w14:textId="6E9F3C54" w:rsidR="00657ACA" w:rsidRPr="00102DB4" w:rsidRDefault="00657ACA" w:rsidP="00657ACA">
            <w:pPr>
              <w:jc w:val="both"/>
              <w:rPr>
                <w:rFonts w:ascii="Arial" w:hAnsi="Arial" w:cs="Arial"/>
                <w:b/>
                <w:bCs/>
                <w:sz w:val="20"/>
                <w:szCs w:val="20"/>
              </w:rPr>
            </w:pPr>
            <w:r w:rsidRPr="00502867">
              <w:rPr>
                <w:rFonts w:ascii="Arial" w:hAnsi="Arial" w:cs="Arial"/>
                <w:b/>
                <w:bCs/>
                <w:sz w:val="20"/>
                <w:szCs w:val="20"/>
              </w:rPr>
              <w:t>Lamivudin, abakavir a dolutegravir p.o. 50/600/300 mg</w:t>
            </w:r>
          </w:p>
        </w:tc>
      </w:tr>
      <w:tr w:rsidR="00657ACA" w:rsidRPr="0000591E" w14:paraId="7839D924" w14:textId="77777777" w:rsidTr="00502867">
        <w:trPr>
          <w:gridAfter w:val="2"/>
          <w:wAfter w:w="154" w:type="dxa"/>
          <w:trHeight w:val="20"/>
        </w:trPr>
        <w:tc>
          <w:tcPr>
            <w:tcW w:w="1256" w:type="dxa"/>
            <w:tcBorders>
              <w:top w:val="single" w:sz="4" w:space="0" w:color="auto"/>
            </w:tcBorders>
            <w:noWrap/>
            <w:vAlign w:val="bottom"/>
          </w:tcPr>
          <w:p w14:paraId="29B30F43" w14:textId="77777777" w:rsidR="00657ACA"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014CBA11"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Hradenú liečbu môže indikovať infektológ v AIDS centre </w:t>
            </w:r>
          </w:p>
          <w:p w14:paraId="778AC8A8"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a) pre podskupiny pacientov infikovaných HIV - 1 ako liek prvej voľby </w:t>
            </w:r>
          </w:p>
          <w:p w14:paraId="2240D4DD"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1. u pacientov, ktorí sú zároveň infikovaní vírusom hepatitídy typu B, vírusom hepatitídy typu C alebo tuberkulózou, </w:t>
            </w:r>
          </w:p>
          <w:p w14:paraId="2C32DCA8"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2. u pacientov so zdokumentovanými závažnými neurologickými ochoreniami, </w:t>
            </w:r>
          </w:p>
          <w:p w14:paraId="4173EE37" w14:textId="77777777" w:rsidR="00657ACA" w:rsidRDefault="00657ACA" w:rsidP="00657ACA">
            <w:pPr>
              <w:jc w:val="both"/>
              <w:rPr>
                <w:rFonts w:ascii="Arial" w:hAnsi="Arial" w:cs="Arial"/>
                <w:bCs/>
                <w:sz w:val="20"/>
                <w:szCs w:val="20"/>
              </w:rPr>
            </w:pPr>
            <w:r w:rsidRPr="00502867">
              <w:rPr>
                <w:rFonts w:ascii="Arial" w:hAnsi="Arial" w:cs="Arial"/>
                <w:bCs/>
                <w:sz w:val="20"/>
                <w:szCs w:val="20"/>
              </w:rPr>
              <w:t>b) ako liek druhej voľby v liečbe pacientov infikovaných HIV - 1, u ktorých zlyhal klasický doterajší antiretrovírusový režim alebo ktorí netolerovali antiretrovírusový liečebný režim zahŕňajúci aspoň jeden liek z nasledujúcich tried antiretrovírusových látok: inhibítorov proteáz, nenukleozidových inhibítorov reverznej transkriptázy a nukleozidových inhibítorov reverznej transkriptázy.</w:t>
            </w:r>
          </w:p>
          <w:p w14:paraId="555D52AF" w14:textId="7C4D6DA3" w:rsidR="00657ACA" w:rsidRPr="00502867" w:rsidRDefault="00657ACA" w:rsidP="00657ACA">
            <w:pPr>
              <w:jc w:val="both"/>
              <w:rPr>
                <w:rFonts w:ascii="Arial" w:hAnsi="Arial" w:cs="Arial"/>
                <w:bCs/>
                <w:sz w:val="20"/>
                <w:szCs w:val="20"/>
              </w:rPr>
            </w:pPr>
          </w:p>
        </w:tc>
      </w:tr>
      <w:tr w:rsidR="00657ACA" w:rsidRPr="0000591E" w14:paraId="6AB6CC34" w14:textId="77777777" w:rsidTr="003F7925">
        <w:trPr>
          <w:gridAfter w:val="2"/>
          <w:wAfter w:w="154" w:type="dxa"/>
          <w:trHeight w:val="20"/>
        </w:trPr>
        <w:tc>
          <w:tcPr>
            <w:tcW w:w="1256" w:type="dxa"/>
            <w:tcBorders>
              <w:bottom w:val="single" w:sz="4" w:space="0" w:color="auto"/>
            </w:tcBorders>
            <w:noWrap/>
            <w:vAlign w:val="bottom"/>
          </w:tcPr>
          <w:p w14:paraId="7A03686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J05AR18</w:t>
            </w:r>
          </w:p>
        </w:tc>
        <w:tc>
          <w:tcPr>
            <w:tcW w:w="9452" w:type="dxa"/>
            <w:tcBorders>
              <w:bottom w:val="single" w:sz="4" w:space="0" w:color="auto"/>
            </w:tcBorders>
            <w:noWrap/>
            <w:vAlign w:val="bottom"/>
          </w:tcPr>
          <w:p w14:paraId="6FC81ABE" w14:textId="77777777" w:rsidR="00657ACA" w:rsidRPr="0000591E" w:rsidRDefault="00657ACA" w:rsidP="00657ACA">
            <w:pPr>
              <w:jc w:val="both"/>
              <w:rPr>
                <w:rFonts w:ascii="Arial" w:hAnsi="Arial" w:cs="Arial"/>
                <w:b/>
                <w:bCs/>
                <w:sz w:val="20"/>
                <w:szCs w:val="20"/>
              </w:rPr>
            </w:pPr>
            <w:r w:rsidRPr="004959D4">
              <w:rPr>
                <w:rFonts w:ascii="Arial" w:hAnsi="Arial" w:cs="Arial"/>
                <w:b/>
                <w:bCs/>
                <w:sz w:val="20"/>
                <w:szCs w:val="20"/>
              </w:rPr>
              <w:t>Emtricitabín, tenofovir alafenamid, elvitegravir a kobicistát p.o. 150 mg/150 mg/200 mg/10 mg</w:t>
            </w:r>
          </w:p>
        </w:tc>
      </w:tr>
      <w:tr w:rsidR="00657ACA" w:rsidRPr="0000591E" w14:paraId="3C162A79" w14:textId="77777777" w:rsidTr="00502867">
        <w:trPr>
          <w:gridAfter w:val="2"/>
          <w:wAfter w:w="154" w:type="dxa"/>
          <w:trHeight w:val="20"/>
        </w:trPr>
        <w:tc>
          <w:tcPr>
            <w:tcW w:w="1256" w:type="dxa"/>
            <w:tcBorders>
              <w:top w:val="single" w:sz="4" w:space="0" w:color="auto"/>
            </w:tcBorders>
            <w:noWrap/>
            <w:vAlign w:val="bottom"/>
          </w:tcPr>
          <w:p w14:paraId="01C4D75D" w14:textId="489016CC"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786B08C" w14:textId="77777777" w:rsidR="00657ACA" w:rsidRPr="004959D4" w:rsidRDefault="00657ACA" w:rsidP="00657ACA">
            <w:pPr>
              <w:jc w:val="both"/>
              <w:rPr>
                <w:rFonts w:ascii="Arial" w:hAnsi="Arial" w:cs="Arial"/>
                <w:bCs/>
                <w:sz w:val="20"/>
                <w:szCs w:val="20"/>
              </w:rPr>
            </w:pPr>
            <w:r w:rsidRPr="004959D4">
              <w:rPr>
                <w:rFonts w:ascii="Arial" w:hAnsi="Arial" w:cs="Arial"/>
                <w:bCs/>
                <w:sz w:val="20"/>
                <w:szCs w:val="20"/>
              </w:rPr>
              <w:t>Hradenú liečbu môže indikovať infekt</w:t>
            </w:r>
            <w:r>
              <w:rPr>
                <w:rFonts w:ascii="Arial" w:hAnsi="Arial" w:cs="Arial"/>
                <w:bCs/>
                <w:sz w:val="20"/>
                <w:szCs w:val="20"/>
              </w:rPr>
              <w:t>ológ v AIDS centre</w:t>
            </w:r>
          </w:p>
          <w:p w14:paraId="052FD9AF" w14:textId="77777777" w:rsidR="00657ACA" w:rsidRPr="004959D4" w:rsidRDefault="00657ACA">
            <w:pPr>
              <w:numPr>
                <w:ilvl w:val="0"/>
                <w:numId w:val="90"/>
              </w:numPr>
              <w:jc w:val="both"/>
              <w:rPr>
                <w:rFonts w:ascii="Arial" w:hAnsi="Arial" w:cs="Arial"/>
                <w:bCs/>
                <w:sz w:val="20"/>
                <w:szCs w:val="20"/>
              </w:rPr>
            </w:pPr>
            <w:r w:rsidRPr="001E5654">
              <w:rPr>
                <w:rFonts w:ascii="Arial" w:hAnsi="Arial" w:cs="Arial"/>
                <w:bCs/>
                <w:sz w:val="20"/>
                <w:szCs w:val="20"/>
              </w:rPr>
              <w:t xml:space="preserve">pre podskupiny pacientov infikovaných HIV </w:t>
            </w:r>
            <w:r>
              <w:rPr>
                <w:rFonts w:ascii="Arial" w:hAnsi="Arial" w:cs="Arial"/>
                <w:bCs/>
                <w:sz w:val="20"/>
                <w:szCs w:val="20"/>
              </w:rPr>
              <w:t>–</w:t>
            </w:r>
            <w:r w:rsidRPr="001E5654">
              <w:rPr>
                <w:rFonts w:ascii="Arial" w:hAnsi="Arial" w:cs="Arial"/>
                <w:bCs/>
                <w:sz w:val="20"/>
                <w:szCs w:val="20"/>
              </w:rPr>
              <w:t xml:space="preserve"> 1</w:t>
            </w:r>
            <w:r>
              <w:rPr>
                <w:rFonts w:ascii="Arial" w:hAnsi="Arial" w:cs="Arial"/>
                <w:bCs/>
                <w:sz w:val="20"/>
                <w:szCs w:val="20"/>
              </w:rPr>
              <w:t xml:space="preserve"> ako liek prvej voľby</w:t>
            </w:r>
            <w:r w:rsidRPr="004959D4">
              <w:rPr>
                <w:rFonts w:ascii="Arial" w:hAnsi="Arial" w:cs="Arial"/>
                <w:bCs/>
                <w:sz w:val="20"/>
                <w:szCs w:val="20"/>
              </w:rPr>
              <w:t xml:space="preserve"> </w:t>
            </w:r>
          </w:p>
          <w:p w14:paraId="17BECB7E" w14:textId="77777777" w:rsidR="00657ACA" w:rsidRPr="004959D4" w:rsidRDefault="00657ACA">
            <w:pPr>
              <w:numPr>
                <w:ilvl w:val="0"/>
                <w:numId w:val="91"/>
              </w:numPr>
              <w:jc w:val="both"/>
              <w:rPr>
                <w:rFonts w:ascii="Arial" w:hAnsi="Arial" w:cs="Arial"/>
                <w:bCs/>
                <w:sz w:val="20"/>
                <w:szCs w:val="20"/>
              </w:rPr>
            </w:pPr>
            <w:r w:rsidRPr="004959D4">
              <w:rPr>
                <w:rFonts w:ascii="Arial" w:hAnsi="Arial" w:cs="Arial"/>
                <w:bCs/>
                <w:sz w:val="20"/>
                <w:szCs w:val="20"/>
              </w:rPr>
              <w:t>u pacientov, ktorí sú zároveň infikovaní vírusom hepatitídy typu B, vírusom hepat</w:t>
            </w:r>
            <w:r>
              <w:rPr>
                <w:rFonts w:ascii="Arial" w:hAnsi="Arial" w:cs="Arial"/>
                <w:bCs/>
                <w:sz w:val="20"/>
                <w:szCs w:val="20"/>
              </w:rPr>
              <w:t>itídy typu C alebo tuberkulózou,</w:t>
            </w:r>
          </w:p>
          <w:p w14:paraId="0D916E1A" w14:textId="77777777" w:rsidR="00657ACA" w:rsidRPr="004959D4" w:rsidRDefault="00657ACA">
            <w:pPr>
              <w:numPr>
                <w:ilvl w:val="0"/>
                <w:numId w:val="91"/>
              </w:numPr>
              <w:jc w:val="both"/>
              <w:rPr>
                <w:rFonts w:ascii="Arial" w:hAnsi="Arial" w:cs="Arial"/>
                <w:bCs/>
                <w:sz w:val="20"/>
                <w:szCs w:val="20"/>
              </w:rPr>
            </w:pPr>
            <w:r w:rsidRPr="004959D4">
              <w:rPr>
                <w:rFonts w:ascii="Arial" w:hAnsi="Arial" w:cs="Arial"/>
                <w:bCs/>
                <w:sz w:val="20"/>
                <w:szCs w:val="20"/>
              </w:rPr>
              <w:lastRenderedPageBreak/>
              <w:t>u pacientov so zdokumentovanými závažnými neurologickými al</w:t>
            </w:r>
            <w:r>
              <w:rPr>
                <w:rFonts w:ascii="Arial" w:hAnsi="Arial" w:cs="Arial"/>
                <w:bCs/>
                <w:sz w:val="20"/>
                <w:szCs w:val="20"/>
              </w:rPr>
              <w:t>ebo psychiatrickými ochoreniami,</w:t>
            </w:r>
          </w:p>
          <w:p w14:paraId="1F39A04F" w14:textId="77777777" w:rsidR="00657ACA" w:rsidRPr="004959D4" w:rsidRDefault="00657ACA">
            <w:pPr>
              <w:numPr>
                <w:ilvl w:val="0"/>
                <w:numId w:val="91"/>
              </w:numPr>
              <w:jc w:val="both"/>
              <w:rPr>
                <w:rFonts w:ascii="Arial" w:hAnsi="Arial" w:cs="Arial"/>
                <w:bCs/>
                <w:sz w:val="20"/>
                <w:szCs w:val="20"/>
              </w:rPr>
            </w:pPr>
            <w:r w:rsidRPr="004959D4">
              <w:rPr>
                <w:rFonts w:ascii="Arial" w:hAnsi="Arial" w:cs="Arial"/>
                <w:bCs/>
                <w:sz w:val="20"/>
                <w:szCs w:val="20"/>
              </w:rPr>
              <w:t>u pacientov so zvýšeným kardiovaskulárnym rizikom - podľa skórovacieho systému SCORE s 5% a vyššou pravdepodobnosťou úmrtia na kardiovaskulárne oc</w:t>
            </w:r>
            <w:r>
              <w:rPr>
                <w:rFonts w:ascii="Arial" w:hAnsi="Arial" w:cs="Arial"/>
                <w:bCs/>
                <w:sz w:val="20"/>
                <w:szCs w:val="20"/>
              </w:rPr>
              <w:t>horenie v najbližších 10 rokoch</w:t>
            </w:r>
          </w:p>
          <w:p w14:paraId="251FA248" w14:textId="77777777" w:rsidR="00657ACA" w:rsidRDefault="00657ACA">
            <w:pPr>
              <w:numPr>
                <w:ilvl w:val="0"/>
                <w:numId w:val="90"/>
              </w:numPr>
              <w:jc w:val="both"/>
              <w:rPr>
                <w:rFonts w:ascii="Arial" w:hAnsi="Arial" w:cs="Arial"/>
                <w:bCs/>
                <w:sz w:val="20"/>
                <w:szCs w:val="20"/>
              </w:rPr>
            </w:pPr>
            <w:r w:rsidRPr="004959D4">
              <w:rPr>
                <w:rFonts w:ascii="Arial" w:hAnsi="Arial" w:cs="Arial"/>
                <w:bCs/>
                <w:sz w:val="20"/>
                <w:szCs w:val="20"/>
              </w:rPr>
              <w:t>ako liek druhej voľby v liečbe pacientov infikovaných HIV - 1, u ktorých zlyhal klasický doterajší antiretrovírusový režim alebo ktorí netolerovali antiretrovírusový liečebný režim zahŕňajúci aspoň jeden liek z nasledujúcich tried antiretrovírusových látok: inhibítorov proteáz, nenukleozidových inhibítorov reverznej transkriptázy a nukleozidových inhibítorov reverznej transkriptázy.</w:t>
            </w:r>
          </w:p>
          <w:p w14:paraId="43A21541" w14:textId="567BE9D5" w:rsidR="00657ACA" w:rsidRPr="00502867" w:rsidRDefault="00657ACA" w:rsidP="009818EC">
            <w:pPr>
              <w:ind w:left="423"/>
              <w:jc w:val="both"/>
              <w:rPr>
                <w:rFonts w:ascii="Arial" w:hAnsi="Arial" w:cs="Arial"/>
                <w:bCs/>
                <w:sz w:val="20"/>
                <w:szCs w:val="20"/>
              </w:rPr>
            </w:pPr>
          </w:p>
        </w:tc>
      </w:tr>
      <w:tr w:rsidR="00657ACA" w:rsidRPr="0000591E" w14:paraId="72012297" w14:textId="77777777" w:rsidTr="00502867">
        <w:trPr>
          <w:gridAfter w:val="2"/>
          <w:wAfter w:w="154" w:type="dxa"/>
          <w:trHeight w:val="20"/>
        </w:trPr>
        <w:tc>
          <w:tcPr>
            <w:tcW w:w="1256" w:type="dxa"/>
            <w:tcBorders>
              <w:bottom w:val="single" w:sz="4" w:space="0" w:color="auto"/>
            </w:tcBorders>
            <w:noWrap/>
            <w:vAlign w:val="bottom"/>
          </w:tcPr>
          <w:p w14:paraId="291D3990" w14:textId="2253B58F" w:rsidR="00657ACA" w:rsidRPr="00026118" w:rsidRDefault="00657ACA" w:rsidP="00657ACA">
            <w:pPr>
              <w:jc w:val="both"/>
              <w:rPr>
                <w:rFonts w:ascii="Arial" w:hAnsi="Arial" w:cs="Arial"/>
                <w:b/>
                <w:bCs/>
                <w:sz w:val="20"/>
                <w:szCs w:val="20"/>
              </w:rPr>
            </w:pPr>
            <w:r w:rsidRPr="00502867">
              <w:rPr>
                <w:rFonts w:ascii="Arial" w:hAnsi="Arial" w:cs="Arial"/>
                <w:b/>
                <w:bCs/>
                <w:sz w:val="20"/>
                <w:szCs w:val="20"/>
              </w:rPr>
              <w:lastRenderedPageBreak/>
              <w:t>J05AR19</w:t>
            </w:r>
          </w:p>
        </w:tc>
        <w:tc>
          <w:tcPr>
            <w:tcW w:w="9452" w:type="dxa"/>
            <w:tcBorders>
              <w:bottom w:val="single" w:sz="4" w:space="0" w:color="auto"/>
            </w:tcBorders>
            <w:noWrap/>
            <w:vAlign w:val="bottom"/>
          </w:tcPr>
          <w:p w14:paraId="61360F98" w14:textId="2110D98E" w:rsidR="00657ACA" w:rsidRPr="00026118" w:rsidRDefault="00657ACA" w:rsidP="00657ACA">
            <w:pPr>
              <w:jc w:val="both"/>
              <w:rPr>
                <w:rFonts w:ascii="Arial" w:hAnsi="Arial" w:cs="Arial"/>
                <w:bCs/>
                <w:sz w:val="20"/>
                <w:szCs w:val="20"/>
              </w:rPr>
            </w:pPr>
            <w:r w:rsidRPr="00502867">
              <w:rPr>
                <w:rFonts w:ascii="Arial" w:hAnsi="Arial" w:cs="Arial"/>
                <w:b/>
                <w:bCs/>
                <w:sz w:val="20"/>
                <w:szCs w:val="20"/>
              </w:rPr>
              <w:t>Emtricitabín, tenofovir alafenamid a rilpivirín p.o. 200/25/25 mg</w:t>
            </w:r>
          </w:p>
        </w:tc>
      </w:tr>
      <w:tr w:rsidR="00657ACA" w:rsidRPr="0000591E" w14:paraId="12A1426A" w14:textId="77777777" w:rsidTr="0089688C">
        <w:trPr>
          <w:gridAfter w:val="2"/>
          <w:wAfter w:w="154" w:type="dxa"/>
          <w:trHeight w:val="20"/>
        </w:trPr>
        <w:tc>
          <w:tcPr>
            <w:tcW w:w="1256" w:type="dxa"/>
            <w:tcBorders>
              <w:top w:val="single" w:sz="4" w:space="0" w:color="auto"/>
              <w:bottom w:val="single" w:sz="4" w:space="0" w:color="auto"/>
            </w:tcBorders>
            <w:noWrap/>
            <w:vAlign w:val="bottom"/>
          </w:tcPr>
          <w:p w14:paraId="396845F7" w14:textId="77777777" w:rsidR="00657ACA" w:rsidRPr="0000591E" w:rsidRDefault="00657ACA" w:rsidP="00657ACA">
            <w:pPr>
              <w:jc w:val="both"/>
              <w:rPr>
                <w:rFonts w:ascii="Arial" w:hAnsi="Arial" w:cs="Arial"/>
                <w:b/>
                <w:bCs/>
                <w:sz w:val="20"/>
                <w:szCs w:val="20"/>
              </w:rPr>
            </w:pPr>
            <w:r w:rsidRPr="00026118">
              <w:rPr>
                <w:rFonts w:ascii="Arial" w:hAnsi="Arial" w:cs="Arial"/>
                <w:b/>
                <w:bCs/>
                <w:sz w:val="20"/>
                <w:szCs w:val="20"/>
              </w:rPr>
              <w:t>J05AR</w:t>
            </w:r>
            <w:r>
              <w:rPr>
                <w:rFonts w:ascii="Arial" w:hAnsi="Arial" w:cs="Arial"/>
                <w:b/>
                <w:bCs/>
                <w:sz w:val="20"/>
                <w:szCs w:val="20"/>
              </w:rPr>
              <w:t>20</w:t>
            </w:r>
          </w:p>
        </w:tc>
        <w:tc>
          <w:tcPr>
            <w:tcW w:w="9452" w:type="dxa"/>
            <w:tcBorders>
              <w:top w:val="single" w:sz="4" w:space="0" w:color="auto"/>
              <w:bottom w:val="single" w:sz="4" w:space="0" w:color="auto"/>
            </w:tcBorders>
            <w:noWrap/>
            <w:vAlign w:val="bottom"/>
          </w:tcPr>
          <w:p w14:paraId="7050DEAF" w14:textId="77777777" w:rsidR="00657ACA" w:rsidRDefault="00657ACA" w:rsidP="00657ACA">
            <w:pPr>
              <w:jc w:val="both"/>
              <w:rPr>
                <w:rFonts w:ascii="Arial" w:hAnsi="Arial" w:cs="Arial"/>
                <w:bCs/>
                <w:sz w:val="20"/>
                <w:szCs w:val="20"/>
              </w:rPr>
            </w:pPr>
            <w:r w:rsidRPr="00026118">
              <w:rPr>
                <w:rFonts w:ascii="Arial" w:hAnsi="Arial" w:cs="Arial"/>
                <w:bCs/>
                <w:sz w:val="20"/>
                <w:szCs w:val="20"/>
              </w:rPr>
              <w:t>Hradenú liečbu môže indikovať infektológ v AIDS centre na liečbu infekcie vyvolanej vírusom ľudskej imunodeficiencie typu 1 (HIV-1) u dospelých pacientov bez predchádzajúcej antiretrovírusovej liečby s vírusovou záťažou ≤ 100 000 HIV-1 RNA kópií/ml.</w:t>
            </w:r>
          </w:p>
          <w:p w14:paraId="697BC420" w14:textId="77777777" w:rsidR="00657ACA" w:rsidRPr="00026118" w:rsidRDefault="00657ACA" w:rsidP="00657ACA">
            <w:pPr>
              <w:jc w:val="both"/>
              <w:rPr>
                <w:rFonts w:ascii="Arial" w:hAnsi="Arial" w:cs="Arial"/>
                <w:bCs/>
                <w:sz w:val="20"/>
                <w:szCs w:val="20"/>
              </w:rPr>
            </w:pPr>
          </w:p>
          <w:p w14:paraId="4C1FF6D6" w14:textId="77777777" w:rsidR="00657ACA" w:rsidRDefault="00657ACA" w:rsidP="00657ACA">
            <w:pPr>
              <w:jc w:val="both"/>
              <w:rPr>
                <w:rFonts w:ascii="Arial" w:hAnsi="Arial" w:cs="Arial"/>
                <w:bCs/>
                <w:sz w:val="20"/>
                <w:szCs w:val="20"/>
              </w:rPr>
            </w:pPr>
            <w:r w:rsidRPr="00026118">
              <w:rPr>
                <w:rFonts w:ascii="Arial" w:hAnsi="Arial" w:cs="Arial"/>
                <w:bCs/>
                <w:sz w:val="20"/>
                <w:szCs w:val="20"/>
              </w:rPr>
              <w:t>Hradenú liečbu môže indikovať infektológ v AIDS centre aj ako substitučnú liečbu u pacientov, ktorí užívajú kombináciu emtricitabín, tenofovir dizoproxyl a rilpivirín p.o. 200 mg/ 245 mg/ 25 mg a ktorí pri tejto liečbe dosahujú potrebnú virologickú odpoveď.</w:t>
            </w:r>
          </w:p>
          <w:p w14:paraId="014D4936" w14:textId="77777777" w:rsidR="00657ACA" w:rsidRDefault="00657ACA" w:rsidP="00657ACA">
            <w:pPr>
              <w:jc w:val="both"/>
              <w:rPr>
                <w:rFonts w:ascii="Arial" w:hAnsi="Arial" w:cs="Arial"/>
                <w:bCs/>
                <w:sz w:val="20"/>
                <w:szCs w:val="20"/>
              </w:rPr>
            </w:pPr>
          </w:p>
          <w:p w14:paraId="0CFE4B73" w14:textId="77777777" w:rsidR="00657ACA" w:rsidRPr="00026118" w:rsidRDefault="00657ACA" w:rsidP="00657ACA">
            <w:pPr>
              <w:jc w:val="both"/>
              <w:rPr>
                <w:rFonts w:ascii="Arial" w:hAnsi="Arial" w:cs="Arial"/>
                <w:b/>
                <w:bCs/>
                <w:sz w:val="20"/>
                <w:szCs w:val="20"/>
              </w:rPr>
            </w:pPr>
            <w:r>
              <w:rPr>
                <w:rFonts w:ascii="Arial" w:hAnsi="Arial" w:cs="Arial"/>
                <w:b/>
                <w:bCs/>
                <w:sz w:val="20"/>
                <w:szCs w:val="20"/>
              </w:rPr>
              <w:t>E</w:t>
            </w:r>
            <w:r w:rsidRPr="00026118">
              <w:rPr>
                <w:rFonts w:ascii="Arial" w:hAnsi="Arial" w:cs="Arial"/>
                <w:b/>
                <w:bCs/>
                <w:sz w:val="20"/>
                <w:szCs w:val="20"/>
              </w:rPr>
              <w:t>mtricitabín, tenofovir</w:t>
            </w:r>
            <w:r>
              <w:rPr>
                <w:rFonts w:ascii="Arial" w:hAnsi="Arial" w:cs="Arial"/>
                <w:b/>
                <w:bCs/>
                <w:sz w:val="20"/>
                <w:szCs w:val="20"/>
              </w:rPr>
              <w:t xml:space="preserve"> </w:t>
            </w:r>
            <w:r w:rsidRPr="00026118">
              <w:rPr>
                <w:rFonts w:ascii="Arial" w:hAnsi="Arial" w:cs="Arial"/>
                <w:b/>
                <w:bCs/>
                <w:sz w:val="20"/>
                <w:szCs w:val="20"/>
              </w:rPr>
              <w:t>alafenamid</w:t>
            </w:r>
            <w:r>
              <w:rPr>
                <w:rFonts w:ascii="Arial" w:hAnsi="Arial" w:cs="Arial"/>
                <w:b/>
                <w:bCs/>
                <w:sz w:val="20"/>
                <w:szCs w:val="20"/>
              </w:rPr>
              <w:t xml:space="preserve"> a b</w:t>
            </w:r>
            <w:r w:rsidRPr="00026118">
              <w:rPr>
                <w:rFonts w:ascii="Arial" w:hAnsi="Arial" w:cs="Arial"/>
                <w:b/>
                <w:bCs/>
                <w:sz w:val="20"/>
                <w:szCs w:val="20"/>
              </w:rPr>
              <w:t>iktegravir, p.o. 50mg/200mg/25mg</w:t>
            </w:r>
          </w:p>
        </w:tc>
      </w:tr>
      <w:tr w:rsidR="00657ACA" w:rsidRPr="0000591E" w14:paraId="2D6C974B" w14:textId="77777777" w:rsidTr="0089688C">
        <w:trPr>
          <w:gridAfter w:val="2"/>
          <w:wAfter w:w="154" w:type="dxa"/>
          <w:trHeight w:val="20"/>
        </w:trPr>
        <w:tc>
          <w:tcPr>
            <w:tcW w:w="1256" w:type="dxa"/>
            <w:tcBorders>
              <w:top w:val="single" w:sz="4" w:space="0" w:color="auto"/>
            </w:tcBorders>
            <w:noWrap/>
            <w:vAlign w:val="bottom"/>
          </w:tcPr>
          <w:p w14:paraId="4F7D8DFF"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EBD5BA6"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Hradenú liečbu môže indikovať infektológ v AIDS centre</w:t>
            </w:r>
          </w:p>
          <w:p w14:paraId="6171AF97" w14:textId="77777777" w:rsidR="00657ACA" w:rsidRPr="00026118" w:rsidRDefault="00657ACA" w:rsidP="00657ACA">
            <w:pPr>
              <w:jc w:val="both"/>
              <w:rPr>
                <w:rFonts w:ascii="Arial" w:hAnsi="Arial" w:cs="Arial"/>
                <w:bCs/>
                <w:sz w:val="20"/>
                <w:szCs w:val="20"/>
              </w:rPr>
            </w:pPr>
          </w:p>
          <w:p w14:paraId="616A2E36" w14:textId="77777777" w:rsidR="00657ACA" w:rsidRPr="00026118" w:rsidRDefault="00657ACA" w:rsidP="00657ACA">
            <w:pPr>
              <w:jc w:val="both"/>
              <w:rPr>
                <w:rFonts w:ascii="Arial" w:hAnsi="Arial" w:cs="Arial"/>
                <w:bCs/>
                <w:sz w:val="20"/>
                <w:szCs w:val="20"/>
              </w:rPr>
            </w:pPr>
            <w:r>
              <w:rPr>
                <w:rFonts w:ascii="Arial" w:hAnsi="Arial" w:cs="Arial"/>
                <w:bCs/>
                <w:sz w:val="20"/>
                <w:szCs w:val="20"/>
              </w:rPr>
              <w:t>a</w:t>
            </w:r>
            <w:r w:rsidRPr="00026118">
              <w:rPr>
                <w:rFonts w:ascii="Arial" w:hAnsi="Arial" w:cs="Arial"/>
                <w:bCs/>
                <w:sz w:val="20"/>
                <w:szCs w:val="20"/>
              </w:rPr>
              <w:t>)</w:t>
            </w:r>
            <w:r w:rsidRPr="00026118">
              <w:rPr>
                <w:rFonts w:ascii="Arial" w:hAnsi="Arial" w:cs="Arial"/>
                <w:bCs/>
                <w:sz w:val="20"/>
                <w:szCs w:val="20"/>
              </w:rPr>
              <w:tab/>
              <w:t xml:space="preserve">pre podskupiny pacientov infikovaných HIV – 1 ako liek prvej voľby </w:t>
            </w:r>
          </w:p>
          <w:p w14:paraId="417BBF35"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 xml:space="preserve">u pacientov, ktorí sú zároveň infikovaní vírusom hepatitídy typu B, vírusom hepatitídy typu C alebo tuberkulózou,  </w:t>
            </w:r>
          </w:p>
          <w:p w14:paraId="43633C2E"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u pacientov so zdokumentovanými závažnými neurologickými alebo psychiatrickými      ochoreniami,</w:t>
            </w:r>
          </w:p>
          <w:p w14:paraId="51088814"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u pacientov so zvýšeným kardiovaskulárnym rizikom – podľa skórovacieho systému SCORE s 5 % a vyššou pravdepodobnosťou úmrtia na kardiovaskulárne ochorenie v najbližších 10 rokoch,</w:t>
            </w:r>
          </w:p>
          <w:p w14:paraId="4F593929"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u pacientov bez predchádzajúcej antiretrovírusovej liečby s vírusovou záťažou ≤ 100  000 HIV-1 RNA kópií/ml</w:t>
            </w:r>
          </w:p>
          <w:p w14:paraId="78F6C1A9" w14:textId="77777777" w:rsidR="00657ACA" w:rsidRPr="00026118" w:rsidRDefault="00657ACA" w:rsidP="00657ACA">
            <w:pPr>
              <w:jc w:val="both"/>
              <w:rPr>
                <w:rFonts w:ascii="Arial" w:hAnsi="Arial" w:cs="Arial"/>
                <w:bCs/>
                <w:sz w:val="20"/>
                <w:szCs w:val="20"/>
              </w:rPr>
            </w:pPr>
            <w:r>
              <w:rPr>
                <w:rFonts w:ascii="Arial" w:hAnsi="Arial" w:cs="Arial"/>
                <w:bCs/>
                <w:sz w:val="20"/>
                <w:szCs w:val="20"/>
              </w:rPr>
              <w:t>b</w:t>
            </w:r>
            <w:r w:rsidRPr="00026118">
              <w:rPr>
                <w:rFonts w:ascii="Arial" w:hAnsi="Arial" w:cs="Arial"/>
                <w:bCs/>
                <w:sz w:val="20"/>
                <w:szCs w:val="20"/>
              </w:rPr>
              <w:t>)</w:t>
            </w:r>
            <w:r w:rsidRPr="00026118">
              <w:rPr>
                <w:rFonts w:ascii="Arial" w:hAnsi="Arial" w:cs="Arial"/>
                <w:bCs/>
                <w:sz w:val="20"/>
                <w:szCs w:val="20"/>
              </w:rPr>
              <w:tab/>
              <w:t>ako liek druhej voľby v liečbe pacientov infikovaných HIV – 1, u ktorých zlyhal klasický doterajší antiretrovírusový režim alebo ktorí netolerovali antiretrovírusový liečebný režim zahŕňajúci aspoň jeden liek z nasledujúcich tried antiretrovírusových látok: inhibítorov proteáz, nenukleozidových inhibítorov reverznej transkriptázy a nukleozidových inhibítorov reverznej transkriptázy.</w:t>
            </w:r>
          </w:p>
          <w:p w14:paraId="2D7063A3" w14:textId="77777777" w:rsidR="00657ACA" w:rsidRPr="00026118" w:rsidRDefault="00657ACA" w:rsidP="00657ACA">
            <w:pPr>
              <w:jc w:val="both"/>
              <w:rPr>
                <w:rFonts w:ascii="Arial" w:hAnsi="Arial" w:cs="Arial"/>
                <w:bCs/>
                <w:sz w:val="20"/>
                <w:szCs w:val="20"/>
              </w:rPr>
            </w:pPr>
            <w:r>
              <w:rPr>
                <w:rFonts w:ascii="Arial" w:hAnsi="Arial" w:cs="Arial"/>
                <w:bCs/>
                <w:sz w:val="20"/>
                <w:szCs w:val="20"/>
              </w:rPr>
              <w:t>c</w:t>
            </w:r>
            <w:r w:rsidRPr="00026118">
              <w:rPr>
                <w:rFonts w:ascii="Arial" w:hAnsi="Arial" w:cs="Arial"/>
                <w:bCs/>
                <w:sz w:val="20"/>
                <w:szCs w:val="20"/>
              </w:rPr>
              <w:t>)</w:t>
            </w:r>
            <w:r w:rsidRPr="00026118">
              <w:rPr>
                <w:rFonts w:ascii="Arial" w:hAnsi="Arial" w:cs="Arial"/>
                <w:bCs/>
                <w:sz w:val="20"/>
                <w:szCs w:val="20"/>
              </w:rPr>
              <w:tab/>
              <w:t>na substitučnú liečbu u pacientov, ktorí boli aspoň 6 predchádzajúcich mesiacov virologicky suprimovaní na antiretrovírusovom liečebnom režime zahŕňajúcom akýkoľvek liek z triedy nukleozidových inhibítorov reverznej transkriptázy alebo integrázových inhibítorov.</w:t>
            </w:r>
          </w:p>
          <w:p w14:paraId="7FD51AA8" w14:textId="205C1B46" w:rsidR="00657ACA" w:rsidRPr="00964767" w:rsidRDefault="00657ACA" w:rsidP="00657ACA">
            <w:pPr>
              <w:jc w:val="both"/>
              <w:rPr>
                <w:rFonts w:ascii="Arial" w:hAnsi="Arial" w:cs="Arial"/>
                <w:b/>
                <w:bCs/>
                <w:sz w:val="20"/>
                <w:szCs w:val="20"/>
              </w:rPr>
            </w:pPr>
          </w:p>
        </w:tc>
      </w:tr>
      <w:tr w:rsidR="00657ACA" w:rsidRPr="0000591E" w14:paraId="34D46C2C" w14:textId="77777777" w:rsidTr="0089688C">
        <w:trPr>
          <w:gridAfter w:val="2"/>
          <w:wAfter w:w="154" w:type="dxa"/>
          <w:trHeight w:val="20"/>
        </w:trPr>
        <w:tc>
          <w:tcPr>
            <w:tcW w:w="1256" w:type="dxa"/>
            <w:tcBorders>
              <w:bottom w:val="single" w:sz="4" w:space="0" w:color="auto"/>
            </w:tcBorders>
            <w:noWrap/>
            <w:vAlign w:val="bottom"/>
          </w:tcPr>
          <w:p w14:paraId="39F4E041" w14:textId="77777777" w:rsidR="00657ACA" w:rsidRPr="0000591E" w:rsidRDefault="00657ACA" w:rsidP="00657ACA">
            <w:pPr>
              <w:jc w:val="both"/>
              <w:rPr>
                <w:rFonts w:ascii="Arial" w:hAnsi="Arial" w:cs="Arial"/>
                <w:b/>
                <w:bCs/>
                <w:sz w:val="20"/>
                <w:szCs w:val="20"/>
              </w:rPr>
            </w:pPr>
            <w:r w:rsidRPr="00026118">
              <w:rPr>
                <w:rFonts w:ascii="Arial" w:hAnsi="Arial" w:cs="Arial"/>
                <w:b/>
                <w:bCs/>
                <w:sz w:val="20"/>
                <w:szCs w:val="20"/>
              </w:rPr>
              <w:t>J05AR</w:t>
            </w:r>
            <w:r>
              <w:rPr>
                <w:rFonts w:ascii="Arial" w:hAnsi="Arial" w:cs="Arial"/>
                <w:b/>
                <w:bCs/>
                <w:sz w:val="20"/>
                <w:szCs w:val="20"/>
              </w:rPr>
              <w:t>21</w:t>
            </w:r>
          </w:p>
        </w:tc>
        <w:tc>
          <w:tcPr>
            <w:tcW w:w="9452" w:type="dxa"/>
            <w:tcBorders>
              <w:bottom w:val="single" w:sz="4" w:space="0" w:color="auto"/>
            </w:tcBorders>
            <w:noWrap/>
            <w:vAlign w:val="bottom"/>
          </w:tcPr>
          <w:p w14:paraId="024BE673" w14:textId="77777777" w:rsidR="00657ACA" w:rsidRPr="00026118" w:rsidRDefault="00657ACA" w:rsidP="00657ACA">
            <w:pPr>
              <w:jc w:val="both"/>
              <w:rPr>
                <w:rFonts w:ascii="Arial" w:hAnsi="Arial" w:cs="Arial"/>
                <w:bCs/>
                <w:sz w:val="20"/>
                <w:szCs w:val="20"/>
              </w:rPr>
            </w:pPr>
            <w:r w:rsidRPr="00964767">
              <w:rPr>
                <w:rFonts w:ascii="Arial" w:hAnsi="Arial" w:cs="Arial"/>
                <w:b/>
                <w:bCs/>
                <w:sz w:val="20"/>
                <w:szCs w:val="20"/>
              </w:rPr>
              <w:t>Dolutegravir a rilpivirín p.o. 50 mg/25 mg</w:t>
            </w:r>
          </w:p>
        </w:tc>
      </w:tr>
      <w:tr w:rsidR="00657ACA" w:rsidRPr="0000591E" w14:paraId="44349C7E" w14:textId="77777777" w:rsidTr="0089688C">
        <w:trPr>
          <w:gridAfter w:val="2"/>
          <w:wAfter w:w="154" w:type="dxa"/>
          <w:trHeight w:val="20"/>
        </w:trPr>
        <w:tc>
          <w:tcPr>
            <w:tcW w:w="1256" w:type="dxa"/>
            <w:tcBorders>
              <w:top w:val="single" w:sz="4" w:space="0" w:color="auto"/>
            </w:tcBorders>
            <w:noWrap/>
            <w:vAlign w:val="bottom"/>
          </w:tcPr>
          <w:p w14:paraId="544695C6" w14:textId="77777777" w:rsidR="00657ACA" w:rsidRDefault="00657ACA" w:rsidP="00657ACA">
            <w:pPr>
              <w:jc w:val="both"/>
              <w:rPr>
                <w:rFonts w:ascii="Arial" w:hAnsi="Arial" w:cs="Arial"/>
                <w:b/>
                <w:bCs/>
                <w:sz w:val="20"/>
                <w:szCs w:val="20"/>
              </w:rPr>
            </w:pPr>
          </w:p>
          <w:p w14:paraId="32ECA9D8" w14:textId="77777777" w:rsidR="00657ACA" w:rsidRPr="0000591E" w:rsidRDefault="00657ACA" w:rsidP="00657ACA">
            <w:pPr>
              <w:jc w:val="both"/>
              <w:rPr>
                <w:rFonts w:ascii="Arial" w:hAnsi="Arial" w:cs="Arial"/>
                <w:b/>
                <w:bCs/>
                <w:sz w:val="20"/>
                <w:szCs w:val="20"/>
              </w:rPr>
            </w:pPr>
            <w:r w:rsidRPr="00026118">
              <w:rPr>
                <w:rFonts w:ascii="Arial" w:hAnsi="Arial" w:cs="Arial"/>
                <w:b/>
                <w:bCs/>
                <w:sz w:val="20"/>
                <w:szCs w:val="20"/>
              </w:rPr>
              <w:t>J05AR</w:t>
            </w:r>
            <w:r>
              <w:rPr>
                <w:rFonts w:ascii="Arial" w:hAnsi="Arial" w:cs="Arial"/>
                <w:b/>
                <w:bCs/>
                <w:sz w:val="20"/>
                <w:szCs w:val="20"/>
              </w:rPr>
              <w:t>25</w:t>
            </w:r>
          </w:p>
        </w:tc>
        <w:tc>
          <w:tcPr>
            <w:tcW w:w="9452" w:type="dxa"/>
            <w:tcBorders>
              <w:top w:val="single" w:sz="4" w:space="0" w:color="auto"/>
            </w:tcBorders>
            <w:noWrap/>
            <w:vAlign w:val="bottom"/>
          </w:tcPr>
          <w:p w14:paraId="3C3C7FF0" w14:textId="77777777" w:rsidR="00657ACA" w:rsidRDefault="00657ACA" w:rsidP="00657ACA">
            <w:pPr>
              <w:jc w:val="both"/>
              <w:rPr>
                <w:rFonts w:ascii="Arial" w:hAnsi="Arial" w:cs="Arial"/>
                <w:bCs/>
                <w:sz w:val="20"/>
                <w:szCs w:val="20"/>
              </w:rPr>
            </w:pPr>
            <w:r w:rsidRPr="00964767">
              <w:rPr>
                <w:rFonts w:ascii="Arial" w:hAnsi="Arial" w:cs="Arial"/>
                <w:bCs/>
                <w:sz w:val="20"/>
                <w:szCs w:val="20"/>
              </w:rPr>
              <w:t xml:space="preserve">Hradenú liečbu môže indikovať infektológ v AIDS centre ako substitučnú liečbu u pacientov, ktorí boli aspoň 6 predchádzajúcich mesiacov virologicky suprimovaní na antiretrovírusovom liečebnom režime zahŕňajúcom akýkoľvek liek z triedy nenukleozidových inhibítorov reverznej transkriptázy alebo integrázových inhibítorov.  </w:t>
            </w:r>
          </w:p>
          <w:p w14:paraId="6EAE3DC2" w14:textId="77777777" w:rsidR="00657ACA" w:rsidRPr="00964767" w:rsidRDefault="00657ACA" w:rsidP="00657ACA">
            <w:pPr>
              <w:jc w:val="both"/>
              <w:rPr>
                <w:rFonts w:ascii="Arial" w:hAnsi="Arial" w:cs="Arial"/>
                <w:b/>
                <w:bCs/>
                <w:sz w:val="20"/>
                <w:szCs w:val="20"/>
              </w:rPr>
            </w:pPr>
          </w:p>
          <w:p w14:paraId="2D8436BC" w14:textId="77777777" w:rsidR="00657ACA" w:rsidRPr="00026118" w:rsidRDefault="00657ACA" w:rsidP="00657ACA">
            <w:pPr>
              <w:jc w:val="both"/>
              <w:rPr>
                <w:rFonts w:ascii="Arial" w:hAnsi="Arial" w:cs="Arial"/>
                <w:bCs/>
                <w:sz w:val="20"/>
                <w:szCs w:val="20"/>
              </w:rPr>
            </w:pPr>
            <w:r>
              <w:rPr>
                <w:rFonts w:ascii="Arial" w:hAnsi="Arial" w:cs="Arial"/>
                <w:b/>
                <w:bCs/>
                <w:sz w:val="20"/>
                <w:szCs w:val="20"/>
              </w:rPr>
              <w:t>Lamivudí</w:t>
            </w:r>
            <w:r w:rsidRPr="00964767">
              <w:rPr>
                <w:rFonts w:ascii="Arial" w:hAnsi="Arial" w:cs="Arial"/>
                <w:b/>
                <w:bCs/>
                <w:sz w:val="20"/>
                <w:szCs w:val="20"/>
              </w:rPr>
              <w:t>n</w:t>
            </w:r>
            <w:r>
              <w:rPr>
                <w:rFonts w:ascii="Arial" w:hAnsi="Arial" w:cs="Arial"/>
                <w:b/>
                <w:bCs/>
                <w:sz w:val="20"/>
                <w:szCs w:val="20"/>
              </w:rPr>
              <w:t xml:space="preserve"> a dolutegravir </w:t>
            </w:r>
            <w:r w:rsidRPr="00964767">
              <w:rPr>
                <w:rFonts w:ascii="Arial" w:hAnsi="Arial" w:cs="Arial"/>
                <w:b/>
                <w:bCs/>
                <w:sz w:val="20"/>
                <w:szCs w:val="20"/>
              </w:rPr>
              <w:t>p.o. 50 mg/300 mg</w:t>
            </w:r>
          </w:p>
        </w:tc>
      </w:tr>
      <w:tr w:rsidR="00657ACA" w:rsidRPr="0000591E" w14:paraId="16CAC3B1" w14:textId="77777777" w:rsidTr="003F7925">
        <w:trPr>
          <w:gridAfter w:val="2"/>
          <w:wAfter w:w="154" w:type="dxa"/>
          <w:trHeight w:val="20"/>
        </w:trPr>
        <w:tc>
          <w:tcPr>
            <w:tcW w:w="1256" w:type="dxa"/>
            <w:tcBorders>
              <w:top w:val="single" w:sz="4" w:space="0" w:color="auto"/>
            </w:tcBorders>
            <w:noWrap/>
            <w:vAlign w:val="bottom"/>
          </w:tcPr>
          <w:p w14:paraId="3164719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5661281" w14:textId="77777777" w:rsidR="00657ACA" w:rsidRPr="00964767" w:rsidRDefault="00657ACA" w:rsidP="00657ACA">
            <w:pPr>
              <w:jc w:val="both"/>
              <w:rPr>
                <w:rFonts w:ascii="Arial" w:hAnsi="Arial" w:cs="Arial"/>
                <w:bCs/>
                <w:sz w:val="20"/>
                <w:szCs w:val="20"/>
              </w:rPr>
            </w:pPr>
            <w:r w:rsidRPr="00964767">
              <w:rPr>
                <w:rFonts w:ascii="Arial" w:hAnsi="Arial" w:cs="Arial"/>
                <w:bCs/>
                <w:sz w:val="20"/>
                <w:szCs w:val="20"/>
              </w:rPr>
              <w:t xml:space="preserve">Hradenú liečbu môže indikovať infektológ v AIDS centre na liečbu infekcie vyvolanej vírusom ľudskej imunodeficiencie typu 1 (HIV-1): </w:t>
            </w:r>
          </w:p>
          <w:p w14:paraId="67E0D399" w14:textId="77777777" w:rsidR="00657ACA" w:rsidRPr="00964767" w:rsidRDefault="00657ACA" w:rsidP="00657ACA">
            <w:pPr>
              <w:jc w:val="both"/>
              <w:rPr>
                <w:rFonts w:ascii="Arial" w:hAnsi="Arial" w:cs="Arial"/>
                <w:bCs/>
                <w:sz w:val="20"/>
                <w:szCs w:val="20"/>
              </w:rPr>
            </w:pPr>
            <w:r w:rsidRPr="00964767">
              <w:rPr>
                <w:rFonts w:ascii="Arial" w:hAnsi="Arial" w:cs="Arial"/>
                <w:bCs/>
                <w:sz w:val="20"/>
                <w:szCs w:val="20"/>
              </w:rPr>
              <w:t xml:space="preserve">a) u pacientov bez predchádzajúcej antiretrovírusovej liečby s vírusovou záťažou ≤ 100 000 HIV-1 RNA kópií/ml, </w:t>
            </w:r>
          </w:p>
          <w:p w14:paraId="372294C9" w14:textId="77777777" w:rsidR="00657ACA" w:rsidRPr="00964767" w:rsidRDefault="00657ACA" w:rsidP="00657ACA">
            <w:pPr>
              <w:jc w:val="both"/>
              <w:rPr>
                <w:rFonts w:ascii="Arial" w:hAnsi="Arial" w:cs="Arial"/>
                <w:bCs/>
                <w:sz w:val="20"/>
                <w:szCs w:val="20"/>
              </w:rPr>
            </w:pPr>
            <w:r w:rsidRPr="00964767">
              <w:rPr>
                <w:rFonts w:ascii="Arial" w:hAnsi="Arial" w:cs="Arial"/>
                <w:bCs/>
                <w:sz w:val="20"/>
                <w:szCs w:val="20"/>
              </w:rPr>
              <w:t xml:space="preserve">b) na substitučnú liečbu u pacientov, ktorí boli aspoň 6 predchádzajúcich mesiacov virologicky suprimovaní na antiretrovírusovom liečebnom režime zahŕňajúcom akýkoľvek liek z triedy nukleozidových inhibítorov reverznej transkriptázy alebo integrázových inhibítorov.  </w:t>
            </w:r>
          </w:p>
          <w:p w14:paraId="44B2B4B1" w14:textId="77777777" w:rsidR="00657ACA" w:rsidRPr="00964767" w:rsidRDefault="00657ACA" w:rsidP="00657ACA">
            <w:pPr>
              <w:jc w:val="both"/>
              <w:rPr>
                <w:rFonts w:ascii="Arial" w:hAnsi="Arial" w:cs="Arial"/>
                <w:bCs/>
                <w:sz w:val="20"/>
                <w:szCs w:val="20"/>
              </w:rPr>
            </w:pPr>
          </w:p>
        </w:tc>
      </w:tr>
      <w:tr w:rsidR="00657ACA" w:rsidRPr="0000591E" w14:paraId="0F76D2F0" w14:textId="77777777" w:rsidTr="003F7925">
        <w:trPr>
          <w:gridAfter w:val="2"/>
          <w:wAfter w:w="154" w:type="dxa"/>
          <w:trHeight w:val="20"/>
        </w:trPr>
        <w:tc>
          <w:tcPr>
            <w:tcW w:w="1256" w:type="dxa"/>
            <w:tcBorders>
              <w:bottom w:val="single" w:sz="4" w:space="0" w:color="auto"/>
            </w:tcBorders>
            <w:noWrap/>
            <w:vAlign w:val="bottom"/>
          </w:tcPr>
          <w:p w14:paraId="7BC22B8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J05AX05</w:t>
            </w:r>
          </w:p>
        </w:tc>
        <w:tc>
          <w:tcPr>
            <w:tcW w:w="9452" w:type="dxa"/>
            <w:tcBorders>
              <w:bottom w:val="single" w:sz="4" w:space="0" w:color="auto"/>
            </w:tcBorders>
            <w:noWrap/>
            <w:vAlign w:val="bottom"/>
          </w:tcPr>
          <w:p w14:paraId="630CA5C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Inozín pranobex p.o. 500 mg,</w:t>
            </w:r>
          </w:p>
          <w:p w14:paraId="5BF1C26F" w14:textId="77777777" w:rsidR="00657ACA" w:rsidRDefault="00657ACA" w:rsidP="00657ACA">
            <w:pPr>
              <w:jc w:val="both"/>
              <w:rPr>
                <w:rFonts w:ascii="Arial" w:hAnsi="Arial" w:cs="Arial"/>
                <w:b/>
                <w:bCs/>
                <w:sz w:val="20"/>
                <w:szCs w:val="20"/>
              </w:rPr>
            </w:pPr>
            <w:r>
              <w:rPr>
                <w:rFonts w:ascii="Arial" w:hAnsi="Arial" w:cs="Arial"/>
                <w:b/>
                <w:bCs/>
                <w:sz w:val="20"/>
                <w:szCs w:val="20"/>
              </w:rPr>
              <w:t>Inozín pranobex p.o. gran. 1000 mg,</w:t>
            </w:r>
          </w:p>
          <w:p w14:paraId="1F86BFBF" w14:textId="0F880B7B"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Inozín pranobex p.o. tekuté LF</w:t>
            </w:r>
          </w:p>
        </w:tc>
      </w:tr>
      <w:tr w:rsidR="00657ACA" w:rsidRPr="0000591E" w14:paraId="5004064D" w14:textId="77777777" w:rsidTr="0089688C">
        <w:trPr>
          <w:gridAfter w:val="2"/>
          <w:wAfter w:w="154" w:type="dxa"/>
          <w:trHeight w:val="20"/>
        </w:trPr>
        <w:tc>
          <w:tcPr>
            <w:tcW w:w="1256" w:type="dxa"/>
            <w:tcBorders>
              <w:top w:val="single" w:sz="4" w:space="0" w:color="auto"/>
            </w:tcBorders>
            <w:noWrap/>
            <w:vAlign w:val="bottom"/>
          </w:tcPr>
          <w:p w14:paraId="5C86FEC7"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1511E4B" w14:textId="285A96BB" w:rsidR="00657ACA" w:rsidRPr="0000591E" w:rsidRDefault="00657ACA" w:rsidP="00ED27F2">
            <w:pPr>
              <w:jc w:val="both"/>
              <w:rPr>
                <w:rFonts w:ascii="Arial" w:hAnsi="Arial" w:cs="Arial"/>
                <w:sz w:val="20"/>
                <w:szCs w:val="20"/>
              </w:rPr>
            </w:pPr>
            <w:r w:rsidRPr="0000591E">
              <w:rPr>
                <w:rFonts w:ascii="Arial" w:hAnsi="Arial" w:cs="Arial"/>
                <w:sz w:val="20"/>
                <w:szCs w:val="20"/>
              </w:rPr>
              <w:t>Hradená liečba sa môže indikovať u pacientov s preukázanou poruchou imunity.</w:t>
            </w:r>
          </w:p>
        </w:tc>
      </w:tr>
      <w:tr w:rsidR="00657ACA" w:rsidRPr="0000591E" w14:paraId="1753B9C1" w14:textId="77777777" w:rsidTr="00D50E92">
        <w:trPr>
          <w:gridAfter w:val="2"/>
          <w:wAfter w:w="154" w:type="dxa"/>
          <w:trHeight w:val="20"/>
        </w:trPr>
        <w:tc>
          <w:tcPr>
            <w:tcW w:w="1256" w:type="dxa"/>
            <w:tcBorders>
              <w:bottom w:val="single" w:sz="4" w:space="0" w:color="auto"/>
            </w:tcBorders>
            <w:noWrap/>
            <w:vAlign w:val="bottom"/>
          </w:tcPr>
          <w:p w14:paraId="457296E8" w14:textId="77777777" w:rsidR="00657ACA" w:rsidRPr="00520386" w:rsidRDefault="00657ACA" w:rsidP="00657ACA">
            <w:pPr>
              <w:jc w:val="both"/>
              <w:rPr>
                <w:rFonts w:ascii="Arial" w:hAnsi="Arial" w:cs="Arial"/>
                <w:b/>
                <w:sz w:val="20"/>
                <w:szCs w:val="20"/>
              </w:rPr>
            </w:pPr>
            <w:r w:rsidRPr="00520386">
              <w:rPr>
                <w:rFonts w:ascii="Arial" w:hAnsi="Arial" w:cs="Arial"/>
                <w:b/>
                <w:sz w:val="20"/>
                <w:szCs w:val="20"/>
              </w:rPr>
              <w:t>J05AX10</w:t>
            </w:r>
          </w:p>
        </w:tc>
        <w:tc>
          <w:tcPr>
            <w:tcW w:w="9452" w:type="dxa"/>
            <w:tcBorders>
              <w:bottom w:val="single" w:sz="4" w:space="0" w:color="auto"/>
            </w:tcBorders>
            <w:noWrap/>
          </w:tcPr>
          <w:p w14:paraId="58142170" w14:textId="77777777" w:rsidR="00657ACA" w:rsidRPr="00520386" w:rsidRDefault="00657ACA" w:rsidP="00657ACA">
            <w:pPr>
              <w:jc w:val="both"/>
              <w:rPr>
                <w:rFonts w:ascii="Arial" w:hAnsi="Arial" w:cs="Arial"/>
                <w:b/>
                <w:sz w:val="20"/>
                <w:szCs w:val="20"/>
              </w:rPr>
            </w:pPr>
            <w:r w:rsidRPr="00520386">
              <w:rPr>
                <w:rFonts w:ascii="Arial" w:hAnsi="Arial" w:cs="Arial"/>
                <w:b/>
                <w:sz w:val="20"/>
                <w:szCs w:val="20"/>
              </w:rPr>
              <w:t>Maribavir p.o. 200 mg</w:t>
            </w:r>
          </w:p>
        </w:tc>
      </w:tr>
      <w:tr w:rsidR="00657ACA" w:rsidRPr="0000591E" w14:paraId="53EA4791" w14:textId="77777777" w:rsidTr="00D50E92">
        <w:trPr>
          <w:gridAfter w:val="2"/>
          <w:wAfter w:w="154" w:type="dxa"/>
          <w:trHeight w:val="20"/>
        </w:trPr>
        <w:tc>
          <w:tcPr>
            <w:tcW w:w="1256" w:type="dxa"/>
            <w:tcBorders>
              <w:top w:val="single" w:sz="4" w:space="0" w:color="auto"/>
            </w:tcBorders>
            <w:noWrap/>
            <w:vAlign w:val="bottom"/>
          </w:tcPr>
          <w:p w14:paraId="5B91F892" w14:textId="77777777" w:rsidR="00657ACA" w:rsidRPr="00520386" w:rsidRDefault="00657ACA" w:rsidP="00657ACA">
            <w:pPr>
              <w:jc w:val="both"/>
              <w:rPr>
                <w:rFonts w:ascii="Arial" w:hAnsi="Arial" w:cs="Arial"/>
                <w:b/>
                <w:sz w:val="20"/>
                <w:szCs w:val="20"/>
              </w:rPr>
            </w:pPr>
          </w:p>
        </w:tc>
        <w:tc>
          <w:tcPr>
            <w:tcW w:w="9452" w:type="dxa"/>
            <w:tcBorders>
              <w:top w:val="single" w:sz="4" w:space="0" w:color="auto"/>
            </w:tcBorders>
            <w:noWrap/>
          </w:tcPr>
          <w:p w14:paraId="68E7BEF9" w14:textId="77777777" w:rsidR="00657ACA" w:rsidRPr="00D50E92" w:rsidRDefault="00657ACA" w:rsidP="00657ACA">
            <w:pPr>
              <w:jc w:val="both"/>
              <w:rPr>
                <w:rFonts w:ascii="Arial" w:hAnsi="Arial" w:cs="Arial"/>
                <w:sz w:val="20"/>
                <w:szCs w:val="20"/>
              </w:rPr>
            </w:pPr>
            <w:r w:rsidRPr="00D50E92">
              <w:rPr>
                <w:rFonts w:ascii="Arial" w:hAnsi="Arial" w:cs="Arial"/>
                <w:sz w:val="20"/>
                <w:szCs w:val="20"/>
              </w:rPr>
              <w:t>LIVTENCITY je určený na liečbu cytomegalovírusovej (CMV) infekcie a/alebo choroby, ktorá je refraktérna (s rezistenciou alebo bez nej) voči jednej alebo viacerým predchádzajúcim liečbam vrátane gancikloviru, valgancikloviru, cidofoviru alebo foskarnetu u dospelých pacientov, ktorí podstúpili transplantáciu hematopoetických kmeňových buniek (HSCT) alebo solídnych orgánov (SOT). Je potrebné zohľadniť oficiálne usmernenie o vhodnom používaní antivirotík.</w:t>
            </w:r>
          </w:p>
          <w:p w14:paraId="51158C35" w14:textId="77777777" w:rsidR="00657ACA" w:rsidRDefault="00657ACA" w:rsidP="00657ACA">
            <w:pPr>
              <w:jc w:val="both"/>
              <w:rPr>
                <w:rFonts w:ascii="Arial" w:hAnsi="Arial" w:cs="Arial"/>
                <w:sz w:val="20"/>
                <w:szCs w:val="20"/>
              </w:rPr>
            </w:pPr>
          </w:p>
          <w:p w14:paraId="2D569AF7" w14:textId="49A16E69" w:rsidR="00657ACA" w:rsidRDefault="00657ACA" w:rsidP="00657ACA">
            <w:pPr>
              <w:jc w:val="both"/>
              <w:rPr>
                <w:rFonts w:ascii="Arial" w:hAnsi="Arial" w:cs="Arial"/>
                <w:sz w:val="20"/>
                <w:szCs w:val="20"/>
              </w:rPr>
            </w:pPr>
            <w:r w:rsidRPr="00D50E92">
              <w:rPr>
                <w:rFonts w:ascii="Arial" w:hAnsi="Arial" w:cs="Arial"/>
                <w:sz w:val="20"/>
                <w:szCs w:val="20"/>
              </w:rPr>
              <w:t>Hradená liečba podlieha predchádzajúcemu súhlasu zdravotnej poisťovne.</w:t>
            </w:r>
          </w:p>
          <w:p w14:paraId="09F9EC48" w14:textId="306C1378" w:rsidR="00657ACA" w:rsidRPr="00D50E92" w:rsidRDefault="00657ACA" w:rsidP="00657ACA">
            <w:pPr>
              <w:jc w:val="both"/>
              <w:rPr>
                <w:rFonts w:ascii="Arial" w:hAnsi="Arial" w:cs="Arial"/>
                <w:sz w:val="20"/>
                <w:szCs w:val="20"/>
              </w:rPr>
            </w:pPr>
          </w:p>
        </w:tc>
      </w:tr>
      <w:tr w:rsidR="00657ACA" w:rsidRPr="0000591E" w14:paraId="27B949AA" w14:textId="77777777" w:rsidTr="003F7925">
        <w:trPr>
          <w:gridAfter w:val="2"/>
          <w:wAfter w:w="154" w:type="dxa"/>
          <w:trHeight w:val="20"/>
        </w:trPr>
        <w:tc>
          <w:tcPr>
            <w:tcW w:w="1256" w:type="dxa"/>
            <w:tcBorders>
              <w:bottom w:val="single" w:sz="4" w:space="0" w:color="auto"/>
            </w:tcBorders>
            <w:noWrap/>
            <w:vAlign w:val="bottom"/>
          </w:tcPr>
          <w:p w14:paraId="018F6797" w14:textId="77777777" w:rsidR="00657ACA" w:rsidRPr="008A531C" w:rsidRDefault="00657ACA" w:rsidP="00657ACA">
            <w:pPr>
              <w:jc w:val="both"/>
              <w:rPr>
                <w:rFonts w:ascii="Arial" w:hAnsi="Arial" w:cs="Arial"/>
                <w:b/>
                <w:bCs/>
                <w:sz w:val="20"/>
                <w:szCs w:val="20"/>
              </w:rPr>
            </w:pPr>
            <w:r w:rsidRPr="008A531C">
              <w:rPr>
                <w:rFonts w:ascii="Arial" w:hAnsi="Arial" w:cs="Arial"/>
                <w:b/>
                <w:bCs/>
                <w:sz w:val="20"/>
                <w:szCs w:val="20"/>
              </w:rPr>
              <w:t>J05AX18</w:t>
            </w:r>
          </w:p>
        </w:tc>
        <w:tc>
          <w:tcPr>
            <w:tcW w:w="9452" w:type="dxa"/>
            <w:tcBorders>
              <w:bottom w:val="single" w:sz="4" w:space="0" w:color="auto"/>
            </w:tcBorders>
            <w:vAlign w:val="bottom"/>
          </w:tcPr>
          <w:p w14:paraId="7585C3E6" w14:textId="77777777" w:rsidR="00657ACA" w:rsidRPr="008A531C" w:rsidRDefault="00657ACA" w:rsidP="00657ACA">
            <w:pPr>
              <w:jc w:val="both"/>
              <w:rPr>
                <w:rFonts w:ascii="Arial" w:hAnsi="Arial" w:cs="Arial"/>
                <w:b/>
                <w:sz w:val="20"/>
                <w:szCs w:val="20"/>
              </w:rPr>
            </w:pPr>
            <w:r w:rsidRPr="008A531C">
              <w:rPr>
                <w:rFonts w:ascii="Arial" w:hAnsi="Arial" w:cs="Arial"/>
                <w:b/>
                <w:sz w:val="20"/>
                <w:szCs w:val="20"/>
              </w:rPr>
              <w:t>Letermovir p.o. 240 mg (28 ks)</w:t>
            </w:r>
          </w:p>
        </w:tc>
      </w:tr>
      <w:tr w:rsidR="00657ACA" w:rsidRPr="0000591E" w14:paraId="4BD4F72A" w14:textId="77777777" w:rsidTr="003F7925">
        <w:trPr>
          <w:gridAfter w:val="2"/>
          <w:wAfter w:w="154" w:type="dxa"/>
          <w:trHeight w:val="20"/>
        </w:trPr>
        <w:tc>
          <w:tcPr>
            <w:tcW w:w="1256" w:type="dxa"/>
            <w:tcBorders>
              <w:top w:val="single" w:sz="4" w:space="0" w:color="auto"/>
            </w:tcBorders>
            <w:noWrap/>
            <w:vAlign w:val="bottom"/>
          </w:tcPr>
          <w:p w14:paraId="0A4BCE8F" w14:textId="77777777" w:rsidR="00657ACA"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19400896" w14:textId="77777777" w:rsidR="00657ACA" w:rsidRPr="0060328F" w:rsidRDefault="00657ACA" w:rsidP="00657ACA">
            <w:pPr>
              <w:autoSpaceDE w:val="0"/>
              <w:autoSpaceDN w:val="0"/>
              <w:adjustRightInd w:val="0"/>
              <w:jc w:val="both"/>
              <w:rPr>
                <w:rFonts w:ascii="Arial" w:hAnsi="Arial" w:cs="Arial"/>
                <w:sz w:val="20"/>
                <w:u w:color="000000"/>
                <w:lang w:eastAsia="en-US"/>
              </w:rPr>
            </w:pPr>
            <w:r w:rsidRPr="0060328F">
              <w:rPr>
                <w:rFonts w:ascii="Arial" w:hAnsi="Arial" w:cs="Arial"/>
                <w:sz w:val="20"/>
                <w:u w:color="000000"/>
                <w:lang w:eastAsia="en-US"/>
              </w:rPr>
              <w:t xml:space="preserve">Hradená liečba sa môže indikovať v kombinácii s cyklosporínom u pacientov na profylaxiu reaktivácie cytomegalovírusu (CMV) a ochorenia vyvolaného CMV dospelým CMV-séropozitívnym príjemcom [R+] alogénneho štepu krvotvorných kmeňových buniek (allogeneic haematopoietic stem cell transplant, HSCT). </w:t>
            </w:r>
          </w:p>
          <w:p w14:paraId="489624A7" w14:textId="77777777" w:rsidR="00657ACA" w:rsidRPr="0060328F" w:rsidRDefault="00657ACA" w:rsidP="00657ACA">
            <w:pPr>
              <w:autoSpaceDE w:val="0"/>
              <w:autoSpaceDN w:val="0"/>
              <w:adjustRightInd w:val="0"/>
              <w:jc w:val="both"/>
              <w:rPr>
                <w:rFonts w:ascii="Arial" w:hAnsi="Arial" w:cs="Arial"/>
                <w:sz w:val="20"/>
                <w:u w:color="000000"/>
                <w:lang w:eastAsia="en-US"/>
              </w:rPr>
            </w:pPr>
            <w:r w:rsidRPr="0060328F">
              <w:rPr>
                <w:rFonts w:ascii="Arial" w:hAnsi="Arial" w:cs="Arial"/>
                <w:sz w:val="20"/>
                <w:u w:color="000000"/>
                <w:lang w:eastAsia="en-US"/>
              </w:rPr>
              <w:t>Hradená liečba podlieha predchádzajúcemu súhlasu zdravotnej poisťovne.</w:t>
            </w:r>
          </w:p>
          <w:p w14:paraId="4309036B" w14:textId="77777777" w:rsidR="00657ACA" w:rsidRPr="0060328F" w:rsidRDefault="00657ACA" w:rsidP="00657ACA">
            <w:pPr>
              <w:autoSpaceDE w:val="0"/>
              <w:autoSpaceDN w:val="0"/>
              <w:adjustRightInd w:val="0"/>
              <w:jc w:val="both"/>
              <w:rPr>
                <w:rFonts w:ascii="Calibri" w:hAnsi="Calibri"/>
                <w:sz w:val="20"/>
                <w:u w:color="000000"/>
                <w:lang w:val="en-US" w:eastAsia="en-US"/>
              </w:rPr>
            </w:pPr>
          </w:p>
        </w:tc>
      </w:tr>
      <w:tr w:rsidR="00657ACA" w:rsidRPr="0000591E" w14:paraId="5462DBF3" w14:textId="77777777" w:rsidTr="003F7925">
        <w:trPr>
          <w:gridAfter w:val="2"/>
          <w:wAfter w:w="154" w:type="dxa"/>
          <w:trHeight w:val="20"/>
        </w:trPr>
        <w:tc>
          <w:tcPr>
            <w:tcW w:w="1256" w:type="dxa"/>
            <w:tcBorders>
              <w:bottom w:val="single" w:sz="4" w:space="0" w:color="auto"/>
            </w:tcBorders>
            <w:noWrap/>
            <w:vAlign w:val="bottom"/>
          </w:tcPr>
          <w:p w14:paraId="441AD13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J06BA01</w:t>
            </w:r>
          </w:p>
        </w:tc>
        <w:tc>
          <w:tcPr>
            <w:tcW w:w="9452" w:type="dxa"/>
            <w:tcBorders>
              <w:bottom w:val="single" w:sz="4" w:space="0" w:color="auto"/>
            </w:tcBorders>
            <w:vAlign w:val="bottom"/>
          </w:tcPr>
          <w:p w14:paraId="53D7EA7D"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2,5 g</w:t>
            </w:r>
          </w:p>
          <w:p w14:paraId="1D4BA543"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5 g</w:t>
            </w:r>
          </w:p>
          <w:p w14:paraId="7A0FCBBC"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10 g</w:t>
            </w:r>
          </w:p>
          <w:p w14:paraId="4B07E7AD"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20 g</w:t>
            </w:r>
          </w:p>
          <w:p w14:paraId="094FC5C5" w14:textId="77777777" w:rsidR="00657ACA" w:rsidRPr="0000591E"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30 g</w:t>
            </w:r>
          </w:p>
        </w:tc>
      </w:tr>
      <w:tr w:rsidR="00657ACA" w:rsidRPr="0000591E" w14:paraId="4943A647" w14:textId="77777777" w:rsidTr="003F7925">
        <w:trPr>
          <w:gridBefore w:val="1"/>
          <w:gridAfter w:val="2"/>
          <w:wBefore w:w="1256" w:type="dxa"/>
          <w:wAfter w:w="154" w:type="dxa"/>
          <w:trHeight w:val="20"/>
        </w:trPr>
        <w:tc>
          <w:tcPr>
            <w:tcW w:w="9452" w:type="dxa"/>
            <w:noWrap/>
            <w:vAlign w:val="bottom"/>
          </w:tcPr>
          <w:p w14:paraId="6F9CDAC2" w14:textId="77777777" w:rsidR="00657ACA" w:rsidRPr="0000591E" w:rsidRDefault="00657ACA" w:rsidP="00657ACA">
            <w:pPr>
              <w:jc w:val="both"/>
              <w:rPr>
                <w:rFonts w:ascii="Arial" w:hAnsi="Arial" w:cs="Arial"/>
                <w:sz w:val="20"/>
                <w:szCs w:val="20"/>
              </w:rPr>
            </w:pPr>
            <w:r w:rsidRPr="002D75FA">
              <w:rPr>
                <w:rFonts w:ascii="Arial" w:hAnsi="Arial" w:cs="Arial"/>
                <w:sz w:val="20"/>
                <w:szCs w:val="20"/>
              </w:rPr>
              <w:t>Liečba je hradená v indikáciách uvedených v platnom súhrne charakteristických vlastností lieku (SPC).</w:t>
            </w:r>
            <w:r w:rsidRPr="0000591E">
              <w:rPr>
                <w:rFonts w:ascii="Arial" w:hAnsi="Arial" w:cs="Arial"/>
                <w:sz w:val="20"/>
                <w:szCs w:val="20"/>
              </w:rPr>
              <w:t xml:space="preserve"> </w:t>
            </w:r>
          </w:p>
          <w:p w14:paraId="6F812A60" w14:textId="77777777" w:rsidR="00657ACA" w:rsidRPr="0000591E" w:rsidRDefault="00657ACA" w:rsidP="00657ACA">
            <w:pPr>
              <w:jc w:val="both"/>
              <w:rPr>
                <w:rFonts w:ascii="Arial" w:hAnsi="Arial" w:cs="Arial"/>
                <w:sz w:val="20"/>
                <w:szCs w:val="20"/>
              </w:rPr>
            </w:pPr>
          </w:p>
        </w:tc>
      </w:tr>
      <w:tr w:rsidR="00657ACA" w:rsidRPr="0000591E" w14:paraId="3FFE8220" w14:textId="77777777" w:rsidTr="003F7925">
        <w:trPr>
          <w:gridAfter w:val="2"/>
          <w:wAfter w:w="154" w:type="dxa"/>
          <w:trHeight w:val="20"/>
        </w:trPr>
        <w:tc>
          <w:tcPr>
            <w:tcW w:w="1256" w:type="dxa"/>
            <w:tcBorders>
              <w:bottom w:val="single" w:sz="4" w:space="0" w:color="auto"/>
            </w:tcBorders>
            <w:noWrap/>
            <w:vAlign w:val="center"/>
          </w:tcPr>
          <w:p w14:paraId="434EBFF1" w14:textId="77777777" w:rsidR="00657ACA" w:rsidRPr="0000591E" w:rsidRDefault="00657ACA" w:rsidP="00657ACA">
            <w:pPr>
              <w:rPr>
                <w:rFonts w:ascii="Arial" w:hAnsi="Arial" w:cs="Arial"/>
                <w:b/>
                <w:bCs/>
                <w:sz w:val="20"/>
                <w:szCs w:val="20"/>
              </w:rPr>
            </w:pPr>
            <w:r>
              <w:rPr>
                <w:rFonts w:ascii="Arial" w:hAnsi="Arial" w:cs="Arial"/>
                <w:b/>
                <w:bCs/>
                <w:sz w:val="20"/>
                <w:szCs w:val="20"/>
              </w:rPr>
              <w:t>J06BD01</w:t>
            </w:r>
          </w:p>
        </w:tc>
        <w:tc>
          <w:tcPr>
            <w:tcW w:w="9452" w:type="dxa"/>
            <w:tcBorders>
              <w:bottom w:val="single" w:sz="4" w:space="0" w:color="auto"/>
            </w:tcBorders>
            <w:noWrap/>
            <w:vAlign w:val="bottom"/>
          </w:tcPr>
          <w:p w14:paraId="3F266BB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Palivizumab parent. 50 mg</w:t>
            </w:r>
          </w:p>
        </w:tc>
      </w:tr>
      <w:tr w:rsidR="00657ACA" w:rsidRPr="0000591E" w14:paraId="15DA6C16" w14:textId="77777777" w:rsidTr="003F7925">
        <w:trPr>
          <w:gridAfter w:val="2"/>
          <w:wAfter w:w="154" w:type="dxa"/>
          <w:trHeight w:val="20"/>
        </w:trPr>
        <w:tc>
          <w:tcPr>
            <w:tcW w:w="1256" w:type="dxa"/>
            <w:noWrap/>
            <w:vAlign w:val="bottom"/>
          </w:tcPr>
          <w:p w14:paraId="21D2E623" w14:textId="77777777" w:rsidR="00657ACA" w:rsidRPr="0000591E" w:rsidRDefault="00657ACA" w:rsidP="00657ACA">
            <w:pPr>
              <w:jc w:val="both"/>
              <w:rPr>
                <w:rFonts w:ascii="Arial" w:hAnsi="Arial" w:cs="Arial"/>
                <w:sz w:val="20"/>
                <w:szCs w:val="20"/>
              </w:rPr>
            </w:pPr>
          </w:p>
        </w:tc>
        <w:tc>
          <w:tcPr>
            <w:tcW w:w="9452" w:type="dxa"/>
            <w:noWrap/>
          </w:tcPr>
          <w:p w14:paraId="32D37E65" w14:textId="77777777" w:rsidR="00657ACA" w:rsidRPr="0000591E" w:rsidRDefault="00657ACA" w:rsidP="00657ACA">
            <w:pPr>
              <w:ind w:left="62"/>
              <w:jc w:val="both"/>
              <w:rPr>
                <w:rFonts w:ascii="Arial" w:hAnsi="Arial" w:cs="Arial"/>
                <w:sz w:val="20"/>
                <w:szCs w:val="20"/>
              </w:rPr>
            </w:pPr>
            <w:r w:rsidRPr="0000591E">
              <w:rPr>
                <w:rFonts w:ascii="Arial" w:hAnsi="Arial" w:cs="Arial"/>
                <w:sz w:val="20"/>
                <w:szCs w:val="20"/>
              </w:rPr>
              <w:t>Hradená liečba palivizumabom sa môže indikovať na prevenciu závažného ochorenia dolných dýchacích ciest vyžadujúceho hospitalizáciu, ktoré je vyvolané respiračným syncyciálnym vírusom (RSV) u detí s vysokým rizikom ochorenia RSV:</w:t>
            </w:r>
          </w:p>
          <w:p w14:paraId="76A4AC93"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narodené v gestačnom veku ≤ 28 týždňov, ktoré sú na začiatku RSV sezóny mladšie ako 6 mesiacov.</w:t>
            </w:r>
          </w:p>
          <w:p w14:paraId="267D72F9"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narodené v gestačnom veku 29 – 32 týždňov, ktoré sú na začiatku RSV sezóny mladšie ako 6 mesiacov.</w:t>
            </w:r>
          </w:p>
          <w:p w14:paraId="35B07FC4"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narodené v gestačnom veku 33 – 35 týždňov, na začiatku RSV sezóny mladšie ako 3 mesiace a majú aspoň 1 z rizikových faktorov*.</w:t>
            </w:r>
          </w:p>
          <w:p w14:paraId="4F225CB7"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narodené v gestačnom veku 33 – 35 týždňov, ktoré sú na začiatku RSV sezóny mladšie ako 6 mesiacov a majú aspoň dva z rizikových faktorov*.</w:t>
            </w:r>
          </w:p>
          <w:p w14:paraId="744BC280"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s chronickým pľúcnym ochorením (bronchopulmonálna dysplázia), ktoré si v priebehu posledných 6 mesiacov pred začiatkom RSV sezóny vyžadujú liečbu (kyslík alebo bronchodilatanciá alebo inhalačné alebo celkové kortikoidy) a sú mladšie ako 24 mesiacov.</w:t>
            </w:r>
          </w:p>
          <w:p w14:paraId="1971A987"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s hemodynamicky významnou vrodenou vývojovou chybou srdca, ktoré sú mladšie ako 24 mesiacov.</w:t>
            </w:r>
          </w:p>
          <w:p w14:paraId="388171CA"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hospitalizované na jednotkách resuscitačnej starostlivosti narodené pred 32 týždňom tehotnosti, ktoré boli v dokázanom kontakte s pacientom s RSV ochorením.</w:t>
            </w:r>
          </w:p>
          <w:p w14:paraId="58F732BD" w14:textId="77777777" w:rsidR="00657ACA" w:rsidRPr="0000591E" w:rsidRDefault="00657ACA" w:rsidP="00657ACA">
            <w:pPr>
              <w:ind w:left="1416"/>
              <w:jc w:val="both"/>
              <w:rPr>
                <w:rFonts w:ascii="Arial" w:hAnsi="Arial" w:cs="Arial"/>
                <w:sz w:val="20"/>
                <w:szCs w:val="20"/>
              </w:rPr>
            </w:pPr>
          </w:p>
          <w:p w14:paraId="1E626D2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Rizikové faktory: pozitívna rodinná anamnéza hvízdania, dojčenie kratšie ako 2 mesiace, pôrodná hmotnosť pod 10 percentil pre daný gestačný vek alebo menej ako 1500 g, neuromuskulárne ochorenie, prepustenie počas RSV sezóny, anamnéza závažných respiračných ťažkostí v novorodeneckom veku, cystická fibróza, pobyt dieťaťa v kolektívnom zariadení preukázaný potvrdením o návšteve kolektívneho zariadenia, počet osôb žijúcich v spoločnej domácnosti viac ako sedem, viacplodová gravidita.</w:t>
            </w:r>
          </w:p>
          <w:p w14:paraId="4101571E" w14:textId="77777777" w:rsidR="00657ACA" w:rsidRPr="0000591E" w:rsidRDefault="00657ACA" w:rsidP="00657ACA">
            <w:pPr>
              <w:ind w:left="1416"/>
              <w:jc w:val="both"/>
              <w:rPr>
                <w:rFonts w:ascii="Arial" w:hAnsi="Arial" w:cs="Arial"/>
                <w:sz w:val="20"/>
                <w:szCs w:val="20"/>
              </w:rPr>
            </w:pPr>
          </w:p>
          <w:p w14:paraId="6B77E25A"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Hradená liečba sa môže indikovať na pracoviskách:</w:t>
            </w:r>
          </w:p>
          <w:p w14:paraId="71338955" w14:textId="77777777" w:rsidR="00657ACA" w:rsidRPr="0000591E" w:rsidRDefault="00657ACA" w:rsidP="00657ACA">
            <w:pPr>
              <w:ind w:left="1416"/>
              <w:jc w:val="both"/>
              <w:rPr>
                <w:rFonts w:ascii="Arial" w:hAnsi="Arial" w:cs="Arial"/>
                <w:sz w:val="20"/>
                <w:szCs w:val="20"/>
              </w:rPr>
            </w:pPr>
          </w:p>
          <w:p w14:paraId="61287EC8"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a) neonatologických s resustitačnou starostlivosťou:</w:t>
            </w:r>
          </w:p>
          <w:p w14:paraId="6994B710" w14:textId="77777777" w:rsidR="00657ACA" w:rsidRDefault="00657ACA">
            <w:pPr>
              <w:numPr>
                <w:ilvl w:val="0"/>
                <w:numId w:val="62"/>
              </w:numPr>
              <w:jc w:val="both"/>
              <w:rPr>
                <w:rFonts w:ascii="Arial" w:hAnsi="Arial" w:cs="Arial"/>
                <w:sz w:val="20"/>
                <w:szCs w:val="20"/>
              </w:rPr>
            </w:pPr>
            <w:r w:rsidRPr="0000591E">
              <w:rPr>
                <w:rFonts w:ascii="Arial" w:hAnsi="Arial" w:cs="Arial"/>
                <w:sz w:val="20"/>
                <w:szCs w:val="20"/>
              </w:rPr>
              <w:t>v Univerzitnej nemocnici Bratislava - Ružinov,</w:t>
            </w:r>
          </w:p>
          <w:p w14:paraId="093FDD0C" w14:textId="77777777" w:rsidR="00657ACA" w:rsidRPr="0000591E" w:rsidRDefault="00657ACA">
            <w:pPr>
              <w:numPr>
                <w:ilvl w:val="0"/>
                <w:numId w:val="62"/>
              </w:numPr>
              <w:jc w:val="both"/>
              <w:rPr>
                <w:rFonts w:ascii="Arial" w:hAnsi="Arial" w:cs="Arial"/>
                <w:sz w:val="20"/>
                <w:szCs w:val="20"/>
              </w:rPr>
            </w:pPr>
            <w:r>
              <w:rPr>
                <w:rFonts w:ascii="Arial" w:hAnsi="Arial" w:cs="Arial"/>
                <w:sz w:val="20"/>
                <w:szCs w:val="20"/>
              </w:rPr>
              <w:t>v Nemocnici Bory Bratislava</w:t>
            </w:r>
          </w:p>
          <w:p w14:paraId="720FCEFA"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Trenčín,</w:t>
            </w:r>
          </w:p>
          <w:p w14:paraId="638440CF"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Nitra,</w:t>
            </w:r>
          </w:p>
          <w:p w14:paraId="63B725EE"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Trnava,</w:t>
            </w:r>
          </w:p>
          <w:p w14:paraId="04370869"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s poliklinikou Žilina,</w:t>
            </w:r>
          </w:p>
          <w:p w14:paraId="4E4A5BAA"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na Jednotke intenzívnej a resuscitačnej starostlivosti Rimavská Sobota,</w:t>
            </w:r>
          </w:p>
          <w:p w14:paraId="15AB7974"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 Nemocnici A. Leňa Humenné, n.o.,</w:t>
            </w:r>
          </w:p>
          <w:p w14:paraId="6E5F11CF"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 Nemocnici Poprad, a.s.,</w:t>
            </w:r>
          </w:p>
          <w:p w14:paraId="503B14A8" w14:textId="77777777" w:rsidR="00657ACA" w:rsidRPr="0000591E" w:rsidRDefault="00657ACA" w:rsidP="00657ACA">
            <w:pPr>
              <w:ind w:left="1416"/>
              <w:jc w:val="both"/>
              <w:rPr>
                <w:rFonts w:ascii="Arial" w:hAnsi="Arial" w:cs="Arial"/>
                <w:sz w:val="20"/>
                <w:szCs w:val="20"/>
              </w:rPr>
            </w:pPr>
          </w:p>
          <w:p w14:paraId="05943E96"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b) v perinatologických centrách:</w:t>
            </w:r>
          </w:p>
          <w:p w14:paraId="2331B3E5"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Univerzitnej nemocnici Bratislava – nemocnica sv. Cyrila a Metoda,</w:t>
            </w:r>
          </w:p>
          <w:p w14:paraId="44CF22E5"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Detskej fakultnej nemocnici s poliklinikou, Bratislava,</w:t>
            </w:r>
          </w:p>
          <w:p w14:paraId="597A88B3"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vo Fakultnej nemocnici s poliklinikou Nové Zámky,</w:t>
            </w:r>
          </w:p>
          <w:p w14:paraId="4CDB2F3E"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Univerzitnej nemocnici Martin,</w:t>
            </w:r>
          </w:p>
          <w:p w14:paraId="0FB02CCD"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vo Fakultnej nemocnici s poliklinikou F. D. Roosvelta Banská Bystrica,</w:t>
            </w:r>
          </w:p>
          <w:p w14:paraId="74B36EB0"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Detskej fakultnej nemocnici Košice,</w:t>
            </w:r>
          </w:p>
          <w:p w14:paraId="22AA5B50"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vo Fakultnej nemocnici s poliklinikou J. A. Reimana Prešov,</w:t>
            </w:r>
          </w:p>
          <w:p w14:paraId="7C7DCBD3" w14:textId="77777777" w:rsidR="00657ACA" w:rsidRPr="0000591E" w:rsidRDefault="00657ACA" w:rsidP="00657ACA">
            <w:pPr>
              <w:ind w:left="1416"/>
              <w:jc w:val="both"/>
              <w:rPr>
                <w:rFonts w:ascii="Arial" w:hAnsi="Arial" w:cs="Arial"/>
                <w:sz w:val="20"/>
                <w:szCs w:val="20"/>
              </w:rPr>
            </w:pPr>
          </w:p>
          <w:p w14:paraId="01014D99"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c) na pneumologických pracoviskách:</w:t>
            </w:r>
          </w:p>
          <w:p w14:paraId="2A0AA872"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na klinike detskej pneumológie Univerzitnej nemocnice Bratislava – Detská pľúcna ambulancia Podunajské Biskupice,</w:t>
            </w:r>
          </w:p>
          <w:p w14:paraId="75ECEA4A"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v Detskej pľúcnej ambulancii Nitra,</w:t>
            </w:r>
          </w:p>
          <w:p w14:paraId="1CE50C2A"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v Detskej fakultnej nemocnici Banská Bystrica – Detská pľúcna ambulancia,</w:t>
            </w:r>
          </w:p>
          <w:p w14:paraId="1A105916"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na klinike detí a dorastu Univerzitnej nemocnice Martin – Detská pľúcna ambulancia,</w:t>
            </w:r>
          </w:p>
          <w:p w14:paraId="003672D1"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Detská pľúcna ambulancia Poprad,</w:t>
            </w:r>
          </w:p>
          <w:p w14:paraId="43DF7CE4"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v Detskej fakultnej nemocnici Košice – Detská pľúcna ambulancia,</w:t>
            </w:r>
          </w:p>
          <w:p w14:paraId="6FC6FCCF" w14:textId="77777777" w:rsidR="00657ACA" w:rsidRPr="0000591E" w:rsidRDefault="00657ACA" w:rsidP="00657ACA">
            <w:pPr>
              <w:jc w:val="both"/>
              <w:rPr>
                <w:rFonts w:ascii="Arial" w:hAnsi="Arial" w:cs="Arial"/>
                <w:sz w:val="20"/>
                <w:szCs w:val="20"/>
              </w:rPr>
            </w:pPr>
          </w:p>
          <w:p w14:paraId="3FDD9273" w14:textId="77777777" w:rsidR="00657ACA" w:rsidRDefault="00657ACA">
            <w:pPr>
              <w:numPr>
                <w:ilvl w:val="0"/>
                <w:numId w:val="56"/>
              </w:numPr>
              <w:jc w:val="both"/>
              <w:rPr>
                <w:rFonts w:ascii="Arial" w:hAnsi="Arial" w:cs="Arial"/>
                <w:sz w:val="20"/>
                <w:szCs w:val="20"/>
              </w:rPr>
            </w:pPr>
            <w:r w:rsidRPr="0000591E">
              <w:rPr>
                <w:rFonts w:ascii="Arial" w:hAnsi="Arial" w:cs="Arial"/>
                <w:sz w:val="20"/>
                <w:szCs w:val="20"/>
              </w:rPr>
              <w:t>Detským kardiológom v Národnom ústave srdcovo-cievnych chorôb a.s. – pracovisko Detské kardiocentrum.</w:t>
            </w:r>
          </w:p>
          <w:p w14:paraId="32482C5B" w14:textId="77777777" w:rsidR="00657ACA" w:rsidRPr="001522C9" w:rsidRDefault="00657ACA" w:rsidP="00657ACA">
            <w:pPr>
              <w:ind w:left="1776"/>
              <w:jc w:val="both"/>
              <w:rPr>
                <w:rFonts w:ascii="Arial" w:hAnsi="Arial" w:cs="Arial"/>
                <w:sz w:val="20"/>
                <w:szCs w:val="20"/>
              </w:rPr>
            </w:pPr>
          </w:p>
        </w:tc>
      </w:tr>
      <w:tr w:rsidR="00657ACA" w:rsidRPr="0000591E" w14:paraId="2B7DB592" w14:textId="77777777" w:rsidTr="003F7925">
        <w:trPr>
          <w:gridAfter w:val="2"/>
          <w:wAfter w:w="154" w:type="dxa"/>
          <w:trHeight w:val="20"/>
        </w:trPr>
        <w:tc>
          <w:tcPr>
            <w:tcW w:w="1256" w:type="dxa"/>
            <w:tcBorders>
              <w:bottom w:val="single" w:sz="4" w:space="0" w:color="auto"/>
            </w:tcBorders>
            <w:noWrap/>
            <w:vAlign w:val="bottom"/>
          </w:tcPr>
          <w:p w14:paraId="77715757"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J07AJ52</w:t>
            </w:r>
          </w:p>
        </w:tc>
        <w:tc>
          <w:tcPr>
            <w:tcW w:w="9452" w:type="dxa"/>
            <w:tcBorders>
              <w:bottom w:val="single" w:sz="4" w:space="0" w:color="auto"/>
            </w:tcBorders>
            <w:vAlign w:val="bottom"/>
          </w:tcPr>
          <w:p w14:paraId="52308C2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Vakcíny proti pertussis (acelulárna), purifikovaný antigén, kombinácie s toxoidmi parent.</w:t>
            </w:r>
          </w:p>
        </w:tc>
      </w:tr>
      <w:tr w:rsidR="00657ACA" w:rsidRPr="0000591E" w14:paraId="4D6418F8" w14:textId="77777777" w:rsidTr="003F7925">
        <w:trPr>
          <w:gridAfter w:val="2"/>
          <w:wAfter w:w="154" w:type="dxa"/>
          <w:trHeight w:val="20"/>
        </w:trPr>
        <w:tc>
          <w:tcPr>
            <w:tcW w:w="1256" w:type="dxa"/>
            <w:tcBorders>
              <w:top w:val="single" w:sz="4" w:space="0" w:color="auto"/>
            </w:tcBorders>
            <w:noWrap/>
            <w:vAlign w:val="bottom"/>
          </w:tcPr>
          <w:p w14:paraId="10AB701E"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1BF8ECB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môže indikovať</w:t>
            </w:r>
          </w:p>
          <w:p w14:paraId="379DFCB3" w14:textId="77777777" w:rsidR="00657ACA" w:rsidRDefault="00657ACA">
            <w:pPr>
              <w:numPr>
                <w:ilvl w:val="0"/>
                <w:numId w:val="53"/>
              </w:numPr>
              <w:jc w:val="both"/>
              <w:rPr>
                <w:rFonts w:ascii="Arial" w:hAnsi="Arial" w:cs="Arial"/>
                <w:sz w:val="20"/>
                <w:szCs w:val="20"/>
              </w:rPr>
            </w:pPr>
            <w:r w:rsidRPr="0000591E">
              <w:rPr>
                <w:rFonts w:ascii="Arial" w:hAnsi="Arial" w:cs="Arial"/>
                <w:sz w:val="20"/>
                <w:szCs w:val="20"/>
              </w:rPr>
              <w:t>osobám od dovŕšenia 18. roku veku,</w:t>
            </w:r>
          </w:p>
          <w:p w14:paraId="42F43F29" w14:textId="77777777" w:rsidR="00657ACA" w:rsidRPr="00DB5F20" w:rsidRDefault="00657ACA">
            <w:pPr>
              <w:numPr>
                <w:ilvl w:val="0"/>
                <w:numId w:val="53"/>
              </w:numPr>
              <w:jc w:val="both"/>
              <w:rPr>
                <w:rFonts w:ascii="Arial" w:hAnsi="Arial" w:cs="Arial"/>
                <w:sz w:val="20"/>
                <w:szCs w:val="20"/>
              </w:rPr>
            </w:pPr>
            <w:r w:rsidRPr="00DB5F20">
              <w:rPr>
                <w:rFonts w:ascii="Arial" w:hAnsi="Arial" w:cs="Arial"/>
                <w:sz w:val="20"/>
                <w:szCs w:val="20"/>
              </w:rPr>
              <w:t>v rámci povinného pravidelného očkovania podľa § 6 ods. 2 vyhlášky Ministerstva zdravotníctva Slovenskej republiky č. 585/2008 Z. z., ktorou sa ustanovujú podrobnosti o prevencii a kontrole prenosných ochorení pri preočkovaní v 6. a 13. roku veku; vakcína je hradená na základe verejného zdravotného poistenia vo výške plnej úhrady zdravotnou poisťovňou za štandardnú dávku liečiva (t. j. za jednu dávku vakcíny). Pri predpisovaní vakcíny plne uhrádzanej na základe verejného zdravotného poistenia predpisujúci lekár vyznačí na zadnej strane lekárskeho predpisu text „ Povinné preočkovanie v 6./13. roku veku.“.</w:t>
            </w:r>
          </w:p>
          <w:p w14:paraId="284DD7FF" w14:textId="3C2F7F21" w:rsidR="00657ACA" w:rsidRPr="0068792A" w:rsidRDefault="00657ACA" w:rsidP="00657ACA">
            <w:pPr>
              <w:jc w:val="both"/>
              <w:rPr>
                <w:rFonts w:ascii="Arial" w:hAnsi="Arial" w:cs="Arial"/>
                <w:sz w:val="20"/>
                <w:szCs w:val="20"/>
              </w:rPr>
            </w:pPr>
            <w:r w:rsidRPr="0000591E">
              <w:rPr>
                <w:rFonts w:ascii="Arial" w:hAnsi="Arial" w:cs="Arial"/>
                <w:sz w:val="20"/>
                <w:szCs w:val="20"/>
              </w:rPr>
              <w:t xml:space="preserve">                                 </w:t>
            </w:r>
          </w:p>
        </w:tc>
      </w:tr>
      <w:tr w:rsidR="00657ACA" w:rsidRPr="0000591E" w14:paraId="6609520A" w14:textId="77777777" w:rsidTr="003F7925">
        <w:trPr>
          <w:gridAfter w:val="2"/>
          <w:wAfter w:w="154" w:type="dxa"/>
          <w:trHeight w:val="20"/>
        </w:trPr>
        <w:tc>
          <w:tcPr>
            <w:tcW w:w="1256" w:type="dxa"/>
            <w:tcBorders>
              <w:top w:val="single" w:sz="4" w:space="0" w:color="auto"/>
            </w:tcBorders>
            <w:noWrap/>
            <w:vAlign w:val="bottom"/>
          </w:tcPr>
          <w:p w14:paraId="5567C64A" w14:textId="67D633AB"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J07A</w:t>
            </w:r>
            <w:r>
              <w:rPr>
                <w:rFonts w:ascii="Arial" w:hAnsi="Arial" w:cs="Arial"/>
                <w:b/>
                <w:bCs/>
                <w:sz w:val="20"/>
                <w:szCs w:val="20"/>
              </w:rPr>
              <w:t>L01</w:t>
            </w:r>
          </w:p>
        </w:tc>
        <w:tc>
          <w:tcPr>
            <w:tcW w:w="9452" w:type="dxa"/>
            <w:tcBorders>
              <w:top w:val="single" w:sz="4" w:space="0" w:color="auto"/>
            </w:tcBorders>
            <w:vAlign w:val="bottom"/>
          </w:tcPr>
          <w:p w14:paraId="092EDE0D" w14:textId="7707372F" w:rsidR="00657ACA" w:rsidRPr="0000591E" w:rsidRDefault="00657ACA" w:rsidP="00657ACA">
            <w:pPr>
              <w:jc w:val="both"/>
              <w:rPr>
                <w:rFonts w:ascii="Arial" w:hAnsi="Arial" w:cs="Arial"/>
                <w:sz w:val="20"/>
                <w:szCs w:val="20"/>
              </w:rPr>
            </w:pPr>
            <w:r>
              <w:rPr>
                <w:rFonts w:ascii="Arial" w:hAnsi="Arial" w:cs="Arial"/>
                <w:b/>
                <w:bCs/>
                <w:sz w:val="20"/>
                <w:szCs w:val="20"/>
              </w:rPr>
              <w:t xml:space="preserve">Vakcína </w:t>
            </w:r>
            <w:r w:rsidRPr="004C3C4E">
              <w:rPr>
                <w:rFonts w:ascii="Arial" w:hAnsi="Arial" w:cs="Arial"/>
                <w:b/>
                <w:bCs/>
                <w:sz w:val="20"/>
                <w:szCs w:val="20"/>
              </w:rPr>
              <w:t>proti pneumokokom, purifikovaný polysacharidový antigén parent. 23-valentná</w:t>
            </w:r>
          </w:p>
        </w:tc>
      </w:tr>
      <w:tr w:rsidR="00657ACA" w:rsidRPr="0000591E" w14:paraId="4E06A8C5" w14:textId="77777777" w:rsidTr="003F7925">
        <w:trPr>
          <w:gridAfter w:val="2"/>
          <w:wAfter w:w="154" w:type="dxa"/>
          <w:trHeight w:val="20"/>
        </w:trPr>
        <w:tc>
          <w:tcPr>
            <w:tcW w:w="1256" w:type="dxa"/>
            <w:tcBorders>
              <w:top w:val="single" w:sz="4" w:space="0" w:color="auto"/>
            </w:tcBorders>
            <w:noWrap/>
            <w:vAlign w:val="bottom"/>
          </w:tcPr>
          <w:p w14:paraId="0D19115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436A6DFA"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Vakcína ako plne hradená liečba sa indikuje v rámci povinného očkovania podľa § 7 ods. 6 vyhlášky u osôb umiestnených v zariadeniach sociálnych služieb. </w:t>
            </w:r>
          </w:p>
          <w:p w14:paraId="6509E9E2" w14:textId="77777777" w:rsidR="00657ACA" w:rsidRPr="0068792A" w:rsidRDefault="00657ACA" w:rsidP="00657ACA">
            <w:pPr>
              <w:jc w:val="both"/>
              <w:rPr>
                <w:rFonts w:ascii="Arial" w:hAnsi="Arial" w:cs="Arial"/>
                <w:sz w:val="20"/>
                <w:szCs w:val="20"/>
              </w:rPr>
            </w:pPr>
          </w:p>
          <w:p w14:paraId="485E69AE"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Vakcína ako plne hradená liečba sa indikuje v rámci odporúčaného očkovania podľa § 9 ods. 2 vyhlášky u </w:t>
            </w:r>
          </w:p>
          <w:p w14:paraId="6909053C"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a) osôb od dovŕšenia druhého roku veku do dovŕšenia 18. roku veku podľa prílohy č.3 k vyhláške, dispenzarizovaných s </w:t>
            </w:r>
          </w:p>
          <w:p w14:paraId="1A1AC483"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1. chronickým ochorením dýchacích ciest (J 45 Astma, J 47 Bronchiektázie, Q 32-33 Vrodené chyby priedušnice, priedušiek a pľúc),  </w:t>
            </w:r>
          </w:p>
          <w:p w14:paraId="0FF196C8"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2. chronickým ochorením srdcovo-cievneho aparátu (Q 20-25 Vrodené chyby srdca ), </w:t>
            </w:r>
          </w:p>
          <w:p w14:paraId="42322B2E"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3. chronickými metabolickými poruchami (E 10 Diabetes mellitus 1 typu, E 70, E 71, E 72, E 75, E 76 E 77, E 78, E 79 Poruchy metabolizmu aminokyselín, lipidov, purínu a pyrimidínu,  E 84 Cystická fibróza), </w:t>
            </w:r>
          </w:p>
          <w:p w14:paraId="19AF6A37"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4. chronickými renálnymi poruchami (N 04 Nefrotický syndróm, N 18-19 Zlyhanie obličiek), </w:t>
            </w:r>
          </w:p>
          <w:p w14:paraId="798A8609"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5. chronickými imunitnými poruchami (A 39-41 Stav po prekonanej purulentnej meningitíde alebo septikémii, B 20-24 Choroba vyvolaná vírusom ľudskej imunitnej nedostatočnosti (HIV), C 00-97 Všetky zhubné nádory vyžadujúce si komplexnú protokolárnu liečbu, D 55-59 Hemolytické anémie, D 70 Agranulocytóza, D 71 Funkčné poruchy polymorfonukleárnych leukocytov, D 72 Iné poruchy bielych krviniek, D 73 Choroby sleziny, D 76 Choroby  postihujúce lymforetikulárne tkanivo a retikulohistiocyty, D 80 Imunitná nedostatočnosť s prevahou poruchy protilátok, D 81 Kombinovaná imunitná nedostatočnosť, D 84 Iné imunodeficiencie, H 66 Hnisavý a nešpecifikovaný zápal stredného ucha (min. 3x, vyžadujúci ORL intervenciu), Q 89 Vrodené chyby sleziny, Q 90-91 Downov syndróm, Edwardsov, Patauov syndróm), </w:t>
            </w:r>
          </w:p>
          <w:p w14:paraId="5245011A" w14:textId="77777777" w:rsidR="00657ACA" w:rsidRPr="0068792A" w:rsidRDefault="00657ACA" w:rsidP="00657ACA">
            <w:pPr>
              <w:jc w:val="both"/>
              <w:rPr>
                <w:rFonts w:ascii="Arial" w:hAnsi="Arial" w:cs="Arial"/>
                <w:sz w:val="20"/>
                <w:szCs w:val="20"/>
              </w:rPr>
            </w:pPr>
          </w:p>
          <w:p w14:paraId="3C4829C6"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b) osôb od dovŕšenia 18. roku veku dispenzarizovaných pre chronické ochorenie dýchacích ciest, srdcovo-cievneho aparátu, s metabolickými, renálnymi a imunitnými poruchami, </w:t>
            </w:r>
          </w:p>
          <w:p w14:paraId="377756EA"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c) detí základne očkovaných pri preočkovaní podľa prílohy č.2 B bod 6 písm. b) k vyhláške, </w:t>
            </w:r>
          </w:p>
          <w:p w14:paraId="784E1B82"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d) osôb pred splenektómiou s funkčnou alebo anatomickou aspléniou, </w:t>
            </w:r>
          </w:p>
          <w:p w14:paraId="67823586"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e) osôb 59 ročných a starších</w:t>
            </w:r>
          </w:p>
          <w:p w14:paraId="15BB505C" w14:textId="094C33B8" w:rsidR="00657ACA" w:rsidRPr="0000591E" w:rsidRDefault="00657ACA" w:rsidP="00657ACA">
            <w:pPr>
              <w:jc w:val="both"/>
              <w:rPr>
                <w:rFonts w:ascii="Arial" w:hAnsi="Arial" w:cs="Arial"/>
                <w:sz w:val="20"/>
                <w:szCs w:val="20"/>
              </w:rPr>
            </w:pPr>
            <w:r w:rsidRPr="0068792A">
              <w:rPr>
                <w:rFonts w:ascii="Arial" w:hAnsi="Arial" w:cs="Arial"/>
                <w:sz w:val="20"/>
                <w:szCs w:val="20"/>
              </w:rPr>
              <w:t xml:space="preserve">                              </w:t>
            </w:r>
          </w:p>
        </w:tc>
      </w:tr>
      <w:tr w:rsidR="00657ACA" w:rsidRPr="0000591E" w14:paraId="6BDE41ED" w14:textId="77777777" w:rsidTr="003F7925">
        <w:trPr>
          <w:gridAfter w:val="2"/>
          <w:wAfter w:w="154" w:type="dxa"/>
          <w:trHeight w:val="20"/>
        </w:trPr>
        <w:tc>
          <w:tcPr>
            <w:tcW w:w="1256" w:type="dxa"/>
            <w:tcBorders>
              <w:bottom w:val="single" w:sz="4" w:space="0" w:color="auto"/>
            </w:tcBorders>
            <w:noWrap/>
            <w:vAlign w:val="bottom"/>
          </w:tcPr>
          <w:p w14:paraId="27A4E2B7"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J07AL02</w:t>
            </w:r>
          </w:p>
        </w:tc>
        <w:tc>
          <w:tcPr>
            <w:tcW w:w="9452" w:type="dxa"/>
            <w:tcBorders>
              <w:bottom w:val="single" w:sz="4" w:space="0" w:color="auto"/>
            </w:tcBorders>
            <w:vAlign w:val="bottom"/>
          </w:tcPr>
          <w:p w14:paraId="7B9A5C92" w14:textId="77777777" w:rsidR="00657ACA" w:rsidRPr="0000591E" w:rsidRDefault="00657ACA" w:rsidP="00657ACA">
            <w:pPr>
              <w:rPr>
                <w:rFonts w:ascii="Arial" w:hAnsi="Arial" w:cs="Arial"/>
                <w:b/>
                <w:bCs/>
                <w:sz w:val="20"/>
                <w:szCs w:val="20"/>
                <w:lang w:eastAsia="cs-CZ"/>
              </w:rPr>
            </w:pPr>
            <w:r w:rsidRPr="0000591E">
              <w:rPr>
                <w:rFonts w:ascii="Arial" w:hAnsi="Arial" w:cs="Arial"/>
                <w:b/>
                <w:bCs/>
                <w:sz w:val="20"/>
                <w:szCs w:val="20"/>
              </w:rPr>
              <w:t>Vakcína proti pneumokokom, purifikovaný polysacharidový konjugovaný antigén parent. 13-valentná</w:t>
            </w:r>
          </w:p>
        </w:tc>
      </w:tr>
      <w:tr w:rsidR="00657ACA" w:rsidRPr="0000591E" w14:paraId="692BA286" w14:textId="77777777" w:rsidTr="003F7925">
        <w:trPr>
          <w:gridAfter w:val="2"/>
          <w:wAfter w:w="154" w:type="dxa"/>
          <w:trHeight w:val="20"/>
        </w:trPr>
        <w:tc>
          <w:tcPr>
            <w:tcW w:w="1256" w:type="dxa"/>
            <w:tcBorders>
              <w:top w:val="single" w:sz="4" w:space="0" w:color="auto"/>
            </w:tcBorders>
            <w:noWrap/>
            <w:vAlign w:val="bottom"/>
          </w:tcPr>
          <w:p w14:paraId="489408B9"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721F8323" w14:textId="77777777" w:rsidR="00657ACA" w:rsidRPr="00911DCE" w:rsidRDefault="00657ACA" w:rsidP="00657ACA">
            <w:pPr>
              <w:autoSpaceDE w:val="0"/>
              <w:autoSpaceDN w:val="0"/>
              <w:adjustRightInd w:val="0"/>
              <w:jc w:val="both"/>
              <w:rPr>
                <w:rFonts w:ascii="Arial" w:hAnsi="Arial" w:cs="Arial"/>
                <w:color w:val="000000"/>
                <w:sz w:val="20"/>
                <w:szCs w:val="20"/>
              </w:rPr>
            </w:pPr>
            <w:r w:rsidRPr="00911DCE">
              <w:rPr>
                <w:rFonts w:ascii="Arial" w:hAnsi="Arial" w:cs="Arial"/>
                <w:color w:val="000000"/>
                <w:sz w:val="20"/>
                <w:szCs w:val="20"/>
              </w:rPr>
              <w:t>Vakcína ako hradená liečba sa indikuje v rámci povinného pravide</w:t>
            </w:r>
            <w:r>
              <w:rPr>
                <w:rFonts w:ascii="Arial" w:hAnsi="Arial" w:cs="Arial"/>
                <w:color w:val="000000"/>
                <w:sz w:val="20"/>
                <w:szCs w:val="20"/>
              </w:rPr>
              <w:t>lného očkovania podľa § 6 ods. 1</w:t>
            </w:r>
            <w:r w:rsidRPr="00911DCE">
              <w:rPr>
                <w:rFonts w:ascii="Arial" w:hAnsi="Arial" w:cs="Arial"/>
                <w:color w:val="000000"/>
                <w:sz w:val="20"/>
                <w:szCs w:val="20"/>
              </w:rPr>
              <w:t xml:space="preserve"> vyhlášky. </w:t>
            </w:r>
          </w:p>
          <w:p w14:paraId="3DF6BF11"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 </w:t>
            </w:r>
          </w:p>
          <w:p w14:paraId="3E0CB1A3"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Vakcína ako plne hradená liečba sa indikuje v rámci povinného očkovania podľa § 7 ods. 6 vyhlášky u osôb umiestnených v zariadeniach sociálnych služieb. </w:t>
            </w:r>
          </w:p>
          <w:p w14:paraId="0807987A"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 </w:t>
            </w:r>
          </w:p>
          <w:p w14:paraId="26714721"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Vakcína ako plne hradená liečba sa indikuje v rámci odporúčaného očkovania podľa § 9 ods. 2 vyhlášky u </w:t>
            </w:r>
          </w:p>
          <w:p w14:paraId="62C2896A" w14:textId="77777777" w:rsidR="00657ACA" w:rsidRPr="00911DCE" w:rsidRDefault="00657ACA">
            <w:pPr>
              <w:numPr>
                <w:ilvl w:val="0"/>
                <w:numId w:val="125"/>
              </w:num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osôb od dovŕšenia druhého roku veku do dovŕšenia 18. roku veku podľa prílohy č.3 k vyhláške,  </w:t>
            </w:r>
          </w:p>
          <w:p w14:paraId="5C1E8BD6" w14:textId="77777777" w:rsidR="00657ACA" w:rsidRPr="00911DCE" w:rsidRDefault="00657ACA" w:rsidP="00657ACA">
            <w:pPr>
              <w:autoSpaceDE w:val="0"/>
              <w:autoSpaceDN w:val="0"/>
              <w:adjustRightInd w:val="0"/>
              <w:ind w:left="360"/>
              <w:jc w:val="both"/>
              <w:rPr>
                <w:rFonts w:ascii="Arial" w:hAnsi="Arial"/>
                <w:color w:val="000000"/>
                <w:sz w:val="20"/>
                <w:szCs w:val="16"/>
              </w:rPr>
            </w:pPr>
            <w:r w:rsidRPr="00911DCE">
              <w:rPr>
                <w:rFonts w:ascii="Arial" w:hAnsi="Arial"/>
                <w:color w:val="000000"/>
                <w:sz w:val="20"/>
                <w:szCs w:val="16"/>
              </w:rPr>
              <w:t xml:space="preserve">    dispenzarizovaných s </w:t>
            </w:r>
          </w:p>
          <w:p w14:paraId="1AE772E7" w14:textId="77777777" w:rsidR="00657ACA" w:rsidRDefault="00657ACA">
            <w:pPr>
              <w:numPr>
                <w:ilvl w:val="0"/>
                <w:numId w:val="124"/>
              </w:numPr>
              <w:autoSpaceDE w:val="0"/>
              <w:autoSpaceDN w:val="0"/>
              <w:adjustRightInd w:val="0"/>
              <w:jc w:val="both"/>
              <w:rPr>
                <w:rFonts w:ascii="Arial" w:hAnsi="Arial"/>
                <w:color w:val="000000"/>
                <w:sz w:val="20"/>
                <w:szCs w:val="16"/>
              </w:rPr>
            </w:pPr>
            <w:r w:rsidRPr="00911DCE">
              <w:rPr>
                <w:rFonts w:ascii="Arial" w:hAnsi="Arial"/>
                <w:color w:val="000000"/>
                <w:sz w:val="20"/>
                <w:szCs w:val="16"/>
              </w:rPr>
              <w:t>chronickým ochorením dýchacích ciest (J 45 Astma, J 47 Br</w:t>
            </w:r>
            <w:r>
              <w:rPr>
                <w:rFonts w:ascii="Arial" w:hAnsi="Arial"/>
                <w:color w:val="000000"/>
                <w:sz w:val="20"/>
                <w:szCs w:val="16"/>
              </w:rPr>
              <w:t xml:space="preserve">onchiektázie, Q 32-33 Vrodené </w:t>
            </w:r>
            <w:r w:rsidRPr="00D259CF">
              <w:rPr>
                <w:rFonts w:ascii="Arial" w:hAnsi="Arial"/>
                <w:color w:val="000000"/>
                <w:sz w:val="20"/>
                <w:szCs w:val="16"/>
              </w:rPr>
              <w:t>chyby priedušnice, priedušiek a pľúc),</w:t>
            </w:r>
          </w:p>
          <w:p w14:paraId="3C2FB972"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chronickým ochorením srdcovo-cievneho aparátu</w:t>
            </w:r>
            <w:r>
              <w:rPr>
                <w:rFonts w:ascii="Arial" w:hAnsi="Arial"/>
                <w:color w:val="000000"/>
                <w:sz w:val="20"/>
                <w:szCs w:val="16"/>
              </w:rPr>
              <w:t xml:space="preserve"> (Q 20-25 Vrodené chyby srdca ),</w:t>
            </w:r>
          </w:p>
          <w:p w14:paraId="0DEA26BB"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chronickými metabolickými poruchami (E 10 Diabetes mellitus 1 typu, E 70, E 71, E 72, E 75, E 76 E 77, E 78, E 79 Poruchy metabolizmu aminokyselín,</w:t>
            </w:r>
            <w:r>
              <w:rPr>
                <w:rFonts w:ascii="Arial" w:hAnsi="Arial"/>
                <w:color w:val="000000"/>
                <w:sz w:val="20"/>
                <w:szCs w:val="16"/>
              </w:rPr>
              <w:t xml:space="preserve"> lipidov, purínu a pyrimidínu, </w:t>
            </w:r>
            <w:r w:rsidRPr="00D259CF">
              <w:rPr>
                <w:rFonts w:ascii="Arial" w:hAnsi="Arial"/>
                <w:color w:val="000000"/>
                <w:sz w:val="20"/>
                <w:szCs w:val="16"/>
              </w:rPr>
              <w:t xml:space="preserve">E 84 Cystická fibróza), </w:t>
            </w:r>
          </w:p>
          <w:p w14:paraId="6ADC7F04"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 xml:space="preserve">chronickými renálnymi poruchami (N 04 Nefrotický syndróm, N 18-19 Zlyhanie obličiek), </w:t>
            </w:r>
          </w:p>
          <w:p w14:paraId="2801A74D"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chronickými imunitnými poruchami (A 39-41 Stav po prekonanej purulentnej meningitíde alebo septikémii, B 20-24 Choroba vyvolaná vírusom ľuds</w:t>
            </w:r>
            <w:r>
              <w:rPr>
                <w:rFonts w:ascii="Arial" w:hAnsi="Arial"/>
                <w:color w:val="000000"/>
                <w:sz w:val="20"/>
                <w:szCs w:val="16"/>
              </w:rPr>
              <w:t>kej imunitnej nedostatočnosti</w:t>
            </w:r>
            <w:r w:rsidRPr="00D259CF">
              <w:rPr>
                <w:rFonts w:ascii="Arial" w:hAnsi="Arial"/>
                <w:color w:val="000000"/>
                <w:sz w:val="20"/>
                <w:szCs w:val="16"/>
              </w:rPr>
              <w:t>(HIV), C 00-97 Všetky zhubné nádory vyžadujúce si komplexnú protokolárnu liečbu, D 55- 59 Hemolytické anémie, D 70 Agranulocytóza, D 71 Funkčné poruchy polymorfonukleárnych leukocytov, D 72 Iné poruchy bielych krviniek, D 73 Choroby sleziny,  D 76 Choroby  postihujúce lymforetikulárne tkanivo a retikulohistiocyty, D 80 Imunitná nedostatočnosť s prevahou poruchy protilátok, D 81 Kombinovaná imunitná nedostatočnosť, D 84 Iné imunodeficiencie, H 66 Hnisavý a nešpecifikovaný zápal stredného ucha (min. 3x, vyžadujúci ORL intervenciu), Q 89 Vrodené chyby sleziny, Q 90-91 Downov syndróm, Edwardsov, Patauov syndróm),</w:t>
            </w:r>
          </w:p>
          <w:p w14:paraId="627C0FB6" w14:textId="77777777" w:rsidR="00657ACA" w:rsidRPr="009B6E2C"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osôb od dovŕšenia 18. roku veku dispenarizovaných pre chronické ochorenie dýchacích ciest, </w:t>
            </w:r>
          </w:p>
          <w:p w14:paraId="4C7391AF" w14:textId="77777777" w:rsidR="00657ACA" w:rsidRDefault="00657ACA" w:rsidP="00657ACA">
            <w:pPr>
              <w:autoSpaceDE w:val="0"/>
              <w:autoSpaceDN w:val="0"/>
              <w:adjustRightInd w:val="0"/>
              <w:ind w:left="360"/>
              <w:jc w:val="both"/>
              <w:rPr>
                <w:rFonts w:ascii="Arial" w:hAnsi="Arial"/>
                <w:color w:val="000000"/>
                <w:sz w:val="20"/>
                <w:szCs w:val="16"/>
              </w:rPr>
            </w:pPr>
            <w:r w:rsidRPr="00911DCE">
              <w:rPr>
                <w:rFonts w:ascii="Arial" w:hAnsi="Arial"/>
                <w:color w:val="000000"/>
                <w:sz w:val="20"/>
                <w:szCs w:val="16"/>
              </w:rPr>
              <w:t xml:space="preserve">    </w:t>
            </w:r>
            <w:r>
              <w:rPr>
                <w:rFonts w:ascii="Arial" w:hAnsi="Arial"/>
                <w:color w:val="000000"/>
                <w:sz w:val="20"/>
                <w:szCs w:val="16"/>
              </w:rPr>
              <w:t xml:space="preserve">  </w:t>
            </w:r>
            <w:r w:rsidRPr="00911DCE">
              <w:rPr>
                <w:rFonts w:ascii="Arial" w:hAnsi="Arial"/>
                <w:color w:val="000000"/>
                <w:sz w:val="20"/>
                <w:szCs w:val="16"/>
              </w:rPr>
              <w:t xml:space="preserve">srdcovo-cievneho aparátu, s metabolickými, renálnymi a imunitnými poruchami, </w:t>
            </w:r>
          </w:p>
          <w:p w14:paraId="08A8B4E1" w14:textId="77777777" w:rsidR="00657ACA"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detí základne očkovaných pri preočkovaní podľa prílohy č.2 B bod 6 písm. b) k vyhláške, </w:t>
            </w:r>
          </w:p>
          <w:p w14:paraId="4B2FC818" w14:textId="77777777" w:rsidR="00657ACA"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osôb pred splenektómiou s funkčnou alebo anatomickou aspléniou,  </w:t>
            </w:r>
          </w:p>
          <w:p w14:paraId="031C2EF1" w14:textId="77777777" w:rsidR="00657ACA" w:rsidRPr="009B6E2C"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osôb 59 ročných a starších. </w:t>
            </w:r>
          </w:p>
          <w:p w14:paraId="08ACD31D" w14:textId="6E8C16A2" w:rsidR="00657ACA" w:rsidRPr="0000591E" w:rsidRDefault="00657ACA" w:rsidP="00657ACA">
            <w:pPr>
              <w:rPr>
                <w:rFonts w:ascii="Arial" w:hAnsi="Arial" w:cs="Arial"/>
                <w:sz w:val="20"/>
                <w:szCs w:val="20"/>
                <w:lang w:eastAsia="cs-CZ"/>
              </w:rPr>
            </w:pPr>
          </w:p>
        </w:tc>
      </w:tr>
      <w:tr w:rsidR="00657ACA" w:rsidRPr="0000591E" w14:paraId="61C6260C" w14:textId="77777777" w:rsidTr="003F7925">
        <w:trPr>
          <w:gridAfter w:val="2"/>
          <w:wAfter w:w="154" w:type="dxa"/>
          <w:trHeight w:val="20"/>
        </w:trPr>
        <w:tc>
          <w:tcPr>
            <w:tcW w:w="1256" w:type="dxa"/>
            <w:tcBorders>
              <w:bottom w:val="single" w:sz="4" w:space="0" w:color="auto"/>
            </w:tcBorders>
            <w:noWrap/>
            <w:vAlign w:val="bottom"/>
          </w:tcPr>
          <w:p w14:paraId="4A06E837" w14:textId="77777777" w:rsidR="00657ACA" w:rsidRPr="00643870" w:rsidRDefault="00657ACA" w:rsidP="00657ACA">
            <w:pPr>
              <w:jc w:val="both"/>
              <w:rPr>
                <w:rFonts w:ascii="Arial" w:hAnsi="Arial" w:cs="Arial"/>
                <w:b/>
                <w:sz w:val="20"/>
                <w:szCs w:val="20"/>
                <w:lang w:eastAsia="cs-CZ"/>
              </w:rPr>
            </w:pPr>
            <w:r w:rsidRPr="00643870">
              <w:rPr>
                <w:rFonts w:ascii="Arial" w:hAnsi="Arial" w:cs="Arial"/>
                <w:b/>
                <w:sz w:val="20"/>
                <w:szCs w:val="20"/>
                <w:lang w:eastAsia="cs-CZ"/>
              </w:rPr>
              <w:t>J07AL02</w:t>
            </w:r>
          </w:p>
        </w:tc>
        <w:tc>
          <w:tcPr>
            <w:tcW w:w="9452" w:type="dxa"/>
            <w:tcBorders>
              <w:bottom w:val="single" w:sz="4" w:space="0" w:color="auto"/>
            </w:tcBorders>
            <w:noWrap/>
          </w:tcPr>
          <w:p w14:paraId="0607514A" w14:textId="77777777" w:rsidR="00657ACA" w:rsidRPr="00643870" w:rsidRDefault="00657ACA" w:rsidP="00657ACA">
            <w:pPr>
              <w:autoSpaceDE w:val="0"/>
              <w:autoSpaceDN w:val="0"/>
              <w:adjustRightInd w:val="0"/>
              <w:jc w:val="both"/>
              <w:rPr>
                <w:rFonts w:ascii="Arial" w:hAnsi="Arial" w:cs="Arial"/>
                <w:b/>
                <w:color w:val="000000"/>
                <w:sz w:val="20"/>
                <w:szCs w:val="20"/>
              </w:rPr>
            </w:pPr>
            <w:r w:rsidRPr="00643870">
              <w:rPr>
                <w:rFonts w:ascii="Arial" w:hAnsi="Arial" w:cs="Arial"/>
                <w:b/>
                <w:sz w:val="20"/>
                <w:szCs w:val="20"/>
              </w:rPr>
              <w:t>Očkovacia látka proti pneumokokom, purifikovaný polysacharidový antigén konjugovaný parent. 20-valentná</w:t>
            </w:r>
          </w:p>
        </w:tc>
      </w:tr>
      <w:tr w:rsidR="00657ACA" w:rsidRPr="0000591E" w14:paraId="7FD843DF" w14:textId="77777777" w:rsidTr="003F7925">
        <w:trPr>
          <w:gridAfter w:val="2"/>
          <w:wAfter w:w="154" w:type="dxa"/>
          <w:trHeight w:val="20"/>
        </w:trPr>
        <w:tc>
          <w:tcPr>
            <w:tcW w:w="1256" w:type="dxa"/>
            <w:tcBorders>
              <w:top w:val="single" w:sz="4" w:space="0" w:color="auto"/>
            </w:tcBorders>
            <w:noWrap/>
            <w:vAlign w:val="bottom"/>
          </w:tcPr>
          <w:p w14:paraId="09AE93F9" w14:textId="77777777" w:rsidR="00657ACA" w:rsidRPr="00FA0BC0" w:rsidRDefault="00657ACA" w:rsidP="00657ACA">
            <w:pPr>
              <w:jc w:val="both"/>
              <w:rPr>
                <w:rFonts w:ascii="Arial" w:hAnsi="Arial" w:cs="Arial"/>
                <w:color w:val="000000" w:themeColor="text1"/>
                <w:sz w:val="20"/>
                <w:szCs w:val="20"/>
                <w:lang w:eastAsia="cs-CZ"/>
              </w:rPr>
            </w:pPr>
          </w:p>
        </w:tc>
        <w:tc>
          <w:tcPr>
            <w:tcW w:w="9452" w:type="dxa"/>
            <w:tcBorders>
              <w:top w:val="single" w:sz="4" w:space="0" w:color="auto"/>
            </w:tcBorders>
            <w:noWrap/>
          </w:tcPr>
          <w:p w14:paraId="096F635E"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Vakcína ako plne hradená liečba sa indikuje v rámci povinného očkovania podľa § 7 ods. 6 vyhlášky u osôb umiestnených v zariadeniach sociálnych služieb.</w:t>
            </w:r>
          </w:p>
          <w:p w14:paraId="39BE7830" w14:textId="77777777" w:rsidR="005444F2" w:rsidRDefault="005444F2" w:rsidP="00657ACA">
            <w:pPr>
              <w:autoSpaceDE w:val="0"/>
              <w:autoSpaceDN w:val="0"/>
              <w:adjustRightInd w:val="0"/>
              <w:jc w:val="both"/>
              <w:rPr>
                <w:rFonts w:ascii="Arial" w:hAnsi="Arial" w:cs="Arial"/>
                <w:color w:val="000000" w:themeColor="text1"/>
                <w:sz w:val="20"/>
                <w:szCs w:val="20"/>
              </w:rPr>
            </w:pPr>
          </w:p>
          <w:p w14:paraId="1143D190" w14:textId="2A5FD6C1"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Vakcína ako plne hradená liečba sa indikuje v rámci odporúčaného očkovania podľa § 9 ods. 2 vyhlášky u</w:t>
            </w:r>
          </w:p>
          <w:p w14:paraId="71CB2E91"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a) osôb od dovŕšenia 18. roku veku dispenzarizovaných pre chronické ochorenie dýchacích ciest, srdcovo-cievneho aparátu, s metabolickými, renálnymi a imunitnými poruchami,</w:t>
            </w:r>
          </w:p>
          <w:p w14:paraId="1AC665CB"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b) osôb pred splenektómiou s funkčnou alebo anatomickou aspléniou,</w:t>
            </w:r>
          </w:p>
          <w:p w14:paraId="483BCCA0"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c) osôb 59 ročných a starších.</w:t>
            </w:r>
          </w:p>
          <w:p w14:paraId="5E8EE123" w14:textId="77777777" w:rsidR="005444F2" w:rsidRDefault="005444F2" w:rsidP="00657ACA">
            <w:pPr>
              <w:autoSpaceDE w:val="0"/>
              <w:autoSpaceDN w:val="0"/>
              <w:adjustRightInd w:val="0"/>
              <w:jc w:val="both"/>
              <w:rPr>
                <w:rFonts w:ascii="Arial" w:hAnsi="Arial" w:cs="Arial"/>
                <w:color w:val="000000" w:themeColor="text1"/>
                <w:sz w:val="20"/>
                <w:szCs w:val="20"/>
              </w:rPr>
            </w:pPr>
          </w:p>
          <w:p w14:paraId="3BA9882F" w14:textId="71DA4B7D" w:rsidR="00657ACA" w:rsidRDefault="005444F2" w:rsidP="00657ACA">
            <w:pPr>
              <w:autoSpaceDE w:val="0"/>
              <w:autoSpaceDN w:val="0"/>
              <w:adjustRightInd w:val="0"/>
              <w:jc w:val="both"/>
              <w:rPr>
                <w:rFonts w:ascii="Arial" w:hAnsi="Arial" w:cs="Arial"/>
                <w:color w:val="000000" w:themeColor="text1"/>
                <w:sz w:val="20"/>
                <w:szCs w:val="20"/>
              </w:rPr>
            </w:pPr>
            <w:r w:rsidRPr="005444F2">
              <w:rPr>
                <w:rFonts w:ascii="Arial" w:hAnsi="Arial" w:cs="Arial"/>
                <w:color w:val="000000" w:themeColor="text1"/>
                <w:sz w:val="20"/>
                <w:szCs w:val="20"/>
              </w:rPr>
              <w:t>Vakcína ako hradená liečba sa indikuje v rámci povinného pravidelného očkovania podľa § 6 ods. 1 vyhlášky č. 585/ 2008. Hradená je štvordávková očkovacia schéma.</w:t>
            </w:r>
          </w:p>
          <w:p w14:paraId="3925F296" w14:textId="5D40C327" w:rsidR="005444F2" w:rsidRPr="00FA0BC0" w:rsidRDefault="005444F2" w:rsidP="00657ACA">
            <w:pPr>
              <w:autoSpaceDE w:val="0"/>
              <w:autoSpaceDN w:val="0"/>
              <w:adjustRightInd w:val="0"/>
              <w:jc w:val="both"/>
              <w:rPr>
                <w:rFonts w:ascii="Arial" w:hAnsi="Arial" w:cs="Arial"/>
                <w:color w:val="000000" w:themeColor="text1"/>
                <w:sz w:val="20"/>
                <w:szCs w:val="20"/>
              </w:rPr>
            </w:pPr>
          </w:p>
        </w:tc>
      </w:tr>
      <w:tr w:rsidR="00657ACA" w:rsidRPr="0000591E" w14:paraId="16370A45" w14:textId="77777777" w:rsidTr="003F7925">
        <w:trPr>
          <w:gridAfter w:val="2"/>
          <w:wAfter w:w="154" w:type="dxa"/>
          <w:trHeight w:val="20"/>
        </w:trPr>
        <w:tc>
          <w:tcPr>
            <w:tcW w:w="1256" w:type="dxa"/>
            <w:tcBorders>
              <w:bottom w:val="single" w:sz="4" w:space="0" w:color="auto"/>
            </w:tcBorders>
            <w:noWrap/>
            <w:vAlign w:val="bottom"/>
          </w:tcPr>
          <w:p w14:paraId="26B0CAFC" w14:textId="77777777" w:rsidR="00657ACA" w:rsidRPr="00FA0BC0" w:rsidRDefault="00657ACA" w:rsidP="00657ACA">
            <w:pPr>
              <w:rPr>
                <w:rFonts w:ascii="Arial" w:hAnsi="Arial" w:cs="Arial"/>
                <w:b/>
                <w:color w:val="000000" w:themeColor="text1"/>
                <w:sz w:val="20"/>
              </w:rPr>
            </w:pPr>
            <w:r w:rsidRPr="00FA0BC0">
              <w:rPr>
                <w:rFonts w:ascii="Arial" w:hAnsi="Arial" w:cs="Arial"/>
                <w:b/>
                <w:color w:val="000000" w:themeColor="text1"/>
                <w:sz w:val="20"/>
              </w:rPr>
              <w:t>J07AL02</w:t>
            </w:r>
          </w:p>
        </w:tc>
        <w:tc>
          <w:tcPr>
            <w:tcW w:w="9452" w:type="dxa"/>
            <w:tcBorders>
              <w:bottom w:val="single" w:sz="4" w:space="0" w:color="auto"/>
            </w:tcBorders>
            <w:vAlign w:val="bottom"/>
          </w:tcPr>
          <w:p w14:paraId="6767DA85" w14:textId="77777777" w:rsidR="00657ACA" w:rsidRPr="00FA0BC0" w:rsidRDefault="00657ACA" w:rsidP="00657ACA">
            <w:pPr>
              <w:rPr>
                <w:rFonts w:ascii="Arial" w:hAnsi="Arial" w:cs="Arial"/>
                <w:b/>
                <w:bCs/>
                <w:color w:val="000000" w:themeColor="text1"/>
                <w:sz w:val="20"/>
                <w:szCs w:val="20"/>
              </w:rPr>
            </w:pPr>
            <w:r w:rsidRPr="00FA0BC0">
              <w:rPr>
                <w:rFonts w:ascii="Arial" w:hAnsi="Arial" w:cs="Arial"/>
                <w:b/>
                <w:bCs/>
                <w:color w:val="000000" w:themeColor="text1"/>
                <w:sz w:val="20"/>
                <w:szCs w:val="20"/>
              </w:rPr>
              <w:t>Očkovacia látka proti pneumokokom, purifikovaný polysacharidový antigén konjugovaný parent. 15-valentná</w:t>
            </w:r>
          </w:p>
        </w:tc>
      </w:tr>
      <w:tr w:rsidR="00657ACA" w:rsidRPr="0000591E" w14:paraId="0BF181B1" w14:textId="77777777" w:rsidTr="003F7925">
        <w:trPr>
          <w:gridAfter w:val="2"/>
          <w:wAfter w:w="154" w:type="dxa"/>
          <w:trHeight w:val="20"/>
        </w:trPr>
        <w:tc>
          <w:tcPr>
            <w:tcW w:w="1256" w:type="dxa"/>
            <w:noWrap/>
            <w:vAlign w:val="bottom"/>
          </w:tcPr>
          <w:p w14:paraId="5891A666" w14:textId="77777777" w:rsidR="00657ACA" w:rsidRPr="0000591E" w:rsidRDefault="00657ACA" w:rsidP="00657ACA">
            <w:pPr>
              <w:rPr>
                <w:rFonts w:ascii="Arial" w:hAnsi="Arial" w:cs="Arial"/>
                <w:b/>
                <w:sz w:val="20"/>
              </w:rPr>
            </w:pPr>
          </w:p>
        </w:tc>
        <w:tc>
          <w:tcPr>
            <w:tcW w:w="9452" w:type="dxa"/>
            <w:vAlign w:val="bottom"/>
          </w:tcPr>
          <w:p w14:paraId="66A96CC5" w14:textId="77777777" w:rsidR="00657ACA" w:rsidRDefault="00657ACA" w:rsidP="00657ACA">
            <w:pPr>
              <w:rPr>
                <w:rFonts w:ascii="Arial" w:hAnsi="Arial" w:cs="Arial"/>
                <w:bCs/>
                <w:sz w:val="20"/>
                <w:szCs w:val="20"/>
              </w:rPr>
            </w:pPr>
            <w:r w:rsidRPr="00BC5DF1">
              <w:rPr>
                <w:rFonts w:ascii="Arial" w:hAnsi="Arial" w:cs="Arial"/>
                <w:bCs/>
                <w:sz w:val="20"/>
                <w:szCs w:val="20"/>
              </w:rPr>
              <w:t>Vakcína ako hradená liečba sa indikuje v rámci povinného pravidelného očkovania podľa § 6 ods. 1 vyhlášky.</w:t>
            </w:r>
          </w:p>
          <w:p w14:paraId="0CBEB9FB" w14:textId="77777777" w:rsidR="00657ACA" w:rsidRPr="00BC5DF1" w:rsidRDefault="00657ACA" w:rsidP="00657ACA">
            <w:pPr>
              <w:rPr>
                <w:rFonts w:ascii="Arial" w:hAnsi="Arial" w:cs="Arial"/>
                <w:bCs/>
                <w:sz w:val="20"/>
                <w:szCs w:val="20"/>
              </w:rPr>
            </w:pPr>
          </w:p>
        </w:tc>
      </w:tr>
      <w:tr w:rsidR="00657ACA" w:rsidRPr="0000591E" w14:paraId="29CF4528" w14:textId="77777777" w:rsidTr="003F7925">
        <w:trPr>
          <w:gridAfter w:val="2"/>
          <w:wAfter w:w="154" w:type="dxa"/>
          <w:trHeight w:val="20"/>
        </w:trPr>
        <w:tc>
          <w:tcPr>
            <w:tcW w:w="1256" w:type="dxa"/>
            <w:tcBorders>
              <w:bottom w:val="single" w:sz="4" w:space="0" w:color="auto"/>
            </w:tcBorders>
            <w:noWrap/>
            <w:vAlign w:val="bottom"/>
          </w:tcPr>
          <w:p w14:paraId="4B091CEC" w14:textId="77777777" w:rsidR="00657ACA" w:rsidRPr="0000591E" w:rsidRDefault="00657ACA" w:rsidP="00657ACA">
            <w:pPr>
              <w:rPr>
                <w:rFonts w:ascii="Arial" w:hAnsi="Arial" w:cs="Arial"/>
                <w:b/>
                <w:bCs/>
                <w:sz w:val="20"/>
                <w:szCs w:val="20"/>
              </w:rPr>
            </w:pPr>
            <w:r w:rsidRPr="0000591E">
              <w:rPr>
                <w:rFonts w:ascii="Arial" w:hAnsi="Arial" w:cs="Arial"/>
                <w:b/>
                <w:sz w:val="20"/>
              </w:rPr>
              <w:t>J07AL52</w:t>
            </w:r>
          </w:p>
        </w:tc>
        <w:tc>
          <w:tcPr>
            <w:tcW w:w="9452" w:type="dxa"/>
            <w:tcBorders>
              <w:bottom w:val="single" w:sz="4" w:space="0" w:color="auto"/>
            </w:tcBorders>
            <w:vAlign w:val="bottom"/>
          </w:tcPr>
          <w:p w14:paraId="37A7575C"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 xml:space="preserve">Vakcína proti pneumokokom, purifikovaný polysacharidový konjugovaný antigén parent. </w:t>
            </w:r>
            <w:r>
              <w:rPr>
                <w:rFonts w:ascii="Arial" w:hAnsi="Arial" w:cs="Arial"/>
                <w:b/>
                <w:bCs/>
                <w:sz w:val="20"/>
                <w:szCs w:val="20"/>
              </w:rPr>
              <w:t xml:space="preserve">           </w:t>
            </w:r>
            <w:r w:rsidRPr="0000591E">
              <w:rPr>
                <w:rFonts w:ascii="Arial" w:hAnsi="Arial" w:cs="Arial"/>
                <w:b/>
                <w:bCs/>
                <w:sz w:val="20"/>
                <w:szCs w:val="20"/>
              </w:rPr>
              <w:t>10-valentná</w:t>
            </w:r>
          </w:p>
        </w:tc>
      </w:tr>
      <w:tr w:rsidR="00657ACA" w:rsidRPr="0000591E" w14:paraId="38407E58" w14:textId="77777777" w:rsidTr="003F7925">
        <w:trPr>
          <w:gridAfter w:val="2"/>
          <w:wAfter w:w="154" w:type="dxa"/>
          <w:trHeight w:val="20"/>
        </w:trPr>
        <w:tc>
          <w:tcPr>
            <w:tcW w:w="1256" w:type="dxa"/>
            <w:tcBorders>
              <w:top w:val="single" w:sz="4" w:space="0" w:color="auto"/>
            </w:tcBorders>
            <w:noWrap/>
            <w:vAlign w:val="bottom"/>
          </w:tcPr>
          <w:p w14:paraId="0F9CD61E"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0ECEF46C" w14:textId="77777777" w:rsidR="00657ACA" w:rsidRDefault="00657ACA" w:rsidP="00657ACA">
            <w:pPr>
              <w:pStyle w:val="Zkladntext"/>
              <w:jc w:val="both"/>
              <w:rPr>
                <w:lang w:val="sk-SK"/>
              </w:rPr>
            </w:pPr>
            <w:r w:rsidRPr="0000591E">
              <w:rPr>
                <w:lang w:val="sk-SK"/>
              </w:rPr>
              <w:t>Vakcína ako hradená liečba sa indikuje v rámci povinného pravide</w:t>
            </w:r>
            <w:r>
              <w:rPr>
                <w:lang w:val="sk-SK"/>
              </w:rPr>
              <w:t>lného očkovania podľa § 6 ods. 1</w:t>
            </w:r>
            <w:r w:rsidRPr="0000591E">
              <w:rPr>
                <w:lang w:val="sk-SK"/>
              </w:rPr>
              <w:t xml:space="preserve"> vyhlášky.</w:t>
            </w:r>
          </w:p>
          <w:p w14:paraId="34839D90" w14:textId="77777777" w:rsidR="00657ACA" w:rsidRPr="0000591E" w:rsidRDefault="00657ACA" w:rsidP="00657ACA">
            <w:pPr>
              <w:pStyle w:val="Zkladntext3"/>
              <w:widowControl w:val="0"/>
              <w:tabs>
                <w:tab w:val="left" w:pos="650"/>
              </w:tabs>
              <w:spacing w:after="0"/>
              <w:rPr>
                <w:rFonts w:ascii="Arial" w:hAnsi="Arial" w:cs="Arial"/>
                <w:b/>
                <w:bCs/>
                <w:sz w:val="20"/>
                <w:szCs w:val="20"/>
                <w:lang w:val="sk-SK"/>
              </w:rPr>
            </w:pPr>
          </w:p>
        </w:tc>
      </w:tr>
      <w:tr w:rsidR="00657ACA" w:rsidRPr="0000591E" w14:paraId="2DF969E2" w14:textId="77777777" w:rsidTr="003F7925">
        <w:trPr>
          <w:gridAfter w:val="2"/>
          <w:wAfter w:w="154" w:type="dxa"/>
          <w:trHeight w:val="20"/>
        </w:trPr>
        <w:tc>
          <w:tcPr>
            <w:tcW w:w="1256" w:type="dxa"/>
            <w:tcBorders>
              <w:bottom w:val="single" w:sz="4" w:space="0" w:color="auto"/>
            </w:tcBorders>
            <w:noWrap/>
            <w:vAlign w:val="bottom"/>
          </w:tcPr>
          <w:p w14:paraId="199709F7"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J07AM51</w:t>
            </w:r>
          </w:p>
        </w:tc>
        <w:tc>
          <w:tcPr>
            <w:tcW w:w="9452" w:type="dxa"/>
            <w:tcBorders>
              <w:bottom w:val="single" w:sz="4" w:space="0" w:color="auto"/>
            </w:tcBorders>
            <w:noWrap/>
            <w:vAlign w:val="bottom"/>
          </w:tcPr>
          <w:p w14:paraId="5265FF21"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Tetanický toxoid, kombinácie s difterickým toxoidom parent.</w:t>
            </w:r>
          </w:p>
        </w:tc>
      </w:tr>
      <w:tr w:rsidR="00657ACA" w:rsidRPr="0000591E" w14:paraId="73978F92" w14:textId="77777777" w:rsidTr="003F7925">
        <w:trPr>
          <w:gridAfter w:val="2"/>
          <w:wAfter w:w="154" w:type="dxa"/>
          <w:trHeight w:val="20"/>
        </w:trPr>
        <w:tc>
          <w:tcPr>
            <w:tcW w:w="1256" w:type="dxa"/>
            <w:tcBorders>
              <w:top w:val="single" w:sz="4" w:space="0" w:color="auto"/>
            </w:tcBorders>
            <w:noWrap/>
            <w:vAlign w:val="bottom"/>
          </w:tcPr>
          <w:p w14:paraId="545FD539"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7B83C88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povinného pravidelného očkovania podľa § 6 ods. 4 vyhlášky každých 15 rokov.</w:t>
            </w:r>
          </w:p>
          <w:p w14:paraId="09B1585D" w14:textId="77777777" w:rsidR="00657ACA" w:rsidRPr="0000591E" w:rsidRDefault="00657ACA" w:rsidP="00657ACA">
            <w:pPr>
              <w:jc w:val="both"/>
              <w:rPr>
                <w:rFonts w:ascii="Arial" w:hAnsi="Arial" w:cs="Arial"/>
                <w:sz w:val="20"/>
                <w:szCs w:val="20"/>
                <w:lang w:eastAsia="cs-CZ"/>
              </w:rPr>
            </w:pPr>
          </w:p>
        </w:tc>
      </w:tr>
      <w:tr w:rsidR="00657ACA" w:rsidRPr="0000591E" w14:paraId="232D7C05" w14:textId="77777777" w:rsidTr="003F7925">
        <w:trPr>
          <w:gridAfter w:val="2"/>
          <w:wAfter w:w="154" w:type="dxa"/>
          <w:trHeight w:val="20"/>
        </w:trPr>
        <w:tc>
          <w:tcPr>
            <w:tcW w:w="1256" w:type="dxa"/>
            <w:tcBorders>
              <w:bottom w:val="single" w:sz="4" w:space="0" w:color="auto"/>
            </w:tcBorders>
            <w:noWrap/>
            <w:vAlign w:val="bottom"/>
          </w:tcPr>
          <w:p w14:paraId="186BBF30" w14:textId="77777777" w:rsidR="00657ACA" w:rsidRPr="0000591E" w:rsidRDefault="00657ACA" w:rsidP="00657ACA">
            <w:pPr>
              <w:pStyle w:val="Nadpis3"/>
              <w:rPr>
                <w:rFonts w:cs="Times New Roman"/>
                <w:lang w:val="sk-SK" w:eastAsia="sk-SK"/>
              </w:rPr>
            </w:pPr>
            <w:r>
              <w:rPr>
                <w:rFonts w:cs="Times New Roman"/>
                <w:lang w:val="sk-SK" w:eastAsia="sk-SK"/>
              </w:rPr>
              <w:t>J07BB03</w:t>
            </w:r>
          </w:p>
        </w:tc>
        <w:tc>
          <w:tcPr>
            <w:tcW w:w="9452" w:type="dxa"/>
            <w:tcBorders>
              <w:bottom w:val="single" w:sz="4" w:space="0" w:color="auto"/>
            </w:tcBorders>
            <w:noWrap/>
            <w:vAlign w:val="bottom"/>
          </w:tcPr>
          <w:p w14:paraId="789264AF"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Očkovacia látka proti chrípke (živá atenuovaná, nosová) nasal.</w:t>
            </w:r>
          </w:p>
        </w:tc>
      </w:tr>
      <w:tr w:rsidR="00657ACA" w:rsidRPr="0000591E" w14:paraId="1AC00C37" w14:textId="77777777" w:rsidTr="003F7925">
        <w:trPr>
          <w:gridAfter w:val="2"/>
          <w:wAfter w:w="154" w:type="dxa"/>
          <w:trHeight w:val="20"/>
        </w:trPr>
        <w:tc>
          <w:tcPr>
            <w:tcW w:w="1256" w:type="dxa"/>
            <w:tcBorders>
              <w:top w:val="single" w:sz="4" w:space="0" w:color="auto"/>
            </w:tcBorders>
            <w:noWrap/>
            <w:vAlign w:val="bottom"/>
          </w:tcPr>
          <w:p w14:paraId="22FB9BC4" w14:textId="77777777" w:rsidR="00657ACA" w:rsidRDefault="00657ACA" w:rsidP="00657ACA">
            <w:pPr>
              <w:pStyle w:val="Nadpis3"/>
              <w:rPr>
                <w:rFonts w:cs="Times New Roman"/>
                <w:lang w:val="sk-SK" w:eastAsia="sk-SK"/>
              </w:rPr>
            </w:pPr>
          </w:p>
        </w:tc>
        <w:tc>
          <w:tcPr>
            <w:tcW w:w="9452" w:type="dxa"/>
            <w:tcBorders>
              <w:top w:val="single" w:sz="4" w:space="0" w:color="auto"/>
            </w:tcBorders>
            <w:noWrap/>
            <w:vAlign w:val="bottom"/>
          </w:tcPr>
          <w:p w14:paraId="783A2ABD" w14:textId="77777777" w:rsidR="00657ACA" w:rsidRDefault="00657ACA" w:rsidP="00657ACA">
            <w:pPr>
              <w:jc w:val="both"/>
              <w:rPr>
                <w:rFonts w:ascii="Arial" w:hAnsi="Arial" w:cs="Arial"/>
                <w:color w:val="000000"/>
                <w:sz w:val="20"/>
                <w:szCs w:val="20"/>
              </w:rPr>
            </w:pPr>
            <w:r w:rsidRPr="00977100">
              <w:rPr>
                <w:rFonts w:ascii="Arial" w:hAnsi="Arial" w:cs="Arial"/>
                <w:color w:val="000000"/>
                <w:sz w:val="20"/>
                <w:szCs w:val="20"/>
              </w:rPr>
              <w:t xml:space="preserve">Vakcína ako hradená liečba sa indikuje v rámci povinného očkovania podľa § 7 ods. 5 vyhlášky u osôb umiestnených v zariadeniach sociálnych služieb a indikuje sa v rámci odporúčaného očkovania podľa § 9 ods. 1 vyhlášky u detí od dovŕšenia druhého roku veku do dovŕšenia 12. roku veku.  </w:t>
            </w:r>
          </w:p>
          <w:p w14:paraId="299380C7" w14:textId="49B3225D" w:rsidR="00657ACA" w:rsidRPr="00977100" w:rsidRDefault="00657ACA" w:rsidP="00657ACA">
            <w:pPr>
              <w:jc w:val="both"/>
              <w:rPr>
                <w:rFonts w:ascii="Arial" w:hAnsi="Arial" w:cs="Arial"/>
                <w:b/>
                <w:bCs/>
                <w:sz w:val="20"/>
                <w:szCs w:val="20"/>
              </w:rPr>
            </w:pPr>
          </w:p>
        </w:tc>
      </w:tr>
      <w:tr w:rsidR="00657ACA" w:rsidRPr="0000591E" w14:paraId="6282F2D7" w14:textId="77777777" w:rsidTr="003F7925">
        <w:trPr>
          <w:gridAfter w:val="2"/>
          <w:wAfter w:w="154" w:type="dxa"/>
          <w:trHeight w:val="20"/>
        </w:trPr>
        <w:tc>
          <w:tcPr>
            <w:tcW w:w="1256" w:type="dxa"/>
            <w:tcBorders>
              <w:bottom w:val="single" w:sz="4" w:space="0" w:color="auto"/>
            </w:tcBorders>
            <w:noWrap/>
            <w:vAlign w:val="bottom"/>
          </w:tcPr>
          <w:p w14:paraId="689E726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J07BC01</w:t>
            </w:r>
          </w:p>
        </w:tc>
        <w:tc>
          <w:tcPr>
            <w:tcW w:w="9452" w:type="dxa"/>
            <w:tcBorders>
              <w:bottom w:val="single" w:sz="4" w:space="0" w:color="auto"/>
            </w:tcBorders>
            <w:noWrap/>
            <w:vAlign w:val="bottom"/>
          </w:tcPr>
          <w:p w14:paraId="219815A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Vakcíny proti hepatitíde B, purifikovaný antigén parent 20 µg povinné očkovanie</w:t>
            </w:r>
          </w:p>
        </w:tc>
      </w:tr>
      <w:tr w:rsidR="00657ACA" w:rsidRPr="0000591E" w14:paraId="228A982C" w14:textId="77777777" w:rsidTr="003F7925">
        <w:trPr>
          <w:gridAfter w:val="2"/>
          <w:wAfter w:w="154" w:type="dxa"/>
          <w:trHeight w:val="20"/>
        </w:trPr>
        <w:tc>
          <w:tcPr>
            <w:tcW w:w="1256" w:type="dxa"/>
            <w:tcBorders>
              <w:top w:val="single" w:sz="4" w:space="0" w:color="auto"/>
            </w:tcBorders>
            <w:noWrap/>
            <w:vAlign w:val="bottom"/>
          </w:tcPr>
          <w:p w14:paraId="54AB2022"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43FCA61F" w14:textId="77777777" w:rsidR="00657ACA" w:rsidRPr="0000591E" w:rsidRDefault="00657ACA" w:rsidP="00657ACA">
            <w:pPr>
              <w:jc w:val="both"/>
              <w:rPr>
                <w:rFonts w:ascii="Arial" w:hAnsi="Arial" w:cs="Arial"/>
                <w:sz w:val="20"/>
                <w:szCs w:val="20"/>
                <w:lang w:eastAsia="cs-CZ"/>
              </w:rPr>
            </w:pPr>
            <w:r w:rsidRPr="0000591E">
              <w:rPr>
                <w:rFonts w:ascii="Arial" w:hAnsi="Arial" w:cs="Arial"/>
                <w:sz w:val="20"/>
                <w:szCs w:val="20"/>
              </w:rPr>
              <w:t>Vakcína ako hradená liečba sa indikuje v rámci povinného očkovania podľa § 7 ods. 2 vyhlášky u</w:t>
            </w:r>
          </w:p>
          <w:p w14:paraId="4E7DD112"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lang w:eastAsia="cs-CZ"/>
              </w:rPr>
              <w:t>osôb žijúcich v spoločnej domácnosti s nosičom HBsAg alebo osobou chorou na vírusový zápal pečene typu B, u ktorej sa laboratórnym vyšetrením zistí, že nemá protilátky proti hepatitíde typu B,</w:t>
            </w:r>
          </w:p>
          <w:p w14:paraId="4BCA8943"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osôb pripravovaných na dialýzu alebo dialyzovaných osôb, ak neboli očkované pred dialýzou,</w:t>
            </w:r>
          </w:p>
          <w:p w14:paraId="3400B47E"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lang w:eastAsia="cs-CZ"/>
              </w:rPr>
              <w:t>osôb pripravených na transplantáciu orgánov,</w:t>
            </w:r>
          </w:p>
          <w:p w14:paraId="1A1927DB"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žiakov stredných zdravotníckych škôl a študentov zdravotníckych študijných odborov na vysokých školách tak, aby pri nástupe na praktické vyučovanie mali podané najmenej dve dávky očkovacej látky,</w:t>
            </w:r>
          </w:p>
          <w:p w14:paraId="521ACD7B"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 xml:space="preserve">osôb vystavených riziku nákazy pri poranení na základe posúdenia charakteru poranenia a zhodnotenia údajov o predchádzajúcom očkovaní, </w:t>
            </w:r>
          </w:p>
          <w:p w14:paraId="6949C81D"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 xml:space="preserve">osôb umiestnených v zariadeniach sociálnych služieb pre mentálne postihnutých a detí, ktoré sú umiestnené v resocializačných strediskách pre drogovo závislé osoby. </w:t>
            </w:r>
          </w:p>
          <w:p w14:paraId="5DCBD376" w14:textId="77777777" w:rsidR="00657ACA" w:rsidRPr="0000591E" w:rsidRDefault="00657ACA" w:rsidP="00657ACA">
            <w:pPr>
              <w:jc w:val="both"/>
              <w:rPr>
                <w:rFonts w:ascii="Arial" w:hAnsi="Arial" w:cs="Arial"/>
                <w:sz w:val="20"/>
                <w:szCs w:val="20"/>
                <w:lang w:eastAsia="cs-CZ"/>
              </w:rPr>
            </w:pPr>
            <w:r w:rsidRPr="0000591E">
              <w:rPr>
                <w:rFonts w:ascii="Arial" w:hAnsi="Arial" w:cs="Arial"/>
                <w:sz w:val="20"/>
                <w:szCs w:val="20"/>
              </w:rPr>
              <w:t xml:space="preserve">Vakcína ako hradená liečba sa indikuje v rámci odporúčaného očkovania podľa § 9 ods. 3 vyhlášky u </w:t>
            </w:r>
          </w:p>
          <w:p w14:paraId="6F7C450F"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lang w:eastAsia="cs-CZ"/>
              </w:rPr>
              <w:t>osôb dispenzarizovaných pre chronické ochorenia pečene,</w:t>
            </w:r>
          </w:p>
          <w:p w14:paraId="0D723F92"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hemofilikov,</w:t>
            </w:r>
          </w:p>
          <w:p w14:paraId="72FD85E6"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diabetikov,</w:t>
            </w:r>
          </w:p>
          <w:p w14:paraId="0306BBCC"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osôb s cystickou fibrózou,</w:t>
            </w:r>
          </w:p>
          <w:p w14:paraId="345F42AC"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intravenóznych narkomanov,</w:t>
            </w:r>
          </w:p>
          <w:p w14:paraId="458D97DA"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homosexuálov,</w:t>
            </w:r>
          </w:p>
          <w:p w14:paraId="64076F18" w14:textId="77777777" w:rsidR="00657ACA" w:rsidRDefault="00657ACA">
            <w:pPr>
              <w:numPr>
                <w:ilvl w:val="0"/>
                <w:numId w:val="42"/>
              </w:numPr>
              <w:jc w:val="both"/>
              <w:rPr>
                <w:rFonts w:ascii="Arial" w:hAnsi="Arial" w:cs="Arial"/>
                <w:sz w:val="20"/>
                <w:szCs w:val="20"/>
                <w:lang w:eastAsia="cs-CZ"/>
              </w:rPr>
            </w:pPr>
            <w:r w:rsidRPr="0000591E">
              <w:rPr>
                <w:rFonts w:ascii="Arial" w:hAnsi="Arial" w:cs="Arial"/>
                <w:sz w:val="20"/>
                <w:szCs w:val="20"/>
              </w:rPr>
              <w:t>promiskuitných osôb.</w:t>
            </w:r>
          </w:p>
          <w:p w14:paraId="4A1F0188" w14:textId="11DED0D3" w:rsidR="00657ACA" w:rsidRPr="0000591E" w:rsidRDefault="00657ACA" w:rsidP="00657ACA">
            <w:pPr>
              <w:jc w:val="both"/>
              <w:rPr>
                <w:rFonts w:ascii="Arial" w:hAnsi="Arial" w:cs="Arial"/>
                <w:b/>
                <w:bCs/>
                <w:sz w:val="20"/>
                <w:szCs w:val="20"/>
              </w:rPr>
            </w:pPr>
          </w:p>
        </w:tc>
      </w:tr>
      <w:tr w:rsidR="00657ACA" w:rsidRPr="0000591E" w14:paraId="36741CA1" w14:textId="77777777" w:rsidTr="003F7925">
        <w:trPr>
          <w:gridAfter w:val="2"/>
          <w:wAfter w:w="154" w:type="dxa"/>
          <w:trHeight w:val="20"/>
        </w:trPr>
        <w:tc>
          <w:tcPr>
            <w:tcW w:w="1256" w:type="dxa"/>
            <w:tcBorders>
              <w:bottom w:val="single" w:sz="4" w:space="0" w:color="auto"/>
            </w:tcBorders>
            <w:noWrap/>
            <w:vAlign w:val="bottom"/>
          </w:tcPr>
          <w:p w14:paraId="39FC9AB0"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J07BC02</w:t>
            </w:r>
          </w:p>
        </w:tc>
        <w:tc>
          <w:tcPr>
            <w:tcW w:w="9452" w:type="dxa"/>
            <w:tcBorders>
              <w:bottom w:val="single" w:sz="4" w:space="0" w:color="auto"/>
            </w:tcBorders>
            <w:vAlign w:val="bottom"/>
          </w:tcPr>
          <w:p w14:paraId="2AC72F73"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 xml:space="preserve">Vakcína proti vírusovej hepatitíde A, inaktivovaný celobunkový vírus parent. </w:t>
            </w:r>
          </w:p>
        </w:tc>
      </w:tr>
      <w:tr w:rsidR="00657ACA" w:rsidRPr="0000591E" w14:paraId="4B7A9A8F" w14:textId="77777777" w:rsidTr="003F7925">
        <w:trPr>
          <w:gridAfter w:val="2"/>
          <w:wAfter w:w="154" w:type="dxa"/>
          <w:trHeight w:val="20"/>
        </w:trPr>
        <w:tc>
          <w:tcPr>
            <w:tcW w:w="1256" w:type="dxa"/>
            <w:tcBorders>
              <w:top w:val="single" w:sz="4" w:space="0" w:color="auto"/>
            </w:tcBorders>
            <w:noWrap/>
            <w:vAlign w:val="bottom"/>
          </w:tcPr>
          <w:p w14:paraId="1F7B1BC4"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50E4E86C"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povinného očkovania podľa § 7 ods. 7 vyhlášky u osôb v priamom kontakte s chorou osobou s vírusovým zápalom pečene typu A na základe rozhodnutia Regionálneho úradu verejného zdravotníctva o lekárskom dohľade alebo zvýšenom zdravotnom dozore.</w:t>
            </w:r>
          </w:p>
          <w:p w14:paraId="78B5563E"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odporúčaného očkovania podľa § 9 ods. 4 vyhlášky u osôb</w:t>
            </w:r>
          </w:p>
          <w:p w14:paraId="5FBA6EA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a) dispenzarizovaných pre chronické ochorenia pečene,</w:t>
            </w:r>
          </w:p>
          <w:p w14:paraId="0E33C653" w14:textId="77777777" w:rsidR="00657ACA" w:rsidRPr="0000591E" w:rsidRDefault="00657ACA" w:rsidP="00657ACA">
            <w:pPr>
              <w:jc w:val="both"/>
              <w:rPr>
                <w:rFonts w:ascii="Arial" w:hAnsi="Arial" w:cs="Arial"/>
                <w:sz w:val="20"/>
                <w:szCs w:val="20"/>
                <w:lang w:eastAsia="cs-CZ"/>
              </w:rPr>
            </w:pPr>
            <w:r w:rsidRPr="0000591E">
              <w:rPr>
                <w:rFonts w:ascii="Arial" w:hAnsi="Arial" w:cs="Arial"/>
                <w:sz w:val="20"/>
                <w:szCs w:val="20"/>
              </w:rPr>
              <w:t>b) vo veku dvoch rokov, žijúcich v miestach s nízkym sociálno-hygienickým štandardom, bez prístupu k pitnej vode, bez odkanalizovania odpadových vôd alebo s nízkym štandardom bývania.</w:t>
            </w:r>
          </w:p>
          <w:p w14:paraId="734C26D4" w14:textId="77777777" w:rsidR="00657ACA" w:rsidRPr="0000591E" w:rsidRDefault="00657ACA" w:rsidP="00657ACA">
            <w:pPr>
              <w:ind w:left="360"/>
              <w:jc w:val="both"/>
              <w:rPr>
                <w:rFonts w:ascii="Arial" w:hAnsi="Arial" w:cs="Arial"/>
                <w:sz w:val="20"/>
                <w:szCs w:val="20"/>
                <w:lang w:eastAsia="cs-CZ"/>
              </w:rPr>
            </w:pPr>
          </w:p>
        </w:tc>
      </w:tr>
      <w:tr w:rsidR="00657ACA" w:rsidRPr="0000591E" w14:paraId="3B3AF975" w14:textId="77777777" w:rsidTr="003F7925">
        <w:trPr>
          <w:gridAfter w:val="2"/>
          <w:wAfter w:w="154" w:type="dxa"/>
          <w:trHeight w:val="20"/>
        </w:trPr>
        <w:tc>
          <w:tcPr>
            <w:tcW w:w="1256" w:type="dxa"/>
            <w:tcBorders>
              <w:bottom w:val="single" w:sz="4" w:space="0" w:color="auto"/>
            </w:tcBorders>
            <w:noWrap/>
            <w:vAlign w:val="bottom"/>
          </w:tcPr>
          <w:p w14:paraId="3988506B"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J07BD52</w:t>
            </w:r>
          </w:p>
        </w:tc>
        <w:tc>
          <w:tcPr>
            <w:tcW w:w="9452" w:type="dxa"/>
            <w:tcBorders>
              <w:bottom w:val="single" w:sz="4" w:space="0" w:color="auto"/>
            </w:tcBorders>
            <w:vAlign w:val="bottom"/>
          </w:tcPr>
          <w:p w14:paraId="3D81E500" w14:textId="77777777" w:rsidR="00657ACA" w:rsidRPr="0000591E" w:rsidRDefault="00657ACA" w:rsidP="00657ACA">
            <w:pPr>
              <w:jc w:val="both"/>
              <w:rPr>
                <w:rFonts w:ascii="Arial" w:hAnsi="Arial" w:cs="Arial"/>
                <w:b/>
                <w:bCs/>
                <w:sz w:val="20"/>
                <w:szCs w:val="20"/>
                <w:lang w:eastAsia="cs-CZ"/>
              </w:rPr>
            </w:pPr>
            <w:r>
              <w:rPr>
                <w:rFonts w:ascii="Arial" w:hAnsi="Arial" w:cs="Arial"/>
                <w:b/>
                <w:bCs/>
                <w:sz w:val="20"/>
                <w:szCs w:val="20"/>
              </w:rPr>
              <w:t xml:space="preserve">Očkovacia látka </w:t>
            </w:r>
            <w:r w:rsidRPr="0000591E">
              <w:rPr>
                <w:rFonts w:ascii="Arial" w:hAnsi="Arial" w:cs="Arial"/>
                <w:b/>
                <w:bCs/>
                <w:sz w:val="20"/>
                <w:szCs w:val="20"/>
              </w:rPr>
              <w:t>pr</w:t>
            </w:r>
            <w:r>
              <w:rPr>
                <w:rFonts w:ascii="Arial" w:hAnsi="Arial" w:cs="Arial"/>
                <w:b/>
                <w:bCs/>
                <w:sz w:val="20"/>
                <w:szCs w:val="20"/>
              </w:rPr>
              <w:t>oti osýpkam, kombinácie s mumpsom a  ružienkou, živá oslabená</w:t>
            </w:r>
            <w:r w:rsidRPr="0000591E">
              <w:rPr>
                <w:rFonts w:ascii="Arial" w:hAnsi="Arial" w:cs="Arial"/>
                <w:b/>
                <w:bCs/>
                <w:sz w:val="20"/>
                <w:szCs w:val="20"/>
              </w:rPr>
              <w:t xml:space="preserve"> parent.</w:t>
            </w:r>
          </w:p>
        </w:tc>
      </w:tr>
      <w:tr w:rsidR="00657ACA" w:rsidRPr="0000591E" w14:paraId="29817B9F" w14:textId="77777777" w:rsidTr="003F7925">
        <w:trPr>
          <w:gridAfter w:val="2"/>
          <w:wAfter w:w="154" w:type="dxa"/>
          <w:trHeight w:val="20"/>
        </w:trPr>
        <w:tc>
          <w:tcPr>
            <w:tcW w:w="1256" w:type="dxa"/>
            <w:tcBorders>
              <w:top w:val="single" w:sz="4" w:space="0" w:color="auto"/>
            </w:tcBorders>
            <w:noWrap/>
            <w:vAlign w:val="bottom"/>
          </w:tcPr>
          <w:p w14:paraId="6080C9C7"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47C9D40C" w14:textId="77777777" w:rsidR="00657ACA" w:rsidRDefault="00657ACA" w:rsidP="00657ACA">
            <w:pPr>
              <w:jc w:val="both"/>
              <w:rPr>
                <w:rFonts w:ascii="Arial" w:hAnsi="Arial" w:cs="Arial"/>
                <w:sz w:val="20"/>
                <w:szCs w:val="20"/>
              </w:rPr>
            </w:pPr>
            <w:r w:rsidRPr="005E48AD">
              <w:rPr>
                <w:rFonts w:ascii="Arial" w:hAnsi="Arial" w:cs="Arial"/>
                <w:sz w:val="20"/>
                <w:szCs w:val="20"/>
              </w:rPr>
              <w:t>Vakcína ako hradená liečba sa indikuje v rámci povinného</w:t>
            </w:r>
            <w:r>
              <w:rPr>
                <w:rFonts w:ascii="Arial" w:hAnsi="Arial" w:cs="Arial"/>
                <w:sz w:val="20"/>
                <w:szCs w:val="20"/>
              </w:rPr>
              <w:t xml:space="preserve"> pravidelného očkovania podľa </w:t>
            </w:r>
            <w:r w:rsidRPr="005E48AD">
              <w:rPr>
                <w:rFonts w:ascii="Arial" w:hAnsi="Arial" w:cs="Arial"/>
                <w:sz w:val="20"/>
                <w:szCs w:val="20"/>
              </w:rPr>
              <w:t>§ 6 ods. 2 vyhlášky č. 585/2008 Z. z. ktorou sa ustanovujú podrobnosti o prevencii a kontrole prenosných ochorení a o zmene a doplnení niektorých zákonov v znení neskorších predpisov (ďalej len „vyhláška“) a / alebo podľa Prílohy 2 Časť A ods. 2 vyhlášky.</w:t>
            </w:r>
          </w:p>
          <w:p w14:paraId="3736DA98" w14:textId="77777777" w:rsidR="00657ACA" w:rsidRDefault="00657ACA" w:rsidP="00657ACA">
            <w:pPr>
              <w:jc w:val="both"/>
              <w:rPr>
                <w:rFonts w:ascii="Arial" w:hAnsi="Arial" w:cs="Arial"/>
                <w:sz w:val="20"/>
                <w:szCs w:val="20"/>
              </w:rPr>
            </w:pPr>
            <w:r>
              <w:rPr>
                <w:rFonts w:ascii="Arial" w:hAnsi="Arial" w:cs="Arial"/>
                <w:sz w:val="20"/>
                <w:szCs w:val="20"/>
              </w:rPr>
              <w:t xml:space="preserve">Vakcína ako hradená liečba </w:t>
            </w:r>
            <w:r w:rsidRPr="00C44DC7">
              <w:rPr>
                <w:rFonts w:ascii="Arial" w:hAnsi="Arial" w:cs="Arial"/>
                <w:sz w:val="20"/>
                <w:szCs w:val="20"/>
              </w:rPr>
              <w:t>sa indikuje osobám po transplantácii krvotvorných buniek podľa § 9 ods. 7 vyhlášky</w:t>
            </w:r>
            <w:r>
              <w:rPr>
                <w:rFonts w:ascii="Arial" w:hAnsi="Arial" w:cs="Arial"/>
                <w:sz w:val="20"/>
                <w:szCs w:val="20"/>
              </w:rPr>
              <w:t>.</w:t>
            </w:r>
          </w:p>
          <w:p w14:paraId="24D8BAC2" w14:textId="20AD6636" w:rsidR="00657ACA" w:rsidRPr="0000591E" w:rsidRDefault="00657ACA" w:rsidP="00657ACA">
            <w:pPr>
              <w:jc w:val="both"/>
              <w:rPr>
                <w:rFonts w:ascii="Arial" w:hAnsi="Arial" w:cs="Arial"/>
                <w:sz w:val="20"/>
                <w:szCs w:val="20"/>
              </w:rPr>
            </w:pPr>
          </w:p>
        </w:tc>
      </w:tr>
      <w:tr w:rsidR="00657ACA" w:rsidRPr="0000591E" w14:paraId="4D442898" w14:textId="77777777" w:rsidTr="003F7925">
        <w:trPr>
          <w:gridAfter w:val="2"/>
          <w:wAfter w:w="154" w:type="dxa"/>
          <w:trHeight w:val="20"/>
        </w:trPr>
        <w:tc>
          <w:tcPr>
            <w:tcW w:w="1256" w:type="dxa"/>
            <w:tcBorders>
              <w:bottom w:val="single" w:sz="4" w:space="0" w:color="auto"/>
            </w:tcBorders>
            <w:noWrap/>
            <w:vAlign w:val="bottom"/>
          </w:tcPr>
          <w:p w14:paraId="38E0BC8B" w14:textId="77777777" w:rsidR="00657ACA" w:rsidRPr="007C78FA" w:rsidRDefault="00657ACA" w:rsidP="00657ACA">
            <w:pPr>
              <w:jc w:val="both"/>
              <w:rPr>
                <w:rFonts w:ascii="Arial" w:hAnsi="Arial" w:cs="Arial"/>
                <w:b/>
                <w:bCs/>
                <w:color w:val="000000" w:themeColor="text1"/>
                <w:sz w:val="20"/>
                <w:szCs w:val="20"/>
                <w:lang w:eastAsia="cs-CZ"/>
              </w:rPr>
            </w:pPr>
            <w:r w:rsidRPr="007C78FA">
              <w:rPr>
                <w:rFonts w:ascii="Arial" w:hAnsi="Arial" w:cs="Arial"/>
                <w:b/>
                <w:bCs/>
                <w:color w:val="000000" w:themeColor="text1"/>
                <w:sz w:val="20"/>
                <w:szCs w:val="20"/>
                <w:lang w:eastAsia="cs-CZ"/>
              </w:rPr>
              <w:t>J07BH01</w:t>
            </w:r>
          </w:p>
        </w:tc>
        <w:tc>
          <w:tcPr>
            <w:tcW w:w="9452" w:type="dxa"/>
            <w:tcBorders>
              <w:bottom w:val="single" w:sz="4" w:space="0" w:color="auto"/>
            </w:tcBorders>
          </w:tcPr>
          <w:p w14:paraId="20ADF95D" w14:textId="77777777" w:rsidR="00657ACA" w:rsidRPr="007C78FA" w:rsidRDefault="00657ACA" w:rsidP="00657ACA">
            <w:pPr>
              <w:jc w:val="both"/>
              <w:rPr>
                <w:rFonts w:ascii="Arial" w:hAnsi="Arial" w:cs="Arial"/>
                <w:color w:val="000000" w:themeColor="text1"/>
                <w:sz w:val="20"/>
                <w:szCs w:val="20"/>
                <w:lang w:eastAsia="cs-CZ"/>
              </w:rPr>
            </w:pPr>
            <w:r w:rsidRPr="007C78FA">
              <w:rPr>
                <w:rFonts w:ascii="Arial" w:hAnsi="Arial" w:cs="Arial"/>
                <w:b/>
                <w:bCs/>
                <w:color w:val="000000" w:themeColor="text1"/>
                <w:sz w:val="20"/>
                <w:szCs w:val="20"/>
              </w:rPr>
              <w:t>Vakcína proti rotavírusom, živá, atenuovaná p.o.</w:t>
            </w:r>
          </w:p>
        </w:tc>
      </w:tr>
      <w:tr w:rsidR="00657ACA" w:rsidRPr="0000591E" w14:paraId="7DAB591C" w14:textId="77777777" w:rsidTr="003F7925">
        <w:trPr>
          <w:gridBefore w:val="1"/>
          <w:gridAfter w:val="2"/>
          <w:wBefore w:w="1256" w:type="dxa"/>
          <w:wAfter w:w="154" w:type="dxa"/>
          <w:trHeight w:val="20"/>
        </w:trPr>
        <w:tc>
          <w:tcPr>
            <w:tcW w:w="9452" w:type="dxa"/>
            <w:noWrap/>
          </w:tcPr>
          <w:p w14:paraId="4AD637D1" w14:textId="77777777" w:rsidR="00657ACA" w:rsidRPr="007C78FA" w:rsidRDefault="00657ACA" w:rsidP="00657ACA">
            <w:pPr>
              <w:rPr>
                <w:rFonts w:ascii="Arial" w:hAnsi="Arial" w:cs="Arial"/>
                <w:color w:val="000000" w:themeColor="text1"/>
                <w:sz w:val="20"/>
                <w:szCs w:val="20"/>
              </w:rPr>
            </w:pPr>
            <w:r w:rsidRPr="007C78FA">
              <w:rPr>
                <w:rFonts w:ascii="Arial" w:hAnsi="Arial" w:cs="Arial"/>
                <w:color w:val="000000" w:themeColor="text1"/>
                <w:sz w:val="20"/>
                <w:szCs w:val="20"/>
              </w:rPr>
              <w:t xml:space="preserve">Vakcína ako hradená liečba sa môže indikovať na aktívnu imunizáciu detí vo veku od šiestich týždňov do šiestich mesiacov veku života ako prevencia gastroenteritídy spôsobenej rotavírusovou infekciou. </w:t>
            </w:r>
          </w:p>
          <w:p w14:paraId="17283CA6" w14:textId="77777777" w:rsidR="00657ACA" w:rsidRPr="007C78FA" w:rsidRDefault="00657ACA" w:rsidP="00657ACA">
            <w:pPr>
              <w:jc w:val="both"/>
              <w:rPr>
                <w:rFonts w:ascii="Arial" w:hAnsi="Arial" w:cs="Arial"/>
                <w:color w:val="000000" w:themeColor="text1"/>
                <w:sz w:val="20"/>
                <w:szCs w:val="20"/>
                <w:lang w:eastAsia="cs-CZ"/>
              </w:rPr>
            </w:pPr>
          </w:p>
        </w:tc>
      </w:tr>
      <w:tr w:rsidR="00657ACA" w:rsidRPr="0000591E" w14:paraId="59AD5854" w14:textId="77777777" w:rsidTr="003F7925">
        <w:trPr>
          <w:gridAfter w:val="2"/>
          <w:wAfter w:w="154" w:type="dxa"/>
          <w:trHeight w:val="20"/>
        </w:trPr>
        <w:tc>
          <w:tcPr>
            <w:tcW w:w="1256" w:type="dxa"/>
            <w:tcBorders>
              <w:bottom w:val="single" w:sz="4" w:space="0" w:color="auto"/>
            </w:tcBorders>
            <w:noWrap/>
            <w:vAlign w:val="bottom"/>
          </w:tcPr>
          <w:p w14:paraId="318678D7"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lang w:eastAsia="cs-CZ"/>
              </w:rPr>
              <w:t>J07BH02</w:t>
            </w:r>
          </w:p>
        </w:tc>
        <w:tc>
          <w:tcPr>
            <w:tcW w:w="9452" w:type="dxa"/>
            <w:tcBorders>
              <w:bottom w:val="single" w:sz="4" w:space="0" w:color="auto"/>
            </w:tcBorders>
            <w:noWrap/>
          </w:tcPr>
          <w:p w14:paraId="0ED698B7"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rPr>
              <w:t xml:space="preserve">Vakcína proti rotavírusom, pentavalentná, žívá, reasortovaná p.o. tekuté LF </w:t>
            </w:r>
          </w:p>
        </w:tc>
      </w:tr>
      <w:tr w:rsidR="00657ACA" w:rsidRPr="0000591E" w14:paraId="2780E590" w14:textId="77777777" w:rsidTr="003F7925">
        <w:trPr>
          <w:gridAfter w:val="2"/>
          <w:wAfter w:w="154" w:type="dxa"/>
          <w:trHeight w:val="20"/>
        </w:trPr>
        <w:tc>
          <w:tcPr>
            <w:tcW w:w="1256" w:type="dxa"/>
            <w:noWrap/>
            <w:vAlign w:val="bottom"/>
          </w:tcPr>
          <w:p w14:paraId="6A228307" w14:textId="77777777" w:rsidR="00657ACA" w:rsidRPr="007C78FA" w:rsidRDefault="00657ACA" w:rsidP="00657ACA">
            <w:pPr>
              <w:jc w:val="both"/>
              <w:rPr>
                <w:rFonts w:ascii="Arial" w:hAnsi="Arial" w:cs="Arial"/>
                <w:b/>
                <w:bCs/>
                <w:color w:val="000000" w:themeColor="text1"/>
                <w:sz w:val="20"/>
                <w:szCs w:val="20"/>
              </w:rPr>
            </w:pPr>
          </w:p>
        </w:tc>
        <w:tc>
          <w:tcPr>
            <w:tcW w:w="9452" w:type="dxa"/>
            <w:noWrap/>
          </w:tcPr>
          <w:p w14:paraId="49098EB1" w14:textId="77777777" w:rsidR="00657ACA" w:rsidRPr="007C78FA" w:rsidRDefault="00657ACA" w:rsidP="00657ACA">
            <w:pPr>
              <w:rPr>
                <w:rFonts w:ascii="Arial" w:hAnsi="Arial" w:cs="Arial"/>
                <w:color w:val="000000" w:themeColor="text1"/>
                <w:sz w:val="20"/>
                <w:szCs w:val="20"/>
              </w:rPr>
            </w:pPr>
            <w:r w:rsidRPr="007C78FA">
              <w:rPr>
                <w:rFonts w:ascii="Arial" w:hAnsi="Arial" w:cs="Arial"/>
                <w:color w:val="000000" w:themeColor="text1"/>
                <w:sz w:val="20"/>
                <w:szCs w:val="20"/>
              </w:rPr>
              <w:t xml:space="preserve">Vakcína ako hradená liečba sa môže indikovať na aktívnu imunizáciu detí vo veku od šiestich týždňov do šiestich mesiacov veku života ako prevencia gastroenteritídy spôsobenej rotavírusovou infekciou. </w:t>
            </w:r>
          </w:p>
          <w:p w14:paraId="0EB3EC67" w14:textId="77777777" w:rsidR="00657ACA" w:rsidRPr="007C78FA" w:rsidRDefault="00657ACA" w:rsidP="00657ACA">
            <w:pPr>
              <w:rPr>
                <w:rFonts w:ascii="Arial" w:hAnsi="Arial" w:cs="Arial"/>
                <w:color w:val="000000" w:themeColor="text1"/>
                <w:sz w:val="20"/>
                <w:szCs w:val="20"/>
              </w:rPr>
            </w:pPr>
          </w:p>
        </w:tc>
      </w:tr>
      <w:tr w:rsidR="00657ACA" w:rsidRPr="0000591E" w14:paraId="4FB2AA5B" w14:textId="77777777" w:rsidTr="003F7925">
        <w:trPr>
          <w:gridAfter w:val="2"/>
          <w:wAfter w:w="154" w:type="dxa"/>
          <w:trHeight w:val="20"/>
        </w:trPr>
        <w:tc>
          <w:tcPr>
            <w:tcW w:w="1256" w:type="dxa"/>
            <w:tcBorders>
              <w:bottom w:val="single" w:sz="4" w:space="0" w:color="auto"/>
            </w:tcBorders>
            <w:noWrap/>
            <w:vAlign w:val="bottom"/>
          </w:tcPr>
          <w:p w14:paraId="4F434A7F"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rPr>
              <w:t>J07BM03</w:t>
            </w:r>
          </w:p>
        </w:tc>
        <w:tc>
          <w:tcPr>
            <w:tcW w:w="9452" w:type="dxa"/>
            <w:tcBorders>
              <w:bottom w:val="single" w:sz="4" w:space="0" w:color="auto"/>
            </w:tcBorders>
            <w:noWrap/>
          </w:tcPr>
          <w:p w14:paraId="638DBDAE"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rPr>
              <w:t xml:space="preserve">Očkovacia látka proti papilomavírusu (ľudské typy 6, 11, 16, 18, 31, 33, 45, 52, 58) parent. </w:t>
            </w:r>
          </w:p>
        </w:tc>
      </w:tr>
      <w:tr w:rsidR="00657ACA" w:rsidRPr="001B2E6F" w14:paraId="7865C5DB" w14:textId="77777777" w:rsidTr="003F7925">
        <w:trPr>
          <w:gridAfter w:val="2"/>
          <w:wAfter w:w="154" w:type="dxa"/>
          <w:trHeight w:val="20"/>
        </w:trPr>
        <w:tc>
          <w:tcPr>
            <w:tcW w:w="1256" w:type="dxa"/>
            <w:tcBorders>
              <w:top w:val="single" w:sz="4" w:space="0" w:color="auto"/>
            </w:tcBorders>
            <w:noWrap/>
            <w:vAlign w:val="bottom"/>
          </w:tcPr>
          <w:p w14:paraId="143E3F5A" w14:textId="77777777" w:rsidR="00657ACA" w:rsidRPr="007C78FA"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noWrap/>
          </w:tcPr>
          <w:p w14:paraId="29E6A960" w14:textId="0AB338DF" w:rsidR="00657ACA" w:rsidRDefault="00657ACA" w:rsidP="00657ACA">
            <w:pPr>
              <w:autoSpaceDE w:val="0"/>
              <w:autoSpaceDN w:val="0"/>
              <w:adjustRightInd w:val="0"/>
              <w:jc w:val="both"/>
              <w:rPr>
                <w:rFonts w:ascii="Arial" w:eastAsia="TimesNewRomanPSMT-Identity-H" w:hAnsi="Arial" w:cs="Arial"/>
                <w:color w:val="000000" w:themeColor="text1"/>
                <w:sz w:val="20"/>
                <w:szCs w:val="20"/>
              </w:rPr>
            </w:pPr>
            <w:r w:rsidRPr="007C78FA">
              <w:rPr>
                <w:rFonts w:ascii="Arial" w:eastAsia="TimesNewRomanPSMT-Identity-H" w:hAnsi="Arial" w:cs="Arial"/>
                <w:color w:val="000000" w:themeColor="text1"/>
                <w:sz w:val="20"/>
                <w:szCs w:val="20"/>
              </w:rPr>
              <w:t>Vakcína ako hradená liečba sa indikuje v 13. až 15. roku života u dievčat alebo chlapcov</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podľa § 9 a § 12 vyhlášky č. 585/2008 Z. z. Ak lekár rozhodne o potrebe alebo vhodnosti</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očkovania proti infekciám, ktoré sú spôsobené onkogénnymi humánnymi papilomavírusmi,</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prvá dávka vakcíny ako hradená liečba sa môže indikovať v 13. až 15. roku života u</w:t>
            </w:r>
            <w:r>
              <w:rPr>
                <w:rFonts w:ascii="Arial" w:eastAsia="TimesNewRomanPSMT-Identity-H" w:hAnsi="Arial" w:cs="Arial"/>
                <w:color w:val="000000" w:themeColor="text1"/>
                <w:sz w:val="20"/>
                <w:szCs w:val="20"/>
              </w:rPr>
              <w:t> </w:t>
            </w:r>
            <w:r w:rsidRPr="007C78FA">
              <w:rPr>
                <w:rFonts w:ascii="Arial" w:eastAsia="TimesNewRomanPSMT-Identity-H" w:hAnsi="Arial" w:cs="Arial"/>
                <w:color w:val="000000" w:themeColor="text1"/>
                <w:sz w:val="20"/>
                <w:szCs w:val="20"/>
              </w:rPr>
              <w:t>dievčat</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alebo chlapcov.</w:t>
            </w:r>
          </w:p>
          <w:p w14:paraId="18997212" w14:textId="77777777" w:rsidR="00657ACA" w:rsidRPr="007C78FA" w:rsidRDefault="00657ACA" w:rsidP="00657ACA">
            <w:pPr>
              <w:autoSpaceDE w:val="0"/>
              <w:autoSpaceDN w:val="0"/>
              <w:adjustRightInd w:val="0"/>
              <w:jc w:val="both"/>
              <w:rPr>
                <w:rFonts w:ascii="Arial" w:eastAsia="TimesNewRomanPSMT-Identity-H" w:hAnsi="Arial" w:cs="Arial"/>
                <w:color w:val="000000" w:themeColor="text1"/>
                <w:sz w:val="20"/>
                <w:szCs w:val="20"/>
              </w:rPr>
            </w:pPr>
          </w:p>
          <w:p w14:paraId="0FEFBF69" w14:textId="77777777" w:rsidR="00657ACA" w:rsidRDefault="00657ACA" w:rsidP="00657ACA">
            <w:pPr>
              <w:autoSpaceDE w:val="0"/>
              <w:autoSpaceDN w:val="0"/>
              <w:adjustRightInd w:val="0"/>
              <w:jc w:val="both"/>
              <w:rPr>
                <w:rFonts w:ascii="Arial" w:eastAsia="TimesNewRomanPSMT-Identity-H" w:hAnsi="Arial" w:cs="Arial"/>
                <w:color w:val="000000" w:themeColor="text1"/>
                <w:sz w:val="20"/>
                <w:szCs w:val="20"/>
              </w:rPr>
            </w:pPr>
            <w:r w:rsidRPr="007C78FA">
              <w:rPr>
                <w:rFonts w:ascii="Arial" w:eastAsia="TimesNewRomanPSMT-Identity-H" w:hAnsi="Arial" w:cs="Arial"/>
                <w:color w:val="000000" w:themeColor="text1"/>
                <w:sz w:val="20"/>
                <w:szCs w:val="20"/>
              </w:rPr>
              <w:t>Hradená je dvojdávková očkovacia schéma.</w:t>
            </w:r>
          </w:p>
          <w:p w14:paraId="43D25DD0" w14:textId="165C6A51" w:rsidR="00657ACA" w:rsidRPr="007C78FA" w:rsidRDefault="00657ACA" w:rsidP="00657ACA">
            <w:pPr>
              <w:autoSpaceDE w:val="0"/>
              <w:autoSpaceDN w:val="0"/>
              <w:adjustRightInd w:val="0"/>
              <w:jc w:val="both"/>
              <w:rPr>
                <w:rFonts w:ascii="Arial" w:eastAsia="TimesNewRomanPSMT-Identity-H" w:hAnsi="Arial" w:cs="Arial"/>
                <w:color w:val="000000" w:themeColor="text1"/>
                <w:sz w:val="20"/>
                <w:szCs w:val="20"/>
              </w:rPr>
            </w:pPr>
          </w:p>
        </w:tc>
      </w:tr>
      <w:tr w:rsidR="00657ACA" w:rsidRPr="0000591E" w14:paraId="164039AC" w14:textId="77777777" w:rsidTr="003F7925">
        <w:trPr>
          <w:gridAfter w:val="2"/>
          <w:wAfter w:w="154" w:type="dxa"/>
          <w:trHeight w:val="20"/>
        </w:trPr>
        <w:tc>
          <w:tcPr>
            <w:tcW w:w="1256" w:type="dxa"/>
            <w:tcBorders>
              <w:bottom w:val="single" w:sz="4" w:space="0" w:color="auto"/>
            </w:tcBorders>
            <w:noWrap/>
            <w:vAlign w:val="bottom"/>
          </w:tcPr>
          <w:p w14:paraId="736465D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J07CA02</w:t>
            </w:r>
          </w:p>
        </w:tc>
        <w:tc>
          <w:tcPr>
            <w:tcW w:w="9452" w:type="dxa"/>
            <w:tcBorders>
              <w:bottom w:val="single" w:sz="4" w:space="0" w:color="auto"/>
            </w:tcBorders>
            <w:vAlign w:val="bottom"/>
          </w:tcPr>
          <w:p w14:paraId="6DA37F35" w14:textId="77777777" w:rsidR="00657ACA" w:rsidRDefault="00657ACA" w:rsidP="00657ACA">
            <w:pPr>
              <w:autoSpaceDE w:val="0"/>
              <w:autoSpaceDN w:val="0"/>
              <w:adjustRightInd w:val="0"/>
              <w:rPr>
                <w:rFonts w:ascii="Arial" w:hAnsi="Arial" w:cs="Arial"/>
                <w:b/>
                <w:bCs/>
                <w:sz w:val="20"/>
                <w:szCs w:val="20"/>
              </w:rPr>
            </w:pPr>
            <w:r w:rsidRPr="00A70889">
              <w:rPr>
                <w:rFonts w:ascii="Arial" w:hAnsi="Arial" w:cs="Arial"/>
                <w:b/>
                <w:bCs/>
                <w:sz w:val="20"/>
                <w:szCs w:val="20"/>
              </w:rPr>
              <w:t>Očkovacia lá</w:t>
            </w:r>
            <w:r>
              <w:rPr>
                <w:rFonts w:ascii="Arial" w:hAnsi="Arial" w:cs="Arial"/>
                <w:b/>
                <w:bCs/>
                <w:sz w:val="20"/>
                <w:szCs w:val="20"/>
              </w:rPr>
              <w:t>tka proti záškrtu-čiernemu kašľ</w:t>
            </w:r>
            <w:r w:rsidRPr="00A70889">
              <w:rPr>
                <w:rFonts w:ascii="Arial" w:hAnsi="Arial" w:cs="Arial"/>
                <w:b/>
                <w:bCs/>
                <w:sz w:val="20"/>
                <w:szCs w:val="20"/>
              </w:rPr>
              <w:t>u-poliomyelitíde-tetanu parent. povinné očkovanie</w:t>
            </w:r>
          </w:p>
          <w:p w14:paraId="34540493" w14:textId="77777777" w:rsidR="00657ACA" w:rsidRPr="0000591E" w:rsidRDefault="00657ACA" w:rsidP="00657ACA">
            <w:pPr>
              <w:autoSpaceDE w:val="0"/>
              <w:autoSpaceDN w:val="0"/>
              <w:adjustRightInd w:val="0"/>
              <w:rPr>
                <w:rFonts w:ascii="Arial" w:hAnsi="Arial" w:cs="Arial"/>
                <w:b/>
                <w:bCs/>
                <w:sz w:val="20"/>
                <w:szCs w:val="20"/>
              </w:rPr>
            </w:pPr>
            <w:r w:rsidRPr="00A70889">
              <w:rPr>
                <w:rFonts w:ascii="Arial" w:hAnsi="Arial" w:cs="Arial"/>
                <w:b/>
                <w:bCs/>
                <w:sz w:val="20"/>
                <w:szCs w:val="20"/>
              </w:rPr>
              <w:t>Očkovacia látka proti záškrtu-čiernemu kašlu-poliomyelitíde-tetanu parent. znížený obsah D.T.P. antigénov povinné očkovanie</w:t>
            </w:r>
          </w:p>
        </w:tc>
      </w:tr>
      <w:tr w:rsidR="00657ACA" w:rsidRPr="0000591E" w14:paraId="50A839E8" w14:textId="77777777" w:rsidTr="003F7925">
        <w:trPr>
          <w:gridAfter w:val="2"/>
          <w:wAfter w:w="154" w:type="dxa"/>
          <w:trHeight w:val="20"/>
        </w:trPr>
        <w:tc>
          <w:tcPr>
            <w:tcW w:w="1256" w:type="dxa"/>
            <w:tcBorders>
              <w:top w:val="single" w:sz="4" w:space="0" w:color="auto"/>
            </w:tcBorders>
            <w:noWrap/>
            <w:vAlign w:val="bottom"/>
          </w:tcPr>
          <w:p w14:paraId="38F12CC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175008CB" w14:textId="77777777" w:rsidR="00657ACA" w:rsidRPr="0000591E" w:rsidRDefault="00657ACA" w:rsidP="00657ACA">
            <w:pPr>
              <w:jc w:val="both"/>
              <w:rPr>
                <w:rFonts w:ascii="Arial" w:hAnsi="Arial" w:cs="Arial"/>
                <w:sz w:val="20"/>
              </w:rPr>
            </w:pPr>
            <w:r w:rsidRPr="0000591E">
              <w:rPr>
                <w:rFonts w:ascii="Arial" w:hAnsi="Arial" w:cs="Arial"/>
                <w:sz w:val="20"/>
                <w:szCs w:val="20"/>
              </w:rPr>
              <w:t>Vakcína ako hradená liečba sa indikuje v rámci povinného pravide</w:t>
            </w:r>
            <w:r>
              <w:rPr>
                <w:rFonts w:ascii="Arial" w:hAnsi="Arial" w:cs="Arial"/>
                <w:sz w:val="20"/>
                <w:szCs w:val="20"/>
              </w:rPr>
              <w:t>lného očkovania podľa § 6 ods. 2</w:t>
            </w:r>
            <w:r w:rsidRPr="0000591E">
              <w:rPr>
                <w:rFonts w:ascii="Arial" w:hAnsi="Arial" w:cs="Arial"/>
                <w:sz w:val="20"/>
                <w:szCs w:val="20"/>
              </w:rPr>
              <w:t xml:space="preserve"> vyhlášky.</w:t>
            </w:r>
          </w:p>
          <w:p w14:paraId="746E0B31" w14:textId="77777777" w:rsidR="00657ACA" w:rsidRDefault="00657ACA" w:rsidP="00657ACA">
            <w:pPr>
              <w:jc w:val="both"/>
              <w:rPr>
                <w:rFonts w:ascii="Arial" w:hAnsi="Arial" w:cs="Arial"/>
                <w:sz w:val="20"/>
              </w:rPr>
            </w:pPr>
            <w:r w:rsidRPr="0000591E">
              <w:rPr>
                <w:rFonts w:ascii="Arial" w:hAnsi="Arial" w:cs="Arial"/>
                <w:sz w:val="20"/>
              </w:rPr>
              <w:t>Vakcína ako hradená liečba sa môže indikovať osobám od dovŕšenia štvrtého roku veku.</w:t>
            </w:r>
          </w:p>
          <w:p w14:paraId="69C3E4E4" w14:textId="77777777" w:rsidR="00657ACA" w:rsidRDefault="00657ACA" w:rsidP="00657ACA">
            <w:pPr>
              <w:jc w:val="both"/>
              <w:rPr>
                <w:rFonts w:ascii="Arial" w:hAnsi="Arial" w:cs="Arial"/>
                <w:sz w:val="20"/>
              </w:rPr>
            </w:pPr>
            <w:r>
              <w:rPr>
                <w:rFonts w:ascii="Arial" w:hAnsi="Arial" w:cs="Arial"/>
                <w:sz w:val="20"/>
              </w:rPr>
              <w:t xml:space="preserve">Vakcína ako hradená liečba </w:t>
            </w:r>
            <w:r w:rsidRPr="00C44DC7">
              <w:rPr>
                <w:rFonts w:ascii="Arial" w:hAnsi="Arial" w:cs="Arial"/>
                <w:sz w:val="20"/>
              </w:rPr>
              <w:t>sa indikuje osobám po transplantácii krvotvorných buniek podľa § 9 ods. 7 vyhlášky</w:t>
            </w:r>
            <w:r>
              <w:rPr>
                <w:rFonts w:ascii="Arial" w:hAnsi="Arial" w:cs="Arial"/>
                <w:sz w:val="20"/>
              </w:rPr>
              <w:t>.</w:t>
            </w:r>
          </w:p>
          <w:p w14:paraId="3CB04086" w14:textId="66DDE5C0" w:rsidR="00657ACA" w:rsidRPr="00576A7A" w:rsidRDefault="00657ACA" w:rsidP="00657ACA">
            <w:pPr>
              <w:jc w:val="both"/>
              <w:rPr>
                <w:rFonts w:ascii="Arial" w:hAnsi="Arial" w:cs="Arial"/>
                <w:sz w:val="20"/>
              </w:rPr>
            </w:pPr>
          </w:p>
        </w:tc>
      </w:tr>
      <w:tr w:rsidR="00657ACA" w:rsidRPr="0000591E" w14:paraId="4D788F49" w14:textId="77777777" w:rsidTr="003F7925">
        <w:trPr>
          <w:gridAfter w:val="2"/>
          <w:wAfter w:w="154" w:type="dxa"/>
          <w:trHeight w:val="20"/>
        </w:trPr>
        <w:tc>
          <w:tcPr>
            <w:tcW w:w="1256" w:type="dxa"/>
            <w:tcBorders>
              <w:bottom w:val="single" w:sz="4" w:space="0" w:color="auto"/>
            </w:tcBorders>
            <w:noWrap/>
            <w:vAlign w:val="bottom"/>
          </w:tcPr>
          <w:p w14:paraId="56BCAB04" w14:textId="63D6564D" w:rsidR="00657ACA" w:rsidRPr="0000591E" w:rsidRDefault="00657ACA" w:rsidP="00657ACA">
            <w:pPr>
              <w:jc w:val="both"/>
              <w:rPr>
                <w:rFonts w:ascii="Arial" w:hAnsi="Arial" w:cs="Arial"/>
                <w:b/>
                <w:bCs/>
                <w:sz w:val="20"/>
                <w:szCs w:val="20"/>
              </w:rPr>
            </w:pPr>
          </w:p>
          <w:p w14:paraId="1EF9AC5F"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J07CA09</w:t>
            </w:r>
          </w:p>
        </w:tc>
        <w:tc>
          <w:tcPr>
            <w:tcW w:w="9452" w:type="dxa"/>
            <w:tcBorders>
              <w:bottom w:val="single" w:sz="4" w:space="0" w:color="auto"/>
            </w:tcBorders>
            <w:vAlign w:val="bottom"/>
          </w:tcPr>
          <w:p w14:paraId="7EE5B5B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Vakcíny proti diftérii, tetanu, pertussis, Haemophilus influenzae b, detskej obrne, hepatitíde B parent. povinné očkovanie sus inj</w:t>
            </w:r>
          </w:p>
        </w:tc>
      </w:tr>
      <w:tr w:rsidR="00657ACA" w:rsidRPr="0000591E" w14:paraId="3A38FB0A" w14:textId="77777777" w:rsidTr="003F7925">
        <w:trPr>
          <w:gridAfter w:val="2"/>
          <w:wAfter w:w="154" w:type="dxa"/>
          <w:trHeight w:val="20"/>
        </w:trPr>
        <w:tc>
          <w:tcPr>
            <w:tcW w:w="1256" w:type="dxa"/>
            <w:tcBorders>
              <w:top w:val="single" w:sz="4" w:space="0" w:color="auto"/>
            </w:tcBorders>
            <w:noWrap/>
            <w:vAlign w:val="bottom"/>
          </w:tcPr>
          <w:p w14:paraId="251DB5B8"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tcPr>
          <w:p w14:paraId="7FD1114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povinného pravide</w:t>
            </w:r>
            <w:r>
              <w:rPr>
                <w:rFonts w:ascii="Arial" w:hAnsi="Arial" w:cs="Arial"/>
                <w:sz w:val="20"/>
                <w:szCs w:val="20"/>
              </w:rPr>
              <w:t>lného očkovania podľa § 6 ods. 2</w:t>
            </w:r>
            <w:r w:rsidRPr="0000591E">
              <w:rPr>
                <w:rFonts w:ascii="Arial" w:hAnsi="Arial" w:cs="Arial"/>
                <w:sz w:val="20"/>
                <w:szCs w:val="20"/>
              </w:rPr>
              <w:t xml:space="preserve"> vyhlášky.</w:t>
            </w:r>
          </w:p>
          <w:p w14:paraId="1290F543" w14:textId="77777777" w:rsidR="00657ACA" w:rsidRDefault="00657ACA" w:rsidP="00657ACA">
            <w:pPr>
              <w:jc w:val="both"/>
              <w:rPr>
                <w:rFonts w:ascii="Arial" w:hAnsi="Arial" w:cs="Arial"/>
                <w:sz w:val="20"/>
                <w:szCs w:val="20"/>
                <w:lang w:eastAsia="cs-CZ"/>
              </w:rPr>
            </w:pPr>
            <w:r>
              <w:rPr>
                <w:rFonts w:ascii="Arial" w:hAnsi="Arial" w:cs="Arial"/>
                <w:sz w:val="20"/>
                <w:szCs w:val="20"/>
                <w:lang w:eastAsia="cs-CZ"/>
              </w:rPr>
              <w:t xml:space="preserve">Vakcína ako hradená liečba </w:t>
            </w:r>
            <w:r w:rsidRPr="00C44DC7">
              <w:rPr>
                <w:rFonts w:ascii="Arial" w:hAnsi="Arial" w:cs="Arial"/>
                <w:sz w:val="20"/>
                <w:szCs w:val="20"/>
                <w:lang w:eastAsia="cs-CZ"/>
              </w:rPr>
              <w:t>sa indikuje osobám po transplantácii krvotvorných buniek podľa § 9 ods. 7 vyhlášky</w:t>
            </w:r>
            <w:r>
              <w:rPr>
                <w:rFonts w:ascii="Arial" w:hAnsi="Arial" w:cs="Arial"/>
                <w:sz w:val="20"/>
                <w:szCs w:val="20"/>
                <w:lang w:eastAsia="cs-CZ"/>
              </w:rPr>
              <w:t>.</w:t>
            </w:r>
          </w:p>
          <w:p w14:paraId="2FA0818A" w14:textId="77777777" w:rsidR="00657ACA" w:rsidRDefault="00657ACA" w:rsidP="00657ACA">
            <w:pPr>
              <w:jc w:val="both"/>
              <w:rPr>
                <w:rFonts w:ascii="Arial" w:hAnsi="Arial" w:cs="Arial"/>
                <w:sz w:val="20"/>
                <w:szCs w:val="20"/>
                <w:lang w:eastAsia="cs-CZ"/>
              </w:rPr>
            </w:pPr>
          </w:p>
          <w:p w14:paraId="5E1DD9CA" w14:textId="77777777" w:rsidR="00657ACA" w:rsidRPr="0000591E" w:rsidRDefault="00657ACA" w:rsidP="00657ACA">
            <w:pPr>
              <w:jc w:val="both"/>
              <w:rPr>
                <w:rFonts w:ascii="Arial" w:hAnsi="Arial" w:cs="Arial"/>
                <w:sz w:val="20"/>
                <w:szCs w:val="20"/>
                <w:lang w:eastAsia="cs-CZ"/>
              </w:rPr>
            </w:pPr>
          </w:p>
        </w:tc>
      </w:tr>
      <w:tr w:rsidR="00657ACA" w:rsidRPr="0000591E" w14:paraId="2FCE7FDE" w14:textId="77777777" w:rsidTr="003F7925">
        <w:trPr>
          <w:gridAfter w:val="2"/>
          <w:wAfter w:w="154" w:type="dxa"/>
          <w:trHeight w:val="510"/>
        </w:trPr>
        <w:tc>
          <w:tcPr>
            <w:tcW w:w="1256" w:type="dxa"/>
            <w:tcBorders>
              <w:bottom w:val="single" w:sz="4" w:space="0" w:color="auto"/>
            </w:tcBorders>
            <w:noWrap/>
            <w:vAlign w:val="bottom"/>
          </w:tcPr>
          <w:p w14:paraId="3703949C"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L01BA04</w:t>
            </w:r>
          </w:p>
          <w:p w14:paraId="1F6906AE" w14:textId="77777777" w:rsidR="00657ACA" w:rsidRPr="0000591E" w:rsidRDefault="00657ACA" w:rsidP="00657ACA">
            <w:pPr>
              <w:jc w:val="both"/>
              <w:rPr>
                <w:rFonts w:ascii="Arial" w:hAnsi="Arial" w:cs="Arial"/>
                <w:sz w:val="20"/>
                <w:szCs w:val="20"/>
                <w:lang w:eastAsia="cs-CZ"/>
              </w:rPr>
            </w:pPr>
          </w:p>
        </w:tc>
        <w:tc>
          <w:tcPr>
            <w:tcW w:w="9452" w:type="dxa"/>
            <w:tcBorders>
              <w:bottom w:val="single" w:sz="4" w:space="0" w:color="auto"/>
            </w:tcBorders>
          </w:tcPr>
          <w:p w14:paraId="1B320B2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Pemetrexed parent. 100mg</w:t>
            </w:r>
          </w:p>
          <w:p w14:paraId="69E32ECF"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Pemetrexed parent. 500mg</w:t>
            </w:r>
          </w:p>
          <w:p w14:paraId="4B87B243" w14:textId="77777777" w:rsidR="00657ACA" w:rsidRPr="00AE1C1C" w:rsidRDefault="00657ACA" w:rsidP="00657ACA">
            <w:pPr>
              <w:jc w:val="both"/>
              <w:rPr>
                <w:rFonts w:ascii="Arial" w:hAnsi="Arial" w:cs="Arial"/>
                <w:b/>
                <w:bCs/>
                <w:sz w:val="20"/>
                <w:szCs w:val="20"/>
              </w:rPr>
            </w:pPr>
            <w:r>
              <w:rPr>
                <w:rFonts w:ascii="Arial" w:hAnsi="Arial" w:cs="Arial"/>
                <w:b/>
                <w:bCs/>
                <w:sz w:val="20"/>
                <w:szCs w:val="20"/>
              </w:rPr>
              <w:t>Pemetrexed parent. 10</w:t>
            </w:r>
            <w:r w:rsidRPr="0000591E">
              <w:rPr>
                <w:rFonts w:ascii="Arial" w:hAnsi="Arial" w:cs="Arial"/>
                <w:b/>
                <w:bCs/>
                <w:sz w:val="20"/>
                <w:szCs w:val="20"/>
              </w:rPr>
              <w:t>00mg</w:t>
            </w:r>
          </w:p>
        </w:tc>
      </w:tr>
      <w:tr w:rsidR="00657ACA" w:rsidRPr="0000591E" w14:paraId="16528177" w14:textId="77777777" w:rsidTr="003F7925">
        <w:trPr>
          <w:gridAfter w:val="2"/>
          <w:wAfter w:w="154" w:type="dxa"/>
          <w:trHeight w:val="20"/>
        </w:trPr>
        <w:tc>
          <w:tcPr>
            <w:tcW w:w="1256" w:type="dxa"/>
            <w:tcBorders>
              <w:top w:val="single" w:sz="4" w:space="0" w:color="auto"/>
            </w:tcBorders>
            <w:noWrap/>
            <w:vAlign w:val="bottom"/>
          </w:tcPr>
          <w:p w14:paraId="200C4516" w14:textId="77777777" w:rsidR="00657ACA" w:rsidRDefault="00657ACA" w:rsidP="00657ACA">
            <w:pPr>
              <w:jc w:val="both"/>
              <w:rPr>
                <w:rFonts w:ascii="Arial" w:hAnsi="Arial" w:cs="Arial"/>
                <w:b/>
                <w:bCs/>
                <w:sz w:val="20"/>
                <w:szCs w:val="20"/>
              </w:rPr>
            </w:pPr>
          </w:p>
          <w:p w14:paraId="11C323E1" w14:textId="77777777" w:rsidR="00657ACA" w:rsidRDefault="00657ACA" w:rsidP="00657ACA">
            <w:pPr>
              <w:jc w:val="both"/>
              <w:rPr>
                <w:rFonts w:ascii="Arial" w:hAnsi="Arial" w:cs="Arial"/>
                <w:b/>
                <w:bCs/>
                <w:sz w:val="20"/>
                <w:szCs w:val="20"/>
              </w:rPr>
            </w:pPr>
          </w:p>
          <w:p w14:paraId="06441BC6" w14:textId="77777777" w:rsidR="00657ACA" w:rsidRDefault="00657ACA" w:rsidP="00657ACA">
            <w:pPr>
              <w:jc w:val="both"/>
              <w:rPr>
                <w:rFonts w:ascii="Arial" w:hAnsi="Arial" w:cs="Arial"/>
                <w:b/>
                <w:bCs/>
                <w:sz w:val="20"/>
                <w:szCs w:val="20"/>
              </w:rPr>
            </w:pPr>
          </w:p>
          <w:p w14:paraId="7DEA34C5" w14:textId="77777777" w:rsidR="00657ACA" w:rsidRDefault="00657ACA" w:rsidP="00657ACA">
            <w:pPr>
              <w:jc w:val="both"/>
              <w:rPr>
                <w:rFonts w:ascii="Arial" w:hAnsi="Arial" w:cs="Arial"/>
                <w:b/>
                <w:bCs/>
                <w:sz w:val="20"/>
                <w:szCs w:val="20"/>
              </w:rPr>
            </w:pPr>
          </w:p>
          <w:p w14:paraId="1CF77276" w14:textId="77777777" w:rsidR="00657ACA" w:rsidRDefault="00657ACA" w:rsidP="00657ACA">
            <w:pPr>
              <w:jc w:val="both"/>
              <w:rPr>
                <w:rFonts w:ascii="Arial" w:hAnsi="Arial" w:cs="Arial"/>
                <w:b/>
                <w:bCs/>
                <w:sz w:val="20"/>
                <w:szCs w:val="20"/>
              </w:rPr>
            </w:pPr>
          </w:p>
          <w:p w14:paraId="5BEEED4F"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812E4BC"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u pacientov </w:t>
            </w:r>
          </w:p>
          <w:p w14:paraId="07DDF5DD" w14:textId="77777777" w:rsidR="00657ACA" w:rsidRPr="0000591E" w:rsidRDefault="00657ACA">
            <w:pPr>
              <w:numPr>
                <w:ilvl w:val="0"/>
                <w:numId w:val="26"/>
              </w:numPr>
              <w:jc w:val="both"/>
              <w:rPr>
                <w:rFonts w:ascii="Arial" w:hAnsi="Arial" w:cs="Arial"/>
                <w:sz w:val="20"/>
                <w:szCs w:val="20"/>
              </w:rPr>
            </w:pPr>
            <w:r w:rsidRPr="0000591E">
              <w:rPr>
                <w:rFonts w:ascii="Arial" w:hAnsi="Arial" w:cs="Arial"/>
                <w:sz w:val="20"/>
                <w:szCs w:val="20"/>
              </w:rPr>
              <w:t>s neresekovateľným malígnym mezoteliómom pleury a to v kombinácií s cisplatinou u pacientov bez predchádzajúcej chemoterapie,</w:t>
            </w:r>
          </w:p>
          <w:p w14:paraId="692DD29C" w14:textId="77777777" w:rsidR="00657ACA" w:rsidRPr="0000591E" w:rsidRDefault="00657ACA">
            <w:pPr>
              <w:numPr>
                <w:ilvl w:val="0"/>
                <w:numId w:val="26"/>
              </w:numPr>
              <w:jc w:val="both"/>
              <w:rPr>
                <w:rFonts w:ascii="Arial" w:hAnsi="Arial" w:cs="Arial"/>
                <w:strike/>
                <w:sz w:val="20"/>
                <w:szCs w:val="20"/>
              </w:rPr>
            </w:pPr>
            <w:r w:rsidRPr="0000591E">
              <w:rPr>
                <w:rFonts w:ascii="Arial" w:hAnsi="Arial" w:cs="Arial"/>
                <w:sz w:val="20"/>
                <w:szCs w:val="20"/>
              </w:rPr>
              <w:t>v monoterapii na liečbu v druhej línii s lokálne pokročilým alebo metastatickým nemalobunkovým karcinómom pľúc okrem prevažne skvamóznej bunkovej histológie,</w:t>
            </w:r>
          </w:p>
          <w:p w14:paraId="1DF594C6" w14:textId="77777777" w:rsidR="00657ACA" w:rsidRDefault="00657ACA">
            <w:pPr>
              <w:numPr>
                <w:ilvl w:val="0"/>
                <w:numId w:val="26"/>
              </w:numPr>
              <w:jc w:val="both"/>
              <w:rPr>
                <w:rFonts w:ascii="Arial" w:hAnsi="Arial" w:cs="Arial"/>
                <w:sz w:val="20"/>
                <w:szCs w:val="20"/>
              </w:rPr>
            </w:pPr>
            <w:r w:rsidRPr="0000591E">
              <w:rPr>
                <w:rFonts w:ascii="Arial" w:hAnsi="Arial" w:cs="Arial"/>
                <w:sz w:val="20"/>
                <w:szCs w:val="20"/>
              </w:rPr>
              <w:t>v prvej línii v kombinácii s cisplatinou na liečbu pacientov s neoperovateľným, lokálne pokročilým, alebo metastatickým nemalobunkovým karcinómom pľúc okrem prevažne skvamóznej bunkovej histológie, ktorí sa predtým nepodrobili chemote</w:t>
            </w:r>
            <w:r>
              <w:rPr>
                <w:rFonts w:ascii="Arial" w:hAnsi="Arial" w:cs="Arial"/>
                <w:sz w:val="20"/>
                <w:szCs w:val="20"/>
              </w:rPr>
              <w:t>rapeutickej liečbe tohto stavu,</w:t>
            </w:r>
          </w:p>
          <w:p w14:paraId="71592B32" w14:textId="77777777" w:rsidR="00657ACA" w:rsidRPr="00F64408" w:rsidRDefault="00657ACA">
            <w:pPr>
              <w:numPr>
                <w:ilvl w:val="0"/>
                <w:numId w:val="26"/>
              </w:numPr>
              <w:jc w:val="both"/>
              <w:rPr>
                <w:rFonts w:ascii="Arial" w:hAnsi="Arial" w:cs="Arial"/>
                <w:sz w:val="20"/>
                <w:szCs w:val="20"/>
              </w:rPr>
            </w:pPr>
            <w:r w:rsidRPr="00F64408">
              <w:rPr>
                <w:rFonts w:ascii="Arial" w:hAnsi="Arial" w:cs="Arial"/>
                <w:sz w:val="20"/>
                <w:szCs w:val="20"/>
              </w:rPr>
              <w:t>v kombinácii s chemoterapiou obsahujúcou pembrolizumab a platinu indikovaná ako liečba prvej línie metastatického neskvamózneho nemalobunkového karcinómu pľúc u dospelých s expresiou PD-L1 v nádoroch, s proporčným skóre nádoru (tumour proportion score, TPS) ˂ 50 %, bez pozitivity mutácií EGFR alebo ALK v nádorových bunkách, maximálne po dobu 24 mesiacov.</w:t>
            </w:r>
          </w:p>
          <w:p w14:paraId="6328264F" w14:textId="0D051141" w:rsidR="00657ACA" w:rsidRPr="0000591E" w:rsidRDefault="00657ACA" w:rsidP="00657ACA">
            <w:pPr>
              <w:jc w:val="both"/>
              <w:rPr>
                <w:rFonts w:ascii="Arial" w:hAnsi="Arial" w:cs="Arial"/>
                <w:b/>
                <w:bCs/>
                <w:sz w:val="20"/>
                <w:szCs w:val="20"/>
              </w:rPr>
            </w:pPr>
          </w:p>
        </w:tc>
      </w:tr>
      <w:tr w:rsidR="00657ACA" w:rsidRPr="0000591E" w14:paraId="1357F2C1" w14:textId="77777777" w:rsidTr="003F7925">
        <w:trPr>
          <w:gridAfter w:val="2"/>
          <w:wAfter w:w="154" w:type="dxa"/>
          <w:trHeight w:val="20"/>
        </w:trPr>
        <w:tc>
          <w:tcPr>
            <w:tcW w:w="1256" w:type="dxa"/>
            <w:tcBorders>
              <w:bottom w:val="single" w:sz="4" w:space="0" w:color="auto"/>
            </w:tcBorders>
            <w:noWrap/>
            <w:vAlign w:val="bottom"/>
          </w:tcPr>
          <w:p w14:paraId="763D60C2" w14:textId="77777777" w:rsidR="00657ACA" w:rsidRPr="0000591E" w:rsidRDefault="00657ACA" w:rsidP="00657ACA">
            <w:pPr>
              <w:rPr>
                <w:rFonts w:ascii="Arial" w:hAnsi="Arial" w:cs="Arial"/>
                <w:b/>
                <w:bCs/>
                <w:sz w:val="20"/>
                <w:szCs w:val="20"/>
              </w:rPr>
            </w:pPr>
            <w:r w:rsidRPr="0000591E">
              <w:rPr>
                <w:rFonts w:ascii="Arial" w:hAnsi="Arial" w:cs="Arial"/>
                <w:b/>
                <w:sz w:val="20"/>
                <w:szCs w:val="20"/>
              </w:rPr>
              <w:t>L01BC07</w:t>
            </w:r>
          </w:p>
        </w:tc>
        <w:tc>
          <w:tcPr>
            <w:tcW w:w="9452" w:type="dxa"/>
            <w:tcBorders>
              <w:bottom w:val="single" w:sz="4" w:space="0" w:color="auto"/>
            </w:tcBorders>
            <w:noWrap/>
            <w:vAlign w:val="bottom"/>
          </w:tcPr>
          <w:p w14:paraId="2BB5EAF6" w14:textId="77777777" w:rsidR="00657ACA" w:rsidRDefault="00657ACA" w:rsidP="00657ACA">
            <w:pPr>
              <w:rPr>
                <w:rFonts w:ascii="Arial" w:hAnsi="Arial" w:cs="Arial"/>
                <w:b/>
                <w:sz w:val="20"/>
                <w:szCs w:val="20"/>
              </w:rPr>
            </w:pPr>
            <w:r w:rsidRPr="0000591E">
              <w:rPr>
                <w:rFonts w:ascii="Arial" w:hAnsi="Arial" w:cs="Arial"/>
                <w:b/>
                <w:sz w:val="20"/>
                <w:szCs w:val="20"/>
              </w:rPr>
              <w:t xml:space="preserve">Azacitidin parent. </w:t>
            </w:r>
            <w:r>
              <w:rPr>
                <w:rFonts w:ascii="Arial" w:hAnsi="Arial" w:cs="Arial"/>
                <w:b/>
                <w:sz w:val="20"/>
                <w:szCs w:val="20"/>
              </w:rPr>
              <w:t>100mg</w:t>
            </w:r>
          </w:p>
          <w:p w14:paraId="7D03BC33" w14:textId="77777777" w:rsidR="00657ACA" w:rsidRPr="0000591E" w:rsidRDefault="00657ACA" w:rsidP="00657ACA">
            <w:pPr>
              <w:rPr>
                <w:rFonts w:ascii="Arial" w:hAnsi="Arial" w:cs="Arial"/>
                <w:b/>
                <w:sz w:val="20"/>
                <w:szCs w:val="20"/>
              </w:rPr>
            </w:pPr>
            <w:r>
              <w:rPr>
                <w:rFonts w:ascii="Arial" w:hAnsi="Arial" w:cs="Arial"/>
                <w:b/>
                <w:sz w:val="20"/>
                <w:szCs w:val="20"/>
              </w:rPr>
              <w:t>Azacitidin parent. 150 mg</w:t>
            </w:r>
          </w:p>
        </w:tc>
      </w:tr>
      <w:tr w:rsidR="00657ACA" w:rsidRPr="0000591E" w14:paraId="134F7CE6" w14:textId="77777777" w:rsidTr="003F7925">
        <w:trPr>
          <w:gridAfter w:val="2"/>
          <w:wAfter w:w="154" w:type="dxa"/>
          <w:trHeight w:val="20"/>
        </w:trPr>
        <w:tc>
          <w:tcPr>
            <w:tcW w:w="1256" w:type="dxa"/>
            <w:tcBorders>
              <w:top w:val="single" w:sz="4" w:space="0" w:color="auto"/>
            </w:tcBorders>
            <w:noWrap/>
          </w:tcPr>
          <w:p w14:paraId="3008A444"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4EB15082" w14:textId="5A976FED" w:rsidR="00657ACA" w:rsidRDefault="00657ACA" w:rsidP="00657ACA">
            <w:pPr>
              <w:spacing w:line="276" w:lineRule="auto"/>
              <w:jc w:val="both"/>
              <w:rPr>
                <w:rFonts w:ascii="Arial" w:hAnsi="Arial" w:cs="Arial"/>
                <w:sz w:val="20"/>
                <w:szCs w:val="20"/>
              </w:rPr>
            </w:pPr>
            <w:r>
              <w:rPr>
                <w:rFonts w:ascii="Arial" w:hAnsi="Arial" w:cs="Arial"/>
                <w:sz w:val="20"/>
                <w:szCs w:val="20"/>
              </w:rPr>
              <w:t>Hradená liečba sa môže indikovať dospelým pacientom, ktorí nie sú spôsobilí na</w:t>
            </w:r>
            <w:r w:rsidR="00A47B56">
              <w:rPr>
                <w:rFonts w:ascii="Arial" w:hAnsi="Arial" w:cs="Arial"/>
                <w:sz w:val="20"/>
                <w:szCs w:val="20"/>
              </w:rPr>
              <w:t xml:space="preserve"> </w:t>
            </w:r>
            <w:r>
              <w:rPr>
                <w:rFonts w:ascii="Arial" w:hAnsi="Arial" w:cs="Arial"/>
                <w:sz w:val="20"/>
                <w:szCs w:val="20"/>
              </w:rPr>
              <w:t>transplantáciu hematopoetických kmeňových buniek</w:t>
            </w:r>
          </w:p>
          <w:p w14:paraId="2425447E" w14:textId="326FB574" w:rsidR="00657ACA" w:rsidRPr="00A47B56" w:rsidRDefault="00657ACA">
            <w:pPr>
              <w:pStyle w:val="Odsekzoznamu"/>
              <w:numPr>
                <w:ilvl w:val="0"/>
                <w:numId w:val="121"/>
              </w:numPr>
              <w:spacing w:after="160"/>
              <w:rPr>
                <w:rFonts w:ascii="Arial" w:hAnsi="Arial" w:cs="Arial"/>
                <w:sz w:val="20"/>
                <w:szCs w:val="20"/>
              </w:rPr>
            </w:pPr>
            <w:r w:rsidRPr="00A47B56">
              <w:rPr>
                <w:rFonts w:ascii="Arial" w:hAnsi="Arial" w:cs="Arial"/>
                <w:sz w:val="20"/>
                <w:szCs w:val="20"/>
              </w:rPr>
              <w:t>so stredne-2 a vysokorizikovými myelodysplastickými syndrómami (MDS) podľa</w:t>
            </w:r>
            <w:r w:rsidR="00A47B56" w:rsidRPr="00A47B56">
              <w:rPr>
                <w:rFonts w:ascii="Arial" w:hAnsi="Arial" w:cs="Arial"/>
                <w:sz w:val="20"/>
                <w:szCs w:val="20"/>
              </w:rPr>
              <w:t xml:space="preserve"> </w:t>
            </w:r>
            <w:r w:rsidRPr="00A47B56">
              <w:rPr>
                <w:rFonts w:ascii="Arial" w:hAnsi="Arial" w:cs="Arial"/>
                <w:sz w:val="20"/>
                <w:szCs w:val="20"/>
              </w:rPr>
              <w:t>medzinárodného prognostického hodnotiaceho systému (International Prognostic</w:t>
            </w:r>
            <w:r w:rsidR="00A47B56" w:rsidRPr="00A47B56">
              <w:rPr>
                <w:rFonts w:ascii="Arial" w:hAnsi="Arial" w:cs="Arial"/>
                <w:sz w:val="20"/>
                <w:szCs w:val="20"/>
              </w:rPr>
              <w:t xml:space="preserve"> </w:t>
            </w:r>
            <w:r w:rsidRPr="00A47B56">
              <w:rPr>
                <w:rFonts w:ascii="Arial" w:hAnsi="Arial" w:cs="Arial"/>
                <w:sz w:val="20"/>
                <w:szCs w:val="20"/>
              </w:rPr>
              <w:t>Scoring System, IPSS),</w:t>
            </w:r>
          </w:p>
          <w:p w14:paraId="4965886B" w14:textId="3C1C3460" w:rsidR="00657ACA" w:rsidRPr="00A47B56" w:rsidRDefault="00657ACA">
            <w:pPr>
              <w:pStyle w:val="Odsekzoznamu"/>
              <w:numPr>
                <w:ilvl w:val="0"/>
                <w:numId w:val="121"/>
              </w:numPr>
              <w:spacing w:after="160"/>
              <w:rPr>
                <w:rFonts w:ascii="Arial" w:hAnsi="Arial" w:cs="Arial"/>
                <w:sz w:val="20"/>
                <w:szCs w:val="20"/>
              </w:rPr>
            </w:pPr>
            <w:r w:rsidRPr="00A47B56">
              <w:rPr>
                <w:rFonts w:ascii="Arial" w:hAnsi="Arial" w:cs="Arial"/>
                <w:sz w:val="20"/>
                <w:szCs w:val="20"/>
              </w:rPr>
              <w:t>s chronickou myelomonocytovou leukémiou (CMML) s 10 -29% blastov v</w:t>
            </w:r>
            <w:r w:rsidR="00A47B56" w:rsidRPr="00A47B56">
              <w:rPr>
                <w:rFonts w:ascii="Arial" w:hAnsi="Arial" w:cs="Arial"/>
                <w:sz w:val="20"/>
                <w:szCs w:val="20"/>
              </w:rPr>
              <w:t> </w:t>
            </w:r>
            <w:r w:rsidRPr="00A47B56">
              <w:rPr>
                <w:rFonts w:ascii="Arial" w:hAnsi="Arial" w:cs="Arial"/>
                <w:sz w:val="20"/>
                <w:szCs w:val="20"/>
              </w:rPr>
              <w:t>kostnej</w:t>
            </w:r>
            <w:r w:rsidR="00A47B56" w:rsidRPr="00A47B56">
              <w:rPr>
                <w:rFonts w:ascii="Arial" w:hAnsi="Arial" w:cs="Arial"/>
                <w:sz w:val="20"/>
                <w:szCs w:val="20"/>
              </w:rPr>
              <w:t xml:space="preserve"> </w:t>
            </w:r>
            <w:r w:rsidRPr="00A47B56">
              <w:rPr>
                <w:rFonts w:ascii="Arial" w:hAnsi="Arial" w:cs="Arial"/>
                <w:sz w:val="20"/>
                <w:szCs w:val="20"/>
              </w:rPr>
              <w:t>dreni bez myeloproliferatívnej poruchy,</w:t>
            </w:r>
          </w:p>
          <w:p w14:paraId="572F446A" w14:textId="77777777" w:rsidR="00657ACA" w:rsidRDefault="00657ACA">
            <w:pPr>
              <w:pStyle w:val="Odsekzoznamu"/>
              <w:numPr>
                <w:ilvl w:val="0"/>
                <w:numId w:val="121"/>
              </w:numPr>
              <w:spacing w:after="160"/>
              <w:rPr>
                <w:rFonts w:ascii="Arial" w:hAnsi="Arial" w:cs="Arial"/>
                <w:sz w:val="20"/>
                <w:szCs w:val="20"/>
              </w:rPr>
            </w:pPr>
            <w:r>
              <w:rPr>
                <w:rFonts w:ascii="Arial" w:hAnsi="Arial" w:cs="Arial"/>
                <w:sz w:val="20"/>
                <w:szCs w:val="20"/>
              </w:rPr>
              <w:t>s akútnou myeloidnou leukémiou (AML) s 20-30% blastov a viacrodovou dyspláziou</w:t>
            </w:r>
          </w:p>
          <w:p w14:paraId="4B6084A7" w14:textId="77777777" w:rsidR="00657ACA" w:rsidRDefault="00657ACA" w:rsidP="00657ACA">
            <w:pPr>
              <w:spacing w:line="276" w:lineRule="auto"/>
              <w:jc w:val="both"/>
              <w:rPr>
                <w:rFonts w:ascii="Arial" w:hAnsi="Arial" w:cs="Arial"/>
                <w:sz w:val="20"/>
                <w:szCs w:val="20"/>
              </w:rPr>
            </w:pPr>
            <w:r>
              <w:rPr>
                <w:rFonts w:ascii="Arial" w:hAnsi="Arial" w:cs="Arial"/>
                <w:sz w:val="20"/>
                <w:szCs w:val="20"/>
              </w:rPr>
              <w:t>podľa klasifikácie Svetovej zdravotníckej organizácie (WHO).</w:t>
            </w:r>
          </w:p>
          <w:p w14:paraId="50CDD4F5" w14:textId="77777777" w:rsidR="00657ACA" w:rsidRDefault="00657ACA" w:rsidP="00657ACA">
            <w:pPr>
              <w:spacing w:line="276" w:lineRule="auto"/>
              <w:jc w:val="both"/>
              <w:rPr>
                <w:rFonts w:ascii="Arial" w:hAnsi="Arial" w:cs="Arial"/>
                <w:sz w:val="20"/>
                <w:szCs w:val="20"/>
              </w:rPr>
            </w:pPr>
          </w:p>
          <w:p w14:paraId="54C4C7AF" w14:textId="4E856EB8" w:rsidR="00657ACA" w:rsidRPr="00E57A8D" w:rsidRDefault="00657ACA" w:rsidP="00A47B56">
            <w:pPr>
              <w:spacing w:line="276" w:lineRule="auto"/>
              <w:jc w:val="both"/>
            </w:pPr>
            <w:r>
              <w:rPr>
                <w:rFonts w:ascii="Arial" w:hAnsi="Arial" w:cs="Arial"/>
                <w:sz w:val="20"/>
                <w:szCs w:val="20"/>
              </w:rPr>
              <w:t>Hradená liečba sa môže indikovať v Národnom onkologickom ústave Bratislava, na Klinike</w:t>
            </w:r>
            <w:r w:rsidR="00A47B56">
              <w:rPr>
                <w:rFonts w:ascii="Arial" w:hAnsi="Arial" w:cs="Arial"/>
                <w:sz w:val="20"/>
                <w:szCs w:val="20"/>
              </w:rPr>
              <w:t xml:space="preserve"> </w:t>
            </w:r>
            <w:r>
              <w:rPr>
                <w:rFonts w:ascii="Arial" w:hAnsi="Arial" w:cs="Arial"/>
                <w:sz w:val="20"/>
                <w:szCs w:val="20"/>
              </w:rPr>
              <w:t>hematológie a transfuziológie Univerzitnej nemocnice Bratislava - nemocnica sv. Cyrila a</w:t>
            </w:r>
            <w:r w:rsidR="00A47B56">
              <w:rPr>
                <w:rFonts w:ascii="Arial" w:hAnsi="Arial" w:cs="Arial"/>
                <w:sz w:val="20"/>
                <w:szCs w:val="20"/>
              </w:rPr>
              <w:t xml:space="preserve"> </w:t>
            </w:r>
            <w:r>
              <w:rPr>
                <w:rFonts w:ascii="Arial" w:hAnsi="Arial" w:cs="Arial"/>
                <w:sz w:val="20"/>
                <w:szCs w:val="20"/>
              </w:rPr>
              <w:t>Metoda, na Klinike hematológie a transfuziológie Jesseniovej lekárskej fakulty Univerzity</w:t>
            </w:r>
            <w:r w:rsidR="00A47B56">
              <w:rPr>
                <w:rFonts w:ascii="Arial" w:hAnsi="Arial" w:cs="Arial"/>
                <w:sz w:val="20"/>
                <w:szCs w:val="20"/>
              </w:rPr>
              <w:t xml:space="preserve"> </w:t>
            </w:r>
            <w:r>
              <w:rPr>
                <w:rFonts w:ascii="Arial" w:hAnsi="Arial" w:cs="Arial"/>
                <w:sz w:val="20"/>
                <w:szCs w:val="20"/>
              </w:rPr>
              <w:t>Komenského Martin, na Hematologickej klinike Univerzitnej nemoc nice L. Pasteura Košice,</w:t>
            </w:r>
            <w:r w:rsidR="00A47B56">
              <w:rPr>
                <w:rFonts w:ascii="Arial" w:hAnsi="Arial" w:cs="Arial"/>
                <w:sz w:val="20"/>
                <w:szCs w:val="20"/>
              </w:rPr>
              <w:t xml:space="preserve"> </w:t>
            </w:r>
            <w:r>
              <w:rPr>
                <w:rFonts w:ascii="Arial" w:hAnsi="Arial" w:cs="Arial"/>
                <w:sz w:val="20"/>
                <w:szCs w:val="20"/>
              </w:rPr>
              <w:t>na Hematologickom oddelení Fakultnej nemocnice s poliklinikou F.D. Roosevelta, Banská</w:t>
            </w:r>
            <w:r w:rsidR="00A47B56">
              <w:rPr>
                <w:rFonts w:ascii="Arial" w:hAnsi="Arial" w:cs="Arial"/>
                <w:sz w:val="20"/>
                <w:szCs w:val="20"/>
              </w:rPr>
              <w:t xml:space="preserve"> </w:t>
            </w:r>
            <w:r>
              <w:rPr>
                <w:rFonts w:ascii="Arial" w:hAnsi="Arial" w:cs="Arial"/>
                <w:sz w:val="20"/>
                <w:szCs w:val="20"/>
              </w:rPr>
              <w:t>Bystrica, vo Fakultnej nemocnici s poliklinikou J. A. Reimana Prešov a v</w:t>
            </w:r>
            <w:r w:rsidR="00A47B56">
              <w:rPr>
                <w:rFonts w:ascii="Arial" w:hAnsi="Arial" w:cs="Arial"/>
                <w:sz w:val="20"/>
                <w:szCs w:val="20"/>
              </w:rPr>
              <w:t> </w:t>
            </w:r>
            <w:r>
              <w:rPr>
                <w:rFonts w:ascii="Arial" w:hAnsi="Arial" w:cs="Arial"/>
                <w:sz w:val="20"/>
                <w:szCs w:val="20"/>
              </w:rPr>
              <w:t>Hematologickej</w:t>
            </w:r>
            <w:r w:rsidR="00A47B56">
              <w:rPr>
                <w:rFonts w:ascii="Arial" w:hAnsi="Arial" w:cs="Arial"/>
                <w:sz w:val="20"/>
                <w:szCs w:val="20"/>
              </w:rPr>
              <w:t xml:space="preserve"> </w:t>
            </w:r>
            <w:r>
              <w:rPr>
                <w:rFonts w:ascii="Arial" w:hAnsi="Arial" w:cs="Arial"/>
                <w:sz w:val="20"/>
                <w:szCs w:val="20"/>
              </w:rPr>
              <w:t>ambulancii Fakultnej nemocnice Nitra.</w:t>
            </w:r>
            <w:r>
              <w:t xml:space="preserve"> </w:t>
            </w:r>
          </w:p>
          <w:p w14:paraId="3738F9B6" w14:textId="77777777" w:rsidR="00657ACA" w:rsidRDefault="00657ACA" w:rsidP="00657ACA">
            <w:pPr>
              <w:autoSpaceDE w:val="0"/>
              <w:autoSpaceDN w:val="0"/>
              <w:adjustRightInd w:val="0"/>
              <w:jc w:val="both"/>
              <w:rPr>
                <w:rFonts w:ascii="Arial" w:hAnsi="Arial" w:cs="Arial"/>
                <w:b/>
                <w:bCs/>
                <w:sz w:val="20"/>
                <w:szCs w:val="20"/>
              </w:rPr>
            </w:pPr>
          </w:p>
          <w:p w14:paraId="1FD0897F"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Hradená liečba sa môže indikovať v kombinácii s ivozidenibom na liečbu dospelých pacientov s novodiagnostikovanou akútnou myeloblastovou leukémiou (AML) s mutáciou izocitrátdehydrogenázy-1 (IDH1) R132, ktorí nemôžu dostávať štandardnú indukčnú chemoterapiu. </w:t>
            </w:r>
          </w:p>
          <w:p w14:paraId="1E378077"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 xml:space="preserve">Podmienkou hradenej liečby je dobrý výkonnostný stav pacienta charakterizovaný na ECOG škále (Eastern Cooperative Oncology Group performance status) ako skóre 0 – 2. Liečba nie je indikovaná u pacientov predliečených hypometylačnými látkami (napr. azacitidín). </w:t>
            </w:r>
          </w:p>
          <w:p w14:paraId="524818F7"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   </w:t>
            </w:r>
          </w:p>
          <w:p w14:paraId="32F29D5D"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Hradená liečba sa môže indikovať v Národnom onkologickom ústave Bratislava, na Klinike hematológie a transfuziológie Univerzitnej nemocnice Bratislava - nemocnica sv. Cyrila a Metoda, na Klinike hematológie a transfuziológie Jesseniovej lekárskej fakulty Univerzity Komenského Martin, na Hematologickej klinike Univerzitnej nemocnice L. Pasteura Košice, na Hematologickom oddelení Fakultnej nemocnice s poliklinikou F.D. Roosevelta, Banská Bystrica, vo Fakultnej nemocnici s poliklinikou J. A. Reimana Prešov a v Hematologickej ambulancii Fakultnej nemocnice Nitra.   </w:t>
            </w:r>
          </w:p>
          <w:p w14:paraId="1C2D5CD8" w14:textId="5C1B24E3" w:rsidR="00A47B56" w:rsidRPr="0000591E" w:rsidRDefault="00A47B56" w:rsidP="00657ACA">
            <w:pPr>
              <w:autoSpaceDE w:val="0"/>
              <w:autoSpaceDN w:val="0"/>
              <w:adjustRightInd w:val="0"/>
              <w:jc w:val="both"/>
              <w:rPr>
                <w:rFonts w:ascii="Arial" w:hAnsi="Arial" w:cs="Arial"/>
                <w:b/>
                <w:bCs/>
                <w:sz w:val="20"/>
                <w:szCs w:val="20"/>
              </w:rPr>
            </w:pPr>
          </w:p>
        </w:tc>
      </w:tr>
      <w:tr w:rsidR="00657ACA" w:rsidRPr="0000591E" w14:paraId="6A5D97F8" w14:textId="77777777" w:rsidTr="003F7925">
        <w:trPr>
          <w:gridAfter w:val="2"/>
          <w:wAfter w:w="154" w:type="dxa"/>
          <w:trHeight w:val="20"/>
        </w:trPr>
        <w:tc>
          <w:tcPr>
            <w:tcW w:w="1256" w:type="dxa"/>
            <w:tcBorders>
              <w:bottom w:val="single" w:sz="4" w:space="0" w:color="auto"/>
            </w:tcBorders>
            <w:noWrap/>
          </w:tcPr>
          <w:p w14:paraId="781B8AF9" w14:textId="77777777" w:rsidR="00657ACA" w:rsidRDefault="00657ACA" w:rsidP="00657ACA">
            <w:pPr>
              <w:rPr>
                <w:rFonts w:ascii="Arial" w:hAnsi="Arial" w:cs="Arial"/>
                <w:b/>
                <w:bCs/>
                <w:sz w:val="20"/>
                <w:szCs w:val="20"/>
              </w:rPr>
            </w:pPr>
          </w:p>
          <w:p w14:paraId="6B774065" w14:textId="710C18AD" w:rsidR="00657ACA" w:rsidRPr="0000591E" w:rsidRDefault="00657ACA" w:rsidP="00657ACA">
            <w:pPr>
              <w:rPr>
                <w:rFonts w:ascii="Arial" w:hAnsi="Arial" w:cs="Arial"/>
                <w:b/>
                <w:bCs/>
                <w:sz w:val="20"/>
                <w:szCs w:val="20"/>
              </w:rPr>
            </w:pPr>
            <w:r>
              <w:rPr>
                <w:rFonts w:ascii="Arial" w:hAnsi="Arial" w:cs="Arial"/>
                <w:b/>
                <w:bCs/>
                <w:sz w:val="20"/>
                <w:szCs w:val="20"/>
              </w:rPr>
              <w:t>L01BC59</w:t>
            </w:r>
          </w:p>
        </w:tc>
        <w:tc>
          <w:tcPr>
            <w:tcW w:w="9452" w:type="dxa"/>
            <w:tcBorders>
              <w:bottom w:val="single" w:sz="4" w:space="0" w:color="auto"/>
            </w:tcBorders>
            <w:noWrap/>
            <w:vAlign w:val="bottom"/>
          </w:tcPr>
          <w:p w14:paraId="58EE4F69" w14:textId="77777777" w:rsidR="00657ACA" w:rsidRPr="009410B2" w:rsidRDefault="00657ACA" w:rsidP="00657ACA">
            <w:pPr>
              <w:spacing w:line="276" w:lineRule="auto"/>
              <w:jc w:val="both"/>
              <w:rPr>
                <w:rFonts w:ascii="Arial" w:hAnsi="Arial" w:cs="Arial"/>
                <w:b/>
                <w:sz w:val="20"/>
                <w:szCs w:val="20"/>
              </w:rPr>
            </w:pPr>
            <w:r w:rsidRPr="009410B2">
              <w:rPr>
                <w:rFonts w:ascii="Arial" w:hAnsi="Arial" w:cs="Arial"/>
                <w:b/>
                <w:sz w:val="20"/>
                <w:szCs w:val="20"/>
              </w:rPr>
              <w:t>Trifluridín, kombinácie p.o. 15 mg/ 6,14 mg</w:t>
            </w:r>
          </w:p>
          <w:p w14:paraId="49695E90" w14:textId="77777777" w:rsidR="00657ACA" w:rsidRDefault="00657ACA" w:rsidP="00657ACA">
            <w:pPr>
              <w:spacing w:line="276" w:lineRule="auto"/>
              <w:jc w:val="both"/>
              <w:rPr>
                <w:rFonts w:ascii="Arial" w:hAnsi="Arial" w:cs="Arial"/>
                <w:sz w:val="20"/>
                <w:szCs w:val="20"/>
              </w:rPr>
            </w:pPr>
            <w:r w:rsidRPr="009410B2">
              <w:rPr>
                <w:rFonts w:ascii="Arial" w:hAnsi="Arial" w:cs="Arial"/>
                <w:b/>
                <w:sz w:val="20"/>
                <w:szCs w:val="20"/>
              </w:rPr>
              <w:t>Trifluridín, kombinácie p.o. 20 mg/ 8,19 mg</w:t>
            </w:r>
          </w:p>
        </w:tc>
      </w:tr>
      <w:tr w:rsidR="00657ACA" w:rsidRPr="0000591E" w14:paraId="28BB77EF" w14:textId="77777777" w:rsidTr="003F7925">
        <w:trPr>
          <w:gridAfter w:val="2"/>
          <w:wAfter w:w="154" w:type="dxa"/>
          <w:trHeight w:val="20"/>
        </w:trPr>
        <w:tc>
          <w:tcPr>
            <w:tcW w:w="1256" w:type="dxa"/>
            <w:tcBorders>
              <w:top w:val="single" w:sz="4" w:space="0" w:color="auto"/>
            </w:tcBorders>
            <w:noWrap/>
          </w:tcPr>
          <w:p w14:paraId="239C073F"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33CEC2EB" w14:textId="77777777" w:rsidR="00657ACA" w:rsidRPr="009410B2" w:rsidRDefault="00657ACA" w:rsidP="00657ACA">
            <w:pPr>
              <w:autoSpaceDE w:val="0"/>
              <w:autoSpaceDN w:val="0"/>
              <w:adjustRightInd w:val="0"/>
              <w:spacing w:after="180" w:line="276" w:lineRule="auto"/>
              <w:rPr>
                <w:rFonts w:ascii="Verdana" w:hAnsi="Verdana"/>
                <w:color w:val="000000"/>
                <w:u w:color="000000"/>
              </w:rPr>
            </w:pPr>
            <w:r w:rsidRPr="009410B2">
              <w:rPr>
                <w:rFonts w:ascii="Arial" w:hAnsi="Arial"/>
                <w:color w:val="000000"/>
                <w:sz w:val="20"/>
                <w:u w:color="000000"/>
              </w:rPr>
              <w:t>Hradená liečba sa môže indikovať ako monoterapia u dospelých pacientov s</w:t>
            </w:r>
          </w:p>
          <w:p w14:paraId="1E1892B5" w14:textId="77777777" w:rsidR="00657ACA" w:rsidRPr="009410B2" w:rsidRDefault="00657ACA" w:rsidP="002B549F">
            <w:pPr>
              <w:autoSpaceDE w:val="0"/>
              <w:autoSpaceDN w:val="0"/>
              <w:adjustRightInd w:val="0"/>
              <w:spacing w:after="180" w:line="276" w:lineRule="auto"/>
              <w:jc w:val="both"/>
              <w:rPr>
                <w:rFonts w:ascii="Verdana" w:hAnsi="Verdana"/>
                <w:color w:val="000000"/>
                <w:u w:color="000000"/>
              </w:rPr>
            </w:pPr>
            <w:r w:rsidRPr="009410B2">
              <w:rPr>
                <w:rFonts w:ascii="Arial" w:hAnsi="Arial"/>
                <w:color w:val="000000"/>
                <w:sz w:val="20"/>
                <w:u w:color="000000"/>
              </w:rPr>
              <w:t xml:space="preserve">a) metastatickým kolorektálnym karcinómom (mCRC), predtým liečených dostupnými liečbami vrátane chemoterapií na báze fluoropyrimidínu, oxaliplatiny a irinotekánu, anti-VEGF a anti-EGFR látkami, alebo ktorí sa nepovažujú za vhodných kandidátov pre uvedené typy liečby. Podmienkou hradenej liečby je dobrý výkonnostný stav pacienta ECOG 0-1. </w:t>
            </w:r>
          </w:p>
          <w:p w14:paraId="2FC0DB5C" w14:textId="77777777" w:rsidR="00657ACA" w:rsidRDefault="00657ACA" w:rsidP="002B549F">
            <w:pPr>
              <w:autoSpaceDE w:val="0"/>
              <w:autoSpaceDN w:val="0"/>
              <w:adjustRightInd w:val="0"/>
              <w:spacing w:after="180" w:line="276" w:lineRule="auto"/>
              <w:jc w:val="both"/>
              <w:rPr>
                <w:rFonts w:ascii="Arial" w:hAnsi="Arial"/>
                <w:color w:val="000000"/>
                <w:sz w:val="20"/>
                <w:u w:color="000000"/>
              </w:rPr>
            </w:pPr>
            <w:r w:rsidRPr="009410B2">
              <w:rPr>
                <w:rFonts w:ascii="Arial" w:hAnsi="Arial"/>
                <w:color w:val="000000"/>
                <w:sz w:val="20"/>
                <w:u w:color="000000"/>
              </w:rPr>
              <w:t>b) metastatickým karcinómom žalúdka (mGC) vrátane adenokarcinómu gastroezofageálneho spojenia v tretej línii liečby, ktorí už boli liečení dvomi predchádzajúcimi systémovými liečebnými režimami pre pokročilé štádium ochorenia.</w:t>
            </w:r>
          </w:p>
          <w:p w14:paraId="1203FF98" w14:textId="77777777" w:rsidR="002B549F" w:rsidRPr="002B549F" w:rsidRDefault="002B549F" w:rsidP="002B549F">
            <w:pPr>
              <w:autoSpaceDE w:val="0"/>
              <w:autoSpaceDN w:val="0"/>
              <w:adjustRightInd w:val="0"/>
              <w:spacing w:after="180" w:line="276" w:lineRule="auto"/>
              <w:jc w:val="both"/>
              <w:rPr>
                <w:rFonts w:ascii="Arial" w:hAnsi="Arial"/>
                <w:color w:val="000000"/>
                <w:sz w:val="20"/>
                <w:u w:color="000000"/>
              </w:rPr>
            </w:pPr>
            <w:r w:rsidRPr="002B549F">
              <w:rPr>
                <w:rFonts w:ascii="Arial" w:hAnsi="Arial"/>
                <w:color w:val="000000"/>
                <w:sz w:val="20"/>
                <w:u w:color="000000"/>
              </w:rPr>
              <w:t>c) v kombinácii s bevacizumabom u dospelých pacientov s metastatickým kolorektálnym karcinómom (mCRC) v 3. línii predtým liečených dvoma režimami protinádorovej liečby vrátane chemoterapií na báze fluoropyrimidínu, oxaliplatiny a irinotekánu, antiVEGF látok a/alebo anti-EGFR látok. Podmienkou hradenej liečby je dobrý výkonnostný stav pacienta ECOG 0-1.</w:t>
            </w:r>
          </w:p>
          <w:p w14:paraId="14AC1557" w14:textId="77777777" w:rsidR="00657ACA" w:rsidRPr="009410B2" w:rsidRDefault="00657ACA" w:rsidP="00657ACA">
            <w:pPr>
              <w:autoSpaceDE w:val="0"/>
              <w:autoSpaceDN w:val="0"/>
              <w:adjustRightInd w:val="0"/>
              <w:spacing w:after="180" w:line="276" w:lineRule="auto"/>
              <w:rPr>
                <w:rFonts w:ascii="Verdana" w:hAnsi="Verdana"/>
                <w:color w:val="000000"/>
                <w:u w:color="000000"/>
              </w:rPr>
            </w:pPr>
            <w:r w:rsidRPr="009410B2">
              <w:rPr>
                <w:rFonts w:ascii="Arial" w:hAnsi="Arial"/>
                <w:color w:val="000000"/>
                <w:sz w:val="20"/>
                <w:u w:color="000000"/>
              </w:rPr>
              <w:t>Hradená liečba podlieha predchádzajúcemu súhlasu zdravotnej poisťovne.</w:t>
            </w:r>
          </w:p>
        </w:tc>
      </w:tr>
      <w:tr w:rsidR="00657ACA" w:rsidRPr="0000591E" w14:paraId="7C7D8FF6" w14:textId="77777777" w:rsidTr="003F7925">
        <w:trPr>
          <w:gridAfter w:val="2"/>
          <w:wAfter w:w="154" w:type="dxa"/>
          <w:trHeight w:val="20"/>
        </w:trPr>
        <w:tc>
          <w:tcPr>
            <w:tcW w:w="1256" w:type="dxa"/>
            <w:tcBorders>
              <w:bottom w:val="single" w:sz="4" w:space="0" w:color="auto"/>
            </w:tcBorders>
            <w:noWrap/>
          </w:tcPr>
          <w:p w14:paraId="3AF4D0AF" w14:textId="77777777" w:rsidR="00657ACA" w:rsidRPr="001F35F8" w:rsidRDefault="00657ACA" w:rsidP="00657ACA">
            <w:pPr>
              <w:rPr>
                <w:rFonts w:ascii="Arial" w:hAnsi="Arial" w:cs="Arial"/>
                <w:b/>
                <w:bCs/>
                <w:sz w:val="20"/>
                <w:szCs w:val="20"/>
              </w:rPr>
            </w:pPr>
            <w:r w:rsidRPr="001F35F8">
              <w:rPr>
                <w:rFonts w:ascii="Arial" w:hAnsi="Arial" w:cs="Arial"/>
                <w:b/>
                <w:bCs/>
                <w:sz w:val="20"/>
                <w:szCs w:val="20"/>
              </w:rPr>
              <w:t>L01CA05</w:t>
            </w:r>
          </w:p>
        </w:tc>
        <w:tc>
          <w:tcPr>
            <w:tcW w:w="9452" w:type="dxa"/>
            <w:tcBorders>
              <w:bottom w:val="single" w:sz="4" w:space="0" w:color="auto"/>
            </w:tcBorders>
            <w:noWrap/>
            <w:vAlign w:val="bottom"/>
          </w:tcPr>
          <w:p w14:paraId="5CF6A0A4" w14:textId="77777777" w:rsidR="00657ACA" w:rsidRPr="001F35F8" w:rsidRDefault="00657ACA" w:rsidP="00657ACA">
            <w:pPr>
              <w:pStyle w:val="Zkladntext"/>
              <w:jc w:val="both"/>
              <w:rPr>
                <w:b/>
                <w:lang w:val="sk-SK"/>
              </w:rPr>
            </w:pPr>
            <w:r>
              <w:rPr>
                <w:b/>
                <w:lang w:val="sk-SK"/>
              </w:rPr>
              <w:t>Vinflunín parent. 250 mg</w:t>
            </w:r>
          </w:p>
        </w:tc>
      </w:tr>
      <w:tr w:rsidR="00657ACA" w:rsidRPr="0000591E" w14:paraId="12FA4A79" w14:textId="77777777" w:rsidTr="003F7925">
        <w:trPr>
          <w:gridAfter w:val="2"/>
          <w:wAfter w:w="154" w:type="dxa"/>
          <w:trHeight w:val="20"/>
        </w:trPr>
        <w:tc>
          <w:tcPr>
            <w:tcW w:w="1256" w:type="dxa"/>
            <w:tcBorders>
              <w:top w:val="single" w:sz="4" w:space="0" w:color="auto"/>
            </w:tcBorders>
            <w:noWrap/>
          </w:tcPr>
          <w:p w14:paraId="7808CF25" w14:textId="77777777" w:rsidR="00657ACA" w:rsidRPr="001F35F8" w:rsidRDefault="00657ACA" w:rsidP="00657ACA">
            <w:pPr>
              <w:rPr>
                <w:rFonts w:ascii="Arial" w:hAnsi="Arial" w:cs="Arial"/>
                <w:b/>
                <w:bCs/>
                <w:sz w:val="20"/>
                <w:szCs w:val="20"/>
              </w:rPr>
            </w:pPr>
          </w:p>
        </w:tc>
        <w:tc>
          <w:tcPr>
            <w:tcW w:w="9452" w:type="dxa"/>
            <w:tcBorders>
              <w:top w:val="single" w:sz="4" w:space="0" w:color="auto"/>
            </w:tcBorders>
            <w:noWrap/>
            <w:vAlign w:val="bottom"/>
          </w:tcPr>
          <w:p w14:paraId="04FFA52C" w14:textId="77777777" w:rsidR="00657ACA" w:rsidRPr="001B2E6F" w:rsidRDefault="00657ACA" w:rsidP="00657ACA">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Javlor je indikovaný </w:t>
            </w:r>
            <w:r w:rsidRPr="001B2E6F">
              <w:rPr>
                <w:rFonts w:ascii="Arial" w:hAnsi="Arial" w:cs="Arial"/>
                <w:color w:val="000000"/>
                <w:sz w:val="20"/>
                <w:szCs w:val="20"/>
              </w:rPr>
              <w:t xml:space="preserve">v monoterapii na liečbu dospelých pacientov s pokročilým alebo metastatickým karcinómom prechodného epitelu močového traktu po zlyhaní predchádzajúcej liečby obsahujúcej platinu. </w:t>
            </w:r>
          </w:p>
          <w:p w14:paraId="5E703DA8" w14:textId="77777777" w:rsidR="00657ACA" w:rsidRPr="001F35F8" w:rsidRDefault="00657ACA" w:rsidP="00657ACA">
            <w:pPr>
              <w:pStyle w:val="Zkladntext"/>
              <w:jc w:val="both"/>
              <w:rPr>
                <w:b/>
                <w:lang w:val="sk-SK"/>
              </w:rPr>
            </w:pPr>
          </w:p>
        </w:tc>
      </w:tr>
      <w:tr w:rsidR="00657ACA" w:rsidRPr="0000591E" w14:paraId="26169AF1" w14:textId="77777777" w:rsidTr="003F7925">
        <w:trPr>
          <w:gridAfter w:val="2"/>
          <w:wAfter w:w="154" w:type="dxa"/>
          <w:trHeight w:val="20"/>
        </w:trPr>
        <w:tc>
          <w:tcPr>
            <w:tcW w:w="1256" w:type="dxa"/>
            <w:tcBorders>
              <w:bottom w:val="single" w:sz="4" w:space="0" w:color="auto"/>
            </w:tcBorders>
            <w:noWrap/>
          </w:tcPr>
          <w:p w14:paraId="2707C1C6" w14:textId="77777777" w:rsidR="00657ACA" w:rsidRPr="001F35F8" w:rsidRDefault="00657ACA" w:rsidP="00657ACA">
            <w:pPr>
              <w:rPr>
                <w:rFonts w:ascii="Arial" w:hAnsi="Arial" w:cs="Arial"/>
                <w:b/>
                <w:bCs/>
                <w:sz w:val="20"/>
                <w:szCs w:val="20"/>
              </w:rPr>
            </w:pPr>
            <w:r>
              <w:rPr>
                <w:rFonts w:ascii="Arial" w:hAnsi="Arial" w:cs="Arial"/>
                <w:b/>
                <w:bCs/>
                <w:sz w:val="20"/>
                <w:szCs w:val="20"/>
              </w:rPr>
              <w:t>L01CA05</w:t>
            </w:r>
          </w:p>
        </w:tc>
        <w:tc>
          <w:tcPr>
            <w:tcW w:w="9452" w:type="dxa"/>
            <w:tcBorders>
              <w:bottom w:val="single" w:sz="4" w:space="0" w:color="auto"/>
            </w:tcBorders>
            <w:noWrap/>
            <w:vAlign w:val="bottom"/>
          </w:tcPr>
          <w:p w14:paraId="6FA19D26" w14:textId="77777777" w:rsidR="00657ACA" w:rsidRPr="001F35F8" w:rsidRDefault="00657ACA" w:rsidP="00657ACA">
            <w:pPr>
              <w:pStyle w:val="Zkladntext"/>
              <w:jc w:val="both"/>
              <w:rPr>
                <w:b/>
                <w:lang w:val="sk-SK"/>
              </w:rPr>
            </w:pPr>
            <w:r>
              <w:rPr>
                <w:b/>
                <w:lang w:val="sk-SK"/>
              </w:rPr>
              <w:t>Vinflunín parent. 50 mg</w:t>
            </w:r>
          </w:p>
        </w:tc>
      </w:tr>
      <w:tr w:rsidR="00657ACA" w:rsidRPr="0000591E" w14:paraId="5DC5079A" w14:textId="77777777" w:rsidTr="003F7925">
        <w:trPr>
          <w:gridAfter w:val="2"/>
          <w:wAfter w:w="154" w:type="dxa"/>
          <w:trHeight w:val="20"/>
        </w:trPr>
        <w:tc>
          <w:tcPr>
            <w:tcW w:w="1256" w:type="dxa"/>
            <w:tcBorders>
              <w:top w:val="single" w:sz="4" w:space="0" w:color="auto"/>
            </w:tcBorders>
            <w:noWrap/>
          </w:tcPr>
          <w:p w14:paraId="4C42C4D3" w14:textId="77777777" w:rsidR="00657ACA" w:rsidRPr="001F35F8" w:rsidRDefault="00657ACA" w:rsidP="00657ACA">
            <w:pPr>
              <w:rPr>
                <w:rFonts w:ascii="Arial" w:hAnsi="Arial" w:cs="Arial"/>
                <w:b/>
                <w:bCs/>
                <w:sz w:val="20"/>
                <w:szCs w:val="20"/>
              </w:rPr>
            </w:pPr>
          </w:p>
        </w:tc>
        <w:tc>
          <w:tcPr>
            <w:tcW w:w="9452" w:type="dxa"/>
            <w:tcBorders>
              <w:top w:val="single" w:sz="4" w:space="0" w:color="auto"/>
            </w:tcBorders>
            <w:noWrap/>
            <w:vAlign w:val="bottom"/>
          </w:tcPr>
          <w:p w14:paraId="3885B21D" w14:textId="77777777" w:rsidR="00657ACA" w:rsidRDefault="00657ACA" w:rsidP="00657ACA">
            <w:pPr>
              <w:autoSpaceDE w:val="0"/>
              <w:autoSpaceDN w:val="0"/>
              <w:adjustRightInd w:val="0"/>
              <w:jc w:val="both"/>
              <w:rPr>
                <w:rFonts w:ascii="Arial" w:hAnsi="Arial" w:cs="Arial"/>
                <w:sz w:val="20"/>
                <w:szCs w:val="20"/>
              </w:rPr>
            </w:pPr>
            <w:r w:rsidRPr="005141BE">
              <w:rPr>
                <w:rFonts w:ascii="Arial" w:hAnsi="Arial" w:cs="Arial"/>
                <w:sz w:val="20"/>
                <w:szCs w:val="20"/>
              </w:rPr>
              <w:t>Javlor je indikovaný v monoterapii na liečbu dospelých pacientov s pokročilým alebo metastatickým karcinómom prechodného epitelu močového traktu po zlyhaní predchádzajúcej liečby obsahujúcej platinu.</w:t>
            </w:r>
          </w:p>
          <w:p w14:paraId="7C0EC5BE" w14:textId="77777777" w:rsidR="00657ACA" w:rsidRPr="005141BE" w:rsidRDefault="00657ACA" w:rsidP="00657ACA">
            <w:pPr>
              <w:autoSpaceDE w:val="0"/>
              <w:autoSpaceDN w:val="0"/>
              <w:adjustRightInd w:val="0"/>
              <w:jc w:val="both"/>
              <w:rPr>
                <w:rFonts w:ascii="Arial" w:hAnsi="Arial" w:cs="Arial"/>
                <w:color w:val="000000"/>
                <w:sz w:val="20"/>
                <w:szCs w:val="20"/>
              </w:rPr>
            </w:pPr>
          </w:p>
        </w:tc>
      </w:tr>
      <w:tr w:rsidR="00657ACA" w:rsidRPr="0000591E" w14:paraId="4D62C7A3" w14:textId="77777777" w:rsidTr="003F7925">
        <w:trPr>
          <w:gridAfter w:val="2"/>
          <w:wAfter w:w="154" w:type="dxa"/>
          <w:trHeight w:val="20"/>
        </w:trPr>
        <w:tc>
          <w:tcPr>
            <w:tcW w:w="1256" w:type="dxa"/>
            <w:tcBorders>
              <w:bottom w:val="single" w:sz="4" w:space="0" w:color="auto"/>
            </w:tcBorders>
            <w:noWrap/>
            <w:vAlign w:val="bottom"/>
          </w:tcPr>
          <w:p w14:paraId="6AC18944" w14:textId="77777777" w:rsidR="00657ACA" w:rsidRPr="0000591E" w:rsidRDefault="00657ACA" w:rsidP="00657ACA">
            <w:pPr>
              <w:rPr>
                <w:rFonts w:ascii="Arial" w:hAnsi="Arial" w:cs="Arial"/>
                <w:b/>
                <w:bCs/>
                <w:sz w:val="20"/>
                <w:szCs w:val="20"/>
              </w:rPr>
            </w:pPr>
            <w:r w:rsidRPr="0000591E">
              <w:rPr>
                <w:rFonts w:ascii="Arial" w:hAnsi="Arial" w:cs="Arial"/>
                <w:b/>
                <w:sz w:val="20"/>
                <w:szCs w:val="20"/>
              </w:rPr>
              <w:t>L01</w:t>
            </w:r>
            <w:r>
              <w:rPr>
                <w:rFonts w:ascii="Arial" w:hAnsi="Arial" w:cs="Arial"/>
                <w:b/>
                <w:sz w:val="20"/>
                <w:szCs w:val="20"/>
              </w:rPr>
              <w:t>CD01</w:t>
            </w:r>
          </w:p>
        </w:tc>
        <w:tc>
          <w:tcPr>
            <w:tcW w:w="9452" w:type="dxa"/>
            <w:tcBorders>
              <w:bottom w:val="single" w:sz="4" w:space="0" w:color="auto"/>
            </w:tcBorders>
            <w:noWrap/>
            <w:vAlign w:val="bottom"/>
          </w:tcPr>
          <w:p w14:paraId="1DBBEC3E" w14:textId="77777777" w:rsidR="00657ACA" w:rsidRPr="0000591E" w:rsidRDefault="00657ACA" w:rsidP="00657ACA">
            <w:pPr>
              <w:rPr>
                <w:rFonts w:ascii="Arial" w:hAnsi="Arial" w:cs="Arial"/>
                <w:b/>
                <w:sz w:val="20"/>
                <w:szCs w:val="20"/>
              </w:rPr>
            </w:pPr>
            <w:r w:rsidRPr="005A1B28">
              <w:rPr>
                <w:rFonts w:ascii="Arial" w:hAnsi="Arial" w:cs="Arial"/>
                <w:b/>
                <w:sz w:val="20"/>
                <w:szCs w:val="20"/>
              </w:rPr>
              <w:t>Paklitaxel parent. nanočastice viazané na albumín</w:t>
            </w:r>
            <w:r>
              <w:rPr>
                <w:rFonts w:ascii="Arial" w:hAnsi="Arial" w:cs="Arial"/>
                <w:b/>
                <w:sz w:val="20"/>
                <w:szCs w:val="20"/>
              </w:rPr>
              <w:t xml:space="preserve"> 100mg</w:t>
            </w:r>
          </w:p>
        </w:tc>
      </w:tr>
      <w:tr w:rsidR="00657ACA" w:rsidRPr="0000591E" w14:paraId="7D1D45DA" w14:textId="77777777" w:rsidTr="003F7925">
        <w:trPr>
          <w:gridAfter w:val="2"/>
          <w:wAfter w:w="154" w:type="dxa"/>
          <w:trHeight w:val="775"/>
        </w:trPr>
        <w:tc>
          <w:tcPr>
            <w:tcW w:w="1256" w:type="dxa"/>
            <w:tcBorders>
              <w:top w:val="single" w:sz="4" w:space="0" w:color="auto"/>
            </w:tcBorders>
            <w:noWrap/>
          </w:tcPr>
          <w:p w14:paraId="61918C22"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27B9DEFA" w14:textId="1422512D" w:rsidR="00657ACA" w:rsidRPr="005A1B28" w:rsidRDefault="00657ACA" w:rsidP="00657ACA">
            <w:pPr>
              <w:pStyle w:val="Zkladntext"/>
              <w:jc w:val="both"/>
              <w:rPr>
                <w:lang w:val="sk-SK"/>
              </w:rPr>
            </w:pPr>
            <w:r w:rsidRPr="005A1B28">
              <w:rPr>
                <w:lang w:val="sk-SK"/>
              </w:rPr>
              <w:t xml:space="preserve">Hradená liečba sa môže indikovať v prvej línii liečby metastatického adenokarcinómu pankreasu </w:t>
            </w:r>
            <w:r>
              <w:rPr>
                <w:lang w:val="sk-SK"/>
              </w:rPr>
              <w:t xml:space="preserve">                                </w:t>
            </w:r>
            <w:r w:rsidRPr="005A1B28">
              <w:rPr>
                <w:lang w:val="sk-SK"/>
              </w:rPr>
              <w:t>v kombinácii s gemcitabínom u dospelých pacientov s Karnofského skóre 70-80.</w:t>
            </w:r>
          </w:p>
          <w:p w14:paraId="20ABE282" w14:textId="75091C4C" w:rsidR="00657ACA" w:rsidRPr="0000591E" w:rsidRDefault="00657ACA" w:rsidP="00657ACA">
            <w:pPr>
              <w:pStyle w:val="Zkladntext"/>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tc>
      </w:tr>
      <w:tr w:rsidR="00657ACA" w:rsidRPr="00FE30D2" w14:paraId="385447DB" w14:textId="77777777" w:rsidTr="003F7925">
        <w:trPr>
          <w:gridAfter w:val="2"/>
          <w:wAfter w:w="154" w:type="dxa"/>
          <w:trHeight w:val="336"/>
        </w:trPr>
        <w:tc>
          <w:tcPr>
            <w:tcW w:w="1256" w:type="dxa"/>
            <w:tcBorders>
              <w:bottom w:val="single" w:sz="4" w:space="0" w:color="auto"/>
            </w:tcBorders>
            <w:noWrap/>
            <w:vAlign w:val="bottom"/>
          </w:tcPr>
          <w:p w14:paraId="38207451" w14:textId="35D1DD83" w:rsidR="00657ACA" w:rsidRPr="00FE30D2" w:rsidRDefault="00657ACA" w:rsidP="00657ACA">
            <w:pPr>
              <w:rPr>
                <w:rFonts w:ascii="Arial" w:hAnsi="Arial" w:cs="Arial"/>
                <w:b/>
                <w:sz w:val="20"/>
                <w:szCs w:val="20"/>
              </w:rPr>
            </w:pPr>
            <w:r w:rsidRPr="0000591E">
              <w:rPr>
                <w:rFonts w:ascii="Arial" w:hAnsi="Arial" w:cs="Arial"/>
                <w:b/>
                <w:sz w:val="20"/>
                <w:szCs w:val="20"/>
              </w:rPr>
              <w:t>L01</w:t>
            </w:r>
            <w:r>
              <w:rPr>
                <w:rFonts w:ascii="Arial" w:hAnsi="Arial" w:cs="Arial"/>
                <w:b/>
                <w:sz w:val="20"/>
                <w:szCs w:val="20"/>
              </w:rPr>
              <w:t>CD04</w:t>
            </w:r>
          </w:p>
        </w:tc>
        <w:tc>
          <w:tcPr>
            <w:tcW w:w="9452" w:type="dxa"/>
            <w:tcBorders>
              <w:bottom w:val="single" w:sz="4" w:space="0" w:color="auto"/>
            </w:tcBorders>
            <w:noWrap/>
            <w:vAlign w:val="bottom"/>
          </w:tcPr>
          <w:p w14:paraId="4A8DD1D7" w14:textId="77777777" w:rsidR="00657ACA" w:rsidRDefault="00657ACA" w:rsidP="00657ACA">
            <w:pPr>
              <w:pStyle w:val="Zkladntext"/>
              <w:jc w:val="both"/>
              <w:rPr>
                <w:b/>
                <w:lang w:val="sk-SK" w:eastAsia="sk-SK"/>
              </w:rPr>
            </w:pPr>
            <w:r w:rsidRPr="00FE30D2">
              <w:rPr>
                <w:b/>
                <w:lang w:val="sk-SK" w:eastAsia="sk-SK"/>
              </w:rPr>
              <w:t>Kabazitaxel</w:t>
            </w:r>
            <w:r>
              <w:rPr>
                <w:b/>
                <w:lang w:val="sk-SK" w:eastAsia="sk-SK"/>
              </w:rPr>
              <w:t xml:space="preserve"> </w:t>
            </w:r>
            <w:r w:rsidRPr="00FE30D2">
              <w:rPr>
                <w:b/>
                <w:lang w:val="sk-SK" w:eastAsia="sk-SK"/>
              </w:rPr>
              <w:t>parent. 45 mg</w:t>
            </w:r>
            <w:r>
              <w:rPr>
                <w:b/>
                <w:lang w:val="sk-SK" w:eastAsia="sk-SK"/>
              </w:rPr>
              <w:t>,</w:t>
            </w:r>
          </w:p>
          <w:p w14:paraId="0D1CAC41" w14:textId="72719751" w:rsidR="00657ACA" w:rsidRDefault="00657ACA" w:rsidP="00657ACA">
            <w:pPr>
              <w:pStyle w:val="Zkladntext"/>
              <w:jc w:val="both"/>
              <w:rPr>
                <w:b/>
                <w:lang w:val="sk-SK" w:eastAsia="sk-SK"/>
              </w:rPr>
            </w:pPr>
            <w:r w:rsidRPr="00FE30D2">
              <w:rPr>
                <w:b/>
                <w:lang w:val="sk-SK" w:eastAsia="sk-SK"/>
              </w:rPr>
              <w:t>Kabazitaxel</w:t>
            </w:r>
            <w:r>
              <w:rPr>
                <w:b/>
                <w:lang w:val="sk-SK" w:eastAsia="sk-SK"/>
              </w:rPr>
              <w:t xml:space="preserve"> </w:t>
            </w:r>
            <w:r w:rsidRPr="00FE30D2">
              <w:rPr>
                <w:b/>
                <w:lang w:val="sk-SK" w:eastAsia="sk-SK"/>
              </w:rPr>
              <w:t>parent. 5</w:t>
            </w:r>
            <w:r>
              <w:rPr>
                <w:b/>
                <w:lang w:val="sk-SK" w:eastAsia="sk-SK"/>
              </w:rPr>
              <w:t>0</w:t>
            </w:r>
            <w:r w:rsidRPr="00FE30D2">
              <w:rPr>
                <w:b/>
                <w:lang w:val="sk-SK" w:eastAsia="sk-SK"/>
              </w:rPr>
              <w:t xml:space="preserve"> mg</w:t>
            </w:r>
            <w:r>
              <w:rPr>
                <w:b/>
                <w:lang w:val="sk-SK" w:eastAsia="sk-SK"/>
              </w:rPr>
              <w:t>,</w:t>
            </w:r>
          </w:p>
          <w:p w14:paraId="501B09D0" w14:textId="2B9CB084" w:rsidR="00657ACA" w:rsidRPr="00FE30D2" w:rsidRDefault="00657ACA" w:rsidP="00657ACA">
            <w:pPr>
              <w:pStyle w:val="Zkladntext"/>
              <w:jc w:val="both"/>
              <w:rPr>
                <w:b/>
                <w:lang w:val="sk-SK" w:eastAsia="sk-SK"/>
              </w:rPr>
            </w:pPr>
            <w:r w:rsidRPr="00FE30D2">
              <w:rPr>
                <w:b/>
                <w:lang w:val="sk-SK" w:eastAsia="sk-SK"/>
              </w:rPr>
              <w:t>Kabazitaxel</w:t>
            </w:r>
            <w:r>
              <w:rPr>
                <w:b/>
                <w:lang w:val="sk-SK" w:eastAsia="sk-SK"/>
              </w:rPr>
              <w:t xml:space="preserve"> parent. 60 </w:t>
            </w:r>
            <w:r w:rsidRPr="00FE30D2">
              <w:rPr>
                <w:b/>
                <w:lang w:val="sk-SK" w:eastAsia="sk-SK"/>
              </w:rPr>
              <w:t>mg</w:t>
            </w:r>
          </w:p>
        </w:tc>
      </w:tr>
      <w:tr w:rsidR="00657ACA" w:rsidRPr="0000591E" w14:paraId="07E64804" w14:textId="77777777" w:rsidTr="004E311E">
        <w:trPr>
          <w:gridAfter w:val="2"/>
          <w:wAfter w:w="154" w:type="dxa"/>
          <w:trHeight w:val="20"/>
        </w:trPr>
        <w:tc>
          <w:tcPr>
            <w:tcW w:w="1256" w:type="dxa"/>
            <w:tcBorders>
              <w:top w:val="single" w:sz="4" w:space="0" w:color="auto"/>
            </w:tcBorders>
            <w:noWrap/>
            <w:vAlign w:val="bottom"/>
          </w:tcPr>
          <w:p w14:paraId="220FCA47"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926AC41" w14:textId="77777777" w:rsidR="00657ACA" w:rsidRPr="00FE30D2" w:rsidRDefault="00657ACA" w:rsidP="00657ACA">
            <w:pPr>
              <w:jc w:val="both"/>
              <w:rPr>
                <w:rFonts w:ascii="Arial" w:hAnsi="Arial" w:cs="Arial"/>
                <w:bCs/>
                <w:sz w:val="20"/>
                <w:szCs w:val="20"/>
              </w:rPr>
            </w:pPr>
            <w:r w:rsidRPr="00FE30D2">
              <w:rPr>
                <w:rFonts w:ascii="Arial" w:hAnsi="Arial" w:cs="Arial"/>
                <w:bCs/>
                <w:sz w:val="20"/>
                <w:szCs w:val="20"/>
              </w:rPr>
              <w:t xml:space="preserve">Hradená liečba sa môže indikovať v kombinácii s prednizónom alebo prednizolónom na liečbu dospelých mužov s metastázujúcim CRPC, ktorí boli liečení inhibítorom signalizácie androgénneho receptora a došlo u nich k progresii ochorenia počas liečby alebo po liečbe docetaxelom. Liečba je hradená do času, kedy dôjde ku klinickej progresii ochorenia. </w:t>
            </w:r>
          </w:p>
          <w:p w14:paraId="12EA216A" w14:textId="77777777" w:rsidR="00657ACA" w:rsidRDefault="00657ACA" w:rsidP="00657ACA">
            <w:pPr>
              <w:jc w:val="both"/>
              <w:rPr>
                <w:rFonts w:ascii="Arial" w:hAnsi="Arial" w:cs="Arial"/>
                <w:bCs/>
                <w:sz w:val="20"/>
                <w:szCs w:val="20"/>
              </w:rPr>
            </w:pPr>
            <w:r w:rsidRPr="00FE30D2">
              <w:rPr>
                <w:rFonts w:ascii="Arial" w:hAnsi="Arial" w:cs="Arial"/>
                <w:bCs/>
                <w:sz w:val="20"/>
                <w:szCs w:val="20"/>
              </w:rPr>
              <w:t xml:space="preserve">Podmienkou hradenej liečby je dobrý výkonnostný stav pacienta charakterizovaný na ECOG škále (Eastern Cooperative Oncology Group performance status) ako skóre 0 </w:t>
            </w:r>
            <w:r>
              <w:rPr>
                <w:rFonts w:ascii="Arial" w:hAnsi="Arial" w:cs="Arial"/>
                <w:bCs/>
                <w:sz w:val="20"/>
                <w:szCs w:val="20"/>
              </w:rPr>
              <w:t>-</w:t>
            </w:r>
            <w:r w:rsidRPr="00FE30D2">
              <w:rPr>
                <w:rFonts w:ascii="Arial" w:hAnsi="Arial" w:cs="Arial"/>
                <w:bCs/>
                <w:sz w:val="20"/>
                <w:szCs w:val="20"/>
              </w:rPr>
              <w:t xml:space="preserve"> 1.</w:t>
            </w:r>
          </w:p>
          <w:p w14:paraId="52CFC5DB" w14:textId="3B6AFFF5" w:rsidR="00657ACA" w:rsidRPr="00FE30D2" w:rsidRDefault="00657ACA" w:rsidP="00657ACA">
            <w:pPr>
              <w:jc w:val="both"/>
              <w:rPr>
                <w:rFonts w:ascii="Arial" w:hAnsi="Arial" w:cs="Arial"/>
                <w:bCs/>
                <w:sz w:val="20"/>
                <w:szCs w:val="20"/>
              </w:rPr>
            </w:pPr>
          </w:p>
        </w:tc>
      </w:tr>
      <w:tr w:rsidR="00657ACA" w:rsidRPr="0000591E" w14:paraId="270CEF55" w14:textId="77777777" w:rsidTr="004E311E">
        <w:trPr>
          <w:gridAfter w:val="2"/>
          <w:wAfter w:w="154" w:type="dxa"/>
          <w:trHeight w:val="20"/>
        </w:trPr>
        <w:tc>
          <w:tcPr>
            <w:tcW w:w="1256" w:type="dxa"/>
            <w:tcBorders>
              <w:bottom w:val="single" w:sz="4" w:space="0" w:color="auto"/>
            </w:tcBorders>
            <w:noWrap/>
            <w:vAlign w:val="bottom"/>
          </w:tcPr>
          <w:p w14:paraId="79DB6871" w14:textId="37359789" w:rsidR="00657ACA" w:rsidRDefault="00657ACA" w:rsidP="00657ACA">
            <w:pPr>
              <w:jc w:val="both"/>
              <w:rPr>
                <w:rFonts w:ascii="Arial" w:hAnsi="Arial" w:cs="Arial"/>
                <w:b/>
                <w:bCs/>
                <w:sz w:val="20"/>
                <w:szCs w:val="20"/>
              </w:rPr>
            </w:pPr>
            <w:r>
              <w:rPr>
                <w:rFonts w:ascii="Arial" w:hAnsi="Arial" w:cs="Arial"/>
                <w:b/>
                <w:bCs/>
                <w:sz w:val="20"/>
                <w:szCs w:val="20"/>
              </w:rPr>
              <w:t>L01EA</w:t>
            </w:r>
            <w:r w:rsidRPr="0000591E">
              <w:rPr>
                <w:rFonts w:ascii="Arial" w:hAnsi="Arial" w:cs="Arial"/>
                <w:b/>
                <w:bCs/>
                <w:sz w:val="20"/>
                <w:szCs w:val="20"/>
              </w:rPr>
              <w:t>01</w:t>
            </w:r>
          </w:p>
        </w:tc>
        <w:tc>
          <w:tcPr>
            <w:tcW w:w="9452" w:type="dxa"/>
            <w:tcBorders>
              <w:bottom w:val="single" w:sz="4" w:space="0" w:color="auto"/>
            </w:tcBorders>
          </w:tcPr>
          <w:p w14:paraId="1E03320C" w14:textId="77777777" w:rsidR="00657ACA" w:rsidRPr="0000591E" w:rsidRDefault="00657ACA" w:rsidP="00657ACA">
            <w:pPr>
              <w:pStyle w:val="Zkladntext"/>
              <w:jc w:val="both"/>
              <w:rPr>
                <w:b/>
                <w:bCs/>
                <w:lang w:val="sk-SK" w:eastAsia="sk-SK"/>
              </w:rPr>
            </w:pPr>
            <w:r w:rsidRPr="0000591E">
              <w:rPr>
                <w:b/>
                <w:bCs/>
                <w:lang w:val="sk-SK" w:eastAsia="sk-SK"/>
              </w:rPr>
              <w:t>Imatinib p.o. 100 mg</w:t>
            </w:r>
          </w:p>
          <w:p w14:paraId="7142B454" w14:textId="7BA3B093" w:rsidR="00657ACA" w:rsidRPr="00FE30D2" w:rsidRDefault="00657ACA" w:rsidP="00657ACA">
            <w:pPr>
              <w:jc w:val="both"/>
              <w:rPr>
                <w:rFonts w:ascii="Arial" w:hAnsi="Arial" w:cs="Arial"/>
                <w:bCs/>
                <w:sz w:val="20"/>
                <w:szCs w:val="20"/>
              </w:rPr>
            </w:pPr>
            <w:r w:rsidRPr="00283C42">
              <w:rPr>
                <w:rFonts w:ascii="Arial" w:hAnsi="Arial" w:cs="Arial"/>
                <w:b/>
                <w:bCs/>
                <w:sz w:val="20"/>
                <w:szCs w:val="20"/>
              </w:rPr>
              <w:t>Imatinib p.o. 400 mg</w:t>
            </w:r>
          </w:p>
        </w:tc>
      </w:tr>
      <w:tr w:rsidR="00657ACA" w:rsidRPr="0000591E" w14:paraId="23ACAFDE" w14:textId="77777777" w:rsidTr="003F7925">
        <w:trPr>
          <w:gridAfter w:val="2"/>
          <w:wAfter w:w="154" w:type="dxa"/>
          <w:trHeight w:val="20"/>
        </w:trPr>
        <w:tc>
          <w:tcPr>
            <w:tcW w:w="1256" w:type="dxa"/>
            <w:tcBorders>
              <w:top w:val="single" w:sz="4" w:space="0" w:color="auto"/>
            </w:tcBorders>
            <w:noWrap/>
            <w:vAlign w:val="bottom"/>
          </w:tcPr>
          <w:p w14:paraId="78E16148" w14:textId="77777777" w:rsidR="00657ACA" w:rsidRDefault="00657ACA" w:rsidP="00657ACA">
            <w:pPr>
              <w:jc w:val="both"/>
              <w:rPr>
                <w:rFonts w:ascii="Arial" w:hAnsi="Arial" w:cs="Arial"/>
                <w:b/>
                <w:bCs/>
                <w:sz w:val="20"/>
                <w:szCs w:val="20"/>
                <w:lang w:eastAsia="cs-CZ"/>
              </w:rPr>
            </w:pPr>
          </w:p>
        </w:tc>
        <w:tc>
          <w:tcPr>
            <w:tcW w:w="9452" w:type="dxa"/>
            <w:tcBorders>
              <w:top w:val="single" w:sz="4" w:space="0" w:color="auto"/>
            </w:tcBorders>
          </w:tcPr>
          <w:p w14:paraId="21977858" w14:textId="77777777" w:rsidR="00657ACA" w:rsidRDefault="00657ACA" w:rsidP="00657ACA">
            <w:pPr>
              <w:pStyle w:val="Zkladntext"/>
              <w:jc w:val="both"/>
              <w:rPr>
                <w:bCs/>
                <w:lang w:val="sk-SK" w:eastAsia="sk-SK"/>
              </w:rPr>
            </w:pPr>
            <w:r w:rsidRPr="00283C42">
              <w:rPr>
                <w:bCs/>
                <w:lang w:val="sk-SK" w:eastAsia="sk-SK"/>
              </w:rPr>
              <w:t>Pri indikovaní konkrétneho lieku je potrebné zohľadniť rozdielne registrované indikácie uvedené v súhrne charakteristických vlastností (SmPC, časť 4.1).</w:t>
            </w:r>
          </w:p>
          <w:p w14:paraId="39878232" w14:textId="77777777" w:rsidR="00657ACA" w:rsidRDefault="00657ACA" w:rsidP="00657ACA">
            <w:pPr>
              <w:pStyle w:val="Zkladntext"/>
              <w:jc w:val="both"/>
              <w:rPr>
                <w:bCs/>
                <w:lang w:val="sk-SK" w:eastAsia="sk-SK"/>
              </w:rPr>
            </w:pPr>
          </w:p>
          <w:p w14:paraId="795DEF27" w14:textId="20DEE22C" w:rsidR="00A47B56" w:rsidRPr="00283C42" w:rsidRDefault="00A47B56" w:rsidP="00657ACA">
            <w:pPr>
              <w:pStyle w:val="Zkladntext"/>
              <w:jc w:val="both"/>
              <w:rPr>
                <w:bCs/>
                <w:lang w:val="sk-SK" w:eastAsia="sk-SK"/>
              </w:rPr>
            </w:pPr>
          </w:p>
        </w:tc>
      </w:tr>
      <w:tr w:rsidR="00657ACA" w:rsidRPr="0000591E" w14:paraId="17A54E4C" w14:textId="77777777" w:rsidTr="003F7925">
        <w:trPr>
          <w:gridAfter w:val="2"/>
          <w:wAfter w:w="154" w:type="dxa"/>
          <w:trHeight w:val="20"/>
        </w:trPr>
        <w:tc>
          <w:tcPr>
            <w:tcW w:w="1256" w:type="dxa"/>
            <w:tcBorders>
              <w:bottom w:val="single" w:sz="4" w:space="0" w:color="auto"/>
            </w:tcBorders>
            <w:noWrap/>
            <w:vAlign w:val="bottom"/>
          </w:tcPr>
          <w:p w14:paraId="280CDE78" w14:textId="4FCE97AF" w:rsidR="00657ACA" w:rsidRPr="006C0308" w:rsidRDefault="00657ACA" w:rsidP="00657ACA">
            <w:pPr>
              <w:jc w:val="both"/>
              <w:rPr>
                <w:rFonts w:ascii="Arial" w:hAnsi="Arial" w:cs="Arial"/>
                <w:b/>
                <w:bCs/>
                <w:sz w:val="20"/>
                <w:szCs w:val="20"/>
                <w:lang w:eastAsia="cs-CZ"/>
              </w:rPr>
            </w:pPr>
            <w:r w:rsidRPr="006C0308">
              <w:rPr>
                <w:rFonts w:ascii="Arial" w:hAnsi="Arial" w:cs="Arial"/>
                <w:b/>
                <w:bCs/>
                <w:sz w:val="20"/>
                <w:szCs w:val="20"/>
              </w:rPr>
              <w:t>L01EA03</w:t>
            </w:r>
          </w:p>
        </w:tc>
        <w:tc>
          <w:tcPr>
            <w:tcW w:w="9452" w:type="dxa"/>
            <w:tcBorders>
              <w:bottom w:val="single" w:sz="4" w:space="0" w:color="auto"/>
            </w:tcBorders>
            <w:vAlign w:val="bottom"/>
          </w:tcPr>
          <w:p w14:paraId="10BF5825" w14:textId="439DE306" w:rsidR="00657ACA" w:rsidRPr="006C0308" w:rsidRDefault="00657ACA" w:rsidP="00657ACA">
            <w:pPr>
              <w:pStyle w:val="Zkladntext"/>
              <w:jc w:val="both"/>
              <w:rPr>
                <w:bCs/>
                <w:lang w:val="sk-SK" w:eastAsia="sk-SK"/>
              </w:rPr>
            </w:pPr>
            <w:r w:rsidRPr="006C0308">
              <w:rPr>
                <w:b/>
                <w:bCs/>
              </w:rPr>
              <w:t>Nilotinib p.o. 150 mg</w:t>
            </w:r>
          </w:p>
        </w:tc>
      </w:tr>
      <w:tr w:rsidR="00657ACA" w:rsidRPr="0000591E" w14:paraId="19BB6D02" w14:textId="77777777" w:rsidTr="003F7925">
        <w:trPr>
          <w:gridAfter w:val="2"/>
          <w:wAfter w:w="154" w:type="dxa"/>
          <w:trHeight w:val="20"/>
        </w:trPr>
        <w:tc>
          <w:tcPr>
            <w:tcW w:w="1256" w:type="dxa"/>
            <w:tcBorders>
              <w:top w:val="single" w:sz="4" w:space="0" w:color="auto"/>
            </w:tcBorders>
            <w:noWrap/>
            <w:vAlign w:val="bottom"/>
          </w:tcPr>
          <w:p w14:paraId="7FEE188A" w14:textId="77777777" w:rsidR="00657ACA" w:rsidRPr="006C0308" w:rsidRDefault="00657ACA" w:rsidP="00657ACA">
            <w:pPr>
              <w:jc w:val="both"/>
              <w:rPr>
                <w:rFonts w:ascii="Arial" w:hAnsi="Arial" w:cs="Arial"/>
                <w:b/>
                <w:bCs/>
                <w:sz w:val="20"/>
                <w:szCs w:val="20"/>
                <w:lang w:eastAsia="cs-CZ"/>
              </w:rPr>
            </w:pPr>
          </w:p>
        </w:tc>
        <w:tc>
          <w:tcPr>
            <w:tcW w:w="9452" w:type="dxa"/>
            <w:tcBorders>
              <w:top w:val="single" w:sz="4" w:space="0" w:color="auto"/>
            </w:tcBorders>
          </w:tcPr>
          <w:p w14:paraId="56400288" w14:textId="77777777" w:rsidR="00657ACA" w:rsidRPr="006C0308" w:rsidRDefault="00657ACA" w:rsidP="00657ACA">
            <w:pPr>
              <w:pStyle w:val="Zkladntext"/>
              <w:jc w:val="both"/>
              <w:rPr>
                <w:bCs/>
                <w:lang w:val="sk-SK" w:eastAsia="sk-SK"/>
              </w:rPr>
            </w:pPr>
            <w:r w:rsidRPr="006C0308">
              <w:rPr>
                <w:bCs/>
                <w:lang w:val="sk-SK" w:eastAsia="sk-SK"/>
              </w:rPr>
              <w:t>Hradená liečba sa môže indikovať na liečbu dospelých pacientov s novodiagnostikovanou chronickou myelocytovou leukémiou (CML) s pozitívnym chromozómom Philadelphia v chronickej fáze u pacientov so Sokalovým indexom ≥ 0,8.   Hradená liečba sa môže indikovať v Onkologickom ústave sv. Alžbety s. r. o., v Národnom onkologickom ústave, Bratislava, na hematologickej klinike Univerzitnej nemocnice Bratislava - nemocnica sv. Cyrila a Metoda, vo Východoslovenskom onkologickom ústave a.s. Košice, na hematologickej klinike Univerzitnej nemocnice L. Pasteura, Košice, na Onkologickej klinike SZU Fakultnej nemocnice s poliklinikou F.D.Roosevelta, Banská Bystrica, na hematologickom oddelení Fakultnej nemocnice s poliklinikou F.D.Roosevelta, Banská Bystrica, na klinike hematológie  Univerzitnej nemocnice, Martin, na onkologickom oddelení Detskej Univerzitnej nemocnice Bratislava, vo Fakultnej nemocnici s poliklinikou J. A. Reimana Prešov, v Univerzitnej nemocnici Martin.   Hradená liečba podlieha predchádzajúcemu súhlasu zdravotnej poisťovne.</w:t>
            </w:r>
          </w:p>
          <w:p w14:paraId="6C307312" w14:textId="215508D1" w:rsidR="00657ACA" w:rsidRPr="006C0308" w:rsidRDefault="00657ACA" w:rsidP="00657ACA">
            <w:pPr>
              <w:pStyle w:val="Zkladntext"/>
              <w:jc w:val="both"/>
              <w:rPr>
                <w:bCs/>
                <w:lang w:val="sk-SK" w:eastAsia="sk-SK"/>
              </w:rPr>
            </w:pPr>
          </w:p>
        </w:tc>
      </w:tr>
      <w:tr w:rsidR="00657ACA" w:rsidRPr="0000591E" w14:paraId="1D54A2E3" w14:textId="77777777" w:rsidTr="003F7925">
        <w:trPr>
          <w:gridAfter w:val="2"/>
          <w:wAfter w:w="154" w:type="dxa"/>
          <w:trHeight w:val="20"/>
        </w:trPr>
        <w:tc>
          <w:tcPr>
            <w:tcW w:w="1256" w:type="dxa"/>
            <w:tcBorders>
              <w:bottom w:val="single" w:sz="4" w:space="0" w:color="auto"/>
            </w:tcBorders>
            <w:noWrap/>
            <w:vAlign w:val="bottom"/>
          </w:tcPr>
          <w:p w14:paraId="1478F75F" w14:textId="1C4446D7" w:rsidR="00657ACA" w:rsidRPr="006C0308" w:rsidRDefault="00657ACA" w:rsidP="00657ACA">
            <w:pPr>
              <w:jc w:val="both"/>
              <w:rPr>
                <w:rFonts w:ascii="Arial" w:hAnsi="Arial" w:cs="Arial"/>
                <w:b/>
                <w:bCs/>
                <w:sz w:val="20"/>
                <w:szCs w:val="20"/>
                <w:lang w:eastAsia="cs-CZ"/>
              </w:rPr>
            </w:pPr>
            <w:r w:rsidRPr="006C0308">
              <w:rPr>
                <w:rFonts w:ascii="Arial" w:hAnsi="Arial" w:cs="Arial"/>
                <w:b/>
                <w:bCs/>
                <w:sz w:val="20"/>
                <w:szCs w:val="20"/>
              </w:rPr>
              <w:t>L01EA03</w:t>
            </w:r>
          </w:p>
        </w:tc>
        <w:tc>
          <w:tcPr>
            <w:tcW w:w="9452" w:type="dxa"/>
            <w:tcBorders>
              <w:bottom w:val="single" w:sz="4" w:space="0" w:color="auto"/>
            </w:tcBorders>
            <w:vAlign w:val="bottom"/>
          </w:tcPr>
          <w:p w14:paraId="7FB6A7E9" w14:textId="1544952D" w:rsidR="00657ACA" w:rsidRPr="006C0308" w:rsidRDefault="00657ACA" w:rsidP="00657ACA">
            <w:pPr>
              <w:pStyle w:val="Zkladntext"/>
              <w:jc w:val="both"/>
              <w:rPr>
                <w:bCs/>
                <w:lang w:val="sk-SK" w:eastAsia="sk-SK"/>
              </w:rPr>
            </w:pPr>
            <w:r w:rsidRPr="006C0308">
              <w:rPr>
                <w:b/>
                <w:bCs/>
              </w:rPr>
              <w:t>Nilotinib p.o. 200 mg</w:t>
            </w:r>
          </w:p>
        </w:tc>
      </w:tr>
      <w:tr w:rsidR="00657ACA" w:rsidRPr="0000591E" w14:paraId="2EDC9495" w14:textId="77777777" w:rsidTr="003F7925">
        <w:trPr>
          <w:gridAfter w:val="2"/>
          <w:wAfter w:w="154" w:type="dxa"/>
          <w:trHeight w:val="20"/>
        </w:trPr>
        <w:tc>
          <w:tcPr>
            <w:tcW w:w="1256" w:type="dxa"/>
            <w:tcBorders>
              <w:top w:val="single" w:sz="4" w:space="0" w:color="auto"/>
            </w:tcBorders>
            <w:noWrap/>
            <w:vAlign w:val="bottom"/>
          </w:tcPr>
          <w:p w14:paraId="0F56D89E" w14:textId="77777777" w:rsidR="00657ACA" w:rsidRDefault="00657ACA" w:rsidP="00657ACA">
            <w:pPr>
              <w:jc w:val="both"/>
              <w:rPr>
                <w:rFonts w:ascii="Arial" w:hAnsi="Arial" w:cs="Arial"/>
                <w:b/>
                <w:bCs/>
                <w:sz w:val="20"/>
                <w:szCs w:val="20"/>
                <w:lang w:eastAsia="cs-CZ"/>
              </w:rPr>
            </w:pPr>
          </w:p>
        </w:tc>
        <w:tc>
          <w:tcPr>
            <w:tcW w:w="9452" w:type="dxa"/>
            <w:tcBorders>
              <w:top w:val="single" w:sz="4" w:space="0" w:color="auto"/>
            </w:tcBorders>
          </w:tcPr>
          <w:p w14:paraId="25B8BD3A" w14:textId="434DCABD" w:rsidR="00657ACA" w:rsidRDefault="00657ACA" w:rsidP="00657ACA">
            <w:pPr>
              <w:pStyle w:val="Zkladntext"/>
              <w:jc w:val="both"/>
              <w:rPr>
                <w:bCs/>
                <w:lang w:val="sk-SK" w:eastAsia="sk-SK"/>
              </w:rPr>
            </w:pPr>
            <w:r w:rsidRPr="006C0308">
              <w:rPr>
                <w:bCs/>
                <w:lang w:val="sk-SK" w:eastAsia="sk-SK"/>
              </w:rPr>
              <w:t>Hradená liečba sa môže indikovať u dospelých s chronickou myeloidnou leukémiou (CML) s pozitívnym chromozómom Philadelphia v chronickej a akcelerovanej fáze s rezistenciou alebo intoleranciou na predošlú liečbu imatinibom.  Hradená liečba sa môže indikovať v Onkologickom ústave sv. Alžbety s. r. o., Bratislava, v Národnom onkologickom ústave, Bratislava, na hematologickej klinike Univerzitnej nemocnice Bratislava - nemocnica sv. Cyrila a Metoda, vo Východoslovenskom onkologickom ústave, a. s. Košice, na klinike hematologie a onkohematológie Univerzitnej nemocnice L. Pasteura, Košice, na Onkologickej klinike SZU Fakultnej nemocnice s poliklinikou F. D. Roosevelta, Banská Bystrica, na hematologickom oddelení Fakultnej nemocnice s poliklinikou F.D.Roosevelta, Banská Bystrica a na klinike hematológie a transfuziológie Jesseniovej lekárskej fakulty Univerzity Komenského, Martin, v Univerzitnej nemocnici, Martin a vo Fakultnej nemocnici s poliklinikou J.A. Reimana Prešov.   Hradená liečba podlieha predchádzajúcemu súhlasu zdravotnej poisťovne.</w:t>
            </w:r>
          </w:p>
          <w:p w14:paraId="11C0DCA0" w14:textId="3F9DD9C9" w:rsidR="00657ACA" w:rsidRPr="00283C42" w:rsidRDefault="00657ACA" w:rsidP="00657ACA">
            <w:pPr>
              <w:pStyle w:val="Zkladntext"/>
              <w:jc w:val="both"/>
              <w:rPr>
                <w:bCs/>
                <w:lang w:val="sk-SK" w:eastAsia="sk-SK"/>
              </w:rPr>
            </w:pPr>
          </w:p>
        </w:tc>
      </w:tr>
      <w:tr w:rsidR="00657ACA" w:rsidRPr="0000591E" w14:paraId="2FF0313E" w14:textId="77777777" w:rsidTr="003F7925">
        <w:trPr>
          <w:gridAfter w:val="2"/>
          <w:wAfter w:w="154" w:type="dxa"/>
          <w:trHeight w:val="20"/>
        </w:trPr>
        <w:tc>
          <w:tcPr>
            <w:tcW w:w="1256" w:type="dxa"/>
            <w:tcBorders>
              <w:bottom w:val="single" w:sz="4" w:space="0" w:color="auto"/>
            </w:tcBorders>
            <w:noWrap/>
            <w:vAlign w:val="center"/>
          </w:tcPr>
          <w:p w14:paraId="4DEB40A6" w14:textId="78FE9EDA" w:rsidR="00657ACA" w:rsidRDefault="00657ACA" w:rsidP="00657ACA">
            <w:pPr>
              <w:jc w:val="both"/>
              <w:rPr>
                <w:rFonts w:ascii="Arial" w:hAnsi="Arial" w:cs="Arial"/>
                <w:b/>
                <w:bCs/>
                <w:sz w:val="20"/>
                <w:szCs w:val="20"/>
              </w:rPr>
            </w:pPr>
            <w:r>
              <w:rPr>
                <w:rFonts w:ascii="Arial" w:hAnsi="Arial" w:cs="Arial"/>
                <w:b/>
                <w:bCs/>
                <w:sz w:val="20"/>
                <w:szCs w:val="20"/>
              </w:rPr>
              <w:t>L01EA05</w:t>
            </w:r>
          </w:p>
        </w:tc>
        <w:tc>
          <w:tcPr>
            <w:tcW w:w="9452" w:type="dxa"/>
            <w:tcBorders>
              <w:bottom w:val="single" w:sz="4" w:space="0" w:color="auto"/>
            </w:tcBorders>
            <w:vAlign w:val="bottom"/>
          </w:tcPr>
          <w:p w14:paraId="5B20FA8B" w14:textId="77777777" w:rsidR="00657ACA" w:rsidRPr="0000591E" w:rsidRDefault="00657ACA" w:rsidP="00657ACA">
            <w:pPr>
              <w:rPr>
                <w:rFonts w:ascii="Arial" w:hAnsi="Arial" w:cs="Arial"/>
                <w:b/>
                <w:bCs/>
                <w:sz w:val="20"/>
                <w:szCs w:val="20"/>
              </w:rPr>
            </w:pPr>
            <w:r w:rsidRPr="00EF1C3F">
              <w:rPr>
                <w:rFonts w:ascii="Arial" w:hAnsi="Arial" w:cs="Arial"/>
                <w:b/>
                <w:bCs/>
                <w:sz w:val="20"/>
                <w:szCs w:val="20"/>
              </w:rPr>
              <w:t xml:space="preserve">Ponatinib p.o. 15 mg </w:t>
            </w:r>
          </w:p>
          <w:p w14:paraId="551C0B74" w14:textId="1B388F53" w:rsidR="00657ACA" w:rsidRPr="005C719F" w:rsidRDefault="00657ACA" w:rsidP="00657ACA">
            <w:pPr>
              <w:jc w:val="both"/>
              <w:rPr>
                <w:rFonts w:ascii="Arial" w:hAnsi="Arial" w:cs="Arial"/>
                <w:b/>
                <w:bCs/>
                <w:sz w:val="20"/>
                <w:szCs w:val="20"/>
              </w:rPr>
            </w:pPr>
            <w:r>
              <w:rPr>
                <w:rFonts w:ascii="Arial" w:hAnsi="Arial" w:cs="Arial"/>
                <w:b/>
                <w:bCs/>
                <w:sz w:val="20"/>
                <w:szCs w:val="20"/>
              </w:rPr>
              <w:t>Ponatinib p.o. 4</w:t>
            </w:r>
            <w:r w:rsidRPr="00EF1C3F">
              <w:rPr>
                <w:rFonts w:ascii="Arial" w:hAnsi="Arial" w:cs="Arial"/>
                <w:b/>
                <w:bCs/>
                <w:sz w:val="20"/>
                <w:szCs w:val="20"/>
              </w:rPr>
              <w:t>5 mg</w:t>
            </w:r>
          </w:p>
        </w:tc>
      </w:tr>
      <w:tr w:rsidR="00657ACA" w:rsidRPr="0000591E" w14:paraId="160BFF20" w14:textId="77777777" w:rsidTr="003F7925">
        <w:trPr>
          <w:gridAfter w:val="2"/>
          <w:wAfter w:w="154" w:type="dxa"/>
          <w:trHeight w:val="20"/>
        </w:trPr>
        <w:tc>
          <w:tcPr>
            <w:tcW w:w="1256" w:type="dxa"/>
            <w:tcBorders>
              <w:top w:val="single" w:sz="4" w:space="0" w:color="auto"/>
            </w:tcBorders>
            <w:noWrap/>
            <w:vAlign w:val="bottom"/>
          </w:tcPr>
          <w:p w14:paraId="00500AB1"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3F1D82ED"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Hradená liečba sa môže indikovať u dospelých s:</w:t>
            </w:r>
          </w:p>
          <w:p w14:paraId="6A348B1F"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a)</w:t>
            </w:r>
            <w:r w:rsidRPr="006C0308">
              <w:rPr>
                <w:rFonts w:ascii="Arial" w:hAnsi="Arial" w:cs="Arial"/>
                <w:bCs/>
                <w:sz w:val="20"/>
                <w:szCs w:val="20"/>
              </w:rPr>
              <w:tab/>
              <w:t>chronickou fázou, akcelerovanou fázou alebo blastovou fázou chronickej myeloidnej leukémie (CML), ktorí sú rezistentní na dasatinib alebo nilotinib, netolerujú dasatinib alebo nilotinib a pre ktorých následná liečba imatinibom nie je klinicky vhodná, alebo ktorí majú mutáciu T315I,</w:t>
            </w:r>
          </w:p>
          <w:p w14:paraId="7CCA19F8"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b)</w:t>
            </w:r>
            <w:r w:rsidRPr="006C0308">
              <w:rPr>
                <w:rFonts w:ascii="Arial" w:hAnsi="Arial" w:cs="Arial"/>
                <w:bCs/>
                <w:sz w:val="20"/>
                <w:szCs w:val="20"/>
              </w:rPr>
              <w:tab/>
              <w:t>akútnou lymfoblastickou leukémiou s pozitívnym chromozómom Filadelfia (Ph+ ALL), ktorí sú rezistentní na dasatinib, netolerujú dasatinib a pre ktorých následná liečba imatinibom nie je klinicky vhodná, alebo ktorí majú mutáciu T315I.</w:t>
            </w:r>
          </w:p>
          <w:p w14:paraId="70534D01" w14:textId="77777777" w:rsidR="00657ACA" w:rsidRPr="006C0308" w:rsidRDefault="00657ACA" w:rsidP="00657ACA">
            <w:pPr>
              <w:jc w:val="both"/>
              <w:rPr>
                <w:rFonts w:ascii="Arial" w:hAnsi="Arial" w:cs="Arial"/>
                <w:bCs/>
                <w:sz w:val="20"/>
                <w:szCs w:val="20"/>
              </w:rPr>
            </w:pPr>
          </w:p>
          <w:p w14:paraId="317494A0" w14:textId="77777777" w:rsidR="00657ACA" w:rsidRDefault="00657ACA" w:rsidP="00657ACA">
            <w:pPr>
              <w:jc w:val="both"/>
              <w:rPr>
                <w:rFonts w:ascii="Arial" w:hAnsi="Arial" w:cs="Arial"/>
                <w:bCs/>
                <w:sz w:val="20"/>
                <w:szCs w:val="20"/>
              </w:rPr>
            </w:pPr>
            <w:r w:rsidRPr="006C0308">
              <w:rPr>
                <w:rFonts w:ascii="Arial" w:hAnsi="Arial" w:cs="Arial"/>
                <w:bCs/>
                <w:sz w:val="20"/>
                <w:szCs w:val="20"/>
              </w:rPr>
              <w:t>Hradená liečba sa môže indikovať v Onkologickom ústave sv. Alžbety s. r. o., v Národnom onkologickom ústave, Bratislava, na hematologickej klinike Univerzitnej nemocnice Bratislava - nemocnica sv. Cyrila a Metoda, vo Východoslovenskom onkologickom ústave, a. s. Košice, na klinike hematológie a onkohematológie Univerzitnej nemocnice L. Pasteura, Košice, na Onkologickej klinike SZU Fakultnej nemocnice s poliklinikou F.D.Roosevelta, Banská Bystrica, na hematologickom oddelení Fakultnej nemocnice s poliklinikou F.D.Roosevelta, Banská Bystrica a na klinike hematológie a transfuziológie Jesseniovej lekárskej fakulty Univerzity Komenského, Martin, v Univerzitnej nemocnici, Martin a vo Fakultnej nemocnici s poliklinikou J.A. Reimana, Prešov. Hradená liečba podlieha predchádzajúcemu súhlasu zdravotnej poisťovne.</w:t>
            </w:r>
          </w:p>
          <w:p w14:paraId="19B6D4BC" w14:textId="3CC37537" w:rsidR="00657ACA" w:rsidRPr="006C0308" w:rsidRDefault="00657ACA" w:rsidP="00657ACA">
            <w:pPr>
              <w:jc w:val="both"/>
              <w:rPr>
                <w:rFonts w:ascii="Arial" w:hAnsi="Arial" w:cs="Arial"/>
                <w:bCs/>
                <w:sz w:val="20"/>
                <w:szCs w:val="20"/>
              </w:rPr>
            </w:pPr>
          </w:p>
        </w:tc>
      </w:tr>
      <w:tr w:rsidR="00657ACA" w:rsidRPr="0000591E" w14:paraId="36FE43ED" w14:textId="77777777" w:rsidTr="003F7925">
        <w:trPr>
          <w:gridAfter w:val="2"/>
          <w:wAfter w:w="154" w:type="dxa"/>
          <w:trHeight w:val="20"/>
        </w:trPr>
        <w:tc>
          <w:tcPr>
            <w:tcW w:w="1256" w:type="dxa"/>
            <w:tcBorders>
              <w:bottom w:val="single" w:sz="4" w:space="0" w:color="auto"/>
            </w:tcBorders>
            <w:noWrap/>
            <w:vAlign w:val="bottom"/>
          </w:tcPr>
          <w:p w14:paraId="7C119ECB" w14:textId="457E5128" w:rsidR="00657ACA" w:rsidRDefault="00657ACA" w:rsidP="00657ACA">
            <w:pPr>
              <w:jc w:val="both"/>
              <w:rPr>
                <w:rFonts w:ascii="Arial" w:hAnsi="Arial" w:cs="Arial"/>
                <w:b/>
                <w:bCs/>
                <w:sz w:val="20"/>
                <w:szCs w:val="20"/>
              </w:rPr>
            </w:pPr>
            <w:r w:rsidRPr="006C0308">
              <w:rPr>
                <w:rFonts w:ascii="Arial" w:hAnsi="Arial" w:cs="Arial"/>
                <w:b/>
                <w:bCs/>
                <w:sz w:val="20"/>
                <w:szCs w:val="20"/>
              </w:rPr>
              <w:t>L01EB01</w:t>
            </w:r>
          </w:p>
        </w:tc>
        <w:tc>
          <w:tcPr>
            <w:tcW w:w="9452" w:type="dxa"/>
            <w:tcBorders>
              <w:bottom w:val="single" w:sz="4" w:space="0" w:color="auto"/>
            </w:tcBorders>
          </w:tcPr>
          <w:p w14:paraId="4B05C25D" w14:textId="076740A2" w:rsidR="00657ACA" w:rsidRPr="005C719F" w:rsidRDefault="00657ACA" w:rsidP="00657ACA">
            <w:pPr>
              <w:jc w:val="both"/>
              <w:rPr>
                <w:rFonts w:ascii="Arial" w:hAnsi="Arial" w:cs="Arial"/>
                <w:b/>
                <w:bCs/>
                <w:sz w:val="20"/>
                <w:szCs w:val="20"/>
              </w:rPr>
            </w:pPr>
            <w:r w:rsidRPr="006C0308">
              <w:rPr>
                <w:rFonts w:ascii="Arial" w:hAnsi="Arial" w:cs="Arial"/>
                <w:b/>
                <w:bCs/>
                <w:sz w:val="20"/>
                <w:szCs w:val="20"/>
              </w:rPr>
              <w:t>Gefitinib p.o. 250 mg</w:t>
            </w:r>
          </w:p>
        </w:tc>
      </w:tr>
      <w:tr w:rsidR="00657ACA" w:rsidRPr="0000591E" w14:paraId="19F45FB0" w14:textId="77777777" w:rsidTr="003F7925">
        <w:trPr>
          <w:gridAfter w:val="2"/>
          <w:wAfter w:w="154" w:type="dxa"/>
          <w:trHeight w:val="20"/>
        </w:trPr>
        <w:tc>
          <w:tcPr>
            <w:tcW w:w="1256" w:type="dxa"/>
            <w:tcBorders>
              <w:top w:val="single" w:sz="4" w:space="0" w:color="auto"/>
            </w:tcBorders>
            <w:noWrap/>
            <w:vAlign w:val="bottom"/>
          </w:tcPr>
          <w:p w14:paraId="57D84BA2"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CCA45A5"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 xml:space="preserve">Hradená liečba sa môže indikovať na liečbu dospelých pacientov s lokálne pokročilým alebo metastatickým nemalobunkovým karcinómom pľúc s dokázanými mutáciami EGFR-TK. </w:t>
            </w:r>
          </w:p>
          <w:p w14:paraId="01F81D31" w14:textId="06DEB1E6" w:rsidR="00657ACA" w:rsidRPr="006C0308" w:rsidRDefault="00657ACA" w:rsidP="00657ACA">
            <w:pPr>
              <w:jc w:val="both"/>
              <w:rPr>
                <w:rFonts w:ascii="Arial" w:hAnsi="Arial" w:cs="Arial"/>
                <w:bCs/>
                <w:sz w:val="20"/>
                <w:szCs w:val="20"/>
              </w:rPr>
            </w:pPr>
            <w:r w:rsidRPr="006C0308">
              <w:rPr>
                <w:rFonts w:ascii="Arial" w:hAnsi="Arial" w:cs="Arial"/>
                <w:bCs/>
                <w:sz w:val="20"/>
                <w:szCs w:val="20"/>
              </w:rPr>
              <w:t>Hradená liečba podlieha predchádzajúcemu súhlasu zdravotnej poisťovne.</w:t>
            </w:r>
          </w:p>
          <w:p w14:paraId="1FDA6F81" w14:textId="0C453712" w:rsidR="00657ACA" w:rsidRPr="006C0308" w:rsidRDefault="00657ACA" w:rsidP="00657ACA">
            <w:pPr>
              <w:jc w:val="both"/>
              <w:rPr>
                <w:rFonts w:ascii="Arial" w:hAnsi="Arial" w:cs="Arial"/>
                <w:bCs/>
                <w:sz w:val="20"/>
                <w:szCs w:val="20"/>
              </w:rPr>
            </w:pPr>
          </w:p>
        </w:tc>
      </w:tr>
      <w:tr w:rsidR="00657ACA" w:rsidRPr="0000591E" w14:paraId="51694A5A" w14:textId="77777777" w:rsidTr="003F7925">
        <w:trPr>
          <w:gridAfter w:val="2"/>
          <w:wAfter w:w="154" w:type="dxa"/>
          <w:trHeight w:val="20"/>
        </w:trPr>
        <w:tc>
          <w:tcPr>
            <w:tcW w:w="1256" w:type="dxa"/>
            <w:tcBorders>
              <w:bottom w:val="single" w:sz="4" w:space="0" w:color="auto"/>
            </w:tcBorders>
            <w:noWrap/>
            <w:vAlign w:val="bottom"/>
          </w:tcPr>
          <w:p w14:paraId="68325A3B" w14:textId="28D85A9B" w:rsidR="00657ACA" w:rsidRDefault="00657ACA" w:rsidP="00657ACA">
            <w:pPr>
              <w:jc w:val="both"/>
              <w:rPr>
                <w:rFonts w:ascii="Arial" w:hAnsi="Arial" w:cs="Arial"/>
                <w:b/>
                <w:bCs/>
                <w:sz w:val="20"/>
                <w:szCs w:val="20"/>
              </w:rPr>
            </w:pPr>
            <w:r>
              <w:rPr>
                <w:rFonts w:ascii="Arial" w:hAnsi="Arial" w:cs="Arial"/>
                <w:b/>
                <w:bCs/>
                <w:sz w:val="20"/>
                <w:szCs w:val="20"/>
                <w:lang w:eastAsia="cs-CZ"/>
              </w:rPr>
              <w:t>L01EB02</w:t>
            </w:r>
          </w:p>
        </w:tc>
        <w:tc>
          <w:tcPr>
            <w:tcW w:w="9452" w:type="dxa"/>
            <w:tcBorders>
              <w:bottom w:val="single" w:sz="4" w:space="0" w:color="auto"/>
            </w:tcBorders>
          </w:tcPr>
          <w:p w14:paraId="0F18C434" w14:textId="77777777" w:rsidR="00657ACA" w:rsidRPr="0000591E" w:rsidRDefault="00657ACA" w:rsidP="00657ACA">
            <w:pPr>
              <w:pStyle w:val="Zkladntext"/>
              <w:jc w:val="both"/>
              <w:rPr>
                <w:b/>
                <w:bCs/>
                <w:lang w:val="sk-SK" w:eastAsia="sk-SK"/>
              </w:rPr>
            </w:pPr>
            <w:r w:rsidRPr="0000591E">
              <w:rPr>
                <w:b/>
                <w:bCs/>
                <w:lang w:val="sk-SK" w:eastAsia="sk-SK"/>
              </w:rPr>
              <w:t>Erlotinib p.o. 100 mg,</w:t>
            </w:r>
          </w:p>
          <w:p w14:paraId="6EBC85E3" w14:textId="442BC057" w:rsidR="00657ACA" w:rsidRPr="005C719F" w:rsidRDefault="00657ACA" w:rsidP="00657ACA">
            <w:pPr>
              <w:jc w:val="both"/>
              <w:rPr>
                <w:rFonts w:ascii="Arial" w:hAnsi="Arial" w:cs="Arial"/>
                <w:b/>
                <w:bCs/>
                <w:sz w:val="20"/>
                <w:szCs w:val="20"/>
              </w:rPr>
            </w:pPr>
            <w:r w:rsidRPr="00B16FD3">
              <w:rPr>
                <w:rFonts w:ascii="Arial" w:hAnsi="Arial" w:cs="Arial"/>
                <w:b/>
                <w:bCs/>
                <w:sz w:val="20"/>
                <w:szCs w:val="20"/>
              </w:rPr>
              <w:t>Erlotinib p.o. 150 mg</w:t>
            </w:r>
          </w:p>
        </w:tc>
      </w:tr>
      <w:tr w:rsidR="00657ACA" w:rsidRPr="0000591E" w14:paraId="7A7A7C6E" w14:textId="77777777" w:rsidTr="003F7925">
        <w:trPr>
          <w:gridAfter w:val="2"/>
          <w:wAfter w:w="154" w:type="dxa"/>
          <w:trHeight w:val="20"/>
        </w:trPr>
        <w:tc>
          <w:tcPr>
            <w:tcW w:w="1256" w:type="dxa"/>
            <w:tcBorders>
              <w:top w:val="single" w:sz="4" w:space="0" w:color="auto"/>
            </w:tcBorders>
            <w:noWrap/>
            <w:vAlign w:val="bottom"/>
          </w:tcPr>
          <w:p w14:paraId="1E3DCB0F"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6081115" w14:textId="77777777" w:rsidR="00657ACA" w:rsidRPr="00B16FD3" w:rsidRDefault="00657ACA" w:rsidP="00657ACA">
            <w:pPr>
              <w:jc w:val="both"/>
              <w:rPr>
                <w:rFonts w:ascii="Arial" w:hAnsi="Arial" w:cs="Arial"/>
                <w:bCs/>
                <w:sz w:val="20"/>
                <w:szCs w:val="20"/>
              </w:rPr>
            </w:pPr>
            <w:r w:rsidRPr="00B16FD3">
              <w:rPr>
                <w:rFonts w:ascii="Arial" w:hAnsi="Arial" w:cs="Arial"/>
                <w:bCs/>
                <w:sz w:val="20"/>
                <w:szCs w:val="20"/>
              </w:rPr>
              <w:t xml:space="preserve">Hradená liečba sa môže indikovať </w:t>
            </w:r>
          </w:p>
          <w:p w14:paraId="3E843DDA" w14:textId="77777777" w:rsidR="00657ACA" w:rsidRPr="00B16FD3" w:rsidRDefault="00657ACA" w:rsidP="00657ACA">
            <w:pPr>
              <w:jc w:val="both"/>
              <w:rPr>
                <w:rFonts w:ascii="Arial" w:hAnsi="Arial" w:cs="Arial"/>
                <w:bCs/>
                <w:sz w:val="20"/>
                <w:szCs w:val="20"/>
              </w:rPr>
            </w:pPr>
            <w:r w:rsidRPr="00B16FD3">
              <w:rPr>
                <w:rFonts w:ascii="Arial" w:hAnsi="Arial" w:cs="Arial"/>
                <w:bCs/>
                <w:sz w:val="20"/>
                <w:szCs w:val="20"/>
              </w:rPr>
              <w:t>a) na liečbu v prvej línii u pacientov s lokálne pokročilým alebo metastatickým nemalobunkovým karcinómom pľúc (NSCLC) s aktivujúcimi mutáciami EGFR,</w:t>
            </w:r>
          </w:p>
          <w:p w14:paraId="55D7F596" w14:textId="7245AB42" w:rsidR="00657ACA" w:rsidRDefault="00657ACA" w:rsidP="00657ACA">
            <w:pPr>
              <w:jc w:val="both"/>
              <w:rPr>
                <w:rFonts w:ascii="Arial" w:hAnsi="Arial" w:cs="Arial"/>
                <w:bCs/>
                <w:sz w:val="20"/>
                <w:szCs w:val="20"/>
              </w:rPr>
            </w:pPr>
            <w:r w:rsidRPr="00B16FD3">
              <w:rPr>
                <w:rFonts w:ascii="Arial" w:hAnsi="Arial" w:cs="Arial"/>
                <w:bCs/>
                <w:sz w:val="20"/>
                <w:szCs w:val="20"/>
              </w:rPr>
              <w:t>b) u pacientov s lokálne pokročilým alebo metastatickým nemalobunkovým karcinómom pľúc po zlyhaní predchádzajúcej chemoterapie.</w:t>
            </w:r>
          </w:p>
          <w:p w14:paraId="2B80FACB" w14:textId="77777777" w:rsidR="00A47B56" w:rsidRPr="00B16FD3" w:rsidRDefault="00A47B56" w:rsidP="00657ACA">
            <w:pPr>
              <w:jc w:val="both"/>
              <w:rPr>
                <w:rFonts w:ascii="Arial" w:hAnsi="Arial" w:cs="Arial"/>
                <w:bCs/>
                <w:sz w:val="20"/>
                <w:szCs w:val="20"/>
              </w:rPr>
            </w:pPr>
          </w:p>
          <w:p w14:paraId="43A3B599" w14:textId="6F5CCAAB" w:rsidR="00657ACA" w:rsidRPr="005C719F" w:rsidRDefault="00657ACA" w:rsidP="00657ACA">
            <w:pPr>
              <w:jc w:val="both"/>
              <w:rPr>
                <w:rFonts w:ascii="Arial" w:hAnsi="Arial" w:cs="Arial"/>
                <w:b/>
                <w:bCs/>
                <w:sz w:val="20"/>
                <w:szCs w:val="20"/>
              </w:rPr>
            </w:pPr>
          </w:p>
        </w:tc>
      </w:tr>
      <w:tr w:rsidR="00657ACA" w:rsidRPr="0000591E" w14:paraId="7E40A771" w14:textId="77777777" w:rsidTr="003F7925">
        <w:trPr>
          <w:gridAfter w:val="2"/>
          <w:wAfter w:w="154" w:type="dxa"/>
          <w:trHeight w:val="20"/>
        </w:trPr>
        <w:tc>
          <w:tcPr>
            <w:tcW w:w="1256" w:type="dxa"/>
            <w:tcBorders>
              <w:bottom w:val="single" w:sz="4" w:space="0" w:color="auto"/>
            </w:tcBorders>
            <w:noWrap/>
            <w:vAlign w:val="bottom"/>
          </w:tcPr>
          <w:p w14:paraId="4E5931D3" w14:textId="64B2A0FF" w:rsidR="00657ACA" w:rsidRDefault="00657ACA" w:rsidP="00657ACA">
            <w:pPr>
              <w:jc w:val="both"/>
              <w:rPr>
                <w:rFonts w:ascii="Arial" w:hAnsi="Arial" w:cs="Arial"/>
                <w:b/>
                <w:bCs/>
                <w:sz w:val="20"/>
                <w:szCs w:val="20"/>
              </w:rPr>
            </w:pPr>
            <w:r>
              <w:rPr>
                <w:rFonts w:ascii="Arial" w:hAnsi="Arial" w:cs="Arial"/>
                <w:b/>
                <w:bCs/>
                <w:sz w:val="20"/>
                <w:szCs w:val="20"/>
                <w:lang w:eastAsia="cs-CZ"/>
              </w:rPr>
              <w:t>L01EB03</w:t>
            </w:r>
          </w:p>
        </w:tc>
        <w:tc>
          <w:tcPr>
            <w:tcW w:w="9452" w:type="dxa"/>
            <w:tcBorders>
              <w:bottom w:val="single" w:sz="4" w:space="0" w:color="auto"/>
            </w:tcBorders>
          </w:tcPr>
          <w:p w14:paraId="33D74695"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Afatinib p.o. 20 mg</w:t>
            </w:r>
          </w:p>
          <w:p w14:paraId="64BB83D7"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Afatinib p.o. 30 mg</w:t>
            </w:r>
          </w:p>
          <w:p w14:paraId="4ED937DB" w14:textId="08BDB46A" w:rsidR="00657ACA" w:rsidRPr="005C719F" w:rsidRDefault="00657ACA" w:rsidP="00657ACA">
            <w:pPr>
              <w:jc w:val="both"/>
              <w:rPr>
                <w:rFonts w:ascii="Arial" w:hAnsi="Arial" w:cs="Arial"/>
                <w:b/>
                <w:bCs/>
                <w:sz w:val="20"/>
                <w:szCs w:val="20"/>
              </w:rPr>
            </w:pPr>
            <w:r w:rsidRPr="00EC2AD9">
              <w:rPr>
                <w:rFonts w:ascii="Arial" w:hAnsi="Arial" w:cs="Arial"/>
                <w:b/>
                <w:bCs/>
                <w:sz w:val="20"/>
                <w:szCs w:val="20"/>
              </w:rPr>
              <w:t>Afatinib p.o. 40 mg</w:t>
            </w:r>
          </w:p>
        </w:tc>
      </w:tr>
      <w:tr w:rsidR="00657ACA" w:rsidRPr="0000591E" w14:paraId="7B6101AE" w14:textId="77777777" w:rsidTr="003F7925">
        <w:trPr>
          <w:gridAfter w:val="2"/>
          <w:wAfter w:w="154" w:type="dxa"/>
          <w:trHeight w:val="20"/>
        </w:trPr>
        <w:tc>
          <w:tcPr>
            <w:tcW w:w="1256" w:type="dxa"/>
            <w:tcBorders>
              <w:top w:val="single" w:sz="4" w:space="0" w:color="auto"/>
            </w:tcBorders>
            <w:noWrap/>
            <w:vAlign w:val="bottom"/>
          </w:tcPr>
          <w:p w14:paraId="430A3AA4"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7C33AF22" w14:textId="618F7641" w:rsidR="00657ACA" w:rsidRPr="00EC2AD9" w:rsidRDefault="00657ACA" w:rsidP="00657ACA">
            <w:pPr>
              <w:jc w:val="both"/>
              <w:rPr>
                <w:rFonts w:ascii="Arial" w:hAnsi="Arial" w:cs="Arial"/>
                <w:bCs/>
                <w:sz w:val="20"/>
                <w:szCs w:val="20"/>
              </w:rPr>
            </w:pPr>
            <w:r w:rsidRPr="00EC2AD9">
              <w:rPr>
                <w:rFonts w:ascii="Arial" w:hAnsi="Arial" w:cs="Arial"/>
                <w:bCs/>
                <w:sz w:val="20"/>
                <w:szCs w:val="20"/>
              </w:rPr>
              <w:t>Hradená liečba sa môže indikovať na liečbu dospelých pacientov s lokálne pokročilým alebo metastatickým nemalobunkovým karcinómom pľúc s dokázanými mutáciami EGFR, ktorí neboli pred tým liečení EGFR TKI.</w:t>
            </w:r>
          </w:p>
          <w:p w14:paraId="7A787D04" w14:textId="1F13181F" w:rsidR="00657ACA" w:rsidRPr="005C719F" w:rsidRDefault="00657ACA" w:rsidP="00657ACA">
            <w:pPr>
              <w:jc w:val="both"/>
              <w:rPr>
                <w:rFonts w:ascii="Arial" w:hAnsi="Arial" w:cs="Arial"/>
                <w:b/>
                <w:bCs/>
                <w:sz w:val="20"/>
                <w:szCs w:val="20"/>
              </w:rPr>
            </w:pPr>
          </w:p>
        </w:tc>
      </w:tr>
      <w:tr w:rsidR="00657ACA" w:rsidRPr="0000591E" w14:paraId="75260471" w14:textId="77777777" w:rsidTr="003F7925">
        <w:trPr>
          <w:gridAfter w:val="2"/>
          <w:wAfter w:w="154" w:type="dxa"/>
          <w:trHeight w:val="20"/>
        </w:trPr>
        <w:tc>
          <w:tcPr>
            <w:tcW w:w="1256" w:type="dxa"/>
            <w:tcBorders>
              <w:bottom w:val="single" w:sz="4" w:space="0" w:color="auto"/>
            </w:tcBorders>
            <w:noWrap/>
            <w:vAlign w:val="bottom"/>
          </w:tcPr>
          <w:p w14:paraId="783ACB3C" w14:textId="1D9FCBBF" w:rsidR="00657ACA" w:rsidRDefault="00657ACA" w:rsidP="00657ACA">
            <w:pPr>
              <w:jc w:val="both"/>
              <w:rPr>
                <w:rFonts w:ascii="Arial" w:hAnsi="Arial" w:cs="Arial"/>
                <w:b/>
                <w:bCs/>
                <w:sz w:val="20"/>
                <w:szCs w:val="20"/>
              </w:rPr>
            </w:pPr>
            <w:r w:rsidRPr="00B11137">
              <w:rPr>
                <w:rFonts w:ascii="Arial" w:hAnsi="Arial" w:cs="Arial"/>
                <w:b/>
                <w:bCs/>
                <w:sz w:val="20"/>
                <w:szCs w:val="20"/>
              </w:rPr>
              <w:t>L01EB04</w:t>
            </w:r>
          </w:p>
        </w:tc>
        <w:tc>
          <w:tcPr>
            <w:tcW w:w="9452" w:type="dxa"/>
            <w:tcBorders>
              <w:bottom w:val="single" w:sz="4" w:space="0" w:color="auto"/>
            </w:tcBorders>
          </w:tcPr>
          <w:p w14:paraId="0293A4CD" w14:textId="62AE36A0" w:rsidR="00657ACA" w:rsidRPr="005C719F" w:rsidRDefault="00657ACA" w:rsidP="00657ACA">
            <w:pPr>
              <w:jc w:val="both"/>
              <w:rPr>
                <w:rFonts w:ascii="Arial" w:hAnsi="Arial" w:cs="Arial"/>
                <w:b/>
                <w:bCs/>
                <w:sz w:val="20"/>
                <w:szCs w:val="20"/>
              </w:rPr>
            </w:pPr>
            <w:r w:rsidRPr="00B11137">
              <w:rPr>
                <w:rFonts w:ascii="Arial" w:hAnsi="Arial" w:cs="Arial"/>
                <w:b/>
                <w:bCs/>
                <w:sz w:val="20"/>
                <w:szCs w:val="20"/>
              </w:rPr>
              <w:t>Ozimertinib p.o. 80 mg</w:t>
            </w:r>
          </w:p>
        </w:tc>
      </w:tr>
      <w:tr w:rsidR="00657ACA" w:rsidRPr="0000591E" w14:paraId="0037B92F" w14:textId="77777777" w:rsidTr="003F7925">
        <w:trPr>
          <w:gridAfter w:val="2"/>
          <w:wAfter w:w="154" w:type="dxa"/>
          <w:trHeight w:val="20"/>
        </w:trPr>
        <w:tc>
          <w:tcPr>
            <w:tcW w:w="1256" w:type="dxa"/>
            <w:tcBorders>
              <w:top w:val="single" w:sz="4" w:space="0" w:color="auto"/>
            </w:tcBorders>
            <w:noWrap/>
            <w:vAlign w:val="bottom"/>
          </w:tcPr>
          <w:p w14:paraId="6731F357"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6B1B440D" w14:textId="77777777" w:rsidR="00657ACA" w:rsidRPr="00B11137" w:rsidRDefault="00657ACA" w:rsidP="00657ACA">
            <w:pPr>
              <w:jc w:val="both"/>
              <w:rPr>
                <w:rFonts w:ascii="Arial" w:hAnsi="Arial" w:cs="Arial"/>
                <w:bCs/>
                <w:sz w:val="20"/>
                <w:szCs w:val="20"/>
              </w:rPr>
            </w:pPr>
            <w:r w:rsidRPr="00B11137">
              <w:rPr>
                <w:rFonts w:ascii="Arial" w:hAnsi="Arial" w:cs="Arial"/>
                <w:bCs/>
                <w:sz w:val="20"/>
                <w:szCs w:val="20"/>
              </w:rPr>
              <w:t xml:space="preserve">Hradená liečba sa môže indikovať </w:t>
            </w:r>
          </w:p>
          <w:p w14:paraId="100E8775" w14:textId="6B96BB16" w:rsidR="00657ACA" w:rsidRDefault="00657ACA" w:rsidP="00657ACA">
            <w:pPr>
              <w:jc w:val="both"/>
              <w:rPr>
                <w:rFonts w:ascii="Arial" w:hAnsi="Arial" w:cs="Arial"/>
                <w:bCs/>
                <w:sz w:val="20"/>
                <w:szCs w:val="20"/>
              </w:rPr>
            </w:pPr>
            <w:r w:rsidRPr="00B11137">
              <w:rPr>
                <w:rFonts w:ascii="Arial" w:hAnsi="Arial" w:cs="Arial"/>
                <w:bCs/>
                <w:sz w:val="20"/>
                <w:szCs w:val="20"/>
              </w:rPr>
              <w:t xml:space="preserve">a)na liečbu dospelých pacientov s lokálne pokročilým alebo metastatickým nemalobunkovým karcinómom pľúc s pozitívnou mutáciou EGFR T790M s progresiou na predchádzajúcej liečbe EGFR tyrozínkinázovými inhibítormi. </w:t>
            </w:r>
          </w:p>
          <w:p w14:paraId="10942DB6" w14:textId="77777777" w:rsidR="00657ACA" w:rsidRPr="00B11137" w:rsidRDefault="00657ACA" w:rsidP="00657ACA">
            <w:pPr>
              <w:jc w:val="both"/>
              <w:rPr>
                <w:rFonts w:ascii="Arial" w:hAnsi="Arial" w:cs="Arial"/>
                <w:bCs/>
                <w:sz w:val="20"/>
                <w:szCs w:val="20"/>
              </w:rPr>
            </w:pPr>
          </w:p>
          <w:p w14:paraId="186F5A2A" w14:textId="77777777" w:rsidR="00657ACA" w:rsidRPr="00B11137" w:rsidRDefault="00657ACA" w:rsidP="00657ACA">
            <w:pPr>
              <w:jc w:val="both"/>
              <w:rPr>
                <w:rFonts w:ascii="Arial" w:hAnsi="Arial" w:cs="Arial"/>
                <w:bCs/>
                <w:sz w:val="20"/>
                <w:szCs w:val="20"/>
              </w:rPr>
            </w:pPr>
            <w:r w:rsidRPr="00B11137">
              <w:rPr>
                <w:rFonts w:ascii="Arial" w:hAnsi="Arial" w:cs="Arial"/>
                <w:bCs/>
                <w:sz w:val="20"/>
                <w:szCs w:val="20"/>
              </w:rPr>
              <w:t>b) ako monoterapia v adjuvantnej liečbe nemalobunkového karcinómu pľúc v štádiu IB-IIIA po úplnej resekcii nádoru u pacientov, u ktorých bola preukázaná delécia exónu 19 a/alebo substitučná mutácia exónu 21 (L858R). Liečba má byť zahájená do 10 týždňov po chirurgickej resekcii, pokiaľ nebola podaná adjuvantná chemoterapia; alebo do 26 týždňov, ak bola podaná adjuvantná chemoterapia. Liečba je hradená pre pacientov s výkonnostným stavom ECOG 0-1 po dobu 3 rokov alebo do rekurencie ochorenia alebo do neakceptovateľnej toxicity, podľa toho, čo nastane skôr.</w:t>
            </w:r>
          </w:p>
          <w:p w14:paraId="02E2BBC1" w14:textId="4FFDB426" w:rsidR="00657ACA" w:rsidRDefault="00657ACA" w:rsidP="00657ACA">
            <w:pPr>
              <w:jc w:val="both"/>
              <w:rPr>
                <w:rFonts w:ascii="Arial" w:hAnsi="Arial" w:cs="Arial"/>
                <w:bCs/>
                <w:sz w:val="20"/>
                <w:szCs w:val="20"/>
              </w:rPr>
            </w:pPr>
            <w:r w:rsidRPr="00B11137">
              <w:rPr>
                <w:rFonts w:ascii="Arial" w:hAnsi="Arial" w:cs="Arial"/>
                <w:bCs/>
                <w:sz w:val="20"/>
                <w:szCs w:val="20"/>
              </w:rPr>
              <w:t xml:space="preserve">c) ako monoterapia na liečbu prvej línie u dospelých pacientov s lokálne pokročilým alebo metastatickým nemalobunkovým karcinómom pľúc (non-small cell lung cancer, NSCLC), s aktivujúcimi mutáciami EGFR. Liečba je hradená do progresie ochorenia alebo do neakceptovateľnej toxicity, podľa toho, čo nastane skôr. </w:t>
            </w:r>
          </w:p>
          <w:p w14:paraId="17537D57" w14:textId="77777777" w:rsidR="00657ACA" w:rsidRDefault="00657ACA" w:rsidP="00657ACA">
            <w:pPr>
              <w:jc w:val="both"/>
              <w:rPr>
                <w:rFonts w:ascii="Arial" w:hAnsi="Arial" w:cs="Arial"/>
                <w:bCs/>
                <w:sz w:val="20"/>
                <w:szCs w:val="20"/>
              </w:rPr>
            </w:pPr>
            <w:r w:rsidRPr="00B11137">
              <w:rPr>
                <w:rFonts w:ascii="Arial" w:hAnsi="Arial" w:cs="Arial"/>
                <w:bCs/>
                <w:sz w:val="20"/>
                <w:szCs w:val="20"/>
              </w:rPr>
              <w:t>Hradená liečba podlieha predchádzajúcemu súhlasu zdravotnej poisťovne.</w:t>
            </w:r>
          </w:p>
          <w:p w14:paraId="025133AA" w14:textId="14944624" w:rsidR="00657ACA" w:rsidRPr="00B11137" w:rsidRDefault="00657ACA" w:rsidP="00657ACA">
            <w:pPr>
              <w:jc w:val="both"/>
              <w:rPr>
                <w:rFonts w:ascii="Arial" w:hAnsi="Arial" w:cs="Arial"/>
                <w:bCs/>
                <w:sz w:val="20"/>
                <w:szCs w:val="20"/>
              </w:rPr>
            </w:pPr>
          </w:p>
        </w:tc>
      </w:tr>
      <w:tr w:rsidR="00657ACA" w:rsidRPr="0000591E" w14:paraId="0340E1C4" w14:textId="77777777" w:rsidTr="003F7925">
        <w:trPr>
          <w:gridAfter w:val="2"/>
          <w:wAfter w:w="154" w:type="dxa"/>
          <w:trHeight w:val="20"/>
        </w:trPr>
        <w:tc>
          <w:tcPr>
            <w:tcW w:w="1256" w:type="dxa"/>
            <w:tcBorders>
              <w:bottom w:val="single" w:sz="4" w:space="0" w:color="auto"/>
            </w:tcBorders>
            <w:noWrap/>
            <w:vAlign w:val="bottom"/>
          </w:tcPr>
          <w:p w14:paraId="3AE68343" w14:textId="46A02898" w:rsidR="00657ACA" w:rsidRDefault="00657ACA" w:rsidP="00657ACA">
            <w:pPr>
              <w:jc w:val="both"/>
              <w:rPr>
                <w:rFonts w:ascii="Arial" w:hAnsi="Arial" w:cs="Arial"/>
                <w:b/>
                <w:bCs/>
                <w:sz w:val="20"/>
                <w:szCs w:val="20"/>
              </w:rPr>
            </w:pPr>
            <w:r w:rsidRPr="009D6276">
              <w:rPr>
                <w:rFonts w:ascii="Arial" w:hAnsi="Arial" w:cs="Arial"/>
                <w:b/>
                <w:bCs/>
                <w:sz w:val="20"/>
                <w:szCs w:val="20"/>
              </w:rPr>
              <w:t>L01EC01</w:t>
            </w:r>
          </w:p>
        </w:tc>
        <w:tc>
          <w:tcPr>
            <w:tcW w:w="9452" w:type="dxa"/>
            <w:tcBorders>
              <w:bottom w:val="single" w:sz="4" w:space="0" w:color="auto"/>
            </w:tcBorders>
          </w:tcPr>
          <w:p w14:paraId="38467D47" w14:textId="19480118" w:rsidR="00657ACA" w:rsidRPr="005C719F" w:rsidRDefault="00657ACA" w:rsidP="00657ACA">
            <w:pPr>
              <w:jc w:val="both"/>
              <w:rPr>
                <w:rFonts w:ascii="Arial" w:hAnsi="Arial" w:cs="Arial"/>
                <w:b/>
                <w:bCs/>
                <w:sz w:val="20"/>
                <w:szCs w:val="20"/>
              </w:rPr>
            </w:pPr>
            <w:r w:rsidRPr="009D6276">
              <w:rPr>
                <w:rFonts w:ascii="Arial" w:hAnsi="Arial" w:cs="Arial"/>
                <w:b/>
                <w:bCs/>
                <w:sz w:val="20"/>
                <w:szCs w:val="20"/>
              </w:rPr>
              <w:t>Vemurafenib p.o. 240 mg</w:t>
            </w:r>
          </w:p>
        </w:tc>
      </w:tr>
      <w:tr w:rsidR="00657ACA" w:rsidRPr="0000591E" w14:paraId="701F48D9" w14:textId="77777777" w:rsidTr="003F7925">
        <w:trPr>
          <w:gridAfter w:val="2"/>
          <w:wAfter w:w="154" w:type="dxa"/>
          <w:trHeight w:val="20"/>
        </w:trPr>
        <w:tc>
          <w:tcPr>
            <w:tcW w:w="1256" w:type="dxa"/>
            <w:tcBorders>
              <w:top w:val="single" w:sz="4" w:space="0" w:color="auto"/>
            </w:tcBorders>
            <w:noWrap/>
            <w:vAlign w:val="bottom"/>
          </w:tcPr>
          <w:p w14:paraId="64ABF2B4"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E3C03AC" w14:textId="77777777" w:rsidR="00657ACA" w:rsidRPr="009D6276" w:rsidRDefault="00657ACA" w:rsidP="00657ACA">
            <w:pPr>
              <w:jc w:val="both"/>
              <w:rPr>
                <w:rFonts w:ascii="Arial" w:hAnsi="Arial" w:cs="Arial"/>
                <w:bCs/>
                <w:sz w:val="20"/>
                <w:szCs w:val="20"/>
              </w:rPr>
            </w:pPr>
            <w:r w:rsidRPr="009D6276">
              <w:rPr>
                <w:rFonts w:ascii="Arial" w:hAnsi="Arial" w:cs="Arial"/>
                <w:bCs/>
                <w:sz w:val="20"/>
                <w:szCs w:val="20"/>
              </w:rPr>
              <w:t>Hradená liečba sa môže indikovať v monoterapii alebo v kombinácii s kobimetinibom na liečbu dospelých pacientov s neresekovateľným alebo metastatickým melanómom s pozitivitou mutácie V600 génu BRAF.</w:t>
            </w:r>
          </w:p>
          <w:p w14:paraId="6F65AD48" w14:textId="77777777" w:rsidR="00657ACA" w:rsidRPr="009D6276" w:rsidRDefault="00657ACA" w:rsidP="00657ACA">
            <w:pPr>
              <w:jc w:val="both"/>
              <w:rPr>
                <w:rFonts w:ascii="Arial" w:hAnsi="Arial" w:cs="Arial"/>
                <w:bCs/>
                <w:sz w:val="20"/>
                <w:szCs w:val="20"/>
              </w:rPr>
            </w:pPr>
          </w:p>
          <w:p w14:paraId="4BCBCDB3" w14:textId="77777777" w:rsidR="00657ACA" w:rsidRDefault="00657ACA" w:rsidP="00657ACA">
            <w:pPr>
              <w:jc w:val="both"/>
              <w:rPr>
                <w:rFonts w:ascii="Arial" w:hAnsi="Arial" w:cs="Arial"/>
                <w:bCs/>
                <w:sz w:val="20"/>
                <w:szCs w:val="20"/>
              </w:rPr>
            </w:pPr>
            <w:r w:rsidRPr="009D6276">
              <w:rPr>
                <w:rFonts w:ascii="Arial" w:hAnsi="Arial" w:cs="Arial"/>
                <w:bCs/>
                <w:sz w:val="20"/>
                <w:szCs w:val="20"/>
              </w:rPr>
              <w:t>Hradená liečba podlieha predchádzajúcemu súhlasu zdravotnej poisťovne.</w:t>
            </w:r>
          </w:p>
          <w:p w14:paraId="338AD522" w14:textId="36CF5A66" w:rsidR="00657ACA" w:rsidRPr="005C719F" w:rsidRDefault="00657ACA" w:rsidP="00657ACA">
            <w:pPr>
              <w:jc w:val="both"/>
              <w:rPr>
                <w:rFonts w:ascii="Arial" w:hAnsi="Arial" w:cs="Arial"/>
                <w:b/>
                <w:bCs/>
                <w:sz w:val="20"/>
                <w:szCs w:val="20"/>
              </w:rPr>
            </w:pPr>
          </w:p>
        </w:tc>
      </w:tr>
      <w:tr w:rsidR="00657ACA" w:rsidRPr="0000591E" w14:paraId="7770CADA" w14:textId="77777777" w:rsidTr="003F7925">
        <w:trPr>
          <w:gridAfter w:val="2"/>
          <w:wAfter w:w="154" w:type="dxa"/>
          <w:trHeight w:val="20"/>
        </w:trPr>
        <w:tc>
          <w:tcPr>
            <w:tcW w:w="1256" w:type="dxa"/>
            <w:tcBorders>
              <w:bottom w:val="single" w:sz="4" w:space="0" w:color="auto"/>
            </w:tcBorders>
            <w:noWrap/>
            <w:vAlign w:val="bottom"/>
          </w:tcPr>
          <w:p w14:paraId="2FA57365" w14:textId="27F8D8A2" w:rsidR="00657ACA" w:rsidRDefault="00657ACA" w:rsidP="00657ACA">
            <w:pPr>
              <w:jc w:val="both"/>
              <w:rPr>
                <w:rFonts w:ascii="Arial" w:hAnsi="Arial" w:cs="Arial"/>
                <w:b/>
                <w:bCs/>
                <w:sz w:val="20"/>
                <w:szCs w:val="20"/>
              </w:rPr>
            </w:pPr>
            <w:r w:rsidRPr="005929E1">
              <w:rPr>
                <w:rFonts w:ascii="Arial" w:hAnsi="Arial" w:cs="Arial"/>
                <w:b/>
                <w:bCs/>
                <w:sz w:val="20"/>
                <w:szCs w:val="20"/>
              </w:rPr>
              <w:t>L01EC02</w:t>
            </w:r>
          </w:p>
        </w:tc>
        <w:tc>
          <w:tcPr>
            <w:tcW w:w="9452" w:type="dxa"/>
            <w:tcBorders>
              <w:bottom w:val="single" w:sz="4" w:space="0" w:color="auto"/>
            </w:tcBorders>
          </w:tcPr>
          <w:p w14:paraId="7948C314" w14:textId="7AE559A1" w:rsidR="00657ACA" w:rsidRPr="005C719F" w:rsidRDefault="00657ACA" w:rsidP="00657ACA">
            <w:pPr>
              <w:jc w:val="both"/>
              <w:rPr>
                <w:rFonts w:ascii="Arial" w:hAnsi="Arial" w:cs="Arial"/>
                <w:b/>
                <w:bCs/>
                <w:sz w:val="20"/>
                <w:szCs w:val="20"/>
              </w:rPr>
            </w:pPr>
            <w:r w:rsidRPr="005929E1">
              <w:rPr>
                <w:rFonts w:ascii="Arial" w:hAnsi="Arial" w:cs="Arial"/>
                <w:b/>
                <w:bCs/>
                <w:sz w:val="20"/>
                <w:szCs w:val="20"/>
              </w:rPr>
              <w:t>Dabrafenib p.o. 75 mg</w:t>
            </w:r>
          </w:p>
        </w:tc>
      </w:tr>
      <w:tr w:rsidR="00657ACA" w:rsidRPr="0000591E" w14:paraId="1500C999" w14:textId="77777777" w:rsidTr="003F7925">
        <w:trPr>
          <w:gridAfter w:val="2"/>
          <w:wAfter w:w="154" w:type="dxa"/>
          <w:trHeight w:val="20"/>
        </w:trPr>
        <w:tc>
          <w:tcPr>
            <w:tcW w:w="1256" w:type="dxa"/>
            <w:tcBorders>
              <w:top w:val="single" w:sz="4" w:space="0" w:color="auto"/>
            </w:tcBorders>
            <w:noWrap/>
            <w:vAlign w:val="bottom"/>
          </w:tcPr>
          <w:p w14:paraId="601F4056"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3182A91D" w14:textId="77777777" w:rsidR="00657ACA" w:rsidRPr="005929E1" w:rsidRDefault="00657ACA" w:rsidP="00657ACA">
            <w:pPr>
              <w:jc w:val="both"/>
              <w:rPr>
                <w:rFonts w:ascii="Arial" w:hAnsi="Arial" w:cs="Arial"/>
                <w:bCs/>
                <w:sz w:val="20"/>
                <w:szCs w:val="20"/>
              </w:rPr>
            </w:pPr>
            <w:r w:rsidRPr="005929E1">
              <w:rPr>
                <w:rFonts w:ascii="Arial" w:hAnsi="Arial" w:cs="Arial"/>
                <w:bCs/>
                <w:sz w:val="20"/>
                <w:szCs w:val="20"/>
              </w:rPr>
              <w:t xml:space="preserve">Hradená liečba sa môže indikovať </w:t>
            </w:r>
          </w:p>
          <w:p w14:paraId="7C9E907A" w14:textId="77777777" w:rsidR="00657ACA" w:rsidRPr="005929E1" w:rsidRDefault="00657ACA" w:rsidP="00657ACA">
            <w:pPr>
              <w:jc w:val="both"/>
              <w:rPr>
                <w:rFonts w:ascii="Arial" w:hAnsi="Arial" w:cs="Arial"/>
                <w:bCs/>
                <w:sz w:val="20"/>
                <w:szCs w:val="20"/>
              </w:rPr>
            </w:pPr>
            <w:r w:rsidRPr="005929E1">
              <w:rPr>
                <w:rFonts w:ascii="Arial" w:hAnsi="Arial" w:cs="Arial"/>
                <w:bCs/>
                <w:sz w:val="20"/>
                <w:szCs w:val="20"/>
              </w:rPr>
              <w:t>a)</w:t>
            </w:r>
            <w:r w:rsidRPr="005929E1">
              <w:rPr>
                <w:rFonts w:ascii="Arial" w:hAnsi="Arial" w:cs="Arial"/>
                <w:bCs/>
                <w:sz w:val="20"/>
                <w:szCs w:val="20"/>
              </w:rPr>
              <w:tab/>
              <w:t xml:space="preserve">v monoterapii alebo v kombinácii s trametinibom na liečbu dospelých pacientov s neresekovateľným alebo metastatickým melanómom s mutáciou V600 génu BRAF. </w:t>
            </w:r>
          </w:p>
          <w:p w14:paraId="0786D5A9" w14:textId="77777777" w:rsidR="00657ACA" w:rsidRDefault="00657ACA" w:rsidP="00657ACA">
            <w:pPr>
              <w:jc w:val="both"/>
              <w:rPr>
                <w:rFonts w:ascii="Arial" w:hAnsi="Arial" w:cs="Arial"/>
                <w:bCs/>
                <w:sz w:val="20"/>
                <w:szCs w:val="20"/>
              </w:rPr>
            </w:pPr>
            <w:r w:rsidRPr="005929E1">
              <w:rPr>
                <w:rFonts w:ascii="Arial" w:hAnsi="Arial" w:cs="Arial"/>
                <w:bCs/>
                <w:sz w:val="20"/>
                <w:szCs w:val="20"/>
              </w:rPr>
              <w:t>b)</w:t>
            </w:r>
            <w:r w:rsidRPr="005929E1">
              <w:rPr>
                <w:rFonts w:ascii="Arial" w:hAnsi="Arial" w:cs="Arial"/>
                <w:bCs/>
                <w:sz w:val="20"/>
                <w:szCs w:val="20"/>
              </w:rPr>
              <w:tab/>
              <w:t xml:space="preserve">v kombinácii s trametinibom u dospelých pacientov na adjuvantnú liečbu melanómu v III. štádiu s mutáciou V600 génu BRAF, po kompletnej resekcii. Adjuvantná liečba je hradená do rekurencie ochorenia alebo do objavenia nezvládnuteľnej toxicity, maximálne však po dobu 12 mesiacov. </w:t>
            </w:r>
          </w:p>
          <w:p w14:paraId="67EB23C2" w14:textId="77777777" w:rsidR="00657ACA" w:rsidRDefault="00657ACA" w:rsidP="00657ACA">
            <w:pPr>
              <w:jc w:val="both"/>
              <w:rPr>
                <w:rFonts w:ascii="Arial" w:hAnsi="Arial" w:cs="Arial"/>
                <w:bCs/>
                <w:sz w:val="20"/>
                <w:szCs w:val="20"/>
              </w:rPr>
            </w:pPr>
          </w:p>
          <w:p w14:paraId="6A199B71" w14:textId="3C1AB6FF" w:rsidR="00657ACA" w:rsidRPr="005929E1" w:rsidRDefault="00657ACA" w:rsidP="00657ACA">
            <w:pPr>
              <w:jc w:val="both"/>
              <w:rPr>
                <w:rFonts w:ascii="Arial" w:hAnsi="Arial" w:cs="Arial"/>
                <w:bCs/>
                <w:sz w:val="20"/>
                <w:szCs w:val="20"/>
              </w:rPr>
            </w:pPr>
            <w:r w:rsidRPr="005929E1">
              <w:rPr>
                <w:rFonts w:ascii="Arial" w:hAnsi="Arial" w:cs="Arial"/>
                <w:bCs/>
                <w:sz w:val="20"/>
                <w:szCs w:val="20"/>
              </w:rPr>
              <w:t>Hradená liečba podlieha predchádzajúcemu súhlasu zdravotnej poisťovne.</w:t>
            </w:r>
          </w:p>
          <w:p w14:paraId="29F41CC7" w14:textId="2EB38D5D" w:rsidR="00657ACA" w:rsidRPr="005C719F" w:rsidRDefault="00657ACA" w:rsidP="00657ACA">
            <w:pPr>
              <w:jc w:val="both"/>
              <w:rPr>
                <w:rFonts w:ascii="Arial" w:hAnsi="Arial" w:cs="Arial"/>
                <w:b/>
                <w:bCs/>
                <w:sz w:val="20"/>
                <w:szCs w:val="20"/>
              </w:rPr>
            </w:pPr>
          </w:p>
        </w:tc>
      </w:tr>
      <w:tr w:rsidR="00657ACA" w:rsidRPr="0000591E" w14:paraId="7E8EC8E3" w14:textId="77777777" w:rsidTr="003F7925">
        <w:trPr>
          <w:gridAfter w:val="2"/>
          <w:wAfter w:w="154" w:type="dxa"/>
          <w:trHeight w:val="20"/>
        </w:trPr>
        <w:tc>
          <w:tcPr>
            <w:tcW w:w="1256" w:type="dxa"/>
            <w:tcBorders>
              <w:bottom w:val="single" w:sz="4" w:space="0" w:color="auto"/>
            </w:tcBorders>
            <w:noWrap/>
            <w:vAlign w:val="bottom"/>
          </w:tcPr>
          <w:p w14:paraId="435E12F0" w14:textId="6696E22F" w:rsidR="00657ACA" w:rsidRDefault="00657ACA" w:rsidP="00657ACA">
            <w:pPr>
              <w:jc w:val="both"/>
              <w:rPr>
                <w:rFonts w:ascii="Arial" w:hAnsi="Arial" w:cs="Arial"/>
                <w:b/>
                <w:bCs/>
                <w:sz w:val="20"/>
                <w:szCs w:val="20"/>
              </w:rPr>
            </w:pPr>
            <w:r w:rsidRPr="001848B7">
              <w:rPr>
                <w:rFonts w:ascii="Arial" w:hAnsi="Arial" w:cs="Arial"/>
                <w:b/>
                <w:bCs/>
                <w:sz w:val="20"/>
                <w:szCs w:val="20"/>
              </w:rPr>
              <w:t>L01EC03</w:t>
            </w:r>
          </w:p>
        </w:tc>
        <w:tc>
          <w:tcPr>
            <w:tcW w:w="9452" w:type="dxa"/>
            <w:tcBorders>
              <w:bottom w:val="single" w:sz="4" w:space="0" w:color="auto"/>
            </w:tcBorders>
          </w:tcPr>
          <w:p w14:paraId="061B4901" w14:textId="77777777" w:rsidR="00657ACA" w:rsidRPr="001848B7" w:rsidRDefault="00657ACA" w:rsidP="00657ACA">
            <w:pPr>
              <w:jc w:val="both"/>
              <w:rPr>
                <w:rFonts w:ascii="Arial" w:hAnsi="Arial" w:cs="Arial"/>
                <w:b/>
                <w:bCs/>
                <w:sz w:val="20"/>
                <w:szCs w:val="20"/>
              </w:rPr>
            </w:pPr>
            <w:r w:rsidRPr="001848B7">
              <w:rPr>
                <w:rFonts w:ascii="Arial" w:hAnsi="Arial" w:cs="Arial"/>
                <w:b/>
                <w:bCs/>
                <w:sz w:val="20"/>
                <w:szCs w:val="20"/>
              </w:rPr>
              <w:t>Enkorafenib p.o. 50 mg</w:t>
            </w:r>
          </w:p>
          <w:p w14:paraId="0B094AFF" w14:textId="5FCC5EB0" w:rsidR="00657ACA" w:rsidRPr="005C719F" w:rsidRDefault="00657ACA" w:rsidP="00657ACA">
            <w:pPr>
              <w:jc w:val="both"/>
              <w:rPr>
                <w:rFonts w:ascii="Arial" w:hAnsi="Arial" w:cs="Arial"/>
                <w:b/>
                <w:bCs/>
                <w:sz w:val="20"/>
                <w:szCs w:val="20"/>
              </w:rPr>
            </w:pPr>
            <w:r w:rsidRPr="001848B7">
              <w:rPr>
                <w:rFonts w:ascii="Arial" w:hAnsi="Arial" w:cs="Arial"/>
                <w:b/>
                <w:bCs/>
                <w:sz w:val="20"/>
                <w:szCs w:val="20"/>
              </w:rPr>
              <w:t>Enkorafenib p.o. 75 mg</w:t>
            </w:r>
          </w:p>
        </w:tc>
      </w:tr>
      <w:tr w:rsidR="00657ACA" w:rsidRPr="0000591E" w14:paraId="1EF04D68" w14:textId="77777777" w:rsidTr="003F7925">
        <w:trPr>
          <w:gridAfter w:val="2"/>
          <w:wAfter w:w="154" w:type="dxa"/>
          <w:trHeight w:val="20"/>
        </w:trPr>
        <w:tc>
          <w:tcPr>
            <w:tcW w:w="1256" w:type="dxa"/>
            <w:tcBorders>
              <w:top w:val="single" w:sz="4" w:space="0" w:color="auto"/>
            </w:tcBorders>
            <w:noWrap/>
            <w:vAlign w:val="bottom"/>
          </w:tcPr>
          <w:p w14:paraId="67418531"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2A8E39CC" w14:textId="77777777" w:rsidR="00657ACA" w:rsidRPr="001848B7" w:rsidRDefault="00657ACA" w:rsidP="00657ACA">
            <w:pPr>
              <w:jc w:val="both"/>
              <w:rPr>
                <w:rFonts w:ascii="Arial" w:hAnsi="Arial" w:cs="Arial"/>
                <w:bCs/>
                <w:sz w:val="20"/>
                <w:szCs w:val="20"/>
              </w:rPr>
            </w:pPr>
            <w:r w:rsidRPr="001848B7">
              <w:rPr>
                <w:rFonts w:ascii="Arial" w:hAnsi="Arial" w:cs="Arial"/>
                <w:bCs/>
                <w:sz w:val="20"/>
                <w:szCs w:val="20"/>
              </w:rPr>
              <w:t>Hradená liečba sa môže indikovať v kombinácii s binimetinibom na liečbu dospelých pacientov s neresekovateľným alebo metastatickým melanómom s pozitivitou mutácie V600 génu BRAF.</w:t>
            </w:r>
          </w:p>
          <w:p w14:paraId="2D4C091F" w14:textId="77777777" w:rsidR="00657ACA" w:rsidRPr="001848B7" w:rsidRDefault="00657ACA" w:rsidP="00657ACA">
            <w:pPr>
              <w:jc w:val="both"/>
              <w:rPr>
                <w:rFonts w:ascii="Arial" w:hAnsi="Arial" w:cs="Arial"/>
                <w:bCs/>
                <w:sz w:val="20"/>
                <w:szCs w:val="20"/>
              </w:rPr>
            </w:pPr>
          </w:p>
          <w:p w14:paraId="579F8CFB" w14:textId="41E7504B" w:rsidR="00657ACA" w:rsidRPr="001848B7" w:rsidRDefault="00657ACA" w:rsidP="00AC09A5">
            <w:pPr>
              <w:jc w:val="both"/>
              <w:rPr>
                <w:rFonts w:ascii="Arial" w:hAnsi="Arial" w:cs="Arial"/>
                <w:bCs/>
                <w:sz w:val="20"/>
                <w:szCs w:val="20"/>
              </w:rPr>
            </w:pPr>
            <w:r w:rsidRPr="001848B7">
              <w:rPr>
                <w:rFonts w:ascii="Arial" w:hAnsi="Arial" w:cs="Arial"/>
                <w:bCs/>
                <w:sz w:val="20"/>
                <w:szCs w:val="20"/>
              </w:rPr>
              <w:t>Hradená liečba podlieha predchádzajúcemu súhlasu zdravotnej poisťovne.</w:t>
            </w:r>
          </w:p>
        </w:tc>
      </w:tr>
      <w:tr w:rsidR="00657ACA" w:rsidRPr="0000591E" w14:paraId="06281FD2" w14:textId="77777777" w:rsidTr="003F7925">
        <w:trPr>
          <w:gridAfter w:val="2"/>
          <w:wAfter w:w="154" w:type="dxa"/>
          <w:trHeight w:val="20"/>
        </w:trPr>
        <w:tc>
          <w:tcPr>
            <w:tcW w:w="1256" w:type="dxa"/>
            <w:tcBorders>
              <w:bottom w:val="single" w:sz="4" w:space="0" w:color="auto"/>
            </w:tcBorders>
            <w:noWrap/>
            <w:vAlign w:val="bottom"/>
          </w:tcPr>
          <w:p w14:paraId="507435EC"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L01ED01</w:t>
            </w:r>
          </w:p>
        </w:tc>
        <w:tc>
          <w:tcPr>
            <w:tcW w:w="9452" w:type="dxa"/>
            <w:tcBorders>
              <w:bottom w:val="single" w:sz="4" w:space="0" w:color="auto"/>
            </w:tcBorders>
          </w:tcPr>
          <w:p w14:paraId="15458A09" w14:textId="77777777" w:rsidR="00657ACA" w:rsidRDefault="00657ACA" w:rsidP="00657ACA">
            <w:pPr>
              <w:jc w:val="both"/>
              <w:rPr>
                <w:rFonts w:ascii="Arial" w:hAnsi="Arial" w:cs="Arial"/>
                <w:b/>
                <w:bCs/>
                <w:sz w:val="20"/>
                <w:szCs w:val="20"/>
              </w:rPr>
            </w:pPr>
            <w:r w:rsidRPr="005C719F">
              <w:rPr>
                <w:rFonts w:ascii="Arial" w:hAnsi="Arial" w:cs="Arial"/>
                <w:b/>
                <w:bCs/>
                <w:sz w:val="20"/>
                <w:szCs w:val="20"/>
              </w:rPr>
              <w:t xml:space="preserve">Krizotinib p.o. </w:t>
            </w:r>
            <w:r>
              <w:rPr>
                <w:rFonts w:ascii="Arial" w:hAnsi="Arial" w:cs="Arial"/>
                <w:b/>
                <w:bCs/>
                <w:sz w:val="20"/>
                <w:szCs w:val="20"/>
              </w:rPr>
              <w:t>200</w:t>
            </w:r>
            <w:r w:rsidRPr="005C719F">
              <w:rPr>
                <w:rFonts w:ascii="Arial" w:hAnsi="Arial" w:cs="Arial"/>
                <w:b/>
                <w:bCs/>
                <w:sz w:val="20"/>
                <w:szCs w:val="20"/>
              </w:rPr>
              <w:t xml:space="preserve"> mg</w:t>
            </w:r>
          </w:p>
          <w:p w14:paraId="27CD32F1" w14:textId="77777777" w:rsidR="00657ACA" w:rsidRDefault="00657ACA" w:rsidP="00657ACA">
            <w:pPr>
              <w:jc w:val="both"/>
              <w:rPr>
                <w:rFonts w:ascii="Arial" w:hAnsi="Arial" w:cs="Arial"/>
                <w:b/>
                <w:bCs/>
                <w:sz w:val="20"/>
                <w:szCs w:val="20"/>
              </w:rPr>
            </w:pPr>
            <w:r w:rsidRPr="005C719F">
              <w:rPr>
                <w:rFonts w:ascii="Arial" w:hAnsi="Arial" w:cs="Arial"/>
                <w:b/>
                <w:bCs/>
                <w:sz w:val="20"/>
                <w:szCs w:val="20"/>
              </w:rPr>
              <w:t>Krizotinib p.o. 250 mg</w:t>
            </w:r>
          </w:p>
        </w:tc>
      </w:tr>
      <w:tr w:rsidR="00657ACA" w:rsidRPr="0000591E" w14:paraId="7FD52296" w14:textId="77777777" w:rsidTr="003F7925">
        <w:trPr>
          <w:gridAfter w:val="2"/>
          <w:wAfter w:w="154" w:type="dxa"/>
          <w:trHeight w:val="20"/>
        </w:trPr>
        <w:tc>
          <w:tcPr>
            <w:tcW w:w="1256" w:type="dxa"/>
            <w:tcBorders>
              <w:top w:val="single" w:sz="4" w:space="0" w:color="auto"/>
            </w:tcBorders>
            <w:noWrap/>
            <w:vAlign w:val="bottom"/>
          </w:tcPr>
          <w:p w14:paraId="4C596DB7"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1DD2E8B0" w14:textId="77777777" w:rsidR="00657ACA" w:rsidRDefault="00657ACA" w:rsidP="00657ACA">
            <w:pPr>
              <w:jc w:val="both"/>
              <w:rPr>
                <w:rFonts w:ascii="Arial" w:hAnsi="Arial" w:cs="Arial"/>
                <w:sz w:val="20"/>
                <w:szCs w:val="20"/>
              </w:rPr>
            </w:pPr>
            <w:r w:rsidRPr="005C719F">
              <w:rPr>
                <w:rFonts w:ascii="Arial" w:hAnsi="Arial" w:cs="Arial"/>
                <w:sz w:val="20"/>
                <w:szCs w:val="20"/>
              </w:rPr>
              <w:t>Hradená liečba sa môže indikovať ako monoterapia na liečbu dospelých pacientov s ROS1-pozitívnym pokročilým nemalobunkovým karcinómom pľúc (NSCLC, non-small cell lung cancer). Hradená liečba podlieha predchádzajúcemu súhlasu zdravotnej poisťovne</w:t>
            </w:r>
          </w:p>
          <w:p w14:paraId="3F356E4C" w14:textId="77777777" w:rsidR="00657ACA" w:rsidRPr="005C719F" w:rsidRDefault="00657ACA" w:rsidP="00657ACA">
            <w:pPr>
              <w:jc w:val="both"/>
              <w:rPr>
                <w:rFonts w:ascii="Arial" w:hAnsi="Arial" w:cs="Arial"/>
                <w:sz w:val="20"/>
                <w:szCs w:val="20"/>
              </w:rPr>
            </w:pPr>
          </w:p>
        </w:tc>
      </w:tr>
      <w:tr w:rsidR="00657ACA" w:rsidRPr="0000591E" w14:paraId="460B0D57" w14:textId="77777777" w:rsidTr="003F7925">
        <w:trPr>
          <w:gridAfter w:val="2"/>
          <w:wAfter w:w="154" w:type="dxa"/>
          <w:trHeight w:val="20"/>
        </w:trPr>
        <w:tc>
          <w:tcPr>
            <w:tcW w:w="1256" w:type="dxa"/>
            <w:tcBorders>
              <w:bottom w:val="single" w:sz="4" w:space="0" w:color="auto"/>
            </w:tcBorders>
            <w:noWrap/>
            <w:vAlign w:val="bottom"/>
          </w:tcPr>
          <w:p w14:paraId="638CC0B6" w14:textId="3C4CB136" w:rsidR="00657ACA" w:rsidRPr="00E170F7" w:rsidRDefault="00657ACA" w:rsidP="00657ACA">
            <w:pPr>
              <w:jc w:val="both"/>
              <w:rPr>
                <w:rFonts w:ascii="Arial" w:hAnsi="Arial" w:cs="Arial"/>
                <w:b/>
                <w:bCs/>
                <w:sz w:val="20"/>
                <w:szCs w:val="20"/>
              </w:rPr>
            </w:pPr>
            <w:r w:rsidRPr="008A760A">
              <w:rPr>
                <w:rFonts w:ascii="Arial" w:hAnsi="Arial" w:cs="Arial"/>
                <w:b/>
                <w:bCs/>
                <w:sz w:val="20"/>
                <w:szCs w:val="20"/>
              </w:rPr>
              <w:t>L01ED03</w:t>
            </w:r>
          </w:p>
        </w:tc>
        <w:tc>
          <w:tcPr>
            <w:tcW w:w="9452" w:type="dxa"/>
            <w:tcBorders>
              <w:bottom w:val="single" w:sz="4" w:space="0" w:color="auto"/>
            </w:tcBorders>
          </w:tcPr>
          <w:p w14:paraId="29CA0413" w14:textId="183C8646" w:rsidR="00657ACA" w:rsidRDefault="00657ACA" w:rsidP="00657ACA">
            <w:pPr>
              <w:jc w:val="both"/>
              <w:rPr>
                <w:rFonts w:ascii="Arial" w:hAnsi="Arial" w:cs="Arial"/>
                <w:b/>
                <w:sz w:val="20"/>
                <w:szCs w:val="20"/>
              </w:rPr>
            </w:pPr>
            <w:r w:rsidRPr="008A760A">
              <w:rPr>
                <w:rFonts w:ascii="Arial" w:hAnsi="Arial" w:cs="Arial"/>
                <w:b/>
                <w:sz w:val="20"/>
                <w:szCs w:val="20"/>
              </w:rPr>
              <w:t>Alektinib p.o. 150 mg</w:t>
            </w:r>
          </w:p>
        </w:tc>
      </w:tr>
      <w:tr w:rsidR="00657ACA" w:rsidRPr="0000591E" w14:paraId="00BD9A35" w14:textId="77777777" w:rsidTr="003F7925">
        <w:trPr>
          <w:gridAfter w:val="2"/>
          <w:wAfter w:w="154" w:type="dxa"/>
          <w:trHeight w:val="20"/>
        </w:trPr>
        <w:tc>
          <w:tcPr>
            <w:tcW w:w="1256" w:type="dxa"/>
            <w:tcBorders>
              <w:top w:val="single" w:sz="4" w:space="0" w:color="auto"/>
            </w:tcBorders>
            <w:noWrap/>
            <w:vAlign w:val="bottom"/>
          </w:tcPr>
          <w:p w14:paraId="6F7884A3" w14:textId="77777777" w:rsidR="00657ACA" w:rsidRPr="00E170F7" w:rsidRDefault="00657ACA" w:rsidP="00657ACA">
            <w:pPr>
              <w:jc w:val="both"/>
              <w:rPr>
                <w:rFonts w:ascii="Arial" w:hAnsi="Arial" w:cs="Arial"/>
                <w:b/>
                <w:bCs/>
                <w:sz w:val="20"/>
                <w:szCs w:val="20"/>
              </w:rPr>
            </w:pPr>
          </w:p>
        </w:tc>
        <w:tc>
          <w:tcPr>
            <w:tcW w:w="9452" w:type="dxa"/>
            <w:tcBorders>
              <w:top w:val="single" w:sz="4" w:space="0" w:color="auto"/>
            </w:tcBorders>
          </w:tcPr>
          <w:p w14:paraId="4C2389E1" w14:textId="77777777" w:rsidR="00657ACA" w:rsidRPr="008A760A" w:rsidRDefault="00657ACA" w:rsidP="00657ACA">
            <w:pPr>
              <w:jc w:val="both"/>
              <w:rPr>
                <w:rFonts w:ascii="Arial" w:hAnsi="Arial" w:cs="Arial"/>
                <w:sz w:val="20"/>
                <w:szCs w:val="20"/>
              </w:rPr>
            </w:pPr>
            <w:r w:rsidRPr="008A760A">
              <w:rPr>
                <w:rFonts w:ascii="Arial" w:hAnsi="Arial" w:cs="Arial"/>
                <w:sz w:val="20"/>
                <w:szCs w:val="20"/>
              </w:rPr>
              <w:t xml:space="preserve">Hradená liečba sa môže indikovať ako monoterapia v prvej línii liečby u dospelých pacientov s pokročilým nemalobunkovým karcinómom pľúc (NSCLC) s pozitivitou kinázy anaplastického lymfómu (ALK). </w:t>
            </w:r>
          </w:p>
          <w:p w14:paraId="15743802" w14:textId="77777777" w:rsidR="00657ACA" w:rsidRDefault="00657ACA" w:rsidP="00657ACA">
            <w:pPr>
              <w:jc w:val="both"/>
              <w:rPr>
                <w:rFonts w:ascii="Arial" w:hAnsi="Arial" w:cs="Arial"/>
                <w:sz w:val="20"/>
                <w:szCs w:val="20"/>
              </w:rPr>
            </w:pPr>
            <w:r w:rsidRPr="008A760A">
              <w:rPr>
                <w:rFonts w:ascii="Arial" w:hAnsi="Arial" w:cs="Arial"/>
                <w:sz w:val="20"/>
                <w:szCs w:val="20"/>
              </w:rPr>
              <w:t>Hradená liečba podlieha predchádzajúcemu súhlasu zdravotnej poisťovne.</w:t>
            </w:r>
          </w:p>
          <w:p w14:paraId="4D39F3F9" w14:textId="77777777" w:rsidR="00341086" w:rsidRDefault="00341086" w:rsidP="00657ACA">
            <w:pPr>
              <w:jc w:val="both"/>
              <w:rPr>
                <w:rFonts w:ascii="Arial" w:hAnsi="Arial" w:cs="Arial"/>
                <w:sz w:val="20"/>
                <w:szCs w:val="20"/>
              </w:rPr>
            </w:pPr>
          </w:p>
          <w:p w14:paraId="783D7033" w14:textId="77777777" w:rsidR="00341086" w:rsidRPr="00341086" w:rsidRDefault="00341086" w:rsidP="00341086">
            <w:pPr>
              <w:jc w:val="both"/>
              <w:rPr>
                <w:rFonts w:ascii="Arial" w:hAnsi="Arial" w:cs="Arial"/>
                <w:bCs/>
                <w:sz w:val="20"/>
                <w:szCs w:val="20"/>
              </w:rPr>
            </w:pPr>
            <w:r w:rsidRPr="00341086">
              <w:rPr>
                <w:rFonts w:ascii="Arial" w:hAnsi="Arial" w:cs="Arial"/>
                <w:bCs/>
                <w:sz w:val="20"/>
                <w:szCs w:val="20"/>
              </w:rPr>
              <w:t>Hradená liečba sa môže indikovať v monoterapii ako adjuvantná liečba po kompletnej resekcii nádoru u dospelých pacientov s ALK-pozitívnym NSCLC so štádiom ochorenia IB (nádory ≥ 4cm) až IIIA, ktorí majú vysoké riziko recidívy. Hradená adjuvantná liečba má pokračovať až do recidívy ochorenia, do vzniku neprijateľnej toxicity alebo počas 24 mesiacov.</w:t>
            </w:r>
          </w:p>
          <w:p w14:paraId="549A2AF1" w14:textId="77777777" w:rsidR="00341086" w:rsidRPr="00341086" w:rsidRDefault="00341086" w:rsidP="00341086">
            <w:pPr>
              <w:jc w:val="both"/>
              <w:rPr>
                <w:rFonts w:ascii="Arial" w:hAnsi="Arial" w:cs="Arial"/>
                <w:bCs/>
                <w:sz w:val="20"/>
                <w:szCs w:val="20"/>
              </w:rPr>
            </w:pPr>
            <w:r w:rsidRPr="00341086">
              <w:rPr>
                <w:rFonts w:ascii="Arial" w:hAnsi="Arial" w:cs="Arial"/>
                <w:bCs/>
                <w:sz w:val="20"/>
                <w:szCs w:val="20"/>
              </w:rPr>
              <w:t>Podmienkou hradenej liečby je dobrý výkonnostný stav pacienta charakterizovaný na ECOG škále (Eastern Cooperative Oncology Group performance status) ako skóre 0 – 1.</w:t>
            </w:r>
          </w:p>
          <w:p w14:paraId="0B9FC308" w14:textId="77777777" w:rsidR="00341086" w:rsidRDefault="00341086" w:rsidP="00341086">
            <w:pPr>
              <w:jc w:val="both"/>
              <w:rPr>
                <w:rFonts w:ascii="Arial" w:hAnsi="Arial" w:cs="Arial"/>
                <w:bCs/>
                <w:sz w:val="20"/>
                <w:szCs w:val="20"/>
              </w:rPr>
            </w:pPr>
            <w:r w:rsidRPr="00341086">
              <w:rPr>
                <w:rFonts w:ascii="Arial" w:hAnsi="Arial" w:cs="Arial"/>
                <w:bCs/>
                <w:sz w:val="20"/>
                <w:szCs w:val="20"/>
              </w:rPr>
              <w:t>Hradená liečba podlieha predchádzajúcemu súhlasu zdravotnej poisťovne.</w:t>
            </w:r>
          </w:p>
          <w:p w14:paraId="7D855FEA" w14:textId="396E3379" w:rsidR="00341086" w:rsidRDefault="00341086" w:rsidP="00341086">
            <w:pPr>
              <w:jc w:val="both"/>
              <w:rPr>
                <w:rFonts w:ascii="Arial" w:hAnsi="Arial" w:cs="Arial"/>
                <w:b/>
                <w:sz w:val="20"/>
                <w:szCs w:val="20"/>
              </w:rPr>
            </w:pPr>
          </w:p>
        </w:tc>
      </w:tr>
      <w:tr w:rsidR="00657ACA" w:rsidRPr="0000591E" w14:paraId="19957318" w14:textId="77777777" w:rsidTr="003F7925">
        <w:trPr>
          <w:gridAfter w:val="2"/>
          <w:wAfter w:w="154" w:type="dxa"/>
          <w:trHeight w:val="20"/>
        </w:trPr>
        <w:tc>
          <w:tcPr>
            <w:tcW w:w="1256" w:type="dxa"/>
            <w:tcBorders>
              <w:bottom w:val="single" w:sz="4" w:space="0" w:color="auto"/>
            </w:tcBorders>
            <w:noWrap/>
            <w:vAlign w:val="bottom"/>
          </w:tcPr>
          <w:p w14:paraId="2E9CD18D" w14:textId="77777777" w:rsidR="00657ACA" w:rsidRPr="00CD2B3F" w:rsidRDefault="00657ACA" w:rsidP="00657ACA">
            <w:pPr>
              <w:jc w:val="both"/>
              <w:rPr>
                <w:rFonts w:ascii="Arial" w:hAnsi="Arial" w:cs="Arial"/>
                <w:b/>
                <w:sz w:val="20"/>
                <w:szCs w:val="20"/>
              </w:rPr>
            </w:pPr>
            <w:r w:rsidRPr="00E170F7">
              <w:rPr>
                <w:rFonts w:ascii="Arial" w:hAnsi="Arial" w:cs="Arial"/>
                <w:b/>
                <w:bCs/>
                <w:sz w:val="20"/>
                <w:szCs w:val="20"/>
              </w:rPr>
              <w:t>L01ED04</w:t>
            </w:r>
          </w:p>
        </w:tc>
        <w:tc>
          <w:tcPr>
            <w:tcW w:w="9452" w:type="dxa"/>
            <w:tcBorders>
              <w:bottom w:val="single" w:sz="4" w:space="0" w:color="auto"/>
            </w:tcBorders>
          </w:tcPr>
          <w:p w14:paraId="511FC7D8" w14:textId="77777777" w:rsidR="00657ACA" w:rsidRPr="00E170F7" w:rsidRDefault="00657ACA" w:rsidP="00657ACA">
            <w:pPr>
              <w:jc w:val="both"/>
              <w:rPr>
                <w:rFonts w:ascii="Arial" w:hAnsi="Arial" w:cs="Arial"/>
                <w:b/>
                <w:sz w:val="20"/>
                <w:szCs w:val="20"/>
              </w:rPr>
            </w:pPr>
            <w:r>
              <w:rPr>
                <w:rFonts w:ascii="Arial" w:hAnsi="Arial" w:cs="Arial"/>
                <w:b/>
                <w:sz w:val="20"/>
                <w:szCs w:val="20"/>
              </w:rPr>
              <w:t>Brigatinib p.o. 30 mg</w:t>
            </w:r>
          </w:p>
          <w:p w14:paraId="4B427718" w14:textId="77777777" w:rsidR="00657ACA" w:rsidRPr="00E170F7" w:rsidRDefault="00657ACA" w:rsidP="00657ACA">
            <w:pPr>
              <w:jc w:val="both"/>
              <w:rPr>
                <w:rFonts w:ascii="Arial" w:hAnsi="Arial" w:cs="Arial"/>
                <w:b/>
                <w:sz w:val="20"/>
                <w:szCs w:val="20"/>
              </w:rPr>
            </w:pPr>
            <w:r w:rsidRPr="00E170F7">
              <w:rPr>
                <w:rFonts w:ascii="Arial" w:hAnsi="Arial" w:cs="Arial"/>
                <w:b/>
                <w:sz w:val="20"/>
                <w:szCs w:val="20"/>
              </w:rPr>
              <w:t>Brigatinib p.o 90 mg</w:t>
            </w:r>
          </w:p>
          <w:p w14:paraId="4FDFB473" w14:textId="77777777" w:rsidR="00657ACA" w:rsidRPr="00E170F7" w:rsidRDefault="00657ACA" w:rsidP="00657ACA">
            <w:pPr>
              <w:jc w:val="both"/>
              <w:rPr>
                <w:rFonts w:ascii="Arial" w:hAnsi="Arial" w:cs="Arial"/>
                <w:b/>
                <w:sz w:val="20"/>
                <w:szCs w:val="20"/>
              </w:rPr>
            </w:pPr>
            <w:r w:rsidRPr="00E170F7">
              <w:rPr>
                <w:rFonts w:ascii="Arial" w:hAnsi="Arial" w:cs="Arial"/>
                <w:b/>
                <w:sz w:val="20"/>
                <w:szCs w:val="20"/>
              </w:rPr>
              <w:t>Brigatinib p.o 90 mg + 180 mg</w:t>
            </w:r>
          </w:p>
          <w:p w14:paraId="541A8CB9" w14:textId="77777777" w:rsidR="00657ACA" w:rsidRDefault="00657ACA" w:rsidP="00657ACA">
            <w:pPr>
              <w:jc w:val="both"/>
              <w:rPr>
                <w:rFonts w:ascii="Arial" w:hAnsi="Arial" w:cs="Arial"/>
                <w:b/>
                <w:sz w:val="20"/>
                <w:szCs w:val="20"/>
              </w:rPr>
            </w:pPr>
            <w:r w:rsidRPr="00E170F7">
              <w:rPr>
                <w:rFonts w:ascii="Arial" w:hAnsi="Arial" w:cs="Arial"/>
                <w:b/>
                <w:sz w:val="20"/>
                <w:szCs w:val="20"/>
              </w:rPr>
              <w:t>Brigatinib p.o 180 mg</w:t>
            </w:r>
          </w:p>
        </w:tc>
      </w:tr>
      <w:tr w:rsidR="00657ACA" w:rsidRPr="0000591E" w14:paraId="30E5CF35" w14:textId="77777777" w:rsidTr="003F7925">
        <w:trPr>
          <w:gridAfter w:val="2"/>
          <w:wAfter w:w="154" w:type="dxa"/>
          <w:trHeight w:val="20"/>
        </w:trPr>
        <w:tc>
          <w:tcPr>
            <w:tcW w:w="1256" w:type="dxa"/>
            <w:tcBorders>
              <w:top w:val="single" w:sz="4" w:space="0" w:color="auto"/>
            </w:tcBorders>
            <w:noWrap/>
            <w:vAlign w:val="bottom"/>
          </w:tcPr>
          <w:p w14:paraId="156D2A0D" w14:textId="77777777" w:rsidR="00657ACA" w:rsidRDefault="00657ACA" w:rsidP="00657ACA">
            <w:pPr>
              <w:rPr>
                <w:rFonts w:ascii="Arial" w:hAnsi="Arial" w:cs="Arial"/>
                <w:b/>
                <w:bCs/>
                <w:sz w:val="20"/>
                <w:szCs w:val="20"/>
              </w:rPr>
            </w:pPr>
          </w:p>
        </w:tc>
        <w:tc>
          <w:tcPr>
            <w:tcW w:w="9452" w:type="dxa"/>
            <w:tcBorders>
              <w:top w:val="single" w:sz="4" w:space="0" w:color="auto"/>
            </w:tcBorders>
          </w:tcPr>
          <w:p w14:paraId="5DD6B1C8" w14:textId="77777777" w:rsidR="00657ACA" w:rsidRDefault="00657ACA" w:rsidP="00657ACA">
            <w:pPr>
              <w:jc w:val="both"/>
              <w:rPr>
                <w:rFonts w:ascii="Arial" w:hAnsi="Arial" w:cs="Arial"/>
                <w:bCs/>
                <w:sz w:val="20"/>
                <w:szCs w:val="20"/>
              </w:rPr>
            </w:pPr>
            <w:r w:rsidRPr="00E170F7">
              <w:rPr>
                <w:rFonts w:ascii="Arial" w:hAnsi="Arial" w:cs="Arial"/>
                <w:bCs/>
                <w:sz w:val="20"/>
                <w:szCs w:val="20"/>
              </w:rPr>
              <w:t>Hradená liečba sa môže indikovať:</w:t>
            </w:r>
            <w:r>
              <w:rPr>
                <w:rFonts w:ascii="Arial" w:hAnsi="Arial" w:cs="Arial"/>
                <w:bCs/>
                <w:sz w:val="20"/>
                <w:szCs w:val="20"/>
              </w:rPr>
              <w:t xml:space="preserve"> </w:t>
            </w:r>
          </w:p>
          <w:p w14:paraId="106F396C" w14:textId="77777777" w:rsidR="00657ACA" w:rsidRPr="00E170F7" w:rsidRDefault="00657ACA" w:rsidP="00657ACA">
            <w:pPr>
              <w:jc w:val="both"/>
              <w:rPr>
                <w:rFonts w:ascii="Arial" w:hAnsi="Arial" w:cs="Arial"/>
                <w:bCs/>
                <w:sz w:val="20"/>
                <w:szCs w:val="20"/>
              </w:rPr>
            </w:pPr>
            <w:r w:rsidRPr="00E170F7">
              <w:rPr>
                <w:rFonts w:ascii="Arial" w:hAnsi="Arial" w:cs="Arial"/>
                <w:bCs/>
                <w:sz w:val="20"/>
                <w:szCs w:val="20"/>
              </w:rPr>
              <w:t>a)</w:t>
            </w:r>
            <w:r w:rsidRPr="00E170F7">
              <w:rPr>
                <w:rFonts w:ascii="Arial" w:hAnsi="Arial" w:cs="Arial"/>
                <w:bCs/>
                <w:sz w:val="20"/>
                <w:szCs w:val="20"/>
              </w:rPr>
              <w:tab/>
              <w:t>ako monoterapia v prvej línii liečby u dospelých pacientov s pokročilým nemalobunkovým karcinómom pľúc (NSCLC) s pozitivitou kinázy anaplastického lymfómu (ALK).</w:t>
            </w:r>
          </w:p>
          <w:p w14:paraId="15FAB011" w14:textId="77777777" w:rsidR="00657ACA" w:rsidRPr="00E170F7" w:rsidRDefault="00657ACA" w:rsidP="00657ACA">
            <w:pPr>
              <w:jc w:val="both"/>
              <w:rPr>
                <w:rFonts w:ascii="Arial" w:hAnsi="Arial" w:cs="Arial"/>
                <w:bCs/>
                <w:sz w:val="20"/>
                <w:szCs w:val="20"/>
              </w:rPr>
            </w:pPr>
            <w:r>
              <w:rPr>
                <w:rFonts w:ascii="Arial" w:hAnsi="Arial" w:cs="Arial"/>
                <w:bCs/>
                <w:sz w:val="20"/>
                <w:szCs w:val="20"/>
              </w:rPr>
              <w:t xml:space="preserve">b) </w:t>
            </w:r>
            <w:r w:rsidRPr="00E170F7">
              <w:rPr>
                <w:rFonts w:ascii="Arial" w:hAnsi="Arial" w:cs="Arial"/>
                <w:bCs/>
                <w:sz w:val="20"/>
                <w:szCs w:val="20"/>
              </w:rPr>
              <w:t>ako monoterapia na liečbu dospelých pacientov s pokročilým NSCLC s pozitivitou ALK predtým liečených krizotinibom.</w:t>
            </w:r>
          </w:p>
          <w:p w14:paraId="57C5773D" w14:textId="77777777" w:rsidR="00657ACA" w:rsidRDefault="00657ACA" w:rsidP="00657ACA">
            <w:pPr>
              <w:jc w:val="both"/>
              <w:rPr>
                <w:rFonts w:ascii="Arial" w:hAnsi="Arial" w:cs="Arial"/>
                <w:bCs/>
                <w:sz w:val="20"/>
                <w:szCs w:val="20"/>
              </w:rPr>
            </w:pPr>
            <w:r w:rsidRPr="00E170F7">
              <w:rPr>
                <w:rFonts w:ascii="Arial" w:hAnsi="Arial" w:cs="Arial"/>
                <w:bCs/>
                <w:sz w:val="20"/>
                <w:szCs w:val="20"/>
              </w:rPr>
              <w:t>Hradená liečba podlieha predchádzajúcemu súhlasu zdravotnej poisťovne.</w:t>
            </w:r>
          </w:p>
          <w:p w14:paraId="4D7C340E" w14:textId="77777777" w:rsidR="00657ACA" w:rsidRPr="00FA0BC0" w:rsidRDefault="00657ACA" w:rsidP="00657ACA">
            <w:pPr>
              <w:jc w:val="both"/>
              <w:rPr>
                <w:rFonts w:ascii="Arial" w:hAnsi="Arial" w:cs="Arial"/>
                <w:bCs/>
                <w:sz w:val="20"/>
                <w:szCs w:val="20"/>
              </w:rPr>
            </w:pPr>
          </w:p>
        </w:tc>
      </w:tr>
      <w:tr w:rsidR="00657ACA" w:rsidRPr="0000591E" w14:paraId="66E139EB" w14:textId="77777777" w:rsidTr="003F7925">
        <w:trPr>
          <w:gridAfter w:val="2"/>
          <w:wAfter w:w="154" w:type="dxa"/>
          <w:trHeight w:val="20"/>
        </w:trPr>
        <w:tc>
          <w:tcPr>
            <w:tcW w:w="1256" w:type="dxa"/>
            <w:tcBorders>
              <w:bottom w:val="single" w:sz="4" w:space="0" w:color="auto"/>
            </w:tcBorders>
            <w:noWrap/>
            <w:vAlign w:val="bottom"/>
          </w:tcPr>
          <w:p w14:paraId="7B4B0116" w14:textId="77777777" w:rsidR="00657ACA" w:rsidRDefault="00657ACA" w:rsidP="00657ACA">
            <w:pPr>
              <w:jc w:val="both"/>
              <w:rPr>
                <w:rFonts w:ascii="Arial" w:hAnsi="Arial" w:cs="Arial"/>
                <w:b/>
                <w:bCs/>
                <w:sz w:val="20"/>
                <w:szCs w:val="20"/>
              </w:rPr>
            </w:pPr>
            <w:r>
              <w:rPr>
                <w:rFonts w:ascii="Arial" w:hAnsi="Arial" w:cs="Arial"/>
                <w:b/>
                <w:bCs/>
                <w:sz w:val="20"/>
                <w:szCs w:val="20"/>
              </w:rPr>
              <w:t>L01ED05</w:t>
            </w:r>
          </w:p>
        </w:tc>
        <w:tc>
          <w:tcPr>
            <w:tcW w:w="9452" w:type="dxa"/>
            <w:tcBorders>
              <w:bottom w:val="single" w:sz="4" w:space="0" w:color="auto"/>
            </w:tcBorders>
          </w:tcPr>
          <w:p w14:paraId="0775AB39" w14:textId="77777777" w:rsidR="00657ACA" w:rsidRDefault="00657ACA" w:rsidP="00657ACA">
            <w:pPr>
              <w:jc w:val="both"/>
              <w:rPr>
                <w:rFonts w:ascii="Arial" w:hAnsi="Arial" w:cs="Arial"/>
                <w:b/>
                <w:bCs/>
                <w:sz w:val="20"/>
                <w:szCs w:val="20"/>
              </w:rPr>
            </w:pPr>
            <w:r>
              <w:rPr>
                <w:rFonts w:ascii="Arial" w:hAnsi="Arial" w:cs="Arial"/>
                <w:b/>
                <w:bCs/>
                <w:sz w:val="20"/>
                <w:szCs w:val="20"/>
              </w:rPr>
              <w:t>Lorlatinib p.o. 25 mg</w:t>
            </w:r>
          </w:p>
          <w:p w14:paraId="4836517E" w14:textId="77777777" w:rsidR="00657ACA" w:rsidRDefault="00657ACA" w:rsidP="00657ACA">
            <w:pPr>
              <w:jc w:val="both"/>
              <w:rPr>
                <w:rFonts w:ascii="Arial" w:hAnsi="Arial" w:cs="Arial"/>
                <w:b/>
                <w:bCs/>
                <w:sz w:val="20"/>
                <w:szCs w:val="20"/>
              </w:rPr>
            </w:pPr>
            <w:r>
              <w:rPr>
                <w:rFonts w:ascii="Arial" w:hAnsi="Arial" w:cs="Arial"/>
                <w:b/>
                <w:bCs/>
                <w:sz w:val="20"/>
                <w:szCs w:val="20"/>
              </w:rPr>
              <w:t>Lorlatinib p.o. 100 mg</w:t>
            </w:r>
          </w:p>
        </w:tc>
      </w:tr>
      <w:tr w:rsidR="00657ACA" w:rsidRPr="0000591E" w14:paraId="6E19F341" w14:textId="77777777" w:rsidTr="003F7925">
        <w:trPr>
          <w:gridAfter w:val="2"/>
          <w:wAfter w:w="154" w:type="dxa"/>
          <w:trHeight w:val="20"/>
        </w:trPr>
        <w:tc>
          <w:tcPr>
            <w:tcW w:w="1256" w:type="dxa"/>
            <w:tcBorders>
              <w:top w:val="single" w:sz="4" w:space="0" w:color="auto"/>
            </w:tcBorders>
            <w:noWrap/>
            <w:vAlign w:val="bottom"/>
          </w:tcPr>
          <w:p w14:paraId="6977E2D5"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3745E5E3" w14:textId="77777777" w:rsidR="00657ACA" w:rsidRDefault="00657ACA" w:rsidP="00657ACA">
            <w:pPr>
              <w:jc w:val="both"/>
              <w:rPr>
                <w:rFonts w:ascii="Arial" w:hAnsi="Arial" w:cs="Arial"/>
                <w:sz w:val="20"/>
                <w:szCs w:val="20"/>
              </w:rPr>
            </w:pPr>
            <w:r w:rsidRPr="0054007D">
              <w:rPr>
                <w:rFonts w:ascii="Arial" w:hAnsi="Arial" w:cs="Arial"/>
                <w:sz w:val="20"/>
                <w:szCs w:val="20"/>
              </w:rPr>
              <w:t xml:space="preserve">Hradená liečba sa môže indikovať: </w:t>
            </w:r>
          </w:p>
          <w:p w14:paraId="0F910D82" w14:textId="77777777" w:rsidR="00657ACA" w:rsidRDefault="00657ACA" w:rsidP="00657ACA">
            <w:pPr>
              <w:jc w:val="both"/>
              <w:rPr>
                <w:rFonts w:ascii="Arial" w:hAnsi="Arial" w:cs="Arial"/>
                <w:sz w:val="20"/>
                <w:szCs w:val="20"/>
              </w:rPr>
            </w:pPr>
            <w:r w:rsidRPr="0054007D">
              <w:rPr>
                <w:rFonts w:ascii="Arial" w:hAnsi="Arial" w:cs="Arial"/>
                <w:sz w:val="20"/>
                <w:szCs w:val="20"/>
              </w:rPr>
              <w:t xml:space="preserve">a) ako monoterapia v prvej línii liečby u dospelých pacientov s pokročilým nemalobunkovým karcinómom pľúc (NSCLC) s pozitivitou kinázy anaplastického lymfómu (ALK). </w:t>
            </w:r>
          </w:p>
          <w:p w14:paraId="4ABFF81C" w14:textId="77777777" w:rsidR="00657ACA" w:rsidRDefault="00657ACA" w:rsidP="00657ACA">
            <w:pPr>
              <w:jc w:val="both"/>
              <w:rPr>
                <w:rFonts w:ascii="Arial" w:hAnsi="Arial" w:cs="Arial"/>
                <w:sz w:val="20"/>
                <w:szCs w:val="20"/>
              </w:rPr>
            </w:pPr>
            <w:r w:rsidRPr="0054007D">
              <w:rPr>
                <w:rFonts w:ascii="Arial" w:hAnsi="Arial" w:cs="Arial"/>
                <w:sz w:val="20"/>
                <w:szCs w:val="20"/>
              </w:rPr>
              <w:t>b) ako monoterapia na liečbu dospelých pacientov s pokročilým NSCLC s pozitivitou ALK, u ktorých ochorenie progredovalo po alektinibe alebo ceritinibe ako prvej liečbe inhibítorom ALK tyrozínkinázy (TKI) alebo po krizotinibe a najmenej jednom ďalšom ALK TKI. Hradená liečba podlieha predchádzajúcemu súhlasu zdravotnej poisťovne.</w:t>
            </w:r>
          </w:p>
          <w:p w14:paraId="419E39BE" w14:textId="77777777" w:rsidR="00657ACA" w:rsidRPr="0054007D" w:rsidRDefault="00657ACA" w:rsidP="00657ACA">
            <w:pPr>
              <w:jc w:val="both"/>
              <w:rPr>
                <w:rFonts w:ascii="Arial" w:hAnsi="Arial" w:cs="Arial"/>
                <w:sz w:val="20"/>
                <w:szCs w:val="20"/>
              </w:rPr>
            </w:pPr>
          </w:p>
        </w:tc>
      </w:tr>
      <w:tr w:rsidR="00657ACA" w:rsidRPr="0000591E" w14:paraId="3963B4D2" w14:textId="77777777" w:rsidTr="003F7925">
        <w:trPr>
          <w:gridAfter w:val="2"/>
          <w:wAfter w:w="154" w:type="dxa"/>
          <w:trHeight w:val="20"/>
        </w:trPr>
        <w:tc>
          <w:tcPr>
            <w:tcW w:w="1256" w:type="dxa"/>
            <w:tcBorders>
              <w:bottom w:val="single" w:sz="4" w:space="0" w:color="auto"/>
            </w:tcBorders>
            <w:noWrap/>
            <w:vAlign w:val="bottom"/>
          </w:tcPr>
          <w:p w14:paraId="58E6359F" w14:textId="7533F2DF" w:rsidR="00657ACA" w:rsidRPr="001A3C99" w:rsidRDefault="00657ACA" w:rsidP="00657ACA">
            <w:pPr>
              <w:jc w:val="both"/>
              <w:rPr>
                <w:rFonts w:ascii="Arial" w:hAnsi="Arial" w:cs="Arial"/>
                <w:b/>
                <w:bCs/>
                <w:color w:val="000000" w:themeColor="text1"/>
                <w:sz w:val="20"/>
                <w:szCs w:val="20"/>
              </w:rPr>
            </w:pPr>
            <w:r w:rsidRPr="00A124F0">
              <w:rPr>
                <w:rFonts w:ascii="Arial" w:hAnsi="Arial" w:cs="Arial"/>
                <w:b/>
                <w:bCs/>
                <w:color w:val="000000" w:themeColor="text1"/>
                <w:sz w:val="20"/>
                <w:szCs w:val="20"/>
              </w:rPr>
              <w:t>L01EE01</w:t>
            </w:r>
          </w:p>
        </w:tc>
        <w:tc>
          <w:tcPr>
            <w:tcW w:w="9452" w:type="dxa"/>
            <w:tcBorders>
              <w:bottom w:val="single" w:sz="4" w:space="0" w:color="auto"/>
            </w:tcBorders>
          </w:tcPr>
          <w:p w14:paraId="12A40515" w14:textId="14972CB9" w:rsidR="00657ACA" w:rsidRPr="001A3C99" w:rsidRDefault="00657ACA" w:rsidP="00657ACA">
            <w:pPr>
              <w:jc w:val="both"/>
              <w:rPr>
                <w:rFonts w:ascii="Arial" w:hAnsi="Arial" w:cs="Arial"/>
                <w:b/>
                <w:color w:val="000000" w:themeColor="text1"/>
                <w:sz w:val="20"/>
                <w:szCs w:val="20"/>
              </w:rPr>
            </w:pPr>
            <w:r w:rsidRPr="00A124F0">
              <w:rPr>
                <w:rFonts w:ascii="Arial" w:hAnsi="Arial" w:cs="Arial"/>
                <w:b/>
                <w:color w:val="000000" w:themeColor="text1"/>
                <w:sz w:val="20"/>
                <w:szCs w:val="20"/>
              </w:rPr>
              <w:t>Trametinib p.o. 2 mg</w:t>
            </w:r>
          </w:p>
        </w:tc>
      </w:tr>
      <w:tr w:rsidR="00657ACA" w:rsidRPr="0000591E" w14:paraId="3EDFAA3E" w14:textId="77777777" w:rsidTr="003F7925">
        <w:trPr>
          <w:gridAfter w:val="2"/>
          <w:wAfter w:w="154" w:type="dxa"/>
          <w:trHeight w:val="20"/>
        </w:trPr>
        <w:tc>
          <w:tcPr>
            <w:tcW w:w="1256" w:type="dxa"/>
            <w:tcBorders>
              <w:top w:val="single" w:sz="4" w:space="0" w:color="auto"/>
            </w:tcBorders>
            <w:noWrap/>
            <w:vAlign w:val="bottom"/>
          </w:tcPr>
          <w:p w14:paraId="53438462"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57F86192" w14:textId="77777777"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Hradená liečba sa môže indikovať</w:t>
            </w:r>
          </w:p>
          <w:p w14:paraId="71426ACD" w14:textId="350EDE65"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a) v monoterapii alebo v kombinácii s dabrafenibom na liečbu dospelých pacientov</w:t>
            </w:r>
            <w:r>
              <w:rPr>
                <w:rFonts w:ascii="Arial" w:hAnsi="Arial" w:cs="Arial"/>
                <w:color w:val="000000" w:themeColor="text1"/>
                <w:sz w:val="20"/>
                <w:szCs w:val="20"/>
              </w:rPr>
              <w:t xml:space="preserve"> </w:t>
            </w:r>
            <w:r w:rsidRPr="00A124F0">
              <w:rPr>
                <w:rFonts w:ascii="Arial" w:hAnsi="Arial" w:cs="Arial"/>
                <w:color w:val="000000" w:themeColor="text1"/>
                <w:sz w:val="20"/>
                <w:szCs w:val="20"/>
              </w:rPr>
              <w:t>s neresekovateľným alebo metastatickým melanómom s mutáciou V600 génu BRAF.</w:t>
            </w:r>
          </w:p>
          <w:p w14:paraId="5C1DD5AC" w14:textId="05B20016"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b) v kombinácii s dabrafenibom u dospelých pacientov na adjuvantnú liečbu melanómu v III.</w:t>
            </w:r>
            <w:r>
              <w:rPr>
                <w:rFonts w:ascii="Arial" w:hAnsi="Arial" w:cs="Arial"/>
                <w:color w:val="000000" w:themeColor="text1"/>
                <w:sz w:val="20"/>
                <w:szCs w:val="20"/>
              </w:rPr>
              <w:t xml:space="preserve"> </w:t>
            </w:r>
            <w:r w:rsidRPr="00A124F0">
              <w:rPr>
                <w:rFonts w:ascii="Arial" w:hAnsi="Arial" w:cs="Arial"/>
                <w:color w:val="000000" w:themeColor="text1"/>
                <w:sz w:val="20"/>
                <w:szCs w:val="20"/>
              </w:rPr>
              <w:t>štádiu s mutáciou V600 génu BRAF, po kompletnej resekcii. Adjuvantná liečba je hradená do</w:t>
            </w:r>
            <w:r>
              <w:rPr>
                <w:rFonts w:ascii="Arial" w:hAnsi="Arial" w:cs="Arial"/>
                <w:color w:val="000000" w:themeColor="text1"/>
                <w:sz w:val="20"/>
                <w:szCs w:val="20"/>
              </w:rPr>
              <w:t xml:space="preserve"> </w:t>
            </w:r>
            <w:r w:rsidRPr="00A124F0">
              <w:rPr>
                <w:rFonts w:ascii="Arial" w:hAnsi="Arial" w:cs="Arial"/>
                <w:color w:val="000000" w:themeColor="text1"/>
                <w:sz w:val="20"/>
                <w:szCs w:val="20"/>
              </w:rPr>
              <w:t>rekurencie ochorenia alebo do objavenia nezvládnuteľnej toxicity, maximálne však po dobu 12</w:t>
            </w:r>
            <w:r>
              <w:rPr>
                <w:rFonts w:ascii="Arial" w:hAnsi="Arial" w:cs="Arial"/>
                <w:color w:val="000000" w:themeColor="text1"/>
                <w:sz w:val="20"/>
                <w:szCs w:val="20"/>
              </w:rPr>
              <w:t xml:space="preserve"> </w:t>
            </w:r>
            <w:r w:rsidRPr="00A124F0">
              <w:rPr>
                <w:rFonts w:ascii="Arial" w:hAnsi="Arial" w:cs="Arial"/>
                <w:color w:val="000000" w:themeColor="text1"/>
                <w:sz w:val="20"/>
                <w:szCs w:val="20"/>
              </w:rPr>
              <w:t>mesiacov.</w:t>
            </w:r>
          </w:p>
          <w:p w14:paraId="7F9B0780" w14:textId="77777777" w:rsidR="00657ACA" w:rsidRPr="00A124F0" w:rsidRDefault="00657ACA" w:rsidP="00657ACA">
            <w:pPr>
              <w:jc w:val="both"/>
              <w:rPr>
                <w:rFonts w:ascii="Arial" w:hAnsi="Arial" w:cs="Arial"/>
                <w:color w:val="000000" w:themeColor="text1"/>
                <w:sz w:val="20"/>
                <w:szCs w:val="20"/>
              </w:rPr>
            </w:pPr>
          </w:p>
          <w:p w14:paraId="0519AA0D" w14:textId="77777777" w:rsidR="00657ACA"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Hradená liečba podlieha predchádzajúcemu súhlasu zdravotnej poisťovne.</w:t>
            </w:r>
          </w:p>
          <w:p w14:paraId="603A7D24" w14:textId="2D4D2F3B" w:rsidR="00657ACA" w:rsidRPr="001A3C99" w:rsidRDefault="00657ACA" w:rsidP="00657ACA">
            <w:pPr>
              <w:jc w:val="both"/>
              <w:rPr>
                <w:rFonts w:ascii="Arial" w:hAnsi="Arial" w:cs="Arial"/>
                <w:b/>
                <w:color w:val="000000" w:themeColor="text1"/>
                <w:sz w:val="20"/>
                <w:szCs w:val="20"/>
              </w:rPr>
            </w:pPr>
          </w:p>
        </w:tc>
      </w:tr>
      <w:tr w:rsidR="00657ACA" w:rsidRPr="0000591E" w14:paraId="38F883A7" w14:textId="77777777" w:rsidTr="003F7925">
        <w:trPr>
          <w:gridAfter w:val="2"/>
          <w:wAfter w:w="154" w:type="dxa"/>
          <w:trHeight w:val="20"/>
        </w:trPr>
        <w:tc>
          <w:tcPr>
            <w:tcW w:w="1256" w:type="dxa"/>
            <w:tcBorders>
              <w:bottom w:val="single" w:sz="4" w:space="0" w:color="auto"/>
            </w:tcBorders>
            <w:noWrap/>
            <w:vAlign w:val="bottom"/>
          </w:tcPr>
          <w:p w14:paraId="20351137" w14:textId="171A9E04" w:rsidR="00657ACA" w:rsidRPr="001A3C99" w:rsidRDefault="00657ACA" w:rsidP="00657ACA">
            <w:pPr>
              <w:jc w:val="both"/>
              <w:rPr>
                <w:rFonts w:ascii="Arial" w:hAnsi="Arial" w:cs="Arial"/>
                <w:b/>
                <w:bCs/>
                <w:color w:val="000000" w:themeColor="text1"/>
                <w:sz w:val="20"/>
                <w:szCs w:val="20"/>
              </w:rPr>
            </w:pPr>
            <w:r w:rsidRPr="00A124F0">
              <w:rPr>
                <w:rFonts w:ascii="Arial" w:hAnsi="Arial" w:cs="Arial"/>
                <w:b/>
                <w:bCs/>
                <w:color w:val="000000" w:themeColor="text1"/>
                <w:sz w:val="20"/>
                <w:szCs w:val="20"/>
              </w:rPr>
              <w:t>L01EE02</w:t>
            </w:r>
          </w:p>
        </w:tc>
        <w:tc>
          <w:tcPr>
            <w:tcW w:w="9452" w:type="dxa"/>
            <w:tcBorders>
              <w:bottom w:val="single" w:sz="4" w:space="0" w:color="auto"/>
            </w:tcBorders>
          </w:tcPr>
          <w:p w14:paraId="2EE24186" w14:textId="2448E2A7" w:rsidR="00657ACA" w:rsidRPr="001A3C99" w:rsidRDefault="00657ACA" w:rsidP="00657ACA">
            <w:pPr>
              <w:jc w:val="both"/>
              <w:rPr>
                <w:rFonts w:ascii="Arial" w:hAnsi="Arial" w:cs="Arial"/>
                <w:b/>
                <w:color w:val="000000" w:themeColor="text1"/>
                <w:sz w:val="20"/>
                <w:szCs w:val="20"/>
              </w:rPr>
            </w:pPr>
            <w:r w:rsidRPr="00A124F0">
              <w:rPr>
                <w:rFonts w:ascii="Arial" w:hAnsi="Arial" w:cs="Arial"/>
                <w:b/>
                <w:color w:val="000000" w:themeColor="text1"/>
                <w:sz w:val="20"/>
                <w:szCs w:val="20"/>
              </w:rPr>
              <w:t>Kobimetinib p.o. 20 mg</w:t>
            </w:r>
          </w:p>
        </w:tc>
      </w:tr>
      <w:tr w:rsidR="00657ACA" w:rsidRPr="0000591E" w14:paraId="2764B902" w14:textId="77777777" w:rsidTr="003F7925">
        <w:trPr>
          <w:gridAfter w:val="2"/>
          <w:wAfter w:w="154" w:type="dxa"/>
          <w:trHeight w:val="20"/>
        </w:trPr>
        <w:tc>
          <w:tcPr>
            <w:tcW w:w="1256" w:type="dxa"/>
            <w:tcBorders>
              <w:top w:val="single" w:sz="4" w:space="0" w:color="auto"/>
            </w:tcBorders>
            <w:noWrap/>
            <w:vAlign w:val="bottom"/>
          </w:tcPr>
          <w:p w14:paraId="23643FF6"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181C9B34" w14:textId="7971EB24"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 xml:space="preserve">Hradená liečba sa môže indikovať v kombinácii s vemurafenibom na liečbu dospelých pacientov </w:t>
            </w:r>
            <w:r>
              <w:rPr>
                <w:rFonts w:ascii="Arial" w:hAnsi="Arial" w:cs="Arial"/>
                <w:color w:val="000000" w:themeColor="text1"/>
                <w:sz w:val="20"/>
                <w:szCs w:val="20"/>
              </w:rPr>
              <w:t xml:space="preserve">                                 </w:t>
            </w:r>
            <w:r w:rsidRPr="00A124F0">
              <w:rPr>
                <w:rFonts w:ascii="Arial" w:hAnsi="Arial" w:cs="Arial"/>
                <w:color w:val="000000" w:themeColor="text1"/>
                <w:sz w:val="20"/>
                <w:szCs w:val="20"/>
              </w:rPr>
              <w:t>s neresekovateľným alebo metastatickým melanómom s pozitivitou mutácie V600 génu BRAF.</w:t>
            </w:r>
          </w:p>
          <w:p w14:paraId="23CE718F" w14:textId="77777777" w:rsidR="00657ACA"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Hradená liečba podlieha predchádzajúcemu súhlasu zdravotnej poisťovne.</w:t>
            </w:r>
          </w:p>
          <w:p w14:paraId="57F6854D" w14:textId="3B96662C" w:rsidR="00AC09A5" w:rsidRPr="001A3C99" w:rsidRDefault="00AC09A5" w:rsidP="00657ACA">
            <w:pPr>
              <w:jc w:val="both"/>
              <w:rPr>
                <w:rFonts w:ascii="Arial" w:hAnsi="Arial" w:cs="Arial"/>
                <w:b/>
                <w:color w:val="000000" w:themeColor="text1"/>
                <w:sz w:val="20"/>
                <w:szCs w:val="20"/>
              </w:rPr>
            </w:pPr>
          </w:p>
        </w:tc>
      </w:tr>
      <w:tr w:rsidR="00657ACA" w:rsidRPr="0000591E" w14:paraId="33323B42" w14:textId="77777777" w:rsidTr="003F7925">
        <w:trPr>
          <w:gridAfter w:val="2"/>
          <w:wAfter w:w="154" w:type="dxa"/>
          <w:trHeight w:val="20"/>
        </w:trPr>
        <w:tc>
          <w:tcPr>
            <w:tcW w:w="1256" w:type="dxa"/>
            <w:tcBorders>
              <w:bottom w:val="single" w:sz="4" w:space="0" w:color="auto"/>
            </w:tcBorders>
            <w:noWrap/>
            <w:vAlign w:val="bottom"/>
          </w:tcPr>
          <w:p w14:paraId="10F0398E" w14:textId="101CCFD6" w:rsidR="00657ACA" w:rsidRPr="001A3C99" w:rsidRDefault="00657ACA" w:rsidP="00657ACA">
            <w:pPr>
              <w:jc w:val="both"/>
              <w:rPr>
                <w:rFonts w:ascii="Arial" w:hAnsi="Arial" w:cs="Arial"/>
                <w:b/>
                <w:bCs/>
                <w:color w:val="000000" w:themeColor="text1"/>
                <w:sz w:val="20"/>
                <w:szCs w:val="20"/>
              </w:rPr>
            </w:pPr>
            <w:r w:rsidRPr="00A04466">
              <w:rPr>
                <w:rFonts w:ascii="Arial" w:hAnsi="Arial" w:cs="Arial"/>
                <w:b/>
                <w:bCs/>
                <w:color w:val="000000" w:themeColor="text1"/>
                <w:sz w:val="20"/>
                <w:szCs w:val="20"/>
              </w:rPr>
              <w:t>L01EE03</w:t>
            </w:r>
          </w:p>
        </w:tc>
        <w:tc>
          <w:tcPr>
            <w:tcW w:w="9452" w:type="dxa"/>
            <w:tcBorders>
              <w:bottom w:val="single" w:sz="4" w:space="0" w:color="auto"/>
            </w:tcBorders>
          </w:tcPr>
          <w:p w14:paraId="6ADCC9AF" w14:textId="6C36472A" w:rsidR="00657ACA" w:rsidRPr="001A3C99" w:rsidRDefault="00657ACA" w:rsidP="00657ACA">
            <w:pPr>
              <w:jc w:val="both"/>
              <w:rPr>
                <w:rFonts w:ascii="Arial" w:hAnsi="Arial" w:cs="Arial"/>
                <w:b/>
                <w:color w:val="000000" w:themeColor="text1"/>
                <w:sz w:val="20"/>
                <w:szCs w:val="20"/>
              </w:rPr>
            </w:pPr>
            <w:r w:rsidRPr="00A04466">
              <w:rPr>
                <w:rFonts w:ascii="Arial" w:hAnsi="Arial" w:cs="Arial"/>
                <w:b/>
                <w:color w:val="000000" w:themeColor="text1"/>
                <w:sz w:val="20"/>
                <w:szCs w:val="20"/>
              </w:rPr>
              <w:t>Binimetinib p.o. 15 mg</w:t>
            </w:r>
          </w:p>
        </w:tc>
      </w:tr>
      <w:tr w:rsidR="00657ACA" w:rsidRPr="0000591E" w14:paraId="596F72E9" w14:textId="77777777" w:rsidTr="003F7925">
        <w:trPr>
          <w:gridAfter w:val="2"/>
          <w:wAfter w:w="154" w:type="dxa"/>
          <w:trHeight w:val="20"/>
        </w:trPr>
        <w:tc>
          <w:tcPr>
            <w:tcW w:w="1256" w:type="dxa"/>
            <w:tcBorders>
              <w:top w:val="single" w:sz="4" w:space="0" w:color="auto"/>
            </w:tcBorders>
            <w:noWrap/>
            <w:vAlign w:val="bottom"/>
          </w:tcPr>
          <w:p w14:paraId="47CBF992"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32E63682" w14:textId="76C391CC" w:rsidR="00657ACA" w:rsidRPr="00A04466" w:rsidRDefault="00657ACA" w:rsidP="00657ACA">
            <w:pPr>
              <w:jc w:val="both"/>
              <w:rPr>
                <w:rFonts w:ascii="Arial" w:hAnsi="Arial" w:cs="Arial"/>
                <w:color w:val="000000" w:themeColor="text1"/>
                <w:sz w:val="20"/>
                <w:szCs w:val="20"/>
              </w:rPr>
            </w:pPr>
            <w:r w:rsidRPr="00A04466">
              <w:rPr>
                <w:rFonts w:ascii="Arial" w:hAnsi="Arial" w:cs="Arial"/>
                <w:color w:val="000000" w:themeColor="text1"/>
                <w:sz w:val="20"/>
                <w:szCs w:val="20"/>
              </w:rPr>
              <w:t>Hradená liečba sa môže indikovať v kombinácii s enkorafenibom na liečbu dospelých pacientov</w:t>
            </w:r>
            <w:r>
              <w:rPr>
                <w:rFonts w:ascii="Arial" w:hAnsi="Arial" w:cs="Arial"/>
                <w:color w:val="000000" w:themeColor="text1"/>
                <w:sz w:val="20"/>
                <w:szCs w:val="20"/>
              </w:rPr>
              <w:t xml:space="preserve">                                 </w:t>
            </w:r>
            <w:r w:rsidRPr="00A04466">
              <w:rPr>
                <w:rFonts w:ascii="Arial" w:hAnsi="Arial" w:cs="Arial"/>
                <w:color w:val="000000" w:themeColor="text1"/>
                <w:sz w:val="20"/>
                <w:szCs w:val="20"/>
              </w:rPr>
              <w:t xml:space="preserve"> s neresekovateľným alebo metastatickým melanómom s pozitivitou mutácie V600 génu BRAF.</w:t>
            </w:r>
          </w:p>
          <w:p w14:paraId="44C5E222" w14:textId="77777777" w:rsidR="00657ACA" w:rsidRPr="00A04466" w:rsidRDefault="00657ACA" w:rsidP="00657ACA">
            <w:pPr>
              <w:jc w:val="both"/>
              <w:rPr>
                <w:rFonts w:ascii="Arial" w:hAnsi="Arial" w:cs="Arial"/>
                <w:color w:val="000000" w:themeColor="text1"/>
                <w:sz w:val="20"/>
                <w:szCs w:val="20"/>
              </w:rPr>
            </w:pPr>
          </w:p>
          <w:p w14:paraId="773222D6" w14:textId="620022D0" w:rsidR="00657ACA" w:rsidRPr="001A3C99" w:rsidRDefault="00657ACA" w:rsidP="00AC09A5">
            <w:pPr>
              <w:jc w:val="both"/>
              <w:rPr>
                <w:rFonts w:ascii="Arial" w:hAnsi="Arial" w:cs="Arial"/>
                <w:b/>
                <w:color w:val="000000" w:themeColor="text1"/>
                <w:sz w:val="20"/>
                <w:szCs w:val="20"/>
              </w:rPr>
            </w:pPr>
            <w:r w:rsidRPr="00A04466">
              <w:rPr>
                <w:rFonts w:ascii="Arial" w:hAnsi="Arial" w:cs="Arial"/>
                <w:color w:val="000000" w:themeColor="text1"/>
                <w:sz w:val="20"/>
                <w:szCs w:val="20"/>
              </w:rPr>
              <w:t>Hradená liečba podlieha predchádzajúcemu súhlasu zdravotnej poisťovne.</w:t>
            </w:r>
          </w:p>
        </w:tc>
      </w:tr>
      <w:tr w:rsidR="00657ACA" w:rsidRPr="0000591E" w14:paraId="246B27CD" w14:textId="77777777" w:rsidTr="003F7925">
        <w:trPr>
          <w:gridAfter w:val="2"/>
          <w:wAfter w:w="154" w:type="dxa"/>
          <w:trHeight w:val="20"/>
        </w:trPr>
        <w:tc>
          <w:tcPr>
            <w:tcW w:w="1256" w:type="dxa"/>
            <w:tcBorders>
              <w:bottom w:val="single" w:sz="4" w:space="0" w:color="auto"/>
            </w:tcBorders>
            <w:noWrap/>
            <w:vAlign w:val="bottom"/>
          </w:tcPr>
          <w:p w14:paraId="7F5C0A6A" w14:textId="2B043D83" w:rsidR="00657ACA" w:rsidRPr="001A3C99" w:rsidRDefault="00657ACA" w:rsidP="00657ACA">
            <w:pPr>
              <w:jc w:val="both"/>
              <w:rPr>
                <w:rFonts w:ascii="Arial" w:hAnsi="Arial" w:cs="Arial"/>
                <w:b/>
                <w:bCs/>
                <w:color w:val="000000" w:themeColor="text1"/>
                <w:sz w:val="20"/>
                <w:szCs w:val="20"/>
              </w:rPr>
            </w:pPr>
            <w:r w:rsidRPr="00894F84">
              <w:rPr>
                <w:rFonts w:ascii="Arial" w:hAnsi="Arial" w:cs="Arial"/>
                <w:b/>
                <w:bCs/>
                <w:color w:val="000000" w:themeColor="text1"/>
                <w:sz w:val="20"/>
                <w:szCs w:val="20"/>
              </w:rPr>
              <w:t>L01EE04</w:t>
            </w:r>
          </w:p>
        </w:tc>
        <w:tc>
          <w:tcPr>
            <w:tcW w:w="9452" w:type="dxa"/>
            <w:tcBorders>
              <w:bottom w:val="single" w:sz="4" w:space="0" w:color="auto"/>
            </w:tcBorders>
          </w:tcPr>
          <w:p w14:paraId="2F46A1BB" w14:textId="77777777" w:rsidR="00657ACA" w:rsidRDefault="00657ACA" w:rsidP="00657ACA">
            <w:pPr>
              <w:jc w:val="both"/>
              <w:rPr>
                <w:rFonts w:ascii="Arial" w:hAnsi="Arial" w:cs="Arial"/>
                <w:b/>
                <w:color w:val="000000" w:themeColor="text1"/>
                <w:sz w:val="20"/>
                <w:szCs w:val="20"/>
              </w:rPr>
            </w:pPr>
            <w:r w:rsidRPr="00894F84">
              <w:rPr>
                <w:rFonts w:ascii="Arial" w:hAnsi="Arial" w:cs="Arial"/>
                <w:b/>
                <w:color w:val="000000" w:themeColor="text1"/>
                <w:sz w:val="20"/>
                <w:szCs w:val="20"/>
              </w:rPr>
              <w:t>Selumetinib</w:t>
            </w:r>
            <w:r>
              <w:rPr>
                <w:rFonts w:ascii="Arial" w:hAnsi="Arial" w:cs="Arial"/>
                <w:b/>
                <w:color w:val="000000" w:themeColor="text1"/>
                <w:sz w:val="20"/>
                <w:szCs w:val="20"/>
              </w:rPr>
              <w:t xml:space="preserve"> </w:t>
            </w:r>
            <w:r w:rsidRPr="00894F84">
              <w:rPr>
                <w:rFonts w:ascii="Arial" w:hAnsi="Arial" w:cs="Arial"/>
                <w:b/>
                <w:color w:val="000000" w:themeColor="text1"/>
                <w:sz w:val="20"/>
                <w:szCs w:val="20"/>
              </w:rPr>
              <w:t>p.o. 10 mg</w:t>
            </w:r>
            <w:r>
              <w:rPr>
                <w:rFonts w:ascii="Arial" w:hAnsi="Arial" w:cs="Arial"/>
                <w:b/>
                <w:color w:val="000000" w:themeColor="text1"/>
                <w:sz w:val="20"/>
                <w:szCs w:val="20"/>
              </w:rPr>
              <w:t>,</w:t>
            </w:r>
          </w:p>
          <w:p w14:paraId="09087487" w14:textId="64508532" w:rsidR="00657ACA" w:rsidRPr="001A3C99" w:rsidRDefault="00657ACA" w:rsidP="00657ACA">
            <w:pPr>
              <w:jc w:val="both"/>
              <w:rPr>
                <w:rFonts w:ascii="Arial" w:hAnsi="Arial" w:cs="Arial"/>
                <w:b/>
                <w:color w:val="000000" w:themeColor="text1"/>
                <w:sz w:val="20"/>
                <w:szCs w:val="20"/>
              </w:rPr>
            </w:pPr>
            <w:r w:rsidRPr="00894F84">
              <w:rPr>
                <w:rFonts w:ascii="Arial" w:hAnsi="Arial" w:cs="Arial"/>
                <w:b/>
                <w:color w:val="000000" w:themeColor="text1"/>
                <w:sz w:val="20"/>
                <w:szCs w:val="20"/>
              </w:rPr>
              <w:t>Selumetinib</w:t>
            </w:r>
            <w:r>
              <w:rPr>
                <w:rFonts w:ascii="Arial" w:hAnsi="Arial" w:cs="Arial"/>
                <w:b/>
                <w:color w:val="000000" w:themeColor="text1"/>
                <w:sz w:val="20"/>
                <w:szCs w:val="20"/>
              </w:rPr>
              <w:t xml:space="preserve"> </w:t>
            </w:r>
            <w:r w:rsidRPr="00894F84">
              <w:rPr>
                <w:rFonts w:ascii="Arial" w:hAnsi="Arial" w:cs="Arial"/>
                <w:b/>
                <w:color w:val="000000" w:themeColor="text1"/>
                <w:sz w:val="20"/>
                <w:szCs w:val="20"/>
              </w:rPr>
              <w:t xml:space="preserve">p.o. </w:t>
            </w:r>
            <w:r>
              <w:rPr>
                <w:rFonts w:ascii="Arial" w:hAnsi="Arial" w:cs="Arial"/>
                <w:b/>
                <w:color w:val="000000" w:themeColor="text1"/>
                <w:sz w:val="20"/>
                <w:szCs w:val="20"/>
              </w:rPr>
              <w:t>25</w:t>
            </w:r>
            <w:r w:rsidRPr="00894F84">
              <w:rPr>
                <w:rFonts w:ascii="Arial" w:hAnsi="Arial" w:cs="Arial"/>
                <w:b/>
                <w:color w:val="000000" w:themeColor="text1"/>
                <w:sz w:val="20"/>
                <w:szCs w:val="20"/>
              </w:rPr>
              <w:t xml:space="preserve"> mg</w:t>
            </w:r>
          </w:p>
        </w:tc>
      </w:tr>
      <w:tr w:rsidR="00657ACA" w:rsidRPr="0000591E" w14:paraId="4DBE23AC" w14:textId="77777777" w:rsidTr="003F7925">
        <w:trPr>
          <w:gridAfter w:val="2"/>
          <w:wAfter w:w="154" w:type="dxa"/>
          <w:trHeight w:val="20"/>
        </w:trPr>
        <w:tc>
          <w:tcPr>
            <w:tcW w:w="1256" w:type="dxa"/>
            <w:tcBorders>
              <w:top w:val="single" w:sz="4" w:space="0" w:color="auto"/>
            </w:tcBorders>
            <w:noWrap/>
            <w:vAlign w:val="bottom"/>
          </w:tcPr>
          <w:p w14:paraId="175BE556"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336BCB9A" w14:textId="0809CCA0" w:rsidR="00657ACA" w:rsidRDefault="00657ACA" w:rsidP="00657ACA">
            <w:pPr>
              <w:jc w:val="both"/>
              <w:rPr>
                <w:rFonts w:ascii="Arial" w:hAnsi="Arial" w:cs="Arial"/>
                <w:color w:val="000000" w:themeColor="text1"/>
                <w:sz w:val="20"/>
                <w:szCs w:val="20"/>
              </w:rPr>
            </w:pPr>
            <w:r w:rsidRPr="00894F84">
              <w:rPr>
                <w:rFonts w:ascii="Arial" w:hAnsi="Arial" w:cs="Arial"/>
                <w:color w:val="000000" w:themeColor="text1"/>
                <w:sz w:val="20"/>
                <w:szCs w:val="20"/>
              </w:rPr>
              <w:t xml:space="preserve">Liečba selumetinibom je hradená pacientom vo veku od 3 do 18 rokov vrátane so stabilnou i progresívnou neurofibromatózou 1. typu, ktorí majú symptomatický neoperovateľný plexiformný neurofibróm. </w:t>
            </w:r>
            <w:r>
              <w:rPr>
                <w:rFonts w:ascii="Arial" w:hAnsi="Arial" w:cs="Arial"/>
                <w:color w:val="000000" w:themeColor="text1"/>
                <w:sz w:val="20"/>
                <w:szCs w:val="20"/>
              </w:rPr>
              <w:t xml:space="preserve">                                </w:t>
            </w:r>
            <w:r w:rsidRPr="00894F84">
              <w:rPr>
                <w:rFonts w:ascii="Arial" w:hAnsi="Arial" w:cs="Arial"/>
                <w:color w:val="000000" w:themeColor="text1"/>
                <w:sz w:val="20"/>
                <w:szCs w:val="20"/>
              </w:rPr>
              <w:t xml:space="preserve">U pacientov so stabilným ochorením je terapia ukončená, pokiaľ nedosiahnu aspoň čiastočnú odpoveď na liečbu definovanú ako stabilizácia tumoru do 2 rokov od začatia terapie. Liečba je u všetkých pacientov hradená do progresie ochorenia, ktorá je definovaná ako zväčšenie neurofibrómu o aspoň 20 %. </w:t>
            </w:r>
          </w:p>
          <w:p w14:paraId="04CFED2D" w14:textId="77777777" w:rsidR="00657ACA" w:rsidRPr="00894F84" w:rsidRDefault="00657ACA" w:rsidP="00657ACA">
            <w:pPr>
              <w:jc w:val="both"/>
              <w:rPr>
                <w:rFonts w:ascii="Arial" w:hAnsi="Arial" w:cs="Arial"/>
                <w:color w:val="000000" w:themeColor="text1"/>
                <w:sz w:val="20"/>
                <w:szCs w:val="20"/>
              </w:rPr>
            </w:pPr>
          </w:p>
          <w:p w14:paraId="0F076E03" w14:textId="77777777" w:rsidR="00657ACA" w:rsidRDefault="00657ACA" w:rsidP="00657ACA">
            <w:pPr>
              <w:jc w:val="both"/>
              <w:rPr>
                <w:rFonts w:ascii="Arial" w:hAnsi="Arial" w:cs="Arial"/>
                <w:color w:val="000000" w:themeColor="text1"/>
                <w:sz w:val="20"/>
                <w:szCs w:val="20"/>
              </w:rPr>
            </w:pPr>
            <w:r w:rsidRPr="00894F84">
              <w:rPr>
                <w:rFonts w:ascii="Arial" w:hAnsi="Arial" w:cs="Arial"/>
                <w:color w:val="000000" w:themeColor="text1"/>
                <w:sz w:val="20"/>
                <w:szCs w:val="20"/>
              </w:rPr>
              <w:t>Hradená liečba podlieha predchádzajúcemu súhlasu zdravotnej poisťovne.</w:t>
            </w:r>
          </w:p>
          <w:p w14:paraId="3B79E11F" w14:textId="1303ACC3" w:rsidR="00657ACA" w:rsidRPr="001A3C99" w:rsidRDefault="00657ACA" w:rsidP="00657ACA">
            <w:pPr>
              <w:jc w:val="both"/>
              <w:rPr>
                <w:rFonts w:ascii="Arial" w:hAnsi="Arial" w:cs="Arial"/>
                <w:b/>
                <w:color w:val="000000" w:themeColor="text1"/>
                <w:sz w:val="20"/>
                <w:szCs w:val="20"/>
              </w:rPr>
            </w:pPr>
          </w:p>
        </w:tc>
      </w:tr>
      <w:tr w:rsidR="00657ACA" w:rsidRPr="0000591E" w14:paraId="0A2A636E" w14:textId="77777777" w:rsidTr="003F7925">
        <w:trPr>
          <w:gridAfter w:val="2"/>
          <w:wAfter w:w="154" w:type="dxa"/>
          <w:trHeight w:val="20"/>
        </w:trPr>
        <w:tc>
          <w:tcPr>
            <w:tcW w:w="1256" w:type="dxa"/>
            <w:tcBorders>
              <w:bottom w:val="single" w:sz="4" w:space="0" w:color="auto"/>
            </w:tcBorders>
            <w:noWrap/>
            <w:vAlign w:val="bottom"/>
          </w:tcPr>
          <w:p w14:paraId="7495FE85" w14:textId="77777777" w:rsidR="00657ACA" w:rsidRPr="001A3C99" w:rsidRDefault="00657ACA" w:rsidP="00657ACA">
            <w:pPr>
              <w:jc w:val="both"/>
              <w:rPr>
                <w:rFonts w:ascii="Arial" w:hAnsi="Arial" w:cs="Arial"/>
                <w:b/>
                <w:bCs/>
                <w:color w:val="000000" w:themeColor="text1"/>
                <w:sz w:val="20"/>
                <w:szCs w:val="20"/>
              </w:rPr>
            </w:pPr>
            <w:r w:rsidRPr="001A3C99">
              <w:rPr>
                <w:rFonts w:ascii="Arial" w:hAnsi="Arial" w:cs="Arial"/>
                <w:b/>
                <w:bCs/>
                <w:color w:val="000000" w:themeColor="text1"/>
                <w:sz w:val="20"/>
                <w:szCs w:val="20"/>
              </w:rPr>
              <w:t>L01EF01</w:t>
            </w:r>
          </w:p>
        </w:tc>
        <w:tc>
          <w:tcPr>
            <w:tcW w:w="9452" w:type="dxa"/>
            <w:tcBorders>
              <w:bottom w:val="single" w:sz="4" w:space="0" w:color="auto"/>
            </w:tcBorders>
          </w:tcPr>
          <w:p w14:paraId="39522289" w14:textId="77777777" w:rsidR="00657ACA" w:rsidRPr="001A3C99" w:rsidRDefault="00657ACA" w:rsidP="00657ACA">
            <w:pPr>
              <w:jc w:val="both"/>
              <w:rPr>
                <w:rFonts w:ascii="Arial" w:hAnsi="Arial" w:cs="Arial"/>
                <w:b/>
                <w:color w:val="000000" w:themeColor="text1"/>
                <w:sz w:val="20"/>
                <w:szCs w:val="20"/>
              </w:rPr>
            </w:pPr>
            <w:r w:rsidRPr="001A3C99">
              <w:rPr>
                <w:rFonts w:ascii="Arial" w:hAnsi="Arial" w:cs="Arial"/>
                <w:b/>
                <w:color w:val="000000" w:themeColor="text1"/>
                <w:sz w:val="20"/>
                <w:szCs w:val="20"/>
              </w:rPr>
              <w:t>Palbociklib p.o. 75 mg</w:t>
            </w:r>
          </w:p>
          <w:p w14:paraId="1F03C31B" w14:textId="77777777" w:rsidR="00657ACA" w:rsidRPr="001A3C99" w:rsidRDefault="00657ACA" w:rsidP="00657ACA">
            <w:pPr>
              <w:jc w:val="both"/>
              <w:rPr>
                <w:rFonts w:ascii="Arial" w:hAnsi="Arial" w:cs="Arial"/>
                <w:b/>
                <w:color w:val="000000" w:themeColor="text1"/>
                <w:sz w:val="20"/>
                <w:szCs w:val="20"/>
              </w:rPr>
            </w:pPr>
            <w:r w:rsidRPr="001A3C99">
              <w:rPr>
                <w:rFonts w:ascii="Arial" w:hAnsi="Arial" w:cs="Arial"/>
                <w:b/>
                <w:color w:val="000000" w:themeColor="text1"/>
                <w:sz w:val="20"/>
                <w:szCs w:val="20"/>
              </w:rPr>
              <w:t>Palbociklib p.o. 100 mg</w:t>
            </w:r>
          </w:p>
          <w:p w14:paraId="6E609469" w14:textId="77777777" w:rsidR="00657ACA" w:rsidRPr="001A3C99" w:rsidRDefault="00657ACA" w:rsidP="00657ACA">
            <w:pPr>
              <w:jc w:val="both"/>
              <w:rPr>
                <w:rFonts w:ascii="Arial" w:hAnsi="Arial" w:cs="Arial"/>
                <w:b/>
                <w:color w:val="000000" w:themeColor="text1"/>
                <w:sz w:val="20"/>
                <w:szCs w:val="20"/>
              </w:rPr>
            </w:pPr>
            <w:r w:rsidRPr="001A3C99">
              <w:rPr>
                <w:rFonts w:ascii="Arial" w:hAnsi="Arial" w:cs="Arial"/>
                <w:b/>
                <w:color w:val="000000" w:themeColor="text1"/>
                <w:sz w:val="20"/>
                <w:szCs w:val="20"/>
              </w:rPr>
              <w:t>Palbociklib p.o. 125 mg</w:t>
            </w:r>
          </w:p>
        </w:tc>
      </w:tr>
      <w:tr w:rsidR="00657ACA" w:rsidRPr="0000591E" w14:paraId="2EE6F8C1" w14:textId="77777777" w:rsidTr="003F7925">
        <w:trPr>
          <w:gridAfter w:val="2"/>
          <w:wAfter w:w="154" w:type="dxa"/>
          <w:trHeight w:val="20"/>
        </w:trPr>
        <w:tc>
          <w:tcPr>
            <w:tcW w:w="1256" w:type="dxa"/>
            <w:tcBorders>
              <w:top w:val="single" w:sz="4" w:space="0" w:color="auto"/>
            </w:tcBorders>
            <w:noWrap/>
            <w:vAlign w:val="bottom"/>
          </w:tcPr>
          <w:p w14:paraId="17351A00" w14:textId="77777777" w:rsidR="00657ACA" w:rsidRPr="005712C4" w:rsidRDefault="00657ACA" w:rsidP="00657ACA">
            <w:pPr>
              <w:jc w:val="both"/>
              <w:rPr>
                <w:rFonts w:ascii="Arial" w:hAnsi="Arial" w:cs="Arial"/>
                <w:b/>
                <w:bCs/>
                <w:sz w:val="20"/>
                <w:szCs w:val="20"/>
              </w:rPr>
            </w:pPr>
          </w:p>
        </w:tc>
        <w:tc>
          <w:tcPr>
            <w:tcW w:w="9452" w:type="dxa"/>
            <w:tcBorders>
              <w:top w:val="single" w:sz="4" w:space="0" w:color="auto"/>
            </w:tcBorders>
          </w:tcPr>
          <w:p w14:paraId="6B333DD3" w14:textId="05CBEAF6" w:rsidR="00657ACA" w:rsidRDefault="00657ACA" w:rsidP="00657ACA">
            <w:pPr>
              <w:jc w:val="both"/>
              <w:rPr>
                <w:rFonts w:ascii="Arial" w:hAnsi="Arial" w:cs="Arial"/>
                <w:sz w:val="20"/>
                <w:szCs w:val="20"/>
              </w:rPr>
            </w:pPr>
            <w:r w:rsidRPr="00CD2B3F">
              <w:rPr>
                <w:rFonts w:ascii="Arial" w:hAnsi="Arial" w:cs="Arial"/>
                <w:sz w:val="20"/>
                <w:szCs w:val="20"/>
              </w:rPr>
              <w:t xml:space="preserve">Hradená liečba sa môže indikovať na liečbu lokálne pokročilého alebo metastázujúceho karcinómu prsníka pozitívneho na hormonálne receptory (HR) a negatívneho na prítomnosť receptora pre ľudský epidermálny rastový faktor 2 (HER2): a) v kombinácii s inhibítorom aromatáz, ak došlo k recidíve nádoru po viac ako 12 mesiacoch od ukončenia adjuvantnej liečby alebo ak liečba aspoň jedným CDK4/6 inhibítorom nie je pacientom tolerovaná, alebo je u neho kontraindikovaná b) v kombinácii s fulvestrantom u žien, ktoré predtým podstúpili endokrinnú liečbu. U pre- alebo perimenopauzálnych žien sa musí endokrinná liečba kombinovať s agonistom hormónu uvoľňujúceho luteinizačný hormón (luteinizing hormone releasing hormone, LHRH). </w:t>
            </w:r>
          </w:p>
          <w:p w14:paraId="27D7C0F7" w14:textId="77777777" w:rsidR="00657ACA" w:rsidRPr="00CD2B3F" w:rsidRDefault="00657ACA" w:rsidP="00657ACA">
            <w:pPr>
              <w:jc w:val="both"/>
              <w:rPr>
                <w:rFonts w:ascii="Arial" w:hAnsi="Arial" w:cs="Arial"/>
                <w:sz w:val="20"/>
                <w:szCs w:val="20"/>
              </w:rPr>
            </w:pPr>
            <w:r w:rsidRPr="00CD2B3F">
              <w:rPr>
                <w:rFonts w:ascii="Arial" w:hAnsi="Arial" w:cs="Arial"/>
                <w:sz w:val="20"/>
                <w:szCs w:val="20"/>
              </w:rPr>
              <w:t>Hradená liečba podlieha predchádzajúcemu súhlasu zdravotnej poisťovne.</w:t>
            </w:r>
          </w:p>
          <w:p w14:paraId="1B127A35" w14:textId="77777777" w:rsidR="00657ACA" w:rsidRPr="00CD2B3F" w:rsidRDefault="00657ACA" w:rsidP="00657ACA">
            <w:pPr>
              <w:jc w:val="both"/>
              <w:rPr>
                <w:rFonts w:ascii="Arial" w:hAnsi="Arial" w:cs="Arial"/>
                <w:b/>
                <w:sz w:val="20"/>
                <w:szCs w:val="20"/>
              </w:rPr>
            </w:pPr>
          </w:p>
        </w:tc>
      </w:tr>
      <w:tr w:rsidR="00657ACA" w:rsidRPr="0000591E" w14:paraId="2A9F9ABB" w14:textId="77777777" w:rsidTr="003F7925">
        <w:trPr>
          <w:gridAfter w:val="2"/>
          <w:wAfter w:w="154" w:type="dxa"/>
          <w:trHeight w:val="20"/>
        </w:trPr>
        <w:tc>
          <w:tcPr>
            <w:tcW w:w="1256" w:type="dxa"/>
            <w:tcBorders>
              <w:bottom w:val="single" w:sz="4" w:space="0" w:color="auto"/>
            </w:tcBorders>
            <w:noWrap/>
            <w:vAlign w:val="bottom"/>
          </w:tcPr>
          <w:p w14:paraId="6DE1D21C" w14:textId="77777777" w:rsidR="00657ACA" w:rsidRPr="00EE0540" w:rsidRDefault="00657ACA" w:rsidP="00657ACA">
            <w:pPr>
              <w:jc w:val="both"/>
              <w:rPr>
                <w:rFonts w:ascii="Arial" w:hAnsi="Arial" w:cs="Arial"/>
                <w:b/>
                <w:bCs/>
                <w:sz w:val="20"/>
                <w:szCs w:val="20"/>
              </w:rPr>
            </w:pPr>
            <w:r w:rsidRPr="005712C4">
              <w:rPr>
                <w:rFonts w:ascii="Arial" w:hAnsi="Arial" w:cs="Arial"/>
                <w:b/>
                <w:bCs/>
                <w:sz w:val="20"/>
                <w:szCs w:val="20"/>
              </w:rPr>
              <w:t>L01EF02</w:t>
            </w:r>
          </w:p>
        </w:tc>
        <w:tc>
          <w:tcPr>
            <w:tcW w:w="9452" w:type="dxa"/>
            <w:tcBorders>
              <w:bottom w:val="single" w:sz="4" w:space="0" w:color="auto"/>
            </w:tcBorders>
          </w:tcPr>
          <w:p w14:paraId="0B467FC0" w14:textId="77777777" w:rsidR="00657ACA" w:rsidRPr="00EE0540" w:rsidRDefault="00657ACA" w:rsidP="00657ACA">
            <w:pPr>
              <w:jc w:val="both"/>
              <w:rPr>
                <w:rFonts w:ascii="Arial" w:hAnsi="Arial" w:cs="Arial"/>
                <w:b/>
                <w:sz w:val="20"/>
                <w:szCs w:val="20"/>
              </w:rPr>
            </w:pPr>
            <w:r w:rsidRPr="005712C4">
              <w:rPr>
                <w:rFonts w:ascii="Arial" w:hAnsi="Arial" w:cs="Arial"/>
                <w:b/>
                <w:sz w:val="20"/>
                <w:szCs w:val="20"/>
              </w:rPr>
              <w:t>Ribociklib</w:t>
            </w:r>
            <w:r>
              <w:rPr>
                <w:rFonts w:ascii="Arial" w:hAnsi="Arial" w:cs="Arial"/>
                <w:b/>
                <w:sz w:val="20"/>
                <w:szCs w:val="20"/>
              </w:rPr>
              <w:t xml:space="preserve"> </w:t>
            </w:r>
            <w:r w:rsidRPr="005712C4">
              <w:rPr>
                <w:rFonts w:ascii="Arial" w:hAnsi="Arial" w:cs="Arial"/>
                <w:b/>
                <w:sz w:val="20"/>
                <w:szCs w:val="20"/>
              </w:rPr>
              <w:t>p.o. 200 mg</w:t>
            </w:r>
          </w:p>
        </w:tc>
      </w:tr>
      <w:tr w:rsidR="00657ACA" w:rsidRPr="0000591E" w14:paraId="0265BB64" w14:textId="77777777" w:rsidTr="003F7925">
        <w:trPr>
          <w:gridAfter w:val="2"/>
          <w:wAfter w:w="154" w:type="dxa"/>
          <w:trHeight w:val="20"/>
        </w:trPr>
        <w:tc>
          <w:tcPr>
            <w:tcW w:w="1256" w:type="dxa"/>
            <w:tcBorders>
              <w:top w:val="single" w:sz="4" w:space="0" w:color="auto"/>
            </w:tcBorders>
            <w:noWrap/>
            <w:vAlign w:val="bottom"/>
          </w:tcPr>
          <w:p w14:paraId="47FFB154" w14:textId="77777777" w:rsidR="00657ACA" w:rsidRPr="005712C4" w:rsidRDefault="00657ACA" w:rsidP="00657ACA">
            <w:pPr>
              <w:jc w:val="both"/>
              <w:rPr>
                <w:rFonts w:ascii="Arial" w:hAnsi="Arial" w:cs="Arial"/>
                <w:b/>
                <w:bCs/>
                <w:sz w:val="20"/>
                <w:szCs w:val="20"/>
              </w:rPr>
            </w:pPr>
          </w:p>
        </w:tc>
        <w:tc>
          <w:tcPr>
            <w:tcW w:w="9452" w:type="dxa"/>
            <w:tcBorders>
              <w:top w:val="single" w:sz="4" w:space="0" w:color="auto"/>
            </w:tcBorders>
          </w:tcPr>
          <w:p w14:paraId="3742C29A" w14:textId="77777777" w:rsidR="00657ACA" w:rsidRDefault="00657ACA" w:rsidP="00657ACA">
            <w:pPr>
              <w:jc w:val="both"/>
              <w:rPr>
                <w:rFonts w:ascii="Arial" w:hAnsi="Arial" w:cs="Arial"/>
                <w:sz w:val="20"/>
                <w:szCs w:val="20"/>
              </w:rPr>
            </w:pPr>
            <w:r w:rsidRPr="005712C4">
              <w:rPr>
                <w:rFonts w:ascii="Arial" w:hAnsi="Arial" w:cs="Arial"/>
                <w:sz w:val="20"/>
                <w:szCs w:val="20"/>
              </w:rPr>
              <w:t>Hradená liečba sa môže indikovať na liečbu žien s lokálne pokročilým alebo metastatickým karcinómom prsníka s</w:t>
            </w:r>
            <w:r>
              <w:rPr>
                <w:rFonts w:ascii="Arial" w:hAnsi="Arial" w:cs="Arial"/>
                <w:sz w:val="20"/>
                <w:szCs w:val="20"/>
              </w:rPr>
              <w:t xml:space="preserve"> </w:t>
            </w:r>
            <w:r w:rsidRPr="005712C4">
              <w:rPr>
                <w:rFonts w:ascii="Arial" w:hAnsi="Arial" w:cs="Arial"/>
                <w:sz w:val="20"/>
                <w:szCs w:val="20"/>
              </w:rPr>
              <w:t>pozitivitou hormonálnych receptorov (HR) a negativitou receptora 2 pre ľudský epidermálny rastový faktor (human</w:t>
            </w:r>
            <w:r>
              <w:rPr>
                <w:rFonts w:ascii="Arial" w:hAnsi="Arial" w:cs="Arial"/>
                <w:sz w:val="20"/>
                <w:szCs w:val="20"/>
              </w:rPr>
              <w:t xml:space="preserve"> </w:t>
            </w:r>
            <w:r w:rsidRPr="005712C4">
              <w:rPr>
                <w:rFonts w:ascii="Arial" w:hAnsi="Arial" w:cs="Arial"/>
                <w:sz w:val="20"/>
                <w:szCs w:val="20"/>
              </w:rPr>
              <w:t>epidermal growth factor receptor 2, HER2):</w:t>
            </w:r>
          </w:p>
          <w:p w14:paraId="342D5CAC" w14:textId="77777777" w:rsidR="00657ACA" w:rsidRPr="005712C4" w:rsidRDefault="00657ACA" w:rsidP="00657ACA">
            <w:pPr>
              <w:jc w:val="both"/>
              <w:rPr>
                <w:rFonts w:ascii="Arial" w:hAnsi="Arial" w:cs="Arial"/>
                <w:sz w:val="20"/>
                <w:szCs w:val="20"/>
              </w:rPr>
            </w:pPr>
            <w:r w:rsidRPr="005712C4">
              <w:rPr>
                <w:rFonts w:ascii="Arial" w:hAnsi="Arial" w:cs="Arial"/>
                <w:sz w:val="20"/>
                <w:szCs w:val="20"/>
              </w:rPr>
              <w:t>a) v kombinácii s inhibítorom aromatázy alebo fulvestrantom v prvej línii liečby metastatického ochorenia,</w:t>
            </w:r>
          </w:p>
          <w:p w14:paraId="4B48F492" w14:textId="77777777" w:rsidR="00657ACA" w:rsidRPr="005712C4" w:rsidRDefault="00657ACA" w:rsidP="00657ACA">
            <w:pPr>
              <w:jc w:val="both"/>
              <w:rPr>
                <w:rFonts w:ascii="Arial" w:hAnsi="Arial" w:cs="Arial"/>
                <w:sz w:val="20"/>
                <w:szCs w:val="20"/>
              </w:rPr>
            </w:pPr>
            <w:r w:rsidRPr="005712C4">
              <w:rPr>
                <w:rFonts w:ascii="Arial" w:hAnsi="Arial" w:cs="Arial"/>
                <w:sz w:val="20"/>
                <w:szCs w:val="20"/>
              </w:rPr>
              <w:t>b) v kombinácii s inhibítorom aromatázy alebo fulvestrantom u žien, ktoré dostávali predchádzajúcu endokrinnú</w:t>
            </w:r>
            <w:r>
              <w:rPr>
                <w:rFonts w:ascii="Arial" w:hAnsi="Arial" w:cs="Arial"/>
                <w:sz w:val="20"/>
                <w:szCs w:val="20"/>
              </w:rPr>
              <w:t xml:space="preserve"> </w:t>
            </w:r>
            <w:r w:rsidRPr="005712C4">
              <w:rPr>
                <w:rFonts w:ascii="Arial" w:hAnsi="Arial" w:cs="Arial"/>
                <w:sz w:val="20"/>
                <w:szCs w:val="20"/>
              </w:rPr>
              <w:t>terapiu.</w:t>
            </w:r>
          </w:p>
          <w:p w14:paraId="48DB66D2" w14:textId="77777777" w:rsidR="00657ACA" w:rsidRPr="005712C4" w:rsidRDefault="00657ACA" w:rsidP="00657ACA">
            <w:pPr>
              <w:jc w:val="both"/>
              <w:rPr>
                <w:rFonts w:ascii="Arial" w:hAnsi="Arial" w:cs="Arial"/>
                <w:sz w:val="20"/>
                <w:szCs w:val="20"/>
              </w:rPr>
            </w:pPr>
            <w:r w:rsidRPr="005712C4">
              <w:rPr>
                <w:rFonts w:ascii="Arial" w:hAnsi="Arial" w:cs="Arial"/>
                <w:sz w:val="20"/>
                <w:szCs w:val="20"/>
              </w:rPr>
              <w:t>U pre- alebo perimenopauzálnych žien sa má endokrinná terapia kombinovať s agonistom hormónu uvoľňujúceho</w:t>
            </w:r>
            <w:r>
              <w:rPr>
                <w:rFonts w:ascii="Arial" w:hAnsi="Arial" w:cs="Arial"/>
                <w:sz w:val="20"/>
                <w:szCs w:val="20"/>
              </w:rPr>
              <w:t xml:space="preserve"> </w:t>
            </w:r>
            <w:r w:rsidRPr="005712C4">
              <w:rPr>
                <w:rFonts w:ascii="Arial" w:hAnsi="Arial" w:cs="Arial"/>
                <w:sz w:val="20"/>
                <w:szCs w:val="20"/>
              </w:rPr>
              <w:t>luteinizačný hormón (LHRH).</w:t>
            </w:r>
          </w:p>
          <w:p w14:paraId="240461B4" w14:textId="77777777" w:rsidR="00657ACA" w:rsidRPr="005712C4" w:rsidRDefault="00657ACA" w:rsidP="00657ACA">
            <w:pPr>
              <w:jc w:val="both"/>
              <w:rPr>
                <w:rFonts w:ascii="Arial" w:hAnsi="Arial" w:cs="Arial"/>
                <w:sz w:val="20"/>
                <w:szCs w:val="20"/>
              </w:rPr>
            </w:pPr>
          </w:p>
          <w:p w14:paraId="01D27882" w14:textId="23FCD2BF" w:rsidR="00657ACA" w:rsidRPr="005712C4" w:rsidRDefault="00657ACA" w:rsidP="00657ACA">
            <w:pPr>
              <w:jc w:val="both"/>
              <w:rPr>
                <w:rFonts w:ascii="Arial" w:hAnsi="Arial" w:cs="Arial"/>
                <w:sz w:val="20"/>
                <w:szCs w:val="20"/>
              </w:rPr>
            </w:pPr>
            <w:r w:rsidRPr="005712C4">
              <w:rPr>
                <w:rFonts w:ascii="Arial" w:hAnsi="Arial" w:cs="Arial"/>
                <w:sz w:val="20"/>
                <w:szCs w:val="20"/>
              </w:rPr>
              <w:t>Hradená liečba podlieha predchádzajúcemu súhlasu zdravotnej poisťovne.</w:t>
            </w:r>
          </w:p>
        </w:tc>
      </w:tr>
      <w:tr w:rsidR="00657ACA" w:rsidRPr="0000591E" w14:paraId="74BB729B" w14:textId="77777777" w:rsidTr="003F7925">
        <w:trPr>
          <w:gridAfter w:val="2"/>
          <w:wAfter w:w="154" w:type="dxa"/>
          <w:trHeight w:val="20"/>
        </w:trPr>
        <w:tc>
          <w:tcPr>
            <w:tcW w:w="1256" w:type="dxa"/>
            <w:tcBorders>
              <w:bottom w:val="single" w:sz="4" w:space="0" w:color="auto"/>
            </w:tcBorders>
            <w:noWrap/>
            <w:vAlign w:val="bottom"/>
          </w:tcPr>
          <w:p w14:paraId="13D2AC99" w14:textId="77777777" w:rsidR="00657ACA" w:rsidRPr="005712C4" w:rsidRDefault="00657ACA" w:rsidP="00657ACA">
            <w:pPr>
              <w:jc w:val="both"/>
              <w:rPr>
                <w:rFonts w:ascii="Arial" w:hAnsi="Arial" w:cs="Arial"/>
                <w:b/>
                <w:bCs/>
                <w:sz w:val="20"/>
                <w:szCs w:val="20"/>
              </w:rPr>
            </w:pPr>
            <w:r w:rsidRPr="00D51A61">
              <w:rPr>
                <w:rFonts w:ascii="Arial" w:hAnsi="Arial" w:cs="Arial"/>
                <w:b/>
                <w:sz w:val="20"/>
                <w:szCs w:val="20"/>
              </w:rPr>
              <w:t xml:space="preserve">L01EF03 </w:t>
            </w:r>
            <w:r>
              <w:t xml:space="preserve">   </w:t>
            </w:r>
          </w:p>
        </w:tc>
        <w:tc>
          <w:tcPr>
            <w:tcW w:w="9452" w:type="dxa"/>
            <w:tcBorders>
              <w:bottom w:val="single" w:sz="4" w:space="0" w:color="auto"/>
            </w:tcBorders>
          </w:tcPr>
          <w:p w14:paraId="143415B7" w14:textId="77777777" w:rsidR="00657ACA" w:rsidRPr="00D51A61" w:rsidRDefault="00657ACA" w:rsidP="00657ACA">
            <w:pPr>
              <w:jc w:val="both"/>
              <w:rPr>
                <w:rFonts w:ascii="Arial" w:hAnsi="Arial" w:cs="Arial"/>
                <w:b/>
                <w:sz w:val="20"/>
                <w:szCs w:val="20"/>
              </w:rPr>
            </w:pPr>
            <w:r w:rsidRPr="00D51A61">
              <w:rPr>
                <w:rFonts w:ascii="Arial" w:hAnsi="Arial" w:cs="Arial"/>
                <w:b/>
                <w:sz w:val="20"/>
                <w:szCs w:val="20"/>
              </w:rPr>
              <w:t xml:space="preserve">Abemaciklib p.o. 50 mg </w:t>
            </w:r>
          </w:p>
          <w:p w14:paraId="2D31B8CF" w14:textId="77777777" w:rsidR="00657ACA" w:rsidRPr="00D51A61" w:rsidRDefault="00657ACA" w:rsidP="00657ACA">
            <w:pPr>
              <w:jc w:val="both"/>
              <w:rPr>
                <w:rFonts w:ascii="Arial" w:hAnsi="Arial" w:cs="Arial"/>
                <w:b/>
                <w:sz w:val="20"/>
                <w:szCs w:val="20"/>
              </w:rPr>
            </w:pPr>
            <w:r w:rsidRPr="00D51A61">
              <w:rPr>
                <w:rFonts w:ascii="Arial" w:hAnsi="Arial" w:cs="Arial"/>
                <w:b/>
                <w:sz w:val="20"/>
                <w:szCs w:val="20"/>
              </w:rPr>
              <w:t xml:space="preserve">Abemaciklib p.o. 100 mg </w:t>
            </w:r>
          </w:p>
          <w:p w14:paraId="678BAEBD" w14:textId="77777777" w:rsidR="00657ACA" w:rsidRPr="005712C4" w:rsidRDefault="00657ACA" w:rsidP="00657ACA">
            <w:pPr>
              <w:jc w:val="both"/>
              <w:rPr>
                <w:rFonts w:ascii="Arial" w:hAnsi="Arial" w:cs="Arial"/>
                <w:sz w:val="20"/>
                <w:szCs w:val="20"/>
              </w:rPr>
            </w:pPr>
            <w:r w:rsidRPr="00D51A61">
              <w:rPr>
                <w:rFonts w:ascii="Arial" w:hAnsi="Arial" w:cs="Arial"/>
                <w:b/>
                <w:sz w:val="20"/>
                <w:szCs w:val="20"/>
              </w:rPr>
              <w:t>Abemaciklib p.o. 150 mg</w:t>
            </w:r>
          </w:p>
        </w:tc>
      </w:tr>
      <w:tr w:rsidR="00657ACA" w:rsidRPr="0000591E" w14:paraId="48B21DD5" w14:textId="77777777" w:rsidTr="003F7925">
        <w:trPr>
          <w:gridAfter w:val="2"/>
          <w:wAfter w:w="154" w:type="dxa"/>
          <w:trHeight w:val="20"/>
        </w:trPr>
        <w:tc>
          <w:tcPr>
            <w:tcW w:w="1256" w:type="dxa"/>
            <w:tcBorders>
              <w:top w:val="single" w:sz="4" w:space="0" w:color="auto"/>
            </w:tcBorders>
            <w:noWrap/>
            <w:vAlign w:val="bottom"/>
          </w:tcPr>
          <w:p w14:paraId="56289E5E" w14:textId="77777777" w:rsidR="00657ACA" w:rsidRPr="005712C4" w:rsidRDefault="00657ACA" w:rsidP="00657ACA">
            <w:pPr>
              <w:jc w:val="both"/>
              <w:rPr>
                <w:rFonts w:ascii="Arial" w:hAnsi="Arial" w:cs="Arial"/>
                <w:b/>
                <w:bCs/>
                <w:sz w:val="20"/>
                <w:szCs w:val="20"/>
              </w:rPr>
            </w:pPr>
          </w:p>
        </w:tc>
        <w:tc>
          <w:tcPr>
            <w:tcW w:w="9452" w:type="dxa"/>
            <w:tcBorders>
              <w:top w:val="single" w:sz="4" w:space="0" w:color="auto"/>
            </w:tcBorders>
          </w:tcPr>
          <w:p w14:paraId="6F5051F0"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Hradená liečba abemaciklibom sa môže indikovať: </w:t>
            </w:r>
          </w:p>
          <w:p w14:paraId="77646390"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1. v kombinácii s endokrinnou liečbou tamoxifénom, alebo inhibítormi aromatázy na adjuvantnú liečbu pacientov (žien aj mužov) s včasnými štádiami karcinómu prsníka s pozitivitou hormonálnych receptorov (HR) a negativitou receptora 2 pre ľudský epidermálny rastový faktor (human epidermal growth factor receptor 2, HER2), s pozitívnymi uzlinami a s vysokým rizikom recidívy. Vysoké riziko recidívy je pre hradenú liečbu definované buď patologicky potvrdeným nádorovým postihnutím 4 a viac axilárnych lymfatických uzlín, alebo patologicky potvrdeným nádorovým postihnutím 1-3 axilárnych lymfatických uzlín a prítomnosťou aspoň jedného z nasledujúcich kritérií: veľkosť nádoru 5 cm a viac, alebo nádor histologického stupňa (grade)3. </w:t>
            </w:r>
          </w:p>
          <w:p w14:paraId="614C836C"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Pokiaľ nedôjde k recidíve ochorenia, je adjuvantná liečba abemaciklibom hradená na obdobie dvoch rokov. </w:t>
            </w:r>
          </w:p>
          <w:p w14:paraId="4F5AA6AB" w14:textId="77777777" w:rsidR="00657ACA" w:rsidRDefault="00657ACA" w:rsidP="00657ACA">
            <w:pPr>
              <w:jc w:val="both"/>
              <w:rPr>
                <w:rFonts w:ascii="Arial" w:hAnsi="Arial" w:cs="Arial"/>
                <w:sz w:val="20"/>
                <w:szCs w:val="20"/>
              </w:rPr>
            </w:pPr>
          </w:p>
          <w:p w14:paraId="63B8BF31" w14:textId="77777777" w:rsidR="00657ACA" w:rsidRDefault="00657ACA" w:rsidP="00657ACA">
            <w:pPr>
              <w:jc w:val="both"/>
              <w:rPr>
                <w:rFonts w:ascii="Arial" w:hAnsi="Arial" w:cs="Arial"/>
                <w:sz w:val="20"/>
                <w:szCs w:val="20"/>
              </w:rPr>
            </w:pPr>
            <w:r w:rsidRPr="00D51A61">
              <w:rPr>
                <w:rFonts w:ascii="Arial" w:hAnsi="Arial" w:cs="Arial"/>
                <w:sz w:val="20"/>
                <w:szCs w:val="20"/>
              </w:rPr>
              <w:t>U pre- alebo perimenopauzálnych žien sa má endokrinná liečba inhibítormi aromatázy kombinovať s agonistom LHRH. (LHRH - luteinizing hormone releasing hormone).</w:t>
            </w:r>
          </w:p>
          <w:p w14:paraId="418BA92C" w14:textId="77777777" w:rsidR="00657ACA" w:rsidRDefault="00657ACA" w:rsidP="00657ACA">
            <w:pPr>
              <w:jc w:val="both"/>
              <w:rPr>
                <w:rFonts w:ascii="Arial" w:hAnsi="Arial" w:cs="Arial"/>
                <w:sz w:val="20"/>
                <w:szCs w:val="20"/>
              </w:rPr>
            </w:pPr>
          </w:p>
          <w:p w14:paraId="25E5C5D1"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2. na liečbu žien s lokálne pokročilým alebo metastatickým karcinómom prsníka s pozitivitou hormonálnych receptorov (HR) a negativitou receptora 2 pre ľudský epidermálny rastový faktor (human epidermal growth factor receptor 2, HER2): </w:t>
            </w:r>
          </w:p>
          <w:p w14:paraId="7AE2ABAE" w14:textId="77777777" w:rsidR="00657ACA" w:rsidRDefault="00657ACA" w:rsidP="00657ACA">
            <w:pPr>
              <w:jc w:val="both"/>
              <w:rPr>
                <w:rFonts w:ascii="Arial" w:hAnsi="Arial" w:cs="Arial"/>
                <w:sz w:val="20"/>
                <w:szCs w:val="20"/>
              </w:rPr>
            </w:pPr>
          </w:p>
          <w:p w14:paraId="64E11A5C"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 v kombinácii s inhibítorom aromatázy alebo fulvestrantom v prvej línii liečby metastatického ochorenia, </w:t>
            </w:r>
          </w:p>
          <w:p w14:paraId="2ABD27D8"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 v kombinácii s inhibítorom aromatázy alebo fulvestrantom u žien, ktoré dostávali predchádzajúcu endokrinnú terapiu. </w:t>
            </w:r>
          </w:p>
          <w:p w14:paraId="35AE5CF1" w14:textId="77777777" w:rsidR="00657ACA" w:rsidRDefault="00657ACA" w:rsidP="00657ACA">
            <w:pPr>
              <w:jc w:val="both"/>
              <w:rPr>
                <w:rFonts w:ascii="Arial" w:hAnsi="Arial" w:cs="Arial"/>
                <w:sz w:val="20"/>
                <w:szCs w:val="20"/>
              </w:rPr>
            </w:pPr>
          </w:p>
          <w:p w14:paraId="7D304A5C" w14:textId="77777777" w:rsidR="00657ACA" w:rsidRDefault="00657ACA" w:rsidP="00657ACA">
            <w:pPr>
              <w:jc w:val="both"/>
              <w:rPr>
                <w:rFonts w:ascii="Arial" w:hAnsi="Arial" w:cs="Arial"/>
                <w:sz w:val="20"/>
                <w:szCs w:val="20"/>
              </w:rPr>
            </w:pPr>
            <w:r w:rsidRPr="00D51A61">
              <w:rPr>
                <w:rFonts w:ascii="Arial" w:hAnsi="Arial" w:cs="Arial"/>
                <w:sz w:val="20"/>
                <w:szCs w:val="20"/>
              </w:rPr>
              <w:t>U pre- alebo perimenopauzálnych žien sa má endokrinná terapia kombinovať s agonistom hormónu uvoľňujúceho luteinizačný hormón (LHRH)</w:t>
            </w:r>
          </w:p>
          <w:p w14:paraId="40A1B032" w14:textId="77777777" w:rsidR="00657ACA" w:rsidRDefault="00657ACA" w:rsidP="00657ACA">
            <w:pPr>
              <w:jc w:val="both"/>
              <w:rPr>
                <w:rFonts w:ascii="Arial" w:hAnsi="Arial" w:cs="Arial"/>
                <w:sz w:val="20"/>
                <w:szCs w:val="20"/>
              </w:rPr>
            </w:pPr>
          </w:p>
          <w:p w14:paraId="15F142E9" w14:textId="77777777" w:rsidR="00657ACA" w:rsidRDefault="00657ACA" w:rsidP="00657ACA">
            <w:pPr>
              <w:jc w:val="both"/>
              <w:rPr>
                <w:rFonts w:ascii="Arial" w:hAnsi="Arial" w:cs="Arial"/>
                <w:sz w:val="20"/>
                <w:szCs w:val="20"/>
              </w:rPr>
            </w:pPr>
            <w:r w:rsidRPr="00D51A61">
              <w:rPr>
                <w:rFonts w:ascii="Arial" w:hAnsi="Arial" w:cs="Arial"/>
                <w:sz w:val="20"/>
                <w:szCs w:val="20"/>
              </w:rPr>
              <w:t>Hradená liečba podlieha predchádzajúcemu súhlasu zdravotnou poisťovňou.</w:t>
            </w:r>
          </w:p>
          <w:p w14:paraId="2579B219" w14:textId="7687E234" w:rsidR="00657ACA" w:rsidRPr="005712C4" w:rsidRDefault="00657ACA" w:rsidP="00657ACA">
            <w:pPr>
              <w:jc w:val="both"/>
              <w:rPr>
                <w:rFonts w:ascii="Arial" w:hAnsi="Arial" w:cs="Arial"/>
                <w:sz w:val="20"/>
                <w:szCs w:val="20"/>
              </w:rPr>
            </w:pPr>
          </w:p>
        </w:tc>
      </w:tr>
      <w:tr w:rsidR="00657ACA" w:rsidRPr="0000591E" w14:paraId="3214ED79" w14:textId="77777777" w:rsidTr="003F7925">
        <w:trPr>
          <w:gridAfter w:val="2"/>
          <w:wAfter w:w="154" w:type="dxa"/>
          <w:trHeight w:val="20"/>
        </w:trPr>
        <w:tc>
          <w:tcPr>
            <w:tcW w:w="1256" w:type="dxa"/>
            <w:tcBorders>
              <w:bottom w:val="single" w:sz="4" w:space="0" w:color="auto"/>
            </w:tcBorders>
            <w:noWrap/>
            <w:vAlign w:val="bottom"/>
          </w:tcPr>
          <w:p w14:paraId="084B7648" w14:textId="39E3C5D0" w:rsidR="00657ACA" w:rsidRPr="00EE0540" w:rsidRDefault="00657ACA" w:rsidP="00657ACA">
            <w:pPr>
              <w:jc w:val="both"/>
              <w:rPr>
                <w:rFonts w:ascii="Arial" w:hAnsi="Arial" w:cs="Arial"/>
                <w:b/>
                <w:bCs/>
                <w:sz w:val="20"/>
                <w:szCs w:val="20"/>
              </w:rPr>
            </w:pPr>
            <w:r w:rsidRPr="0000057A">
              <w:rPr>
                <w:rFonts w:ascii="Arial" w:hAnsi="Arial" w:cs="Arial"/>
                <w:b/>
                <w:bCs/>
                <w:sz w:val="20"/>
                <w:szCs w:val="20"/>
              </w:rPr>
              <w:t>L01EG02</w:t>
            </w:r>
          </w:p>
        </w:tc>
        <w:tc>
          <w:tcPr>
            <w:tcW w:w="9452" w:type="dxa"/>
            <w:tcBorders>
              <w:bottom w:val="single" w:sz="4" w:space="0" w:color="auto"/>
            </w:tcBorders>
          </w:tcPr>
          <w:p w14:paraId="502E8C68" w14:textId="77777777" w:rsidR="00657ACA" w:rsidRPr="0000057A" w:rsidRDefault="00657ACA" w:rsidP="00657ACA">
            <w:pPr>
              <w:jc w:val="both"/>
              <w:rPr>
                <w:rFonts w:ascii="Arial" w:hAnsi="Arial" w:cs="Arial"/>
                <w:b/>
                <w:sz w:val="20"/>
                <w:szCs w:val="20"/>
              </w:rPr>
            </w:pPr>
            <w:r w:rsidRPr="0000057A">
              <w:rPr>
                <w:rFonts w:ascii="Arial" w:hAnsi="Arial" w:cs="Arial"/>
                <w:b/>
                <w:sz w:val="20"/>
                <w:szCs w:val="20"/>
              </w:rPr>
              <w:t>Everolimus p.o. 5 mg</w:t>
            </w:r>
          </w:p>
          <w:p w14:paraId="5205582F" w14:textId="24CD4ED8" w:rsidR="00657ACA" w:rsidRPr="00EE0540" w:rsidRDefault="00657ACA" w:rsidP="00657ACA">
            <w:pPr>
              <w:jc w:val="both"/>
              <w:rPr>
                <w:rFonts w:ascii="Arial" w:hAnsi="Arial" w:cs="Arial"/>
                <w:b/>
                <w:sz w:val="20"/>
                <w:szCs w:val="20"/>
              </w:rPr>
            </w:pPr>
            <w:r w:rsidRPr="0000057A">
              <w:rPr>
                <w:rFonts w:ascii="Arial" w:hAnsi="Arial" w:cs="Arial"/>
                <w:b/>
                <w:sz w:val="20"/>
                <w:szCs w:val="20"/>
              </w:rPr>
              <w:t>Everolimus p.o. 10 mg</w:t>
            </w:r>
          </w:p>
        </w:tc>
      </w:tr>
      <w:tr w:rsidR="00657ACA" w:rsidRPr="0000591E" w14:paraId="03C963EC" w14:textId="77777777" w:rsidTr="003F7925">
        <w:trPr>
          <w:gridAfter w:val="2"/>
          <w:wAfter w:w="154" w:type="dxa"/>
          <w:trHeight w:val="20"/>
        </w:trPr>
        <w:tc>
          <w:tcPr>
            <w:tcW w:w="1256" w:type="dxa"/>
            <w:tcBorders>
              <w:top w:val="single" w:sz="4" w:space="0" w:color="auto"/>
            </w:tcBorders>
            <w:noWrap/>
            <w:vAlign w:val="bottom"/>
          </w:tcPr>
          <w:p w14:paraId="035D1307" w14:textId="77777777" w:rsidR="00657ACA" w:rsidRPr="00EE0540" w:rsidRDefault="00657ACA" w:rsidP="00657ACA">
            <w:pPr>
              <w:jc w:val="both"/>
              <w:rPr>
                <w:rFonts w:ascii="Arial" w:hAnsi="Arial" w:cs="Arial"/>
                <w:b/>
                <w:bCs/>
                <w:sz w:val="20"/>
                <w:szCs w:val="20"/>
              </w:rPr>
            </w:pPr>
          </w:p>
        </w:tc>
        <w:tc>
          <w:tcPr>
            <w:tcW w:w="9452" w:type="dxa"/>
            <w:tcBorders>
              <w:top w:val="single" w:sz="4" w:space="0" w:color="auto"/>
            </w:tcBorders>
          </w:tcPr>
          <w:p w14:paraId="269F84BD" w14:textId="77777777" w:rsidR="00657ACA" w:rsidRPr="0000057A" w:rsidRDefault="00657ACA" w:rsidP="00657ACA">
            <w:pPr>
              <w:jc w:val="both"/>
              <w:rPr>
                <w:rFonts w:ascii="Arial" w:hAnsi="Arial" w:cs="Arial"/>
                <w:sz w:val="20"/>
                <w:szCs w:val="20"/>
              </w:rPr>
            </w:pPr>
            <w:r w:rsidRPr="0000057A">
              <w:rPr>
                <w:rFonts w:ascii="Arial" w:hAnsi="Arial" w:cs="Arial"/>
                <w:sz w:val="20"/>
                <w:szCs w:val="20"/>
              </w:rPr>
              <w:t>Hradená liečba sa môže indikovať na liečbu pacientov:</w:t>
            </w:r>
          </w:p>
          <w:p w14:paraId="50B4140F" w14:textId="77777777" w:rsidR="00657ACA" w:rsidRPr="0000057A" w:rsidRDefault="00657ACA" w:rsidP="00657ACA">
            <w:pPr>
              <w:jc w:val="both"/>
              <w:rPr>
                <w:rFonts w:ascii="Arial" w:hAnsi="Arial" w:cs="Arial"/>
                <w:sz w:val="20"/>
                <w:szCs w:val="20"/>
              </w:rPr>
            </w:pPr>
            <w:r w:rsidRPr="0000057A">
              <w:rPr>
                <w:rFonts w:ascii="Arial" w:hAnsi="Arial" w:cs="Arial"/>
                <w:sz w:val="20"/>
                <w:szCs w:val="20"/>
              </w:rPr>
              <w:t>1)</w:t>
            </w:r>
            <w:r w:rsidRPr="0000057A">
              <w:rPr>
                <w:rFonts w:ascii="Arial" w:hAnsi="Arial" w:cs="Arial"/>
                <w:sz w:val="20"/>
                <w:szCs w:val="20"/>
              </w:rPr>
              <w:tab/>
              <w:t>s inoperabilným lokálne pokročilým alebo metastatickým karcinómom obličkových buniek, u ktorých ochorenie progredovalo počas alebo po liečbe cielenej na VEGF,</w:t>
            </w:r>
          </w:p>
          <w:p w14:paraId="441F6579" w14:textId="77777777" w:rsidR="00657ACA" w:rsidRDefault="00657ACA" w:rsidP="00657ACA">
            <w:pPr>
              <w:jc w:val="both"/>
              <w:rPr>
                <w:rFonts w:ascii="Arial" w:hAnsi="Arial" w:cs="Arial"/>
                <w:sz w:val="20"/>
                <w:szCs w:val="20"/>
              </w:rPr>
            </w:pPr>
            <w:r w:rsidRPr="0000057A">
              <w:rPr>
                <w:rFonts w:ascii="Arial" w:hAnsi="Arial" w:cs="Arial"/>
                <w:sz w:val="20"/>
                <w:szCs w:val="20"/>
              </w:rPr>
              <w:t>2)</w:t>
            </w:r>
            <w:r w:rsidRPr="0000057A">
              <w:rPr>
                <w:rFonts w:ascii="Arial" w:hAnsi="Arial" w:cs="Arial"/>
                <w:sz w:val="20"/>
                <w:szCs w:val="20"/>
              </w:rPr>
              <w:tab/>
              <w:t>u postmenopauzálnych žien s pozitivitou hormonálnych receptorov a negativitou HER2/neu po recidíve alebo progresii pri nesteroidnom inhibítore aromatázy v prvej línii hormonálnej liečby metastatického karcinómu prsníka v kombinácii s exemestánom. Podmienkou hradenej liečby je neprítomnosť symptomatického viscerálneho postihnutia a CNS metastáz.</w:t>
            </w:r>
          </w:p>
          <w:p w14:paraId="24AFB542" w14:textId="63BF7CB0" w:rsidR="00657ACA" w:rsidRPr="0000057A" w:rsidRDefault="00657ACA" w:rsidP="00657ACA">
            <w:pPr>
              <w:jc w:val="both"/>
              <w:rPr>
                <w:rFonts w:ascii="Arial" w:hAnsi="Arial" w:cs="Arial"/>
                <w:sz w:val="20"/>
                <w:szCs w:val="20"/>
              </w:rPr>
            </w:pPr>
          </w:p>
        </w:tc>
      </w:tr>
      <w:tr w:rsidR="00657ACA" w:rsidRPr="0000591E" w14:paraId="5343873A" w14:textId="77777777" w:rsidTr="003F7925">
        <w:trPr>
          <w:gridAfter w:val="2"/>
          <w:wAfter w:w="154" w:type="dxa"/>
          <w:trHeight w:val="20"/>
        </w:trPr>
        <w:tc>
          <w:tcPr>
            <w:tcW w:w="1256" w:type="dxa"/>
            <w:tcBorders>
              <w:bottom w:val="single" w:sz="4" w:space="0" w:color="auto"/>
            </w:tcBorders>
            <w:noWrap/>
            <w:vAlign w:val="bottom"/>
          </w:tcPr>
          <w:p w14:paraId="0271296D" w14:textId="682DE5AC" w:rsidR="00657ACA" w:rsidRPr="00EE0540" w:rsidRDefault="00657ACA" w:rsidP="00657ACA">
            <w:pPr>
              <w:jc w:val="both"/>
              <w:rPr>
                <w:rFonts w:ascii="Arial" w:hAnsi="Arial" w:cs="Arial"/>
                <w:b/>
                <w:bCs/>
                <w:sz w:val="20"/>
                <w:szCs w:val="20"/>
              </w:rPr>
            </w:pPr>
            <w:r w:rsidRPr="00741278">
              <w:rPr>
                <w:rFonts w:ascii="Arial" w:hAnsi="Arial" w:cs="Arial"/>
                <w:b/>
                <w:bCs/>
                <w:sz w:val="20"/>
                <w:szCs w:val="20"/>
              </w:rPr>
              <w:t>L01EH01</w:t>
            </w:r>
          </w:p>
        </w:tc>
        <w:tc>
          <w:tcPr>
            <w:tcW w:w="9452" w:type="dxa"/>
            <w:tcBorders>
              <w:bottom w:val="single" w:sz="4" w:space="0" w:color="auto"/>
            </w:tcBorders>
          </w:tcPr>
          <w:p w14:paraId="4A4EFCC2" w14:textId="45A174B2" w:rsidR="00657ACA" w:rsidRPr="00EE0540" w:rsidRDefault="00657ACA" w:rsidP="00657ACA">
            <w:pPr>
              <w:jc w:val="both"/>
              <w:rPr>
                <w:rFonts w:ascii="Arial" w:hAnsi="Arial" w:cs="Arial"/>
                <w:b/>
                <w:sz w:val="20"/>
                <w:szCs w:val="20"/>
              </w:rPr>
            </w:pPr>
            <w:r w:rsidRPr="00741278">
              <w:rPr>
                <w:rFonts w:ascii="Arial" w:hAnsi="Arial" w:cs="Arial"/>
                <w:b/>
                <w:sz w:val="20"/>
                <w:szCs w:val="20"/>
              </w:rPr>
              <w:t>Lapatinib p. o. 250 mg</w:t>
            </w:r>
          </w:p>
        </w:tc>
      </w:tr>
      <w:tr w:rsidR="00657ACA" w:rsidRPr="0000591E" w14:paraId="35C8B5FF" w14:textId="77777777" w:rsidTr="003F7925">
        <w:trPr>
          <w:gridAfter w:val="2"/>
          <w:wAfter w:w="154" w:type="dxa"/>
          <w:trHeight w:val="20"/>
        </w:trPr>
        <w:tc>
          <w:tcPr>
            <w:tcW w:w="1256" w:type="dxa"/>
            <w:tcBorders>
              <w:bottom w:val="single" w:sz="4" w:space="0" w:color="auto"/>
            </w:tcBorders>
            <w:noWrap/>
            <w:vAlign w:val="bottom"/>
          </w:tcPr>
          <w:p w14:paraId="0C922AEB" w14:textId="77777777" w:rsidR="00657ACA" w:rsidRPr="00EE0540" w:rsidRDefault="00657ACA" w:rsidP="00657ACA">
            <w:pPr>
              <w:jc w:val="both"/>
              <w:rPr>
                <w:rFonts w:ascii="Arial" w:hAnsi="Arial" w:cs="Arial"/>
                <w:b/>
                <w:bCs/>
                <w:sz w:val="20"/>
                <w:szCs w:val="20"/>
              </w:rPr>
            </w:pPr>
          </w:p>
        </w:tc>
        <w:tc>
          <w:tcPr>
            <w:tcW w:w="9452" w:type="dxa"/>
            <w:tcBorders>
              <w:bottom w:val="single" w:sz="4" w:space="0" w:color="auto"/>
            </w:tcBorders>
          </w:tcPr>
          <w:p w14:paraId="49E76515" w14:textId="77777777" w:rsidR="00657ACA" w:rsidRPr="00741278" w:rsidRDefault="00657ACA" w:rsidP="00657ACA">
            <w:pPr>
              <w:jc w:val="both"/>
              <w:rPr>
                <w:rFonts w:ascii="Arial" w:hAnsi="Arial" w:cs="Arial"/>
                <w:sz w:val="20"/>
                <w:szCs w:val="20"/>
              </w:rPr>
            </w:pPr>
            <w:r w:rsidRPr="00741278">
              <w:rPr>
                <w:rFonts w:ascii="Arial" w:hAnsi="Arial" w:cs="Arial"/>
                <w:sz w:val="20"/>
                <w:szCs w:val="20"/>
              </w:rPr>
              <w:t>Hradená liečba sa môže indikovať</w:t>
            </w:r>
          </w:p>
          <w:p w14:paraId="4D1DB770" w14:textId="77777777" w:rsidR="00657ACA" w:rsidRPr="00741278" w:rsidRDefault="00657ACA" w:rsidP="00657ACA">
            <w:pPr>
              <w:jc w:val="both"/>
              <w:rPr>
                <w:rFonts w:ascii="Arial" w:hAnsi="Arial" w:cs="Arial"/>
                <w:sz w:val="20"/>
                <w:szCs w:val="20"/>
              </w:rPr>
            </w:pPr>
            <w:r w:rsidRPr="00741278">
              <w:rPr>
                <w:rFonts w:ascii="Arial" w:hAnsi="Arial" w:cs="Arial"/>
                <w:sz w:val="20"/>
                <w:szCs w:val="20"/>
              </w:rPr>
              <w:t>a)</w:t>
            </w:r>
            <w:r w:rsidRPr="00741278">
              <w:rPr>
                <w:rFonts w:ascii="Arial" w:hAnsi="Arial" w:cs="Arial"/>
                <w:sz w:val="20"/>
                <w:szCs w:val="20"/>
              </w:rPr>
              <w:tab/>
              <w:t>v kombinácii s kapecitabínom pri pokročilom alebo metastatickom nádore prsníka s nadmernou expresiou receptora HER2 stupeň 3+ podľa imunohistochemického vyšetrenia (štandardný Hercept-test) alebo stanovenou metódou FISH/CISH, pacientky majú mať progresívne ochorenie po predchádzajúcej liečbe, ktorá musí zahŕňať antracyklíny a taxány a liečbu metastáz trastuzumabom,</w:t>
            </w:r>
          </w:p>
          <w:p w14:paraId="0813113E" w14:textId="77777777" w:rsidR="00657ACA" w:rsidRPr="00741278" w:rsidRDefault="00657ACA" w:rsidP="00657ACA">
            <w:pPr>
              <w:jc w:val="both"/>
              <w:rPr>
                <w:rFonts w:ascii="Arial" w:hAnsi="Arial" w:cs="Arial"/>
                <w:sz w:val="20"/>
                <w:szCs w:val="20"/>
              </w:rPr>
            </w:pPr>
            <w:r w:rsidRPr="00741278">
              <w:rPr>
                <w:rFonts w:ascii="Arial" w:hAnsi="Arial" w:cs="Arial"/>
                <w:sz w:val="20"/>
                <w:szCs w:val="20"/>
              </w:rPr>
              <w:t>b)</w:t>
            </w:r>
            <w:r w:rsidRPr="00741278">
              <w:rPr>
                <w:rFonts w:ascii="Arial" w:hAnsi="Arial" w:cs="Arial"/>
                <w:sz w:val="20"/>
                <w:szCs w:val="20"/>
              </w:rPr>
              <w:tab/>
              <w:t>pri metastatickom nádore prsníka s nadmernou expresiou receptora HER2 stupeň 3+ podľa imunohistochemického vyšetrenia (štandardný Hercept-test) alebo stanovenou metódou FISH/CISH a pozitivitou hormonálnych receptorov u postmenopauzálnych žien v kombinácii s inhibítorom aromatázy, u ktorých v súčasnosti nie je plánovaná chemoterapia.</w:t>
            </w:r>
          </w:p>
          <w:p w14:paraId="03F235FF" w14:textId="77777777" w:rsidR="00657ACA" w:rsidRDefault="00657ACA" w:rsidP="00657ACA">
            <w:pPr>
              <w:jc w:val="both"/>
              <w:rPr>
                <w:rFonts w:ascii="Arial" w:hAnsi="Arial" w:cs="Arial"/>
                <w:sz w:val="20"/>
                <w:szCs w:val="20"/>
              </w:rPr>
            </w:pPr>
            <w:r w:rsidRPr="00741278">
              <w:rPr>
                <w:rFonts w:ascii="Arial" w:hAnsi="Arial" w:cs="Arial"/>
                <w:sz w:val="20"/>
                <w:szCs w:val="20"/>
              </w:rPr>
              <w:t>Hradená liečba podlieha predchádzajúcemu súhlasu zdravotnej poisťovne.</w:t>
            </w:r>
          </w:p>
          <w:p w14:paraId="5E852AD2" w14:textId="1AC49E1B" w:rsidR="00657ACA" w:rsidRPr="00741278" w:rsidRDefault="00657ACA" w:rsidP="00657ACA">
            <w:pPr>
              <w:jc w:val="both"/>
              <w:rPr>
                <w:rFonts w:ascii="Arial" w:hAnsi="Arial" w:cs="Arial"/>
                <w:sz w:val="20"/>
                <w:szCs w:val="20"/>
              </w:rPr>
            </w:pPr>
          </w:p>
        </w:tc>
      </w:tr>
      <w:tr w:rsidR="00657ACA" w:rsidRPr="0000591E" w14:paraId="5B77CA81" w14:textId="77777777" w:rsidTr="003F7925">
        <w:trPr>
          <w:gridAfter w:val="2"/>
          <w:wAfter w:w="154" w:type="dxa"/>
          <w:trHeight w:val="20"/>
        </w:trPr>
        <w:tc>
          <w:tcPr>
            <w:tcW w:w="1256" w:type="dxa"/>
            <w:tcBorders>
              <w:bottom w:val="single" w:sz="4" w:space="0" w:color="auto"/>
            </w:tcBorders>
            <w:noWrap/>
            <w:vAlign w:val="bottom"/>
          </w:tcPr>
          <w:p w14:paraId="18DFDA47" w14:textId="13AB16E3" w:rsidR="00657ACA" w:rsidRPr="00EE0540" w:rsidRDefault="00657ACA" w:rsidP="00657ACA">
            <w:pPr>
              <w:jc w:val="both"/>
              <w:rPr>
                <w:rFonts w:ascii="Arial" w:hAnsi="Arial" w:cs="Arial"/>
                <w:b/>
                <w:bCs/>
                <w:sz w:val="20"/>
                <w:szCs w:val="20"/>
              </w:rPr>
            </w:pPr>
            <w:r w:rsidRPr="00445CAA">
              <w:rPr>
                <w:rFonts w:ascii="Arial" w:hAnsi="Arial" w:cs="Arial"/>
                <w:b/>
                <w:bCs/>
                <w:sz w:val="20"/>
                <w:szCs w:val="20"/>
              </w:rPr>
              <w:t>L01EH02</w:t>
            </w:r>
          </w:p>
        </w:tc>
        <w:tc>
          <w:tcPr>
            <w:tcW w:w="9452" w:type="dxa"/>
            <w:tcBorders>
              <w:bottom w:val="single" w:sz="4" w:space="0" w:color="auto"/>
            </w:tcBorders>
          </w:tcPr>
          <w:p w14:paraId="5EC58B24" w14:textId="23DBBFCC" w:rsidR="00657ACA" w:rsidRPr="00EE0540" w:rsidRDefault="00657ACA" w:rsidP="00657ACA">
            <w:pPr>
              <w:jc w:val="both"/>
              <w:rPr>
                <w:rFonts w:ascii="Arial" w:hAnsi="Arial" w:cs="Arial"/>
                <w:b/>
                <w:sz w:val="20"/>
                <w:szCs w:val="20"/>
              </w:rPr>
            </w:pPr>
            <w:r w:rsidRPr="00445CAA">
              <w:rPr>
                <w:rFonts w:ascii="Arial" w:hAnsi="Arial" w:cs="Arial"/>
                <w:b/>
                <w:sz w:val="20"/>
                <w:szCs w:val="20"/>
              </w:rPr>
              <w:t>Neratinib p.o. 40 mg</w:t>
            </w:r>
          </w:p>
        </w:tc>
      </w:tr>
      <w:tr w:rsidR="00657ACA" w:rsidRPr="0000591E" w14:paraId="38F4D02A" w14:textId="77777777" w:rsidTr="00887EC0">
        <w:trPr>
          <w:gridAfter w:val="2"/>
          <w:wAfter w:w="154" w:type="dxa"/>
          <w:trHeight w:val="20"/>
        </w:trPr>
        <w:tc>
          <w:tcPr>
            <w:tcW w:w="1256" w:type="dxa"/>
            <w:noWrap/>
            <w:vAlign w:val="bottom"/>
          </w:tcPr>
          <w:p w14:paraId="25682666" w14:textId="77777777" w:rsidR="00657ACA" w:rsidRPr="00EE0540" w:rsidRDefault="00657ACA" w:rsidP="00657ACA">
            <w:pPr>
              <w:jc w:val="both"/>
              <w:rPr>
                <w:rFonts w:ascii="Arial" w:hAnsi="Arial" w:cs="Arial"/>
                <w:b/>
                <w:bCs/>
                <w:sz w:val="20"/>
                <w:szCs w:val="20"/>
              </w:rPr>
            </w:pPr>
          </w:p>
        </w:tc>
        <w:tc>
          <w:tcPr>
            <w:tcW w:w="9452" w:type="dxa"/>
          </w:tcPr>
          <w:p w14:paraId="170CE3E5" w14:textId="77777777" w:rsidR="00657ACA" w:rsidRPr="00445CAA" w:rsidRDefault="00657ACA" w:rsidP="00657ACA">
            <w:pPr>
              <w:jc w:val="both"/>
              <w:rPr>
                <w:rFonts w:ascii="Arial" w:hAnsi="Arial" w:cs="Arial"/>
                <w:sz w:val="20"/>
                <w:szCs w:val="20"/>
              </w:rPr>
            </w:pPr>
            <w:r w:rsidRPr="00445CAA">
              <w:rPr>
                <w:rFonts w:ascii="Arial" w:hAnsi="Arial" w:cs="Arial"/>
                <w:sz w:val="20"/>
                <w:szCs w:val="20"/>
              </w:rPr>
              <w:t>Hradená liečba sa môže indikovať na predĺženú adjuvantnú liečbu dospelých pacientov s karcinómom prsníka v začiatočnom štádiu a pozitívnou na hormonálne receptory s nadmernou expresiou/amplifikáciou HER2, ktorí ukončili adjuvantnú liečbu na báze trastuzumabu pred menej ako jedným rokom za splnenia nasledujúcich podmienok:</w:t>
            </w:r>
          </w:p>
          <w:p w14:paraId="648F833C" w14:textId="77777777" w:rsidR="00657ACA" w:rsidRPr="00445CAA" w:rsidRDefault="00657ACA" w:rsidP="00657ACA">
            <w:pPr>
              <w:jc w:val="both"/>
              <w:rPr>
                <w:rFonts w:ascii="Arial" w:hAnsi="Arial" w:cs="Arial"/>
                <w:sz w:val="20"/>
                <w:szCs w:val="20"/>
              </w:rPr>
            </w:pPr>
            <w:r w:rsidRPr="00445CAA">
              <w:rPr>
                <w:rFonts w:ascii="Arial" w:hAnsi="Arial" w:cs="Arial"/>
                <w:sz w:val="20"/>
                <w:szCs w:val="20"/>
              </w:rPr>
              <w:t>a)</w:t>
            </w:r>
            <w:r w:rsidRPr="00445CAA">
              <w:rPr>
                <w:rFonts w:ascii="Arial" w:hAnsi="Arial" w:cs="Arial"/>
                <w:sz w:val="20"/>
                <w:szCs w:val="20"/>
              </w:rPr>
              <w:tab/>
              <w:t>ak po režimoch neo-adjuvantnej terapie nedosiahli kompletnú remisiu podľa patologického nálezu, alebo</w:t>
            </w:r>
          </w:p>
          <w:p w14:paraId="70AA73BA" w14:textId="77777777" w:rsidR="00657ACA" w:rsidRPr="00445CAA" w:rsidRDefault="00657ACA" w:rsidP="00657ACA">
            <w:pPr>
              <w:jc w:val="both"/>
              <w:rPr>
                <w:rFonts w:ascii="Arial" w:hAnsi="Arial" w:cs="Arial"/>
                <w:sz w:val="20"/>
                <w:szCs w:val="20"/>
              </w:rPr>
            </w:pPr>
            <w:r w:rsidRPr="00445CAA">
              <w:rPr>
                <w:rFonts w:ascii="Arial" w:hAnsi="Arial" w:cs="Arial"/>
                <w:sz w:val="20"/>
                <w:szCs w:val="20"/>
              </w:rPr>
              <w:t>b)</w:t>
            </w:r>
            <w:r w:rsidRPr="00445CAA">
              <w:rPr>
                <w:rFonts w:ascii="Arial" w:hAnsi="Arial" w:cs="Arial"/>
                <w:sz w:val="20"/>
                <w:szCs w:val="20"/>
              </w:rPr>
              <w:tab/>
              <w:t>ak nemali režimy založené na neoadjuvantnej chemoterapii a pretrváva prítomnosť reziduálneho ochorenia v uzlinách.</w:t>
            </w:r>
          </w:p>
          <w:p w14:paraId="448F92F6" w14:textId="77777777" w:rsidR="00657ACA" w:rsidRDefault="00657ACA" w:rsidP="00657ACA">
            <w:pPr>
              <w:jc w:val="both"/>
              <w:rPr>
                <w:rFonts w:ascii="Arial" w:hAnsi="Arial" w:cs="Arial"/>
                <w:b/>
                <w:sz w:val="20"/>
                <w:szCs w:val="20"/>
              </w:rPr>
            </w:pPr>
            <w:r w:rsidRPr="00445CAA">
              <w:rPr>
                <w:rFonts w:ascii="Arial" w:hAnsi="Arial" w:cs="Arial"/>
                <w:sz w:val="20"/>
                <w:szCs w:val="20"/>
              </w:rPr>
              <w:t>Hradená liečba podlieha predchádzajúcemu súhlasu zdravotnej poisťovne.</w:t>
            </w:r>
          </w:p>
          <w:p w14:paraId="2795CD61" w14:textId="45CC2AB7" w:rsidR="00657ACA" w:rsidRPr="00EE0540" w:rsidRDefault="00657ACA" w:rsidP="00657ACA">
            <w:pPr>
              <w:jc w:val="both"/>
              <w:rPr>
                <w:rFonts w:ascii="Arial" w:hAnsi="Arial" w:cs="Arial"/>
                <w:b/>
                <w:sz w:val="20"/>
                <w:szCs w:val="20"/>
              </w:rPr>
            </w:pPr>
          </w:p>
        </w:tc>
      </w:tr>
      <w:tr w:rsidR="00C57ACA" w:rsidRPr="0000591E" w14:paraId="79FF85F4" w14:textId="77777777" w:rsidTr="00C57ACA">
        <w:trPr>
          <w:gridAfter w:val="2"/>
          <w:wAfter w:w="154" w:type="dxa"/>
          <w:trHeight w:val="20"/>
        </w:trPr>
        <w:tc>
          <w:tcPr>
            <w:tcW w:w="1256" w:type="dxa"/>
            <w:tcBorders>
              <w:bottom w:val="single" w:sz="4" w:space="0" w:color="auto"/>
            </w:tcBorders>
            <w:noWrap/>
            <w:vAlign w:val="bottom"/>
          </w:tcPr>
          <w:p w14:paraId="052DC70E" w14:textId="5F6F669C" w:rsidR="00C57ACA" w:rsidRPr="00EE0540" w:rsidRDefault="00C57ACA" w:rsidP="00C57ACA">
            <w:pPr>
              <w:jc w:val="both"/>
              <w:rPr>
                <w:rFonts w:ascii="Arial" w:hAnsi="Arial" w:cs="Arial"/>
                <w:b/>
                <w:bCs/>
                <w:sz w:val="20"/>
                <w:szCs w:val="20"/>
              </w:rPr>
            </w:pPr>
            <w:r w:rsidRPr="00C57ACA">
              <w:rPr>
                <w:rFonts w:ascii="Arial" w:hAnsi="Arial" w:cs="Arial"/>
                <w:b/>
                <w:bCs/>
                <w:sz w:val="20"/>
                <w:szCs w:val="20"/>
              </w:rPr>
              <w:t>L01EH0</w:t>
            </w:r>
            <w:r>
              <w:rPr>
                <w:rFonts w:ascii="Arial" w:hAnsi="Arial" w:cs="Arial"/>
                <w:b/>
                <w:bCs/>
                <w:sz w:val="20"/>
                <w:szCs w:val="20"/>
              </w:rPr>
              <w:t>3</w:t>
            </w:r>
          </w:p>
        </w:tc>
        <w:tc>
          <w:tcPr>
            <w:tcW w:w="9452" w:type="dxa"/>
            <w:tcBorders>
              <w:bottom w:val="single" w:sz="4" w:space="0" w:color="auto"/>
            </w:tcBorders>
          </w:tcPr>
          <w:p w14:paraId="121C0B8A" w14:textId="7D3B3A18" w:rsidR="00C57ACA" w:rsidRDefault="00C57ACA" w:rsidP="00C57ACA">
            <w:pPr>
              <w:jc w:val="both"/>
              <w:rPr>
                <w:rFonts w:ascii="Arial" w:hAnsi="Arial" w:cs="Arial"/>
                <w:b/>
                <w:sz w:val="20"/>
                <w:szCs w:val="20"/>
              </w:rPr>
            </w:pPr>
            <w:r w:rsidRPr="00C57ACA">
              <w:rPr>
                <w:rFonts w:ascii="Arial" w:hAnsi="Arial" w:cs="Arial"/>
                <w:b/>
                <w:sz w:val="20"/>
                <w:szCs w:val="20"/>
              </w:rPr>
              <w:t>Tukatinib</w:t>
            </w:r>
            <w:r>
              <w:rPr>
                <w:rFonts w:ascii="Arial" w:hAnsi="Arial" w:cs="Arial"/>
                <w:b/>
                <w:sz w:val="20"/>
                <w:szCs w:val="20"/>
              </w:rPr>
              <w:t xml:space="preserve"> </w:t>
            </w:r>
            <w:r w:rsidRPr="00C57ACA">
              <w:rPr>
                <w:rFonts w:ascii="Arial" w:hAnsi="Arial" w:cs="Arial"/>
                <w:b/>
                <w:sz w:val="20"/>
                <w:szCs w:val="20"/>
              </w:rPr>
              <w:t>p.o. 50 mg</w:t>
            </w:r>
          </w:p>
          <w:p w14:paraId="483A2739" w14:textId="0928CC88" w:rsidR="00C57ACA" w:rsidRPr="00EE0540" w:rsidRDefault="00C57ACA" w:rsidP="00C57ACA">
            <w:pPr>
              <w:jc w:val="both"/>
              <w:rPr>
                <w:rFonts w:ascii="Arial" w:hAnsi="Arial" w:cs="Arial"/>
                <w:b/>
                <w:sz w:val="20"/>
                <w:szCs w:val="20"/>
              </w:rPr>
            </w:pPr>
            <w:r w:rsidRPr="00C57ACA">
              <w:rPr>
                <w:rFonts w:ascii="Arial" w:hAnsi="Arial" w:cs="Arial"/>
                <w:b/>
                <w:sz w:val="20"/>
                <w:szCs w:val="20"/>
              </w:rPr>
              <w:t xml:space="preserve">Tukatinib p.o. 150 mg  </w:t>
            </w:r>
          </w:p>
        </w:tc>
      </w:tr>
      <w:tr w:rsidR="00C57ACA" w:rsidRPr="0000591E" w14:paraId="6D0395BC" w14:textId="77777777" w:rsidTr="00C57ACA">
        <w:trPr>
          <w:gridAfter w:val="2"/>
          <w:wAfter w:w="154" w:type="dxa"/>
          <w:trHeight w:val="20"/>
        </w:trPr>
        <w:tc>
          <w:tcPr>
            <w:tcW w:w="1256" w:type="dxa"/>
            <w:tcBorders>
              <w:top w:val="single" w:sz="4" w:space="0" w:color="auto"/>
            </w:tcBorders>
            <w:noWrap/>
            <w:vAlign w:val="bottom"/>
          </w:tcPr>
          <w:p w14:paraId="1A920F20" w14:textId="77777777" w:rsidR="00C57ACA" w:rsidRPr="00EE0540" w:rsidRDefault="00C57ACA" w:rsidP="00C57ACA">
            <w:pPr>
              <w:jc w:val="both"/>
              <w:rPr>
                <w:rFonts w:ascii="Arial" w:hAnsi="Arial" w:cs="Arial"/>
                <w:b/>
                <w:bCs/>
                <w:sz w:val="20"/>
                <w:szCs w:val="20"/>
              </w:rPr>
            </w:pPr>
          </w:p>
        </w:tc>
        <w:tc>
          <w:tcPr>
            <w:tcW w:w="9452" w:type="dxa"/>
            <w:tcBorders>
              <w:top w:val="single" w:sz="4" w:space="0" w:color="auto"/>
            </w:tcBorders>
          </w:tcPr>
          <w:p w14:paraId="2A9C069F" w14:textId="77777777" w:rsidR="00C57ACA" w:rsidRPr="00C57ACA" w:rsidRDefault="00C57ACA" w:rsidP="00C57ACA">
            <w:pPr>
              <w:jc w:val="both"/>
              <w:rPr>
                <w:rFonts w:ascii="Arial" w:hAnsi="Arial" w:cs="Arial"/>
                <w:bCs/>
                <w:sz w:val="20"/>
                <w:szCs w:val="20"/>
              </w:rPr>
            </w:pPr>
            <w:r w:rsidRPr="00C57ACA">
              <w:rPr>
                <w:rFonts w:ascii="Arial" w:hAnsi="Arial" w:cs="Arial"/>
                <w:bCs/>
                <w:sz w:val="20"/>
                <w:szCs w:val="20"/>
              </w:rPr>
              <w:t xml:space="preserve">Hradená liečba je indikovaná v kombinácii s trastuzumabom a kapecitabínom na liečbu dospelých pacientov s HER2-pozitívnym, lokálne pokročilým alebo metastatickým karcinómom prsníka ako tretia línia liečby u pacientov, ktorí dostali 2 predchádzajúce anti-HER2 liečebné režimy na lokálne pokročilý alebo metastatický karcinóm. </w:t>
            </w:r>
          </w:p>
          <w:p w14:paraId="33E69F49" w14:textId="77777777" w:rsidR="00C57ACA" w:rsidRDefault="00C57ACA" w:rsidP="00C57ACA">
            <w:pPr>
              <w:jc w:val="both"/>
              <w:rPr>
                <w:rFonts w:ascii="Arial" w:hAnsi="Arial" w:cs="Arial"/>
                <w:bCs/>
                <w:sz w:val="20"/>
                <w:szCs w:val="20"/>
              </w:rPr>
            </w:pPr>
            <w:r w:rsidRPr="00C57ACA">
              <w:rPr>
                <w:rFonts w:ascii="Arial" w:hAnsi="Arial" w:cs="Arial"/>
                <w:bCs/>
                <w:sz w:val="20"/>
                <w:szCs w:val="20"/>
              </w:rPr>
              <w:t>Hradená liečba podlieha predchádzajúcemu súhlasu zdravotnej poisťovne.</w:t>
            </w:r>
          </w:p>
          <w:p w14:paraId="705AF8B1" w14:textId="05F42D10" w:rsidR="00C57ACA" w:rsidRPr="00C57ACA" w:rsidRDefault="00C57ACA" w:rsidP="00C57ACA">
            <w:pPr>
              <w:jc w:val="both"/>
              <w:rPr>
                <w:rFonts w:ascii="Arial" w:hAnsi="Arial" w:cs="Arial"/>
                <w:bCs/>
                <w:sz w:val="20"/>
                <w:szCs w:val="20"/>
              </w:rPr>
            </w:pPr>
          </w:p>
        </w:tc>
      </w:tr>
      <w:tr w:rsidR="00C57ACA" w:rsidRPr="0000591E" w14:paraId="5DE5D5FD" w14:textId="77777777" w:rsidTr="00C57ACA">
        <w:trPr>
          <w:gridAfter w:val="2"/>
          <w:wAfter w:w="154" w:type="dxa"/>
          <w:trHeight w:val="20"/>
        </w:trPr>
        <w:tc>
          <w:tcPr>
            <w:tcW w:w="1256" w:type="dxa"/>
            <w:tcBorders>
              <w:bottom w:val="single" w:sz="4" w:space="0" w:color="auto"/>
            </w:tcBorders>
            <w:noWrap/>
            <w:vAlign w:val="bottom"/>
          </w:tcPr>
          <w:p w14:paraId="742F496B" w14:textId="77777777" w:rsidR="00C57ACA" w:rsidRDefault="00C57ACA" w:rsidP="00C57ACA">
            <w:pPr>
              <w:jc w:val="both"/>
              <w:rPr>
                <w:rFonts w:ascii="Arial" w:hAnsi="Arial" w:cs="Arial"/>
                <w:b/>
                <w:bCs/>
                <w:sz w:val="20"/>
                <w:szCs w:val="20"/>
              </w:rPr>
            </w:pPr>
            <w:r w:rsidRPr="00EE0540">
              <w:rPr>
                <w:rFonts w:ascii="Arial" w:hAnsi="Arial" w:cs="Arial"/>
                <w:b/>
                <w:bCs/>
                <w:sz w:val="20"/>
                <w:szCs w:val="20"/>
              </w:rPr>
              <w:t>L01EJ01</w:t>
            </w:r>
          </w:p>
        </w:tc>
        <w:tc>
          <w:tcPr>
            <w:tcW w:w="9452" w:type="dxa"/>
            <w:tcBorders>
              <w:bottom w:val="single" w:sz="4" w:space="0" w:color="auto"/>
            </w:tcBorders>
          </w:tcPr>
          <w:p w14:paraId="5520944B" w14:textId="77777777" w:rsidR="00C57ACA" w:rsidRPr="00EE0540" w:rsidRDefault="00C57ACA" w:rsidP="00C57ACA">
            <w:pPr>
              <w:jc w:val="both"/>
              <w:rPr>
                <w:rFonts w:ascii="Arial" w:hAnsi="Arial" w:cs="Arial"/>
                <w:b/>
                <w:sz w:val="20"/>
                <w:szCs w:val="20"/>
              </w:rPr>
            </w:pPr>
            <w:r w:rsidRPr="00EE0540">
              <w:rPr>
                <w:rFonts w:ascii="Arial" w:hAnsi="Arial" w:cs="Arial"/>
                <w:b/>
                <w:sz w:val="20"/>
                <w:szCs w:val="20"/>
              </w:rPr>
              <w:t>Ruxolitinib p.o.</w:t>
            </w:r>
            <w:r>
              <w:rPr>
                <w:rFonts w:ascii="Arial" w:hAnsi="Arial" w:cs="Arial"/>
                <w:b/>
                <w:sz w:val="20"/>
                <w:szCs w:val="20"/>
              </w:rPr>
              <w:t xml:space="preserve"> 5 mg</w:t>
            </w:r>
          </w:p>
        </w:tc>
      </w:tr>
      <w:tr w:rsidR="00C57ACA" w:rsidRPr="0000591E" w14:paraId="003E4DF6" w14:textId="77777777" w:rsidTr="00887EC0">
        <w:trPr>
          <w:gridAfter w:val="2"/>
          <w:wAfter w:w="154" w:type="dxa"/>
          <w:trHeight w:val="20"/>
        </w:trPr>
        <w:tc>
          <w:tcPr>
            <w:tcW w:w="1256" w:type="dxa"/>
            <w:noWrap/>
            <w:vAlign w:val="bottom"/>
          </w:tcPr>
          <w:p w14:paraId="554F3575" w14:textId="77777777" w:rsidR="00C57ACA" w:rsidRPr="00EE0540" w:rsidRDefault="00C57ACA" w:rsidP="00C57ACA">
            <w:pPr>
              <w:jc w:val="both"/>
              <w:rPr>
                <w:rFonts w:ascii="Arial" w:hAnsi="Arial" w:cs="Arial"/>
                <w:b/>
                <w:bCs/>
                <w:sz w:val="20"/>
                <w:szCs w:val="20"/>
              </w:rPr>
            </w:pPr>
          </w:p>
        </w:tc>
        <w:tc>
          <w:tcPr>
            <w:tcW w:w="9452" w:type="dxa"/>
          </w:tcPr>
          <w:p w14:paraId="5AC2AE95" w14:textId="77777777" w:rsidR="00C57ACA" w:rsidRDefault="00C57ACA" w:rsidP="00C57ACA">
            <w:pPr>
              <w:jc w:val="both"/>
              <w:rPr>
                <w:rFonts w:ascii="Arial" w:hAnsi="Arial" w:cs="Arial"/>
                <w:sz w:val="20"/>
                <w:szCs w:val="20"/>
              </w:rPr>
            </w:pPr>
            <w:r w:rsidRPr="00EE0540">
              <w:rPr>
                <w:rFonts w:ascii="Arial" w:hAnsi="Arial" w:cs="Arial"/>
                <w:sz w:val="20"/>
                <w:szCs w:val="20"/>
              </w:rPr>
              <w:t xml:space="preserve">Hradená liečba sa môže indikovať na liečbu </w:t>
            </w:r>
          </w:p>
          <w:p w14:paraId="79B0653D" w14:textId="77777777" w:rsidR="00C57ACA" w:rsidRDefault="00C57ACA" w:rsidP="00C57ACA">
            <w:pPr>
              <w:jc w:val="both"/>
              <w:rPr>
                <w:rFonts w:ascii="Arial" w:hAnsi="Arial" w:cs="Arial"/>
                <w:sz w:val="20"/>
                <w:szCs w:val="20"/>
              </w:rPr>
            </w:pPr>
            <w:r>
              <w:rPr>
                <w:rFonts w:ascii="Arial" w:hAnsi="Arial" w:cs="Arial"/>
                <w:sz w:val="20"/>
                <w:szCs w:val="20"/>
              </w:rPr>
              <w:t xml:space="preserve">1. </w:t>
            </w:r>
            <w:r w:rsidRPr="00EE0540">
              <w:rPr>
                <w:rFonts w:ascii="Arial" w:hAnsi="Arial" w:cs="Arial"/>
                <w:sz w:val="20"/>
                <w:szCs w:val="20"/>
              </w:rPr>
              <w:t>dospelých pacientov s primárnou myelofibrózou, myelofibrózou po</w:t>
            </w:r>
            <w:r>
              <w:rPr>
                <w:rFonts w:ascii="Arial" w:hAnsi="Arial" w:cs="Arial"/>
                <w:sz w:val="20"/>
                <w:szCs w:val="20"/>
              </w:rPr>
              <w:t xml:space="preserve"> </w:t>
            </w:r>
            <w:r w:rsidRPr="00EE0540">
              <w:rPr>
                <w:rFonts w:ascii="Arial" w:hAnsi="Arial" w:cs="Arial"/>
                <w:sz w:val="20"/>
                <w:szCs w:val="20"/>
              </w:rPr>
              <w:t>polycytémii vera alebo myelofibrózou po esenciálnej trombocytémii s rizikovou kategóriou strednou alebo vysokou</w:t>
            </w:r>
            <w:r>
              <w:rPr>
                <w:rFonts w:ascii="Arial" w:hAnsi="Arial" w:cs="Arial"/>
                <w:sz w:val="20"/>
                <w:szCs w:val="20"/>
              </w:rPr>
              <w:t xml:space="preserve"> </w:t>
            </w:r>
            <w:r w:rsidRPr="00EE0540">
              <w:rPr>
                <w:rFonts w:ascii="Arial" w:hAnsi="Arial" w:cs="Arial"/>
                <w:sz w:val="20"/>
                <w:szCs w:val="20"/>
              </w:rPr>
              <w:t>podľa prognostických skórovacích systémov IPSS alebo DIPSS s</w:t>
            </w:r>
            <w:r>
              <w:rPr>
                <w:rFonts w:ascii="Arial" w:hAnsi="Arial" w:cs="Arial"/>
                <w:sz w:val="20"/>
                <w:szCs w:val="20"/>
              </w:rPr>
              <w:t> </w:t>
            </w:r>
            <w:r w:rsidRPr="00EE0540">
              <w:rPr>
                <w:rFonts w:ascii="Arial" w:hAnsi="Arial" w:cs="Arial"/>
                <w:sz w:val="20"/>
                <w:szCs w:val="20"/>
              </w:rPr>
              <w:t>prítomnosťou</w:t>
            </w:r>
          </w:p>
          <w:p w14:paraId="7F28D090"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a) výraznej, symptomatickej splenomegálie (palpačne ≥5 cm pod ľavým rebrovým oblúkom), alebo</w:t>
            </w:r>
          </w:p>
          <w:p w14:paraId="5BD62ACF" w14:textId="77777777" w:rsidR="00C57ACA" w:rsidRDefault="00C57ACA" w:rsidP="00C57ACA">
            <w:pPr>
              <w:jc w:val="both"/>
              <w:rPr>
                <w:rFonts w:ascii="Arial" w:hAnsi="Arial" w:cs="Arial"/>
                <w:sz w:val="20"/>
                <w:szCs w:val="20"/>
              </w:rPr>
            </w:pPr>
            <w:r w:rsidRPr="00EE0540">
              <w:rPr>
                <w:rFonts w:ascii="Arial" w:hAnsi="Arial" w:cs="Arial"/>
                <w:sz w:val="20"/>
                <w:szCs w:val="20"/>
              </w:rPr>
              <w:t>b) príznakov súvisiacich s ochorením (prítomné ≥2 príznaky) podľa symptómového skóre na škále MPN-SAF TSS</w:t>
            </w:r>
          </w:p>
          <w:p w14:paraId="423522D6" w14:textId="77777777" w:rsidR="00C57ACA" w:rsidRDefault="00C57ACA" w:rsidP="00C57ACA">
            <w:pPr>
              <w:jc w:val="both"/>
              <w:rPr>
                <w:rFonts w:ascii="Arial" w:hAnsi="Arial" w:cs="Arial"/>
                <w:sz w:val="20"/>
                <w:szCs w:val="20"/>
              </w:rPr>
            </w:pPr>
            <w:r w:rsidRPr="00EE0540">
              <w:rPr>
                <w:rFonts w:ascii="Arial" w:hAnsi="Arial" w:cs="Arial"/>
                <w:sz w:val="20"/>
                <w:szCs w:val="20"/>
              </w:rPr>
              <w:t>(Myeloproliferative Neoplasm Symptom Assessment Form Total Symptom Score).</w:t>
            </w:r>
          </w:p>
          <w:p w14:paraId="0B864B34" w14:textId="77777777" w:rsidR="00C57ACA" w:rsidRPr="00EE0540" w:rsidRDefault="00C57ACA" w:rsidP="00C57ACA">
            <w:pPr>
              <w:jc w:val="both"/>
              <w:rPr>
                <w:rFonts w:ascii="Arial" w:hAnsi="Arial" w:cs="Arial"/>
                <w:sz w:val="20"/>
                <w:szCs w:val="20"/>
              </w:rPr>
            </w:pPr>
          </w:p>
          <w:p w14:paraId="39FFCD1A"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Ďalšia liečba nie je hradenou liečbou, ak je zistené aspoň jedno z týchto kritérií:</w:t>
            </w:r>
          </w:p>
          <w:p w14:paraId="256C35AA" w14:textId="77777777" w:rsidR="00C57ACA" w:rsidRDefault="00C57ACA" w:rsidP="00C57ACA">
            <w:pPr>
              <w:jc w:val="both"/>
              <w:rPr>
                <w:rFonts w:ascii="Arial" w:hAnsi="Arial" w:cs="Arial"/>
                <w:sz w:val="20"/>
                <w:szCs w:val="20"/>
              </w:rPr>
            </w:pPr>
            <w:r w:rsidRPr="00EE0540">
              <w:rPr>
                <w:rFonts w:ascii="Arial" w:hAnsi="Arial" w:cs="Arial"/>
                <w:sz w:val="20"/>
                <w:szCs w:val="20"/>
              </w:rPr>
              <w:t>a) ak do 6 mesiacov od začatia liečby nedôjde k zmenšeniu objemu sleziny a zlepšeniu príznakov na škále MPNSAF TSS</w:t>
            </w:r>
          </w:p>
          <w:p w14:paraId="43537EB8" w14:textId="77777777" w:rsidR="00C57ACA" w:rsidRDefault="00C57ACA" w:rsidP="00C57ACA">
            <w:pPr>
              <w:jc w:val="both"/>
              <w:rPr>
                <w:rFonts w:ascii="Arial" w:hAnsi="Arial" w:cs="Arial"/>
                <w:sz w:val="20"/>
                <w:szCs w:val="20"/>
              </w:rPr>
            </w:pPr>
            <w:r>
              <w:rPr>
                <w:rFonts w:ascii="Arial" w:hAnsi="Arial" w:cs="Arial"/>
                <w:sz w:val="20"/>
                <w:szCs w:val="20"/>
              </w:rPr>
              <w:t xml:space="preserve">b) </w:t>
            </w:r>
            <w:r w:rsidRPr="00EE0540">
              <w:rPr>
                <w:rFonts w:ascii="Arial" w:hAnsi="Arial" w:cs="Arial"/>
                <w:sz w:val="20"/>
                <w:szCs w:val="20"/>
              </w:rPr>
              <w:t>ak dochádza k progresii ochorenia (definovanej ako 25% zväčšenie objemu sleziny v porovnaní s</w:t>
            </w:r>
            <w:r>
              <w:rPr>
                <w:rFonts w:ascii="Arial" w:hAnsi="Arial" w:cs="Arial"/>
                <w:sz w:val="20"/>
                <w:szCs w:val="20"/>
              </w:rPr>
              <w:t> </w:t>
            </w:r>
            <w:r w:rsidRPr="00EE0540">
              <w:rPr>
                <w:rFonts w:ascii="Arial" w:hAnsi="Arial" w:cs="Arial"/>
                <w:sz w:val="20"/>
                <w:szCs w:val="20"/>
              </w:rPr>
              <w:t>východiskovou</w:t>
            </w:r>
            <w:r>
              <w:rPr>
                <w:rFonts w:ascii="Arial" w:hAnsi="Arial" w:cs="Arial"/>
                <w:sz w:val="20"/>
                <w:szCs w:val="20"/>
              </w:rPr>
              <w:t xml:space="preserve"> </w:t>
            </w:r>
            <w:r w:rsidRPr="00EE0540">
              <w:rPr>
                <w:rFonts w:ascii="Arial" w:hAnsi="Arial" w:cs="Arial"/>
                <w:sz w:val="20"/>
                <w:szCs w:val="20"/>
              </w:rPr>
              <w:t>hodnotou) a zhoršovaniu príznakov súvisiacich s ochorením.</w:t>
            </w:r>
          </w:p>
          <w:p w14:paraId="75312904" w14:textId="77777777" w:rsidR="00C57ACA" w:rsidRDefault="00C57ACA" w:rsidP="00C57ACA">
            <w:pPr>
              <w:jc w:val="both"/>
              <w:rPr>
                <w:rFonts w:ascii="Arial" w:hAnsi="Arial" w:cs="Arial"/>
                <w:sz w:val="20"/>
                <w:szCs w:val="20"/>
              </w:rPr>
            </w:pPr>
          </w:p>
          <w:p w14:paraId="79FF65ED" w14:textId="77777777" w:rsidR="00C57ACA" w:rsidRDefault="00C57ACA" w:rsidP="00C57ACA">
            <w:pPr>
              <w:jc w:val="both"/>
              <w:rPr>
                <w:rFonts w:ascii="Arial" w:hAnsi="Arial" w:cs="Arial"/>
                <w:sz w:val="20"/>
                <w:szCs w:val="20"/>
              </w:rPr>
            </w:pPr>
            <w:r w:rsidRPr="00525870">
              <w:rPr>
                <w:rFonts w:ascii="Arial" w:hAnsi="Arial" w:cs="Arial"/>
                <w:sz w:val="20"/>
                <w:szCs w:val="20"/>
              </w:rPr>
              <w:t>2. pacientov vo veku 12 rokov a starších s akútnou imunologickou reakciou štepu proti hostiteľovi alebo chronickou imunologickou reakciou štepu proti hostiteľovi, ktorí neodpovedajú adekvátne na kortikosteroidy alebo inú systémovú liečbu. U pacientov s chronickou GvHD môže byť liečba hradená aj po predchádzajúcej liečbe ruxolitinibom v indikácii akútnej GvHD. Hradená liečba sa môže indikovať na nasledujúcich pracoviskách: Univerzitná nemocnica Bratislava, Nemocnica sv. Cyrila a Metoda, Antolská, Národný onkologický ústav, Bratislava, Národný ústav detských chorôb, Bratislava, Univerzitná nemocnica Martin, Univerzitná nemocnica L. Pasteura, Košice, Fakultná nemocnica F.D. Roosevelta, Banská Bystrica, Fakultná</w:t>
            </w:r>
            <w:r>
              <w:rPr>
                <w:rFonts w:ascii="Arial" w:hAnsi="Arial" w:cs="Arial"/>
                <w:sz w:val="20"/>
                <w:szCs w:val="20"/>
              </w:rPr>
              <w:t xml:space="preserve"> </w:t>
            </w:r>
            <w:r w:rsidRPr="00525870">
              <w:rPr>
                <w:rFonts w:ascii="Arial" w:hAnsi="Arial" w:cs="Arial"/>
                <w:sz w:val="20"/>
                <w:szCs w:val="20"/>
              </w:rPr>
              <w:t>nemocnica J.A. Reimana, Prešov.</w:t>
            </w:r>
          </w:p>
          <w:p w14:paraId="55F62F74" w14:textId="77777777" w:rsidR="00C57ACA" w:rsidRDefault="00C57ACA" w:rsidP="00C57ACA">
            <w:pPr>
              <w:jc w:val="both"/>
              <w:rPr>
                <w:rFonts w:ascii="Arial" w:hAnsi="Arial" w:cs="Arial"/>
                <w:sz w:val="20"/>
                <w:szCs w:val="20"/>
              </w:rPr>
            </w:pPr>
          </w:p>
          <w:p w14:paraId="608766CE" w14:textId="77777777" w:rsidR="00C57ACA" w:rsidRPr="00701B37" w:rsidRDefault="00C57ACA" w:rsidP="00C57ACA">
            <w:pPr>
              <w:jc w:val="both"/>
              <w:rPr>
                <w:rFonts w:ascii="Arial" w:hAnsi="Arial" w:cs="Arial"/>
                <w:sz w:val="20"/>
                <w:szCs w:val="20"/>
              </w:rPr>
            </w:pPr>
            <w:r>
              <w:rPr>
                <w:rFonts w:ascii="Arial" w:hAnsi="Arial" w:cs="Arial"/>
                <w:sz w:val="20"/>
                <w:szCs w:val="20"/>
              </w:rPr>
              <w:t xml:space="preserve">3. </w:t>
            </w:r>
            <w:r w:rsidRPr="00701B37">
              <w:rPr>
                <w:rFonts w:ascii="Arial" w:hAnsi="Arial" w:cs="Arial"/>
                <w:sz w:val="20"/>
                <w:szCs w:val="20"/>
              </w:rPr>
              <w:t xml:space="preserve">dospelých pacientov s polycytémiou vera s rezistenciou alebo intoleranciou na hydroxyureu. </w:t>
            </w:r>
          </w:p>
          <w:p w14:paraId="457FDBBB" w14:textId="77777777" w:rsidR="00C57ACA" w:rsidRPr="00701B37" w:rsidRDefault="00C57ACA" w:rsidP="00C57ACA">
            <w:pPr>
              <w:jc w:val="both"/>
              <w:rPr>
                <w:rFonts w:ascii="Arial" w:hAnsi="Arial" w:cs="Arial"/>
                <w:sz w:val="20"/>
                <w:szCs w:val="20"/>
              </w:rPr>
            </w:pPr>
            <w:r w:rsidRPr="00701B37">
              <w:rPr>
                <w:rFonts w:ascii="Arial" w:hAnsi="Arial" w:cs="Arial"/>
                <w:sz w:val="20"/>
                <w:szCs w:val="20"/>
              </w:rPr>
              <w:t>Liečba je hradená pre pacientov s výkonnostným statusom ECOG 0-2.</w:t>
            </w:r>
          </w:p>
          <w:p w14:paraId="551D682E" w14:textId="77777777" w:rsidR="00C57ACA" w:rsidRPr="00701B37" w:rsidRDefault="00C57ACA" w:rsidP="00C57ACA">
            <w:pPr>
              <w:jc w:val="both"/>
              <w:rPr>
                <w:rFonts w:ascii="Arial" w:hAnsi="Arial" w:cs="Arial"/>
                <w:sz w:val="20"/>
                <w:szCs w:val="20"/>
              </w:rPr>
            </w:pPr>
          </w:p>
          <w:p w14:paraId="28267071" w14:textId="77777777" w:rsidR="00C57ACA" w:rsidRDefault="00C57ACA" w:rsidP="00C57ACA">
            <w:pPr>
              <w:jc w:val="both"/>
              <w:rPr>
                <w:rFonts w:ascii="Arial" w:hAnsi="Arial" w:cs="Arial"/>
                <w:sz w:val="20"/>
                <w:szCs w:val="20"/>
              </w:rPr>
            </w:pPr>
            <w:r w:rsidRPr="00701B37">
              <w:rPr>
                <w:rFonts w:ascii="Arial" w:hAnsi="Arial" w:cs="Arial"/>
                <w:sz w:val="20"/>
                <w:szCs w:val="20"/>
              </w:rPr>
              <w:t>Hradená liečba podlieha predchádzajúcemu súhlasu zdravotnej poisťovne.</w:t>
            </w:r>
          </w:p>
          <w:p w14:paraId="64327EFB" w14:textId="7E1C8BA7" w:rsidR="00C57ACA" w:rsidRPr="00EE0540" w:rsidRDefault="00C57ACA" w:rsidP="00C57ACA">
            <w:pPr>
              <w:jc w:val="both"/>
              <w:rPr>
                <w:rFonts w:ascii="Arial" w:hAnsi="Arial" w:cs="Arial"/>
                <w:b/>
                <w:sz w:val="20"/>
                <w:szCs w:val="20"/>
              </w:rPr>
            </w:pPr>
          </w:p>
        </w:tc>
      </w:tr>
      <w:tr w:rsidR="00C57ACA" w:rsidRPr="0000591E" w14:paraId="593EA142" w14:textId="77777777" w:rsidTr="00887EC0">
        <w:trPr>
          <w:gridAfter w:val="2"/>
          <w:wAfter w:w="154" w:type="dxa"/>
          <w:trHeight w:val="557"/>
        </w:trPr>
        <w:tc>
          <w:tcPr>
            <w:tcW w:w="1256" w:type="dxa"/>
            <w:tcBorders>
              <w:bottom w:val="single" w:sz="4" w:space="0" w:color="auto"/>
            </w:tcBorders>
            <w:noWrap/>
            <w:vAlign w:val="bottom"/>
          </w:tcPr>
          <w:p w14:paraId="79635FDF" w14:textId="745F61E6" w:rsidR="00C57ACA" w:rsidRPr="00EE0540" w:rsidRDefault="00C57ACA" w:rsidP="00C57ACA">
            <w:pPr>
              <w:jc w:val="both"/>
              <w:rPr>
                <w:rFonts w:ascii="Arial" w:hAnsi="Arial" w:cs="Arial"/>
                <w:b/>
                <w:bCs/>
                <w:sz w:val="20"/>
                <w:szCs w:val="20"/>
              </w:rPr>
            </w:pPr>
            <w:r w:rsidRPr="00EE0540">
              <w:rPr>
                <w:rFonts w:ascii="Arial" w:hAnsi="Arial" w:cs="Arial"/>
                <w:b/>
                <w:bCs/>
                <w:sz w:val="20"/>
                <w:szCs w:val="20"/>
              </w:rPr>
              <w:t>L01EJ01</w:t>
            </w:r>
          </w:p>
        </w:tc>
        <w:tc>
          <w:tcPr>
            <w:tcW w:w="9452" w:type="dxa"/>
            <w:tcBorders>
              <w:bottom w:val="single" w:sz="4" w:space="0" w:color="auto"/>
            </w:tcBorders>
            <w:vAlign w:val="bottom"/>
          </w:tcPr>
          <w:p w14:paraId="7461F900" w14:textId="77777777" w:rsidR="00C57ACA" w:rsidRDefault="00C57ACA" w:rsidP="00C57ACA">
            <w:pPr>
              <w:jc w:val="both"/>
              <w:rPr>
                <w:rFonts w:ascii="Arial" w:hAnsi="Arial" w:cs="Arial"/>
                <w:b/>
                <w:sz w:val="20"/>
                <w:szCs w:val="20"/>
              </w:rPr>
            </w:pPr>
            <w:r w:rsidRPr="00EE0540">
              <w:rPr>
                <w:rFonts w:ascii="Arial" w:hAnsi="Arial" w:cs="Arial"/>
                <w:b/>
                <w:sz w:val="20"/>
                <w:szCs w:val="20"/>
              </w:rPr>
              <w:t xml:space="preserve">Ruxolitinib p.o. </w:t>
            </w:r>
            <w:r>
              <w:rPr>
                <w:rFonts w:ascii="Arial" w:hAnsi="Arial" w:cs="Arial"/>
                <w:b/>
                <w:sz w:val="20"/>
                <w:szCs w:val="20"/>
              </w:rPr>
              <w:t>15 mg</w:t>
            </w:r>
          </w:p>
          <w:p w14:paraId="6D9A731A" w14:textId="77777777" w:rsidR="00C57ACA" w:rsidRPr="00EE0540" w:rsidRDefault="00C57ACA" w:rsidP="00C57ACA">
            <w:pPr>
              <w:jc w:val="both"/>
              <w:rPr>
                <w:rFonts w:ascii="Arial" w:hAnsi="Arial" w:cs="Arial"/>
                <w:sz w:val="20"/>
                <w:szCs w:val="20"/>
              </w:rPr>
            </w:pPr>
            <w:r w:rsidRPr="00EE0540">
              <w:rPr>
                <w:rFonts w:ascii="Arial" w:hAnsi="Arial" w:cs="Arial"/>
                <w:b/>
                <w:sz w:val="20"/>
                <w:szCs w:val="20"/>
              </w:rPr>
              <w:t>Ruxolitinib p.o 20 mg</w:t>
            </w:r>
          </w:p>
        </w:tc>
      </w:tr>
      <w:tr w:rsidR="00C57ACA" w:rsidRPr="0000591E" w14:paraId="19CA3562" w14:textId="77777777" w:rsidTr="00887EC0">
        <w:trPr>
          <w:gridAfter w:val="2"/>
          <w:wAfter w:w="154" w:type="dxa"/>
          <w:trHeight w:val="20"/>
        </w:trPr>
        <w:tc>
          <w:tcPr>
            <w:tcW w:w="1256" w:type="dxa"/>
            <w:tcBorders>
              <w:top w:val="single" w:sz="4" w:space="0" w:color="auto"/>
            </w:tcBorders>
            <w:noWrap/>
            <w:vAlign w:val="bottom"/>
          </w:tcPr>
          <w:p w14:paraId="52BD41B5" w14:textId="77777777" w:rsidR="00C57ACA" w:rsidRPr="00EE0540" w:rsidRDefault="00C57ACA" w:rsidP="00C57ACA">
            <w:pPr>
              <w:jc w:val="both"/>
              <w:rPr>
                <w:rFonts w:ascii="Arial" w:hAnsi="Arial" w:cs="Arial"/>
                <w:b/>
                <w:bCs/>
                <w:sz w:val="20"/>
                <w:szCs w:val="20"/>
              </w:rPr>
            </w:pPr>
          </w:p>
        </w:tc>
        <w:tc>
          <w:tcPr>
            <w:tcW w:w="9452" w:type="dxa"/>
            <w:tcBorders>
              <w:top w:val="single" w:sz="4" w:space="0" w:color="auto"/>
            </w:tcBorders>
          </w:tcPr>
          <w:p w14:paraId="418EA9B3" w14:textId="77777777" w:rsidR="00C57ACA" w:rsidRDefault="00C57ACA" w:rsidP="00C57ACA">
            <w:pPr>
              <w:jc w:val="both"/>
              <w:rPr>
                <w:rFonts w:ascii="Arial" w:hAnsi="Arial" w:cs="Arial"/>
                <w:sz w:val="20"/>
                <w:szCs w:val="20"/>
              </w:rPr>
            </w:pPr>
            <w:r w:rsidRPr="00EE0540">
              <w:rPr>
                <w:rFonts w:ascii="Arial" w:hAnsi="Arial" w:cs="Arial"/>
                <w:sz w:val="20"/>
                <w:szCs w:val="20"/>
              </w:rPr>
              <w:t xml:space="preserve">Hradená liečba sa môže indikovať na liečbu </w:t>
            </w:r>
          </w:p>
          <w:p w14:paraId="191115EA" w14:textId="77777777" w:rsidR="00C57ACA" w:rsidRDefault="00C57ACA" w:rsidP="00C57ACA">
            <w:pPr>
              <w:jc w:val="both"/>
              <w:rPr>
                <w:rFonts w:ascii="Arial" w:hAnsi="Arial" w:cs="Arial"/>
                <w:sz w:val="20"/>
                <w:szCs w:val="20"/>
              </w:rPr>
            </w:pPr>
            <w:r>
              <w:rPr>
                <w:rFonts w:ascii="Arial" w:hAnsi="Arial" w:cs="Arial"/>
                <w:sz w:val="20"/>
                <w:szCs w:val="20"/>
              </w:rPr>
              <w:t xml:space="preserve">1. </w:t>
            </w:r>
            <w:r w:rsidRPr="00EE0540">
              <w:rPr>
                <w:rFonts w:ascii="Arial" w:hAnsi="Arial" w:cs="Arial"/>
                <w:sz w:val="20"/>
                <w:szCs w:val="20"/>
              </w:rPr>
              <w:t>dospelých pacientov s primárnou myelofibrózou, myelofibrózou po</w:t>
            </w:r>
            <w:r>
              <w:rPr>
                <w:rFonts w:ascii="Arial" w:hAnsi="Arial" w:cs="Arial"/>
                <w:sz w:val="20"/>
                <w:szCs w:val="20"/>
              </w:rPr>
              <w:t xml:space="preserve"> </w:t>
            </w:r>
            <w:r w:rsidRPr="00EE0540">
              <w:rPr>
                <w:rFonts w:ascii="Arial" w:hAnsi="Arial" w:cs="Arial"/>
                <w:sz w:val="20"/>
                <w:szCs w:val="20"/>
              </w:rPr>
              <w:t>polycytémii vera alebo myelofibrózou po esenciálnej trombocytémii s rizikovou kategóriou strednou alebo vysokou</w:t>
            </w:r>
            <w:r>
              <w:rPr>
                <w:rFonts w:ascii="Arial" w:hAnsi="Arial" w:cs="Arial"/>
                <w:sz w:val="20"/>
                <w:szCs w:val="20"/>
              </w:rPr>
              <w:t xml:space="preserve"> </w:t>
            </w:r>
            <w:r w:rsidRPr="00EE0540">
              <w:rPr>
                <w:rFonts w:ascii="Arial" w:hAnsi="Arial" w:cs="Arial"/>
                <w:sz w:val="20"/>
                <w:szCs w:val="20"/>
              </w:rPr>
              <w:t>podľa prognostických skórovacích systémov IPSS alebo DIPSS s</w:t>
            </w:r>
            <w:r>
              <w:rPr>
                <w:rFonts w:ascii="Arial" w:hAnsi="Arial" w:cs="Arial"/>
                <w:sz w:val="20"/>
                <w:szCs w:val="20"/>
              </w:rPr>
              <w:t> </w:t>
            </w:r>
            <w:r w:rsidRPr="00EE0540">
              <w:rPr>
                <w:rFonts w:ascii="Arial" w:hAnsi="Arial" w:cs="Arial"/>
                <w:sz w:val="20"/>
                <w:szCs w:val="20"/>
              </w:rPr>
              <w:t>prítomnosťou</w:t>
            </w:r>
            <w:r>
              <w:rPr>
                <w:rFonts w:ascii="Arial" w:hAnsi="Arial" w:cs="Arial"/>
                <w:sz w:val="20"/>
                <w:szCs w:val="20"/>
              </w:rPr>
              <w:t xml:space="preserve"> </w:t>
            </w:r>
          </w:p>
          <w:p w14:paraId="3F827C56"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a) výraznej, symptomatickej splenomegálie (palpačne ≥5 cm pod ľavým rebrovým oblúkom), alebo</w:t>
            </w:r>
          </w:p>
          <w:p w14:paraId="0BE8D047" w14:textId="77777777" w:rsidR="00C57ACA" w:rsidRDefault="00C57ACA" w:rsidP="00C57ACA">
            <w:pPr>
              <w:jc w:val="both"/>
              <w:rPr>
                <w:rFonts w:ascii="Arial" w:hAnsi="Arial" w:cs="Arial"/>
                <w:sz w:val="20"/>
                <w:szCs w:val="20"/>
              </w:rPr>
            </w:pPr>
            <w:r w:rsidRPr="00EE0540">
              <w:rPr>
                <w:rFonts w:ascii="Arial" w:hAnsi="Arial" w:cs="Arial"/>
                <w:sz w:val="20"/>
                <w:szCs w:val="20"/>
              </w:rPr>
              <w:t>b) príznakov súvisiacich s ochorením (prítomné ≥2 príznaky) podľa symptómového skóre na škále MPN-SAF TSS</w:t>
            </w:r>
            <w:r>
              <w:rPr>
                <w:rFonts w:ascii="Arial" w:hAnsi="Arial" w:cs="Arial"/>
                <w:sz w:val="20"/>
                <w:szCs w:val="20"/>
              </w:rPr>
              <w:t xml:space="preserve"> </w:t>
            </w:r>
            <w:r w:rsidRPr="00EE0540">
              <w:rPr>
                <w:rFonts w:ascii="Arial" w:hAnsi="Arial" w:cs="Arial"/>
                <w:sz w:val="20"/>
                <w:szCs w:val="20"/>
              </w:rPr>
              <w:t>(Myeloproliferative Neoplasm Symptom Assessment Form Total Symptom Score).</w:t>
            </w:r>
          </w:p>
          <w:p w14:paraId="7D8AEFE2" w14:textId="77777777" w:rsidR="00C57ACA" w:rsidRPr="00EE0540" w:rsidRDefault="00C57ACA" w:rsidP="00C57ACA">
            <w:pPr>
              <w:jc w:val="both"/>
              <w:rPr>
                <w:rFonts w:ascii="Arial" w:hAnsi="Arial" w:cs="Arial"/>
                <w:sz w:val="20"/>
                <w:szCs w:val="20"/>
              </w:rPr>
            </w:pPr>
          </w:p>
          <w:p w14:paraId="5621A4DD"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Ďalšia liečba nie je hradenou liečbou, ak je zistené aspoň jedno z týchto kritérií:</w:t>
            </w:r>
          </w:p>
          <w:p w14:paraId="63BEA48D" w14:textId="77777777" w:rsidR="00C57ACA" w:rsidRDefault="00C57ACA" w:rsidP="00C57ACA">
            <w:pPr>
              <w:jc w:val="both"/>
              <w:rPr>
                <w:rFonts w:ascii="Arial" w:hAnsi="Arial" w:cs="Arial"/>
                <w:sz w:val="20"/>
                <w:szCs w:val="20"/>
              </w:rPr>
            </w:pPr>
            <w:r w:rsidRPr="00EE0540">
              <w:rPr>
                <w:rFonts w:ascii="Arial" w:hAnsi="Arial" w:cs="Arial"/>
                <w:sz w:val="20"/>
                <w:szCs w:val="20"/>
              </w:rPr>
              <w:t>a)</w:t>
            </w:r>
            <w:r>
              <w:rPr>
                <w:rFonts w:ascii="Arial" w:hAnsi="Arial" w:cs="Arial"/>
                <w:sz w:val="20"/>
                <w:szCs w:val="20"/>
              </w:rPr>
              <w:t xml:space="preserve"> </w:t>
            </w:r>
            <w:r w:rsidRPr="00EE0540">
              <w:rPr>
                <w:rFonts w:ascii="Arial" w:hAnsi="Arial" w:cs="Arial"/>
                <w:sz w:val="20"/>
                <w:szCs w:val="20"/>
              </w:rPr>
              <w:t>ak do 6 mesiacov od začatia liečby nedôjde k zmenšeniu objemu sleziny a zlepšeniu príznakov na škále MPNSAF TSS</w:t>
            </w:r>
          </w:p>
          <w:p w14:paraId="23BB8F23" w14:textId="77777777" w:rsidR="00C57ACA" w:rsidRDefault="00C57ACA" w:rsidP="00C57ACA">
            <w:pPr>
              <w:jc w:val="both"/>
              <w:rPr>
                <w:rFonts w:ascii="Arial" w:hAnsi="Arial" w:cs="Arial"/>
                <w:sz w:val="20"/>
                <w:szCs w:val="20"/>
              </w:rPr>
            </w:pPr>
            <w:r>
              <w:rPr>
                <w:rFonts w:ascii="Arial" w:hAnsi="Arial" w:cs="Arial"/>
                <w:sz w:val="20"/>
                <w:szCs w:val="20"/>
              </w:rPr>
              <w:t xml:space="preserve">b) </w:t>
            </w:r>
            <w:r w:rsidRPr="00EE0540">
              <w:rPr>
                <w:rFonts w:ascii="Arial" w:hAnsi="Arial" w:cs="Arial"/>
                <w:sz w:val="20"/>
                <w:szCs w:val="20"/>
              </w:rPr>
              <w:t>ak dochádza k progresii ochorenia (definovanej ako 25% zväčšenie objemu sleziny v porovnaní s</w:t>
            </w:r>
            <w:r>
              <w:rPr>
                <w:rFonts w:ascii="Arial" w:hAnsi="Arial" w:cs="Arial"/>
                <w:sz w:val="20"/>
                <w:szCs w:val="20"/>
              </w:rPr>
              <w:t> </w:t>
            </w:r>
            <w:r w:rsidRPr="00EE0540">
              <w:rPr>
                <w:rFonts w:ascii="Arial" w:hAnsi="Arial" w:cs="Arial"/>
                <w:sz w:val="20"/>
                <w:szCs w:val="20"/>
              </w:rPr>
              <w:t>východiskovou</w:t>
            </w:r>
            <w:r>
              <w:rPr>
                <w:rFonts w:ascii="Arial" w:hAnsi="Arial" w:cs="Arial"/>
                <w:sz w:val="20"/>
                <w:szCs w:val="20"/>
              </w:rPr>
              <w:t xml:space="preserve"> </w:t>
            </w:r>
            <w:r w:rsidRPr="00EE0540">
              <w:rPr>
                <w:rFonts w:ascii="Arial" w:hAnsi="Arial" w:cs="Arial"/>
                <w:sz w:val="20"/>
                <w:szCs w:val="20"/>
              </w:rPr>
              <w:t>hodnotou) a zhoršovaniu príznakov súvisiacich s ochorením.</w:t>
            </w:r>
          </w:p>
          <w:p w14:paraId="6D6F0A5A" w14:textId="77777777" w:rsidR="00C57ACA" w:rsidRDefault="00C57ACA" w:rsidP="00C57ACA">
            <w:pPr>
              <w:jc w:val="both"/>
              <w:rPr>
                <w:rFonts w:ascii="Arial" w:hAnsi="Arial" w:cs="Arial"/>
                <w:sz w:val="20"/>
                <w:szCs w:val="20"/>
              </w:rPr>
            </w:pPr>
          </w:p>
          <w:p w14:paraId="57ED1A53" w14:textId="77777777" w:rsidR="00C57ACA" w:rsidRPr="00C12FCA" w:rsidRDefault="00C57ACA" w:rsidP="00C57ACA">
            <w:pPr>
              <w:jc w:val="both"/>
              <w:rPr>
                <w:rFonts w:ascii="Arial" w:hAnsi="Arial" w:cs="Arial"/>
                <w:sz w:val="20"/>
                <w:szCs w:val="20"/>
              </w:rPr>
            </w:pPr>
            <w:r>
              <w:rPr>
                <w:rFonts w:ascii="Arial" w:hAnsi="Arial" w:cs="Arial"/>
                <w:sz w:val="20"/>
                <w:szCs w:val="20"/>
              </w:rPr>
              <w:t>2</w:t>
            </w:r>
            <w:r w:rsidRPr="00C12FCA">
              <w:rPr>
                <w:rFonts w:ascii="Arial" w:hAnsi="Arial" w:cs="Arial"/>
                <w:sz w:val="20"/>
                <w:szCs w:val="20"/>
              </w:rPr>
              <w:t xml:space="preserve">. dospelých pacientov s polycytémiou vera s rezistenciou alebo intoleranciou na hydroxyureu. </w:t>
            </w:r>
          </w:p>
          <w:p w14:paraId="3E17D744" w14:textId="77777777" w:rsidR="00C57ACA" w:rsidRPr="00C12FCA" w:rsidRDefault="00C57ACA" w:rsidP="00C57ACA">
            <w:pPr>
              <w:jc w:val="both"/>
              <w:rPr>
                <w:rFonts w:ascii="Arial" w:hAnsi="Arial" w:cs="Arial"/>
                <w:sz w:val="20"/>
                <w:szCs w:val="20"/>
              </w:rPr>
            </w:pPr>
            <w:r w:rsidRPr="00C12FCA">
              <w:rPr>
                <w:rFonts w:ascii="Arial" w:hAnsi="Arial" w:cs="Arial"/>
                <w:sz w:val="20"/>
                <w:szCs w:val="20"/>
              </w:rPr>
              <w:t>Liečba je hradená pre pacientov s výkonnostným statusom ECOG 0-2.</w:t>
            </w:r>
          </w:p>
          <w:p w14:paraId="33AA21DF" w14:textId="77777777" w:rsidR="00C57ACA" w:rsidRPr="00C12FCA" w:rsidRDefault="00C57ACA" w:rsidP="00C57ACA">
            <w:pPr>
              <w:jc w:val="both"/>
              <w:rPr>
                <w:rFonts w:ascii="Arial" w:hAnsi="Arial" w:cs="Arial"/>
                <w:sz w:val="20"/>
                <w:szCs w:val="20"/>
              </w:rPr>
            </w:pPr>
          </w:p>
          <w:p w14:paraId="20E23D82" w14:textId="77777777" w:rsidR="00C57ACA" w:rsidRPr="00EE0540" w:rsidRDefault="00C57ACA" w:rsidP="00C57ACA">
            <w:pPr>
              <w:jc w:val="both"/>
              <w:rPr>
                <w:rFonts w:ascii="Arial" w:hAnsi="Arial" w:cs="Arial"/>
                <w:sz w:val="20"/>
                <w:szCs w:val="20"/>
              </w:rPr>
            </w:pPr>
            <w:r w:rsidRPr="00C12FCA">
              <w:rPr>
                <w:rFonts w:ascii="Arial" w:hAnsi="Arial" w:cs="Arial"/>
                <w:sz w:val="20"/>
                <w:szCs w:val="20"/>
              </w:rPr>
              <w:t>Hradená liečba podlieha predchádzajúcemu súhlasu zdravotnej poisťovne.</w:t>
            </w:r>
          </w:p>
          <w:p w14:paraId="225E615F" w14:textId="77777777" w:rsidR="00C57ACA" w:rsidRPr="00EE0540" w:rsidRDefault="00C57ACA" w:rsidP="00C57ACA">
            <w:pPr>
              <w:jc w:val="both"/>
              <w:rPr>
                <w:rFonts w:ascii="Arial" w:hAnsi="Arial" w:cs="Arial"/>
                <w:sz w:val="20"/>
                <w:szCs w:val="20"/>
              </w:rPr>
            </w:pPr>
          </w:p>
        </w:tc>
      </w:tr>
      <w:tr w:rsidR="00C57ACA" w:rsidRPr="0000591E" w14:paraId="76D80582" w14:textId="77777777" w:rsidTr="003F7925">
        <w:trPr>
          <w:gridAfter w:val="2"/>
          <w:wAfter w:w="154" w:type="dxa"/>
          <w:trHeight w:val="20"/>
        </w:trPr>
        <w:tc>
          <w:tcPr>
            <w:tcW w:w="1256" w:type="dxa"/>
            <w:tcBorders>
              <w:bottom w:val="single" w:sz="4" w:space="0" w:color="auto"/>
            </w:tcBorders>
            <w:noWrap/>
            <w:vAlign w:val="bottom"/>
          </w:tcPr>
          <w:p w14:paraId="3E2F11D9" w14:textId="2360EFC8" w:rsidR="00C57ACA" w:rsidRDefault="00C57ACA" w:rsidP="00C57ACA">
            <w:pPr>
              <w:jc w:val="both"/>
              <w:rPr>
                <w:rFonts w:ascii="Arial" w:hAnsi="Arial" w:cs="Arial"/>
                <w:b/>
                <w:bCs/>
                <w:sz w:val="20"/>
                <w:szCs w:val="20"/>
              </w:rPr>
            </w:pPr>
            <w:r w:rsidRPr="00445CAA">
              <w:rPr>
                <w:rFonts w:ascii="Arial" w:hAnsi="Arial" w:cs="Arial"/>
                <w:b/>
                <w:bCs/>
                <w:sz w:val="20"/>
                <w:szCs w:val="20"/>
              </w:rPr>
              <w:t>L01EL01</w:t>
            </w:r>
          </w:p>
        </w:tc>
        <w:tc>
          <w:tcPr>
            <w:tcW w:w="9452" w:type="dxa"/>
            <w:tcBorders>
              <w:bottom w:val="single" w:sz="4" w:space="0" w:color="auto"/>
            </w:tcBorders>
          </w:tcPr>
          <w:p w14:paraId="2ECC835B" w14:textId="01C0F075" w:rsidR="00C57ACA" w:rsidRPr="0000591E" w:rsidRDefault="00C57ACA" w:rsidP="00C57ACA">
            <w:pPr>
              <w:jc w:val="both"/>
              <w:rPr>
                <w:rFonts w:ascii="Arial" w:hAnsi="Arial" w:cs="Arial"/>
                <w:b/>
                <w:bCs/>
                <w:sz w:val="20"/>
                <w:szCs w:val="20"/>
              </w:rPr>
            </w:pPr>
            <w:r w:rsidRPr="00445CAA">
              <w:rPr>
                <w:rFonts w:ascii="Arial" w:hAnsi="Arial" w:cs="Arial"/>
                <w:b/>
                <w:bCs/>
                <w:sz w:val="20"/>
                <w:szCs w:val="20"/>
              </w:rPr>
              <w:t>Ibrutinib p.o. 140 mg</w:t>
            </w:r>
          </w:p>
        </w:tc>
      </w:tr>
      <w:tr w:rsidR="00C57ACA" w:rsidRPr="0000591E" w14:paraId="6A733D32" w14:textId="77777777" w:rsidTr="003F7925">
        <w:trPr>
          <w:gridAfter w:val="2"/>
          <w:wAfter w:w="154" w:type="dxa"/>
          <w:trHeight w:val="20"/>
        </w:trPr>
        <w:tc>
          <w:tcPr>
            <w:tcW w:w="1256" w:type="dxa"/>
            <w:tcBorders>
              <w:top w:val="single" w:sz="4" w:space="0" w:color="auto"/>
            </w:tcBorders>
            <w:noWrap/>
            <w:vAlign w:val="bottom"/>
          </w:tcPr>
          <w:p w14:paraId="6A0A5C5A"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2C323C68" w14:textId="77777777" w:rsidR="00C57ACA" w:rsidRPr="00445CAA" w:rsidRDefault="00C57ACA" w:rsidP="00C57ACA">
            <w:pPr>
              <w:jc w:val="both"/>
              <w:rPr>
                <w:rFonts w:ascii="Arial" w:hAnsi="Arial" w:cs="Arial"/>
                <w:bCs/>
                <w:sz w:val="20"/>
                <w:szCs w:val="20"/>
              </w:rPr>
            </w:pPr>
            <w:r w:rsidRPr="00445CAA">
              <w:rPr>
                <w:rFonts w:ascii="Arial" w:hAnsi="Arial" w:cs="Arial"/>
                <w:bCs/>
                <w:sz w:val="20"/>
                <w:szCs w:val="20"/>
              </w:rPr>
              <w:t>Hradená liečba sa môže indikovať u dospelých pacientov a) s relabujúcou alebo refraktérnou chronickou lymfocytovou leukémiou (CLL), vo výkonnostnom stave ECOG 0-2, s absolútnym počtom neutrofilov ≥ 0,75x109/l a s počtom krvných doštičiek ≥ 30x109/l 1. ktorí sú refraktérni alebo u ktorých došlo k relapsu do 18 mesiacov od predchádzajúcej liečby alebo 2. u pacientov s prítomnou mutáciou TP53 alebo del 17p, b) v monoterapii s doposiaľ neliečenou chronickou lymfocytovou leukémiou (CLL), c) v monoterapii s Waldenströmovou makroglobulinémiou (WM), ktorí dostali aspoň jednu predchádzajúcu liečbu, alebo v prvej línii liečby u pacientov, ktorí nie sú vhodní na chemoimunoterapiu. 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w:t>
            </w:r>
          </w:p>
          <w:p w14:paraId="1E443DA6" w14:textId="77777777" w:rsidR="00C57ACA" w:rsidRPr="00445CAA" w:rsidRDefault="00C57ACA" w:rsidP="00C57ACA">
            <w:pPr>
              <w:jc w:val="both"/>
              <w:rPr>
                <w:rFonts w:ascii="Arial" w:hAnsi="Arial" w:cs="Arial"/>
                <w:bCs/>
                <w:sz w:val="20"/>
                <w:szCs w:val="20"/>
              </w:rPr>
            </w:pPr>
          </w:p>
          <w:p w14:paraId="1BDF8124" w14:textId="77777777" w:rsidR="00C57ACA" w:rsidRDefault="00C57ACA" w:rsidP="00C57ACA">
            <w:pPr>
              <w:jc w:val="both"/>
              <w:rPr>
                <w:rFonts w:ascii="Arial" w:hAnsi="Arial" w:cs="Arial"/>
                <w:bCs/>
                <w:sz w:val="20"/>
                <w:szCs w:val="20"/>
              </w:rPr>
            </w:pPr>
            <w:r w:rsidRPr="00445CAA">
              <w:rPr>
                <w:rFonts w:ascii="Arial" w:hAnsi="Arial" w:cs="Arial"/>
                <w:bCs/>
                <w:sz w:val="20"/>
                <w:szCs w:val="20"/>
              </w:rPr>
              <w:t>Hradená liečba podlieha predchádzajúcemu súhlasu zdravotnej poisťovne.</w:t>
            </w:r>
          </w:p>
          <w:p w14:paraId="2A85CF6C" w14:textId="5031A6F9" w:rsidR="00C57ACA" w:rsidRPr="00445CAA" w:rsidRDefault="00C57ACA" w:rsidP="00C57ACA">
            <w:pPr>
              <w:jc w:val="both"/>
              <w:rPr>
                <w:rFonts w:ascii="Arial" w:hAnsi="Arial" w:cs="Arial"/>
                <w:bCs/>
                <w:sz w:val="20"/>
                <w:szCs w:val="20"/>
              </w:rPr>
            </w:pPr>
          </w:p>
        </w:tc>
      </w:tr>
      <w:tr w:rsidR="00C57ACA" w:rsidRPr="0000591E" w14:paraId="6C641402" w14:textId="77777777" w:rsidTr="003F7925">
        <w:trPr>
          <w:gridAfter w:val="2"/>
          <w:wAfter w:w="154" w:type="dxa"/>
          <w:trHeight w:val="20"/>
        </w:trPr>
        <w:tc>
          <w:tcPr>
            <w:tcW w:w="1256" w:type="dxa"/>
            <w:tcBorders>
              <w:bottom w:val="single" w:sz="4" w:space="0" w:color="auto"/>
            </w:tcBorders>
            <w:noWrap/>
            <w:vAlign w:val="bottom"/>
          </w:tcPr>
          <w:p w14:paraId="0C2454CC" w14:textId="3745AFE9" w:rsidR="00C57ACA" w:rsidRDefault="00C57ACA" w:rsidP="00C57ACA">
            <w:pPr>
              <w:jc w:val="both"/>
              <w:rPr>
                <w:rFonts w:ascii="Arial" w:hAnsi="Arial" w:cs="Arial"/>
                <w:b/>
                <w:bCs/>
                <w:sz w:val="20"/>
                <w:szCs w:val="20"/>
              </w:rPr>
            </w:pPr>
            <w:r w:rsidRPr="00445CAA">
              <w:rPr>
                <w:rFonts w:ascii="Arial" w:hAnsi="Arial" w:cs="Arial"/>
                <w:b/>
                <w:bCs/>
                <w:sz w:val="20"/>
                <w:szCs w:val="20"/>
              </w:rPr>
              <w:t>L01EL01</w:t>
            </w:r>
          </w:p>
        </w:tc>
        <w:tc>
          <w:tcPr>
            <w:tcW w:w="9452" w:type="dxa"/>
            <w:tcBorders>
              <w:bottom w:val="single" w:sz="4" w:space="0" w:color="auto"/>
            </w:tcBorders>
          </w:tcPr>
          <w:p w14:paraId="3A198059" w14:textId="77777777" w:rsidR="00C57ACA" w:rsidRPr="000A1A9B" w:rsidRDefault="00C57ACA" w:rsidP="00C57ACA">
            <w:pPr>
              <w:jc w:val="both"/>
              <w:rPr>
                <w:rFonts w:ascii="Arial" w:hAnsi="Arial" w:cs="Arial"/>
                <w:b/>
                <w:bCs/>
                <w:sz w:val="20"/>
                <w:szCs w:val="20"/>
              </w:rPr>
            </w:pPr>
            <w:r w:rsidRPr="000A1A9B">
              <w:rPr>
                <w:rFonts w:ascii="Arial" w:hAnsi="Arial" w:cs="Arial"/>
                <w:b/>
                <w:bCs/>
                <w:sz w:val="20"/>
                <w:szCs w:val="20"/>
              </w:rPr>
              <w:t>Ibrutinib p.o. 280 mg</w:t>
            </w:r>
          </w:p>
          <w:p w14:paraId="68D5C7EF" w14:textId="7F5DAFDE" w:rsidR="00C57ACA" w:rsidRPr="0000591E" w:rsidRDefault="00C57ACA" w:rsidP="00C57ACA">
            <w:pPr>
              <w:jc w:val="both"/>
              <w:rPr>
                <w:rFonts w:ascii="Arial" w:hAnsi="Arial" w:cs="Arial"/>
                <w:b/>
                <w:bCs/>
                <w:sz w:val="20"/>
                <w:szCs w:val="20"/>
              </w:rPr>
            </w:pPr>
            <w:r w:rsidRPr="000A1A9B">
              <w:rPr>
                <w:rFonts w:ascii="Arial" w:hAnsi="Arial" w:cs="Arial"/>
                <w:b/>
                <w:bCs/>
                <w:sz w:val="20"/>
                <w:szCs w:val="20"/>
              </w:rPr>
              <w:t>Ibrutinib p.o. 420 mg</w:t>
            </w:r>
          </w:p>
        </w:tc>
      </w:tr>
      <w:tr w:rsidR="00C57ACA" w:rsidRPr="0000591E" w14:paraId="2E039509" w14:textId="77777777" w:rsidTr="003F7925">
        <w:trPr>
          <w:gridAfter w:val="2"/>
          <w:wAfter w:w="154" w:type="dxa"/>
          <w:trHeight w:val="20"/>
        </w:trPr>
        <w:tc>
          <w:tcPr>
            <w:tcW w:w="1256" w:type="dxa"/>
            <w:tcBorders>
              <w:top w:val="single" w:sz="4" w:space="0" w:color="auto"/>
            </w:tcBorders>
            <w:noWrap/>
            <w:vAlign w:val="bottom"/>
          </w:tcPr>
          <w:p w14:paraId="03166F2F"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4806BD6E"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u dospelých pacientov </w:t>
            </w:r>
          </w:p>
          <w:p w14:paraId="459DF090"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a) s relabujúcou alebo refraktérnou chronickou lymfocytovou leukémiou (CLL), vo výkonnostnom stave ECOG 0-2, s absolútnym počtom neutrofilov ≥ 0,75x109/l a s počtom krvných doštičiek ≥ 30x109/l </w:t>
            </w:r>
          </w:p>
          <w:p w14:paraId="5722A8B7"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1. ktorí sú refraktérni alebo u ktorých došlo k relapsu do 18 mesiacov od predchádzajúcej liečby alebo</w:t>
            </w:r>
          </w:p>
          <w:p w14:paraId="67AF5D9A"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2. u pacientov s prítomnou mutáciou TP53 alebo del 17p, </w:t>
            </w:r>
          </w:p>
          <w:p w14:paraId="4DA6D714"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b) v monoterapii s doposiaľ neliečenou chronickou lymfocytovou leukémiou (CLL),</w:t>
            </w:r>
          </w:p>
          <w:p w14:paraId="1495F6F4"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c) v kombinácii s venetoklaxom s doposiaľ neliečenou chronickou lymfocytovou leukémiou (CLL)  </w:t>
            </w:r>
          </w:p>
          <w:p w14:paraId="582FBC91"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d) v monoterapii s relabujúcim alebo refraktérnym lymfómom z plášťových buniek (MCL), </w:t>
            </w:r>
          </w:p>
          <w:p w14:paraId="3A61DCEB"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e) v monoterapii s Waldenströmovou makroglobulinémiou (WM), ktorí dostali aspoň jednu predchádzajúcu liečbu, alebo v prvej línii liečby u pacientov, ktorí nie sú vhodní na chemoimunoterapiu. </w:t>
            </w:r>
          </w:p>
          <w:p w14:paraId="5764FFD5" w14:textId="77777777" w:rsidR="00C57ACA" w:rsidRPr="000A1A9B" w:rsidRDefault="00C57ACA" w:rsidP="00C57ACA">
            <w:pPr>
              <w:jc w:val="both"/>
              <w:rPr>
                <w:rFonts w:ascii="Arial" w:hAnsi="Arial" w:cs="Arial"/>
                <w:bCs/>
                <w:sz w:val="20"/>
                <w:szCs w:val="20"/>
              </w:rPr>
            </w:pPr>
          </w:p>
          <w:p w14:paraId="58B76DC3"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 </w:t>
            </w:r>
          </w:p>
          <w:p w14:paraId="0FFAB473" w14:textId="77777777" w:rsidR="00C57ACA" w:rsidRPr="000A1A9B" w:rsidRDefault="00C57ACA" w:rsidP="00C57ACA">
            <w:pPr>
              <w:jc w:val="both"/>
              <w:rPr>
                <w:rFonts w:ascii="Arial" w:hAnsi="Arial" w:cs="Arial"/>
                <w:bCs/>
                <w:sz w:val="20"/>
                <w:szCs w:val="20"/>
              </w:rPr>
            </w:pPr>
          </w:p>
          <w:p w14:paraId="60D8C0B9" w14:textId="77777777" w:rsidR="00C57ACA" w:rsidRDefault="00C57ACA" w:rsidP="00C57ACA">
            <w:pPr>
              <w:jc w:val="both"/>
              <w:rPr>
                <w:rFonts w:ascii="Arial" w:hAnsi="Arial" w:cs="Arial"/>
                <w:bCs/>
                <w:sz w:val="20"/>
                <w:szCs w:val="20"/>
              </w:rPr>
            </w:pPr>
            <w:r w:rsidRPr="000A1A9B">
              <w:rPr>
                <w:rFonts w:ascii="Arial" w:hAnsi="Arial" w:cs="Arial"/>
                <w:bCs/>
                <w:sz w:val="20"/>
                <w:szCs w:val="20"/>
              </w:rPr>
              <w:t>Hradená liečba podlieha predchádzajúcemu súhlasu zdravotnej poisťovne.</w:t>
            </w:r>
          </w:p>
          <w:p w14:paraId="0EB417D9" w14:textId="33305925" w:rsidR="00C57ACA" w:rsidRPr="000A1A9B" w:rsidRDefault="00C57ACA" w:rsidP="00C57ACA">
            <w:pPr>
              <w:jc w:val="both"/>
              <w:rPr>
                <w:rFonts w:ascii="Arial" w:hAnsi="Arial" w:cs="Arial"/>
                <w:bCs/>
                <w:sz w:val="20"/>
                <w:szCs w:val="20"/>
              </w:rPr>
            </w:pPr>
          </w:p>
        </w:tc>
      </w:tr>
      <w:tr w:rsidR="00C57ACA" w:rsidRPr="0000591E" w14:paraId="492801F4" w14:textId="77777777" w:rsidTr="003F7925">
        <w:trPr>
          <w:gridAfter w:val="2"/>
          <w:wAfter w:w="154" w:type="dxa"/>
          <w:trHeight w:val="20"/>
        </w:trPr>
        <w:tc>
          <w:tcPr>
            <w:tcW w:w="1256" w:type="dxa"/>
            <w:tcBorders>
              <w:bottom w:val="single" w:sz="4" w:space="0" w:color="auto"/>
            </w:tcBorders>
            <w:noWrap/>
            <w:vAlign w:val="bottom"/>
          </w:tcPr>
          <w:p w14:paraId="27AF0D3D" w14:textId="21DF43E5" w:rsidR="00C57ACA" w:rsidRDefault="00C57ACA" w:rsidP="00C57ACA">
            <w:pPr>
              <w:jc w:val="both"/>
              <w:rPr>
                <w:rFonts w:ascii="Arial" w:hAnsi="Arial" w:cs="Arial"/>
                <w:b/>
                <w:bCs/>
                <w:sz w:val="20"/>
                <w:szCs w:val="20"/>
              </w:rPr>
            </w:pPr>
            <w:r w:rsidRPr="009B6E2C">
              <w:rPr>
                <w:rFonts w:ascii="Arial" w:hAnsi="Arial" w:cs="Arial"/>
                <w:b/>
                <w:sz w:val="20"/>
                <w:szCs w:val="20"/>
              </w:rPr>
              <w:t>L01EL01</w:t>
            </w:r>
          </w:p>
        </w:tc>
        <w:tc>
          <w:tcPr>
            <w:tcW w:w="9452" w:type="dxa"/>
            <w:tcBorders>
              <w:bottom w:val="single" w:sz="4" w:space="0" w:color="auto"/>
            </w:tcBorders>
          </w:tcPr>
          <w:p w14:paraId="019B9822" w14:textId="05B1DF0A" w:rsidR="00C57ACA" w:rsidRPr="0000591E" w:rsidRDefault="00C57ACA" w:rsidP="00C57ACA">
            <w:pPr>
              <w:jc w:val="both"/>
              <w:rPr>
                <w:rFonts w:ascii="Arial" w:hAnsi="Arial" w:cs="Arial"/>
                <w:b/>
                <w:bCs/>
                <w:sz w:val="20"/>
                <w:szCs w:val="20"/>
              </w:rPr>
            </w:pPr>
            <w:r w:rsidRPr="000A1A9B">
              <w:rPr>
                <w:rFonts w:ascii="Arial" w:hAnsi="Arial" w:cs="Arial"/>
                <w:b/>
                <w:bCs/>
                <w:sz w:val="20"/>
                <w:szCs w:val="20"/>
              </w:rPr>
              <w:t>Ibrutinib p.o. 560 mg</w:t>
            </w:r>
          </w:p>
        </w:tc>
      </w:tr>
      <w:tr w:rsidR="00C57ACA" w:rsidRPr="0000591E" w14:paraId="77DEFFBC" w14:textId="77777777" w:rsidTr="003F7925">
        <w:trPr>
          <w:gridAfter w:val="2"/>
          <w:wAfter w:w="154" w:type="dxa"/>
          <w:trHeight w:val="20"/>
        </w:trPr>
        <w:tc>
          <w:tcPr>
            <w:tcW w:w="1256" w:type="dxa"/>
            <w:tcBorders>
              <w:top w:val="single" w:sz="4" w:space="0" w:color="auto"/>
            </w:tcBorders>
            <w:noWrap/>
            <w:vAlign w:val="bottom"/>
          </w:tcPr>
          <w:p w14:paraId="2EF07141"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1DCAF9BA"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u dospelých pacientov v monoterapii s relabujúcim alebo refraktérnym lymfómom z plášťových buniek (MCL). </w:t>
            </w:r>
          </w:p>
          <w:p w14:paraId="0EDB1769" w14:textId="77777777" w:rsidR="00C57ACA" w:rsidRPr="000A1A9B" w:rsidRDefault="00C57ACA" w:rsidP="00C57ACA">
            <w:pPr>
              <w:jc w:val="both"/>
              <w:rPr>
                <w:rFonts w:ascii="Arial" w:hAnsi="Arial" w:cs="Arial"/>
                <w:bCs/>
                <w:sz w:val="20"/>
                <w:szCs w:val="20"/>
              </w:rPr>
            </w:pPr>
          </w:p>
          <w:p w14:paraId="061DCB86"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 </w:t>
            </w:r>
          </w:p>
          <w:p w14:paraId="401585E2" w14:textId="77777777" w:rsidR="00C57ACA" w:rsidRPr="000A1A9B" w:rsidRDefault="00C57ACA" w:rsidP="00C57ACA">
            <w:pPr>
              <w:jc w:val="both"/>
              <w:rPr>
                <w:rFonts w:ascii="Arial" w:hAnsi="Arial" w:cs="Arial"/>
                <w:bCs/>
                <w:sz w:val="20"/>
                <w:szCs w:val="20"/>
              </w:rPr>
            </w:pPr>
          </w:p>
          <w:p w14:paraId="0B89851C" w14:textId="77777777" w:rsidR="00C57ACA" w:rsidRDefault="00C57ACA" w:rsidP="00C57ACA">
            <w:pPr>
              <w:jc w:val="both"/>
              <w:rPr>
                <w:rFonts w:ascii="Arial" w:hAnsi="Arial" w:cs="Arial"/>
                <w:bCs/>
                <w:sz w:val="20"/>
                <w:szCs w:val="20"/>
              </w:rPr>
            </w:pPr>
            <w:r w:rsidRPr="000A1A9B">
              <w:rPr>
                <w:rFonts w:ascii="Arial" w:hAnsi="Arial" w:cs="Arial"/>
                <w:bCs/>
                <w:sz w:val="20"/>
                <w:szCs w:val="20"/>
              </w:rPr>
              <w:t>Hradená liečba podlieha predchádzajúcemu súhlasu zdravotnej poisťovne.</w:t>
            </w:r>
          </w:p>
          <w:p w14:paraId="59359697" w14:textId="2012C7D9" w:rsidR="00C57ACA" w:rsidRPr="000A1A9B" w:rsidRDefault="00C57ACA" w:rsidP="00C57ACA">
            <w:pPr>
              <w:jc w:val="both"/>
              <w:rPr>
                <w:rFonts w:ascii="Arial" w:hAnsi="Arial" w:cs="Arial"/>
                <w:bCs/>
                <w:sz w:val="20"/>
                <w:szCs w:val="20"/>
              </w:rPr>
            </w:pPr>
          </w:p>
        </w:tc>
      </w:tr>
      <w:tr w:rsidR="00C57ACA" w:rsidRPr="0000591E" w14:paraId="1C5C3C4B" w14:textId="77777777" w:rsidTr="003F7925">
        <w:trPr>
          <w:gridAfter w:val="2"/>
          <w:wAfter w:w="154" w:type="dxa"/>
          <w:trHeight w:val="20"/>
        </w:trPr>
        <w:tc>
          <w:tcPr>
            <w:tcW w:w="1256" w:type="dxa"/>
            <w:tcBorders>
              <w:bottom w:val="single" w:sz="4" w:space="0" w:color="auto"/>
            </w:tcBorders>
            <w:noWrap/>
            <w:vAlign w:val="bottom"/>
          </w:tcPr>
          <w:p w14:paraId="256FE6FD" w14:textId="62E39971" w:rsidR="00C57ACA" w:rsidRDefault="00C57ACA" w:rsidP="00C57ACA">
            <w:pPr>
              <w:jc w:val="both"/>
              <w:rPr>
                <w:rFonts w:ascii="Arial" w:hAnsi="Arial" w:cs="Arial"/>
                <w:b/>
                <w:bCs/>
                <w:sz w:val="20"/>
                <w:szCs w:val="20"/>
              </w:rPr>
            </w:pPr>
            <w:r w:rsidRPr="007F7DD3">
              <w:rPr>
                <w:rFonts w:ascii="Arial" w:hAnsi="Arial" w:cs="Arial"/>
                <w:b/>
                <w:bCs/>
                <w:sz w:val="20"/>
                <w:szCs w:val="20"/>
              </w:rPr>
              <w:t>L01EL02</w:t>
            </w:r>
          </w:p>
        </w:tc>
        <w:tc>
          <w:tcPr>
            <w:tcW w:w="9452" w:type="dxa"/>
            <w:tcBorders>
              <w:bottom w:val="single" w:sz="4" w:space="0" w:color="auto"/>
            </w:tcBorders>
          </w:tcPr>
          <w:p w14:paraId="50FD3161" w14:textId="772BCB22" w:rsidR="00C57ACA" w:rsidRPr="0000591E" w:rsidRDefault="00C57ACA" w:rsidP="00C57ACA">
            <w:pPr>
              <w:jc w:val="both"/>
              <w:rPr>
                <w:rFonts w:ascii="Arial" w:hAnsi="Arial" w:cs="Arial"/>
                <w:b/>
                <w:bCs/>
                <w:sz w:val="20"/>
                <w:szCs w:val="20"/>
              </w:rPr>
            </w:pPr>
            <w:r w:rsidRPr="007F7DD3">
              <w:rPr>
                <w:rFonts w:ascii="Arial" w:hAnsi="Arial" w:cs="Arial"/>
                <w:b/>
                <w:bCs/>
                <w:sz w:val="20"/>
                <w:szCs w:val="20"/>
              </w:rPr>
              <w:t>Akalabrutinib p.o. 100 mg</w:t>
            </w:r>
          </w:p>
        </w:tc>
      </w:tr>
      <w:tr w:rsidR="00C57ACA" w:rsidRPr="0000591E" w14:paraId="6837BC40" w14:textId="77777777" w:rsidTr="003F7925">
        <w:trPr>
          <w:gridAfter w:val="2"/>
          <w:wAfter w:w="154" w:type="dxa"/>
          <w:trHeight w:val="20"/>
        </w:trPr>
        <w:tc>
          <w:tcPr>
            <w:tcW w:w="1256" w:type="dxa"/>
            <w:tcBorders>
              <w:top w:val="single" w:sz="4" w:space="0" w:color="auto"/>
            </w:tcBorders>
            <w:noWrap/>
            <w:vAlign w:val="bottom"/>
          </w:tcPr>
          <w:p w14:paraId="264C8087"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3FC0EB40" w14:textId="77777777" w:rsidR="00C57ACA" w:rsidRDefault="00C57ACA" w:rsidP="00C57ACA">
            <w:pPr>
              <w:jc w:val="both"/>
              <w:rPr>
                <w:rFonts w:ascii="Arial" w:hAnsi="Arial" w:cs="Arial"/>
                <w:bCs/>
                <w:sz w:val="20"/>
                <w:szCs w:val="20"/>
              </w:rPr>
            </w:pPr>
            <w:r w:rsidRPr="007F7DD3">
              <w:rPr>
                <w:rFonts w:ascii="Arial" w:hAnsi="Arial" w:cs="Arial"/>
                <w:bCs/>
                <w:sz w:val="20"/>
                <w:szCs w:val="20"/>
              </w:rPr>
              <w:t>Hradená liečba sa môže indikovať</w:t>
            </w:r>
            <w:r>
              <w:rPr>
                <w:rFonts w:ascii="Arial" w:hAnsi="Arial" w:cs="Arial"/>
                <w:bCs/>
                <w:sz w:val="20"/>
                <w:szCs w:val="20"/>
              </w:rPr>
              <w:t>:</w:t>
            </w:r>
          </w:p>
          <w:p w14:paraId="67ED0E0C" w14:textId="77777777" w:rsidR="00C57ACA" w:rsidRDefault="00C57ACA" w:rsidP="00C57ACA">
            <w:pPr>
              <w:jc w:val="both"/>
              <w:rPr>
                <w:rFonts w:ascii="Arial" w:hAnsi="Arial" w:cs="Arial"/>
                <w:bCs/>
                <w:sz w:val="20"/>
                <w:szCs w:val="20"/>
              </w:rPr>
            </w:pPr>
            <w:r>
              <w:rPr>
                <w:rFonts w:ascii="Arial" w:hAnsi="Arial" w:cs="Arial"/>
                <w:bCs/>
                <w:sz w:val="20"/>
                <w:szCs w:val="20"/>
              </w:rPr>
              <w:t xml:space="preserve">a) </w:t>
            </w:r>
            <w:r w:rsidRPr="007F7DD3">
              <w:rPr>
                <w:rFonts w:ascii="Arial" w:hAnsi="Arial" w:cs="Arial"/>
                <w:bCs/>
                <w:sz w:val="20"/>
                <w:szCs w:val="20"/>
              </w:rPr>
              <w:t xml:space="preserve">v monoterapii u dospelých pacientov s doteraz neliečenou chronickou lymfocytovou leukémiou (CLL) a komorbiditou, pre ktorých nie je vhodná liečba plnými dávkami fludarabínu. </w:t>
            </w:r>
          </w:p>
          <w:p w14:paraId="0029D668" w14:textId="0F23B540" w:rsidR="00C57ACA" w:rsidRDefault="00C57ACA" w:rsidP="00C57ACA">
            <w:pPr>
              <w:jc w:val="both"/>
              <w:rPr>
                <w:rFonts w:ascii="Arial" w:hAnsi="Arial" w:cs="Arial"/>
                <w:bCs/>
                <w:sz w:val="20"/>
                <w:szCs w:val="20"/>
              </w:rPr>
            </w:pPr>
            <w:r w:rsidRPr="007F7DD3">
              <w:rPr>
                <w:rFonts w:ascii="Arial" w:hAnsi="Arial" w:cs="Arial"/>
                <w:bCs/>
                <w:sz w:val="20"/>
                <w:szCs w:val="20"/>
              </w:rPr>
              <w:t>Hradená liečba podlieha predchádzajúcemu súhlasu zdravotnej poisťovne.</w:t>
            </w:r>
          </w:p>
          <w:p w14:paraId="68E73514" w14:textId="1EA0853A" w:rsidR="00C57ACA" w:rsidRPr="00D8517C" w:rsidRDefault="00C57ACA" w:rsidP="00C57ACA">
            <w:pPr>
              <w:jc w:val="both"/>
              <w:rPr>
                <w:rFonts w:ascii="Arial" w:hAnsi="Arial" w:cs="Arial"/>
                <w:bCs/>
                <w:sz w:val="20"/>
                <w:szCs w:val="20"/>
              </w:rPr>
            </w:pPr>
          </w:p>
          <w:p w14:paraId="08EC28F2"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b) u dospelých pacientov s relabujúcou alebo refraktérnou chronickou lymfocytovou leukémiou (CLL), vo výkonnostnom stave ECOG 0-2, s absolútnym počtom neutrofilov ≥ 0,75x109/l a s počtom krvných doštičiek ≥ 30x109/l  </w:t>
            </w:r>
          </w:p>
          <w:p w14:paraId="66EB75DF"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1. ktorí sú refraktérni alebo u ktorých došlo k relapsu do 36 mesiacov od predchádzajúcej liečby alebo  </w:t>
            </w:r>
          </w:p>
          <w:p w14:paraId="7215E16C"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2. u pacientov s prítomnou mutáciou TP53 alebo del 17p.  </w:t>
            </w:r>
          </w:p>
          <w:p w14:paraId="4C75DE46" w14:textId="0C40CC3D" w:rsidR="00C57ACA" w:rsidRPr="00D8517C" w:rsidRDefault="00C57ACA" w:rsidP="00C57ACA">
            <w:pPr>
              <w:jc w:val="both"/>
              <w:rPr>
                <w:rFonts w:ascii="Arial" w:hAnsi="Arial" w:cs="Arial"/>
                <w:bCs/>
                <w:sz w:val="20"/>
                <w:szCs w:val="20"/>
              </w:rPr>
            </w:pPr>
          </w:p>
          <w:p w14:paraId="60DD0EF3"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w:t>
            </w:r>
          </w:p>
          <w:p w14:paraId="1B937338" w14:textId="77777777" w:rsidR="00C57ACA" w:rsidRPr="00D8517C" w:rsidRDefault="00C57ACA" w:rsidP="00C57ACA">
            <w:pPr>
              <w:jc w:val="both"/>
              <w:rPr>
                <w:rFonts w:ascii="Arial" w:hAnsi="Arial" w:cs="Arial"/>
                <w:bCs/>
                <w:sz w:val="20"/>
                <w:szCs w:val="20"/>
              </w:rPr>
            </w:pPr>
          </w:p>
          <w:p w14:paraId="57837C85" w14:textId="77777777" w:rsidR="00C57ACA" w:rsidRDefault="00C57ACA" w:rsidP="00C57ACA">
            <w:pPr>
              <w:jc w:val="both"/>
              <w:rPr>
                <w:rFonts w:ascii="Arial" w:hAnsi="Arial" w:cs="Arial"/>
                <w:bCs/>
                <w:sz w:val="20"/>
                <w:szCs w:val="20"/>
              </w:rPr>
            </w:pPr>
            <w:r w:rsidRPr="00D8517C">
              <w:rPr>
                <w:rFonts w:ascii="Arial" w:hAnsi="Arial" w:cs="Arial"/>
                <w:bCs/>
                <w:sz w:val="20"/>
                <w:szCs w:val="20"/>
              </w:rPr>
              <w:t>Hradená liečba podlieha predchádzajúcemu súhlasu zdravotnej poisťovne.  </w:t>
            </w:r>
          </w:p>
          <w:p w14:paraId="5FEB7D6E" w14:textId="02B7F740" w:rsidR="00C57ACA" w:rsidRPr="007F7DD3" w:rsidRDefault="00C57ACA" w:rsidP="00C57ACA">
            <w:pPr>
              <w:jc w:val="both"/>
              <w:rPr>
                <w:rFonts w:ascii="Arial" w:hAnsi="Arial" w:cs="Arial"/>
                <w:bCs/>
                <w:sz w:val="20"/>
                <w:szCs w:val="20"/>
              </w:rPr>
            </w:pPr>
          </w:p>
        </w:tc>
      </w:tr>
      <w:tr w:rsidR="00C57ACA" w:rsidRPr="0000591E" w14:paraId="228B16A4" w14:textId="77777777" w:rsidTr="003F7925">
        <w:trPr>
          <w:gridAfter w:val="2"/>
          <w:wAfter w:w="154" w:type="dxa"/>
          <w:trHeight w:val="20"/>
        </w:trPr>
        <w:tc>
          <w:tcPr>
            <w:tcW w:w="1256" w:type="dxa"/>
            <w:tcBorders>
              <w:bottom w:val="single" w:sz="4" w:space="0" w:color="auto"/>
            </w:tcBorders>
            <w:noWrap/>
            <w:vAlign w:val="bottom"/>
          </w:tcPr>
          <w:p w14:paraId="7D6EA918" w14:textId="77777777" w:rsidR="00C57ACA" w:rsidRDefault="00C57ACA" w:rsidP="00C57ACA">
            <w:pPr>
              <w:jc w:val="both"/>
              <w:rPr>
                <w:rFonts w:ascii="Arial" w:hAnsi="Arial" w:cs="Arial"/>
                <w:b/>
                <w:bCs/>
                <w:sz w:val="20"/>
                <w:szCs w:val="20"/>
              </w:rPr>
            </w:pPr>
            <w:r>
              <w:rPr>
                <w:rFonts w:ascii="Arial" w:hAnsi="Arial" w:cs="Arial"/>
                <w:b/>
                <w:bCs/>
                <w:sz w:val="20"/>
                <w:szCs w:val="20"/>
              </w:rPr>
              <w:t>L01EX01</w:t>
            </w:r>
          </w:p>
        </w:tc>
        <w:tc>
          <w:tcPr>
            <w:tcW w:w="9452" w:type="dxa"/>
            <w:tcBorders>
              <w:bottom w:val="single" w:sz="4" w:space="0" w:color="auto"/>
            </w:tcBorders>
          </w:tcPr>
          <w:p w14:paraId="1959FC46" w14:textId="77777777" w:rsidR="00C57ACA" w:rsidRPr="0000591E" w:rsidRDefault="00C57ACA" w:rsidP="00C57ACA">
            <w:pPr>
              <w:jc w:val="both"/>
              <w:rPr>
                <w:rFonts w:ascii="Arial" w:hAnsi="Arial" w:cs="Arial"/>
                <w:b/>
                <w:bCs/>
                <w:sz w:val="20"/>
                <w:szCs w:val="20"/>
              </w:rPr>
            </w:pPr>
            <w:r w:rsidRPr="0000591E">
              <w:rPr>
                <w:rFonts w:ascii="Arial" w:hAnsi="Arial" w:cs="Arial"/>
                <w:b/>
                <w:bCs/>
                <w:sz w:val="20"/>
                <w:szCs w:val="20"/>
              </w:rPr>
              <w:t xml:space="preserve">Sunitinib p.o. </w:t>
            </w:r>
            <w:r>
              <w:rPr>
                <w:rFonts w:ascii="Arial" w:hAnsi="Arial" w:cs="Arial"/>
                <w:b/>
                <w:bCs/>
                <w:sz w:val="20"/>
                <w:szCs w:val="20"/>
              </w:rPr>
              <w:t>12,5</w:t>
            </w:r>
            <w:r w:rsidRPr="0000591E">
              <w:rPr>
                <w:rFonts w:ascii="Arial" w:hAnsi="Arial" w:cs="Arial"/>
                <w:b/>
                <w:bCs/>
                <w:sz w:val="20"/>
                <w:szCs w:val="20"/>
              </w:rPr>
              <w:t xml:space="preserve"> mg,</w:t>
            </w:r>
          </w:p>
          <w:p w14:paraId="2C2FDB54" w14:textId="4A972987" w:rsidR="00C57ACA" w:rsidRDefault="00C57ACA" w:rsidP="00C57ACA">
            <w:pPr>
              <w:tabs>
                <w:tab w:val="left" w:pos="3545"/>
              </w:tabs>
              <w:jc w:val="both"/>
              <w:rPr>
                <w:rFonts w:ascii="Arial" w:hAnsi="Arial" w:cs="Arial"/>
                <w:b/>
                <w:bCs/>
                <w:sz w:val="20"/>
                <w:szCs w:val="20"/>
              </w:rPr>
            </w:pPr>
            <w:r w:rsidRPr="0000591E">
              <w:rPr>
                <w:rFonts w:ascii="Arial" w:hAnsi="Arial" w:cs="Arial"/>
                <w:b/>
                <w:bCs/>
                <w:sz w:val="20"/>
                <w:szCs w:val="20"/>
              </w:rPr>
              <w:t xml:space="preserve">Sunitinib p.o. </w:t>
            </w:r>
            <w:r>
              <w:rPr>
                <w:rFonts w:ascii="Arial" w:hAnsi="Arial" w:cs="Arial"/>
                <w:b/>
                <w:bCs/>
                <w:sz w:val="20"/>
                <w:szCs w:val="20"/>
              </w:rPr>
              <w:t>25</w:t>
            </w:r>
            <w:r w:rsidRPr="0000591E">
              <w:rPr>
                <w:rFonts w:ascii="Arial" w:hAnsi="Arial" w:cs="Arial"/>
                <w:b/>
                <w:bCs/>
                <w:sz w:val="20"/>
                <w:szCs w:val="20"/>
              </w:rPr>
              <w:t xml:space="preserve"> mg</w:t>
            </w:r>
            <w:r>
              <w:rPr>
                <w:rFonts w:ascii="Arial" w:hAnsi="Arial" w:cs="Arial"/>
                <w:b/>
                <w:bCs/>
                <w:sz w:val="20"/>
                <w:szCs w:val="20"/>
              </w:rPr>
              <w:t xml:space="preserve">, </w:t>
            </w:r>
            <w:r>
              <w:rPr>
                <w:rFonts w:ascii="Arial" w:hAnsi="Arial" w:cs="Arial"/>
                <w:b/>
                <w:bCs/>
                <w:sz w:val="20"/>
                <w:szCs w:val="20"/>
              </w:rPr>
              <w:tab/>
            </w:r>
          </w:p>
          <w:p w14:paraId="42FDED72" w14:textId="77777777" w:rsidR="00C57ACA" w:rsidRPr="00EE0540" w:rsidRDefault="00C57ACA" w:rsidP="00C57ACA">
            <w:pPr>
              <w:jc w:val="both"/>
              <w:rPr>
                <w:rFonts w:ascii="Arial" w:hAnsi="Arial" w:cs="Arial"/>
                <w:b/>
                <w:bCs/>
                <w:sz w:val="20"/>
                <w:szCs w:val="20"/>
              </w:rPr>
            </w:pPr>
            <w:r>
              <w:rPr>
                <w:rFonts w:ascii="Arial" w:hAnsi="Arial" w:cs="Arial"/>
                <w:b/>
                <w:bCs/>
                <w:sz w:val="20"/>
                <w:szCs w:val="20"/>
              </w:rPr>
              <w:t xml:space="preserve">Sunitinib p.o. </w:t>
            </w:r>
            <w:r w:rsidRPr="0000591E">
              <w:rPr>
                <w:rFonts w:ascii="Arial" w:hAnsi="Arial" w:cs="Arial"/>
                <w:b/>
                <w:bCs/>
                <w:sz w:val="20"/>
                <w:szCs w:val="20"/>
              </w:rPr>
              <w:t>5</w:t>
            </w:r>
            <w:r>
              <w:rPr>
                <w:rFonts w:ascii="Arial" w:hAnsi="Arial" w:cs="Arial"/>
                <w:b/>
                <w:bCs/>
                <w:sz w:val="20"/>
                <w:szCs w:val="20"/>
              </w:rPr>
              <w:t>0</w:t>
            </w:r>
            <w:r w:rsidRPr="0000591E">
              <w:rPr>
                <w:rFonts w:ascii="Arial" w:hAnsi="Arial" w:cs="Arial"/>
                <w:b/>
                <w:bCs/>
                <w:sz w:val="20"/>
                <w:szCs w:val="20"/>
              </w:rPr>
              <w:t xml:space="preserve"> mg</w:t>
            </w:r>
          </w:p>
        </w:tc>
      </w:tr>
      <w:tr w:rsidR="00C57ACA" w:rsidRPr="0000591E" w14:paraId="0C397745" w14:textId="77777777" w:rsidTr="003F7925">
        <w:trPr>
          <w:gridAfter w:val="2"/>
          <w:wAfter w:w="154" w:type="dxa"/>
          <w:trHeight w:val="20"/>
        </w:trPr>
        <w:tc>
          <w:tcPr>
            <w:tcW w:w="1256" w:type="dxa"/>
            <w:tcBorders>
              <w:top w:val="single" w:sz="4" w:space="0" w:color="auto"/>
            </w:tcBorders>
            <w:noWrap/>
            <w:vAlign w:val="bottom"/>
          </w:tcPr>
          <w:p w14:paraId="4CF05E74" w14:textId="77777777" w:rsidR="00C57ACA" w:rsidRDefault="00C57ACA" w:rsidP="00C57ACA">
            <w:pPr>
              <w:jc w:val="both"/>
              <w:rPr>
                <w:rFonts w:ascii="Arial" w:hAnsi="Arial" w:cs="Arial"/>
                <w:b/>
                <w:bCs/>
                <w:sz w:val="20"/>
                <w:szCs w:val="20"/>
              </w:rPr>
            </w:pPr>
          </w:p>
          <w:p w14:paraId="3C646FEB" w14:textId="77777777" w:rsidR="00C57ACA" w:rsidRDefault="00C57ACA" w:rsidP="00C57ACA">
            <w:pPr>
              <w:jc w:val="both"/>
              <w:rPr>
                <w:rFonts w:ascii="Arial" w:hAnsi="Arial" w:cs="Arial"/>
                <w:b/>
                <w:bCs/>
                <w:sz w:val="20"/>
                <w:szCs w:val="20"/>
              </w:rPr>
            </w:pPr>
          </w:p>
          <w:p w14:paraId="742653CC"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tcPr>
          <w:p w14:paraId="5C02834A" w14:textId="77777777" w:rsidR="00C57ACA" w:rsidRPr="0000591E" w:rsidRDefault="00C57ACA" w:rsidP="00C57ACA">
            <w:pPr>
              <w:pStyle w:val="Zkladntext"/>
              <w:rPr>
                <w:lang w:val="sk-SK"/>
              </w:rPr>
            </w:pPr>
            <w:r w:rsidRPr="0000591E">
              <w:rPr>
                <w:lang w:val="sk-SK"/>
              </w:rPr>
              <w:t xml:space="preserve">Hradená liečba sa môže indikovať pri </w:t>
            </w:r>
          </w:p>
          <w:p w14:paraId="6773A431" w14:textId="77777777" w:rsidR="00C57ACA" w:rsidRPr="0000591E" w:rsidRDefault="00C57ACA">
            <w:pPr>
              <w:pStyle w:val="Zkladntext"/>
              <w:numPr>
                <w:ilvl w:val="0"/>
                <w:numId w:val="48"/>
              </w:numPr>
              <w:jc w:val="both"/>
              <w:rPr>
                <w:lang w:val="sk-SK"/>
              </w:rPr>
            </w:pPr>
            <w:r w:rsidRPr="0000591E">
              <w:rPr>
                <w:lang w:val="sk-SK"/>
              </w:rPr>
              <w:t>gastrointestinalnom stromálnom tumore po zlyhaní liečby imatinibiummesilátom v dôsledku rezistencie alebo neznášanlivosti,</w:t>
            </w:r>
          </w:p>
          <w:p w14:paraId="5A6EE4BC" w14:textId="77777777" w:rsidR="00C57ACA" w:rsidRPr="0000591E" w:rsidRDefault="00C57ACA">
            <w:pPr>
              <w:pStyle w:val="Zkladntext"/>
              <w:numPr>
                <w:ilvl w:val="0"/>
                <w:numId w:val="48"/>
              </w:numPr>
              <w:jc w:val="both"/>
              <w:rPr>
                <w:strike/>
                <w:lang w:val="sk-SK"/>
              </w:rPr>
            </w:pPr>
            <w:r w:rsidRPr="0000591E">
              <w:rPr>
                <w:lang w:val="sk-SK"/>
              </w:rPr>
              <w:t>inoperabilnom lokálne pokročilom alebo metastatickom karcinóme z renálnych buniek.</w:t>
            </w:r>
          </w:p>
          <w:p w14:paraId="6B49E094" w14:textId="77777777" w:rsidR="00C57ACA" w:rsidRPr="007C5A4E" w:rsidRDefault="00C57ACA" w:rsidP="00C57ACA">
            <w:pPr>
              <w:jc w:val="both"/>
              <w:rPr>
                <w:rFonts w:ascii="Arial" w:hAnsi="Arial" w:cs="Arial"/>
                <w:sz w:val="20"/>
                <w:szCs w:val="20"/>
              </w:rPr>
            </w:pPr>
          </w:p>
        </w:tc>
      </w:tr>
      <w:tr w:rsidR="00C57ACA" w:rsidRPr="0000591E" w14:paraId="3F54E9C1" w14:textId="77777777" w:rsidTr="003F7925">
        <w:trPr>
          <w:gridAfter w:val="2"/>
          <w:wAfter w:w="154" w:type="dxa"/>
          <w:trHeight w:val="20"/>
        </w:trPr>
        <w:tc>
          <w:tcPr>
            <w:tcW w:w="1256" w:type="dxa"/>
            <w:tcBorders>
              <w:bottom w:val="single" w:sz="4" w:space="0" w:color="auto"/>
            </w:tcBorders>
            <w:noWrap/>
            <w:vAlign w:val="bottom"/>
          </w:tcPr>
          <w:p w14:paraId="3408CB48" w14:textId="71524FC8" w:rsidR="00C57ACA" w:rsidRPr="0000591E" w:rsidRDefault="00C57ACA" w:rsidP="00C57ACA">
            <w:pPr>
              <w:jc w:val="both"/>
              <w:rPr>
                <w:rFonts w:ascii="Arial" w:hAnsi="Arial" w:cs="Arial"/>
                <w:b/>
                <w:bCs/>
                <w:sz w:val="20"/>
                <w:szCs w:val="20"/>
              </w:rPr>
            </w:pPr>
            <w:r w:rsidRPr="00E539B4">
              <w:rPr>
                <w:rFonts w:ascii="Arial" w:hAnsi="Arial" w:cs="Arial"/>
                <w:b/>
                <w:bCs/>
                <w:sz w:val="20"/>
                <w:szCs w:val="20"/>
              </w:rPr>
              <w:t>L01EX02</w:t>
            </w:r>
          </w:p>
        </w:tc>
        <w:tc>
          <w:tcPr>
            <w:tcW w:w="9452" w:type="dxa"/>
            <w:tcBorders>
              <w:bottom w:val="single" w:sz="4" w:space="0" w:color="auto"/>
            </w:tcBorders>
            <w:noWrap/>
            <w:vAlign w:val="bottom"/>
          </w:tcPr>
          <w:p w14:paraId="506B4C24" w14:textId="1046F814" w:rsidR="00C57ACA" w:rsidRPr="0000591E" w:rsidRDefault="00C57ACA" w:rsidP="00C57ACA">
            <w:pPr>
              <w:jc w:val="both"/>
              <w:rPr>
                <w:rFonts w:ascii="Arial" w:hAnsi="Arial" w:cs="Arial"/>
                <w:b/>
                <w:bCs/>
                <w:sz w:val="20"/>
                <w:szCs w:val="20"/>
              </w:rPr>
            </w:pPr>
            <w:r w:rsidRPr="00E539B4">
              <w:rPr>
                <w:rFonts w:ascii="Arial" w:hAnsi="Arial" w:cs="Arial"/>
                <w:b/>
                <w:bCs/>
                <w:sz w:val="20"/>
                <w:szCs w:val="20"/>
              </w:rPr>
              <w:t>Sorafenib p.o. 200 mg</w:t>
            </w:r>
          </w:p>
        </w:tc>
      </w:tr>
      <w:tr w:rsidR="00C57ACA" w:rsidRPr="0000591E" w14:paraId="1B7D6404" w14:textId="77777777" w:rsidTr="003F7925">
        <w:trPr>
          <w:gridAfter w:val="2"/>
          <w:wAfter w:w="154" w:type="dxa"/>
          <w:trHeight w:val="20"/>
        </w:trPr>
        <w:tc>
          <w:tcPr>
            <w:tcW w:w="1256" w:type="dxa"/>
            <w:tcBorders>
              <w:top w:val="single" w:sz="4" w:space="0" w:color="auto"/>
            </w:tcBorders>
            <w:noWrap/>
            <w:vAlign w:val="bottom"/>
          </w:tcPr>
          <w:p w14:paraId="77CC1ACD"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1FDBE202"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Hradená liečba sa môže indikovať pri </w:t>
            </w:r>
          </w:p>
          <w:p w14:paraId="517A2404"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a) hepatocelulárnom karcinóme, </w:t>
            </w:r>
          </w:p>
          <w:p w14:paraId="55C49D9F"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b) inoperabilnom pokročilom karcinóme z renálnych buniek u pacientov, u ktorých zlyhala predchádzajúca liečba založená na interferóne alfa alebo interleukíne-2 alebo sa považujú za nevhodých pre takúto liečbu. </w:t>
            </w:r>
          </w:p>
          <w:p w14:paraId="0A753A4C" w14:textId="77777777" w:rsidR="00C57ACA" w:rsidRDefault="00C57ACA" w:rsidP="00C57ACA">
            <w:pPr>
              <w:jc w:val="both"/>
              <w:rPr>
                <w:rFonts w:ascii="Arial" w:hAnsi="Arial" w:cs="Arial"/>
                <w:bCs/>
                <w:sz w:val="20"/>
                <w:szCs w:val="20"/>
              </w:rPr>
            </w:pPr>
            <w:r w:rsidRPr="00E539B4">
              <w:rPr>
                <w:rFonts w:ascii="Arial" w:hAnsi="Arial" w:cs="Arial"/>
                <w:bCs/>
                <w:sz w:val="20"/>
                <w:szCs w:val="20"/>
              </w:rPr>
              <w:t>c)  pri progredujúcom lokálne pokročilom alebo metastázujúcom diferencovanom (papilárne/folikulárne z Hürtleho buniek) karcinóme štítnej žľazy, ktorý je refraktérny na liečbu rádioaktívnym jódom.</w:t>
            </w:r>
          </w:p>
          <w:p w14:paraId="6C2D28A6" w14:textId="4920CD6A" w:rsidR="00C57ACA" w:rsidRPr="00E539B4" w:rsidRDefault="00C57ACA" w:rsidP="00C57ACA">
            <w:pPr>
              <w:jc w:val="both"/>
              <w:rPr>
                <w:rFonts w:ascii="Arial" w:hAnsi="Arial" w:cs="Arial"/>
                <w:bCs/>
                <w:sz w:val="20"/>
                <w:szCs w:val="20"/>
              </w:rPr>
            </w:pPr>
          </w:p>
        </w:tc>
      </w:tr>
      <w:tr w:rsidR="00C57ACA" w:rsidRPr="0000591E" w14:paraId="64A279F1" w14:textId="77777777" w:rsidTr="003F7925">
        <w:trPr>
          <w:gridAfter w:val="2"/>
          <w:wAfter w:w="154" w:type="dxa"/>
          <w:trHeight w:val="20"/>
        </w:trPr>
        <w:tc>
          <w:tcPr>
            <w:tcW w:w="1256" w:type="dxa"/>
            <w:tcBorders>
              <w:bottom w:val="single" w:sz="4" w:space="0" w:color="auto"/>
            </w:tcBorders>
            <w:noWrap/>
            <w:vAlign w:val="bottom"/>
          </w:tcPr>
          <w:p w14:paraId="66363537" w14:textId="76063549" w:rsidR="00C57ACA" w:rsidRPr="0000591E" w:rsidRDefault="00C57ACA" w:rsidP="00C57ACA">
            <w:pPr>
              <w:jc w:val="both"/>
              <w:rPr>
                <w:rFonts w:ascii="Arial" w:hAnsi="Arial" w:cs="Arial"/>
                <w:b/>
                <w:bCs/>
                <w:sz w:val="20"/>
                <w:szCs w:val="20"/>
              </w:rPr>
            </w:pPr>
            <w:r w:rsidRPr="00E539B4">
              <w:rPr>
                <w:rFonts w:ascii="Arial" w:hAnsi="Arial" w:cs="Arial"/>
                <w:b/>
                <w:bCs/>
                <w:sz w:val="20"/>
                <w:szCs w:val="20"/>
              </w:rPr>
              <w:t>L01EX03</w:t>
            </w:r>
          </w:p>
        </w:tc>
        <w:tc>
          <w:tcPr>
            <w:tcW w:w="9452" w:type="dxa"/>
            <w:tcBorders>
              <w:bottom w:val="single" w:sz="4" w:space="0" w:color="auto"/>
            </w:tcBorders>
            <w:noWrap/>
            <w:vAlign w:val="bottom"/>
          </w:tcPr>
          <w:p w14:paraId="003D3C55" w14:textId="77777777" w:rsidR="00C57ACA" w:rsidRPr="00E539B4" w:rsidRDefault="00C57ACA" w:rsidP="00C57ACA">
            <w:pPr>
              <w:jc w:val="both"/>
              <w:rPr>
                <w:rFonts w:ascii="Arial" w:hAnsi="Arial" w:cs="Arial"/>
                <w:b/>
                <w:bCs/>
                <w:sz w:val="20"/>
                <w:szCs w:val="20"/>
              </w:rPr>
            </w:pPr>
            <w:r w:rsidRPr="00E539B4">
              <w:rPr>
                <w:rFonts w:ascii="Arial" w:hAnsi="Arial" w:cs="Arial"/>
                <w:b/>
                <w:bCs/>
                <w:sz w:val="20"/>
                <w:szCs w:val="20"/>
              </w:rPr>
              <w:t>Pazopanib p.o. 200 mg,</w:t>
            </w:r>
          </w:p>
          <w:p w14:paraId="48A45D77" w14:textId="4840420D" w:rsidR="00C57ACA" w:rsidRPr="0000591E" w:rsidRDefault="00C57ACA" w:rsidP="00C57ACA">
            <w:pPr>
              <w:jc w:val="both"/>
              <w:rPr>
                <w:rFonts w:ascii="Arial" w:hAnsi="Arial" w:cs="Arial"/>
                <w:b/>
                <w:bCs/>
                <w:sz w:val="20"/>
                <w:szCs w:val="20"/>
              </w:rPr>
            </w:pPr>
            <w:r w:rsidRPr="00E539B4">
              <w:rPr>
                <w:rFonts w:ascii="Arial" w:hAnsi="Arial" w:cs="Arial"/>
                <w:b/>
                <w:bCs/>
                <w:sz w:val="20"/>
                <w:szCs w:val="20"/>
              </w:rPr>
              <w:t>Pazopanib p.o. 400 mg</w:t>
            </w:r>
          </w:p>
        </w:tc>
      </w:tr>
      <w:tr w:rsidR="00C57ACA" w:rsidRPr="0000591E" w14:paraId="644F8E47" w14:textId="77777777" w:rsidTr="003F7925">
        <w:trPr>
          <w:gridAfter w:val="2"/>
          <w:wAfter w:w="154" w:type="dxa"/>
          <w:trHeight w:val="20"/>
        </w:trPr>
        <w:tc>
          <w:tcPr>
            <w:tcW w:w="1256" w:type="dxa"/>
            <w:tcBorders>
              <w:top w:val="single" w:sz="4" w:space="0" w:color="auto"/>
            </w:tcBorders>
            <w:noWrap/>
            <w:vAlign w:val="bottom"/>
          </w:tcPr>
          <w:p w14:paraId="779009E3"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3559015D"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Hradená liečba sa môže indikovať </w:t>
            </w:r>
          </w:p>
          <w:p w14:paraId="3296214E"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a)</w:t>
            </w:r>
            <w:r w:rsidRPr="00E539B4">
              <w:rPr>
                <w:rFonts w:ascii="Arial" w:hAnsi="Arial" w:cs="Arial"/>
                <w:bCs/>
                <w:sz w:val="20"/>
                <w:szCs w:val="20"/>
              </w:rPr>
              <w:tab/>
              <w:t>ako 1. línia v liečbe inoperabilného lokálne pokročilého alebo metastatického karcinómu z renálnych buniek,</w:t>
            </w:r>
          </w:p>
          <w:p w14:paraId="448882FB"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b)</w:t>
            </w:r>
            <w:r w:rsidRPr="00E539B4">
              <w:rPr>
                <w:rFonts w:ascii="Arial" w:hAnsi="Arial" w:cs="Arial"/>
                <w:bCs/>
                <w:sz w:val="20"/>
                <w:szCs w:val="20"/>
              </w:rPr>
              <w:tab/>
              <w:t>ako 2. línia v liečbe inoperabilného lokálne pokročilého alebo metastatického karcinómu z renálnych buniek po zlyhaní liečby cytokínmi.</w:t>
            </w:r>
          </w:p>
          <w:p w14:paraId="3EA347A1" w14:textId="77777777" w:rsidR="00C57ACA" w:rsidRDefault="00C57ACA" w:rsidP="00C57ACA">
            <w:pPr>
              <w:jc w:val="both"/>
              <w:rPr>
                <w:rFonts w:ascii="Arial" w:hAnsi="Arial" w:cs="Arial"/>
                <w:bCs/>
                <w:sz w:val="20"/>
                <w:szCs w:val="20"/>
              </w:rPr>
            </w:pPr>
          </w:p>
          <w:p w14:paraId="6BD84EAF" w14:textId="5CE30A67" w:rsidR="00C57ACA" w:rsidRPr="00E539B4" w:rsidRDefault="00C57ACA" w:rsidP="00C57ACA">
            <w:pPr>
              <w:jc w:val="both"/>
              <w:rPr>
                <w:rFonts w:ascii="Arial" w:hAnsi="Arial" w:cs="Arial"/>
                <w:bCs/>
                <w:sz w:val="20"/>
                <w:szCs w:val="20"/>
              </w:rPr>
            </w:pPr>
          </w:p>
        </w:tc>
      </w:tr>
      <w:tr w:rsidR="00C57ACA" w:rsidRPr="0000591E" w14:paraId="2D4DED7F" w14:textId="77777777" w:rsidTr="003F7925">
        <w:trPr>
          <w:gridAfter w:val="2"/>
          <w:wAfter w:w="154" w:type="dxa"/>
          <w:trHeight w:val="20"/>
        </w:trPr>
        <w:tc>
          <w:tcPr>
            <w:tcW w:w="1256" w:type="dxa"/>
            <w:tcBorders>
              <w:bottom w:val="single" w:sz="4" w:space="0" w:color="auto"/>
            </w:tcBorders>
            <w:noWrap/>
            <w:vAlign w:val="bottom"/>
          </w:tcPr>
          <w:p w14:paraId="52FA2860" w14:textId="447028A6" w:rsidR="00C57ACA" w:rsidRPr="0000591E" w:rsidRDefault="00C57ACA" w:rsidP="00C57ACA">
            <w:pPr>
              <w:jc w:val="both"/>
              <w:rPr>
                <w:rFonts w:ascii="Arial" w:hAnsi="Arial" w:cs="Arial"/>
                <w:b/>
                <w:bCs/>
                <w:sz w:val="20"/>
                <w:szCs w:val="20"/>
              </w:rPr>
            </w:pPr>
            <w:r w:rsidRPr="00931EF9">
              <w:rPr>
                <w:rFonts w:ascii="Arial" w:hAnsi="Arial" w:cs="Arial"/>
                <w:b/>
                <w:bCs/>
                <w:sz w:val="20"/>
                <w:szCs w:val="20"/>
              </w:rPr>
              <w:t>L01EX04</w:t>
            </w:r>
          </w:p>
        </w:tc>
        <w:tc>
          <w:tcPr>
            <w:tcW w:w="9452" w:type="dxa"/>
            <w:tcBorders>
              <w:bottom w:val="single" w:sz="4" w:space="0" w:color="auto"/>
            </w:tcBorders>
            <w:noWrap/>
            <w:vAlign w:val="bottom"/>
          </w:tcPr>
          <w:p w14:paraId="4FB2F378" w14:textId="77777777" w:rsidR="00C57ACA" w:rsidRPr="00931EF9" w:rsidRDefault="00C57ACA" w:rsidP="00C57ACA">
            <w:pPr>
              <w:jc w:val="both"/>
              <w:rPr>
                <w:rFonts w:ascii="Arial" w:hAnsi="Arial" w:cs="Arial"/>
                <w:b/>
                <w:bCs/>
                <w:sz w:val="20"/>
                <w:szCs w:val="20"/>
              </w:rPr>
            </w:pPr>
            <w:r w:rsidRPr="00931EF9">
              <w:rPr>
                <w:rFonts w:ascii="Arial" w:hAnsi="Arial" w:cs="Arial"/>
                <w:b/>
                <w:bCs/>
                <w:sz w:val="20"/>
                <w:szCs w:val="20"/>
              </w:rPr>
              <w:t>Vandetanib p.o. 100 mg</w:t>
            </w:r>
          </w:p>
          <w:p w14:paraId="61EBC769" w14:textId="1F332ABF" w:rsidR="00C57ACA" w:rsidRPr="0000591E" w:rsidRDefault="00C57ACA" w:rsidP="00C57ACA">
            <w:pPr>
              <w:jc w:val="both"/>
              <w:rPr>
                <w:rFonts w:ascii="Arial" w:hAnsi="Arial" w:cs="Arial"/>
                <w:b/>
                <w:bCs/>
                <w:sz w:val="20"/>
                <w:szCs w:val="20"/>
              </w:rPr>
            </w:pPr>
            <w:r w:rsidRPr="00931EF9">
              <w:rPr>
                <w:rFonts w:ascii="Arial" w:hAnsi="Arial" w:cs="Arial"/>
                <w:b/>
                <w:bCs/>
                <w:sz w:val="20"/>
                <w:szCs w:val="20"/>
              </w:rPr>
              <w:t>Vandetanib p.o. 300 mg</w:t>
            </w:r>
          </w:p>
        </w:tc>
      </w:tr>
      <w:tr w:rsidR="00C57ACA" w:rsidRPr="0000591E" w14:paraId="6F3FB0E6" w14:textId="77777777" w:rsidTr="003F7925">
        <w:trPr>
          <w:gridAfter w:val="2"/>
          <w:wAfter w:w="154" w:type="dxa"/>
          <w:trHeight w:val="20"/>
        </w:trPr>
        <w:tc>
          <w:tcPr>
            <w:tcW w:w="1256" w:type="dxa"/>
            <w:tcBorders>
              <w:top w:val="single" w:sz="4" w:space="0" w:color="auto"/>
            </w:tcBorders>
            <w:noWrap/>
            <w:vAlign w:val="bottom"/>
          </w:tcPr>
          <w:p w14:paraId="32C90094"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420C4A9" w14:textId="77777777" w:rsidR="00C57ACA" w:rsidRPr="00931EF9" w:rsidRDefault="00C57ACA" w:rsidP="00C57ACA">
            <w:pPr>
              <w:jc w:val="both"/>
              <w:rPr>
                <w:rFonts w:ascii="Arial" w:hAnsi="Arial" w:cs="Arial"/>
                <w:bCs/>
                <w:sz w:val="20"/>
                <w:szCs w:val="20"/>
              </w:rPr>
            </w:pPr>
            <w:r w:rsidRPr="00931EF9">
              <w:rPr>
                <w:rFonts w:ascii="Arial" w:hAnsi="Arial" w:cs="Arial"/>
                <w:bCs/>
                <w:sz w:val="20"/>
                <w:szCs w:val="20"/>
              </w:rPr>
              <w:t>Hradená liečba sa môže indikovať na liečbu agresívneho a symptomatického medulárneho karcinómu štítnej žľazy (MTC) u pacientov s neresekovateľným lokálne pokročilým alebo progredujúcim metastázujúcim ochorením. Liek je indikovaný dospelým, deťom a dospievajúcim, vo veku od 5 rokov a starším.</w:t>
            </w:r>
          </w:p>
          <w:p w14:paraId="7EC6E52D" w14:textId="77777777" w:rsidR="00C57ACA" w:rsidRDefault="00C57ACA" w:rsidP="00C57ACA">
            <w:pPr>
              <w:jc w:val="both"/>
              <w:rPr>
                <w:rFonts w:ascii="Arial" w:hAnsi="Arial" w:cs="Arial"/>
                <w:bCs/>
                <w:sz w:val="20"/>
                <w:szCs w:val="20"/>
              </w:rPr>
            </w:pPr>
            <w:r w:rsidRPr="00931EF9">
              <w:rPr>
                <w:rFonts w:ascii="Arial" w:hAnsi="Arial" w:cs="Arial"/>
                <w:bCs/>
                <w:sz w:val="20"/>
                <w:szCs w:val="20"/>
              </w:rPr>
              <w:t>Hradená liečba podlieha predchádzajúcemu súhlasu zdravotnej poisťovne.</w:t>
            </w:r>
          </w:p>
          <w:p w14:paraId="64280B20" w14:textId="3C32AA95" w:rsidR="00C57ACA" w:rsidRPr="00931EF9" w:rsidRDefault="00C57ACA" w:rsidP="00C57ACA">
            <w:pPr>
              <w:jc w:val="both"/>
              <w:rPr>
                <w:rFonts w:ascii="Arial" w:hAnsi="Arial" w:cs="Arial"/>
                <w:bCs/>
                <w:sz w:val="20"/>
                <w:szCs w:val="20"/>
              </w:rPr>
            </w:pPr>
          </w:p>
        </w:tc>
      </w:tr>
      <w:tr w:rsidR="00C57ACA" w:rsidRPr="0000591E" w14:paraId="3EC7FC5A" w14:textId="77777777" w:rsidTr="003F7925">
        <w:trPr>
          <w:gridAfter w:val="2"/>
          <w:wAfter w:w="154" w:type="dxa"/>
          <w:trHeight w:val="20"/>
        </w:trPr>
        <w:tc>
          <w:tcPr>
            <w:tcW w:w="1256" w:type="dxa"/>
            <w:tcBorders>
              <w:bottom w:val="single" w:sz="4" w:space="0" w:color="auto"/>
            </w:tcBorders>
            <w:noWrap/>
            <w:vAlign w:val="bottom"/>
          </w:tcPr>
          <w:p w14:paraId="16D43B66" w14:textId="350B3B21" w:rsidR="00C57ACA" w:rsidRPr="0000591E" w:rsidRDefault="00C57ACA" w:rsidP="00C57ACA">
            <w:pPr>
              <w:jc w:val="both"/>
              <w:rPr>
                <w:rFonts w:ascii="Arial" w:hAnsi="Arial" w:cs="Arial"/>
                <w:b/>
                <w:bCs/>
                <w:sz w:val="20"/>
                <w:szCs w:val="20"/>
              </w:rPr>
            </w:pPr>
            <w:r w:rsidRPr="00A82742">
              <w:rPr>
                <w:rFonts w:ascii="Arial" w:hAnsi="Arial" w:cs="Arial"/>
                <w:b/>
                <w:bCs/>
                <w:sz w:val="20"/>
                <w:szCs w:val="20"/>
              </w:rPr>
              <w:t>L01EX05</w:t>
            </w:r>
          </w:p>
        </w:tc>
        <w:tc>
          <w:tcPr>
            <w:tcW w:w="9452" w:type="dxa"/>
            <w:tcBorders>
              <w:bottom w:val="single" w:sz="4" w:space="0" w:color="auto"/>
            </w:tcBorders>
            <w:noWrap/>
            <w:vAlign w:val="bottom"/>
          </w:tcPr>
          <w:p w14:paraId="66F7781E" w14:textId="1741C6C7" w:rsidR="00C57ACA" w:rsidRPr="0000591E" w:rsidRDefault="00C57ACA" w:rsidP="00C57ACA">
            <w:pPr>
              <w:jc w:val="both"/>
              <w:rPr>
                <w:rFonts w:ascii="Arial" w:hAnsi="Arial" w:cs="Arial"/>
                <w:b/>
                <w:bCs/>
                <w:sz w:val="20"/>
                <w:szCs w:val="20"/>
              </w:rPr>
            </w:pPr>
            <w:r w:rsidRPr="00A82742">
              <w:rPr>
                <w:rFonts w:ascii="Arial" w:hAnsi="Arial" w:cs="Arial"/>
                <w:b/>
                <w:bCs/>
                <w:sz w:val="20"/>
                <w:szCs w:val="20"/>
              </w:rPr>
              <w:t>Regorafenib p.o. 40 mg</w:t>
            </w:r>
          </w:p>
        </w:tc>
      </w:tr>
      <w:tr w:rsidR="00C57ACA" w:rsidRPr="0000591E" w14:paraId="784A1459" w14:textId="77777777" w:rsidTr="003F7925">
        <w:trPr>
          <w:gridAfter w:val="2"/>
          <w:wAfter w:w="154" w:type="dxa"/>
          <w:trHeight w:val="20"/>
        </w:trPr>
        <w:tc>
          <w:tcPr>
            <w:tcW w:w="1256" w:type="dxa"/>
            <w:tcBorders>
              <w:top w:val="single" w:sz="4" w:space="0" w:color="auto"/>
            </w:tcBorders>
            <w:noWrap/>
            <w:vAlign w:val="bottom"/>
          </w:tcPr>
          <w:p w14:paraId="6E9DFCCD"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B26E196" w14:textId="77777777" w:rsidR="00C57ACA" w:rsidRPr="00A82742" w:rsidRDefault="00C57ACA" w:rsidP="00C57ACA">
            <w:pPr>
              <w:jc w:val="both"/>
              <w:rPr>
                <w:rFonts w:ascii="Arial" w:hAnsi="Arial" w:cs="Arial"/>
                <w:bCs/>
                <w:sz w:val="20"/>
                <w:szCs w:val="20"/>
              </w:rPr>
            </w:pPr>
            <w:r w:rsidRPr="00A82742">
              <w:rPr>
                <w:rFonts w:ascii="Arial" w:hAnsi="Arial" w:cs="Arial"/>
                <w:bCs/>
                <w:sz w:val="20"/>
                <w:szCs w:val="20"/>
              </w:rPr>
              <w:t>Hradená liečba sa môže indikovať v monoterapii u dospelých pacientov s hepatocelulárnym karcinómom (HCC), ktorí boli predtým liečení sorafenibom.</w:t>
            </w:r>
          </w:p>
          <w:p w14:paraId="7DA916F3" w14:textId="77777777" w:rsidR="00C57ACA" w:rsidRPr="00A82742" w:rsidRDefault="00C57ACA" w:rsidP="00C57ACA">
            <w:pPr>
              <w:jc w:val="both"/>
              <w:rPr>
                <w:rFonts w:ascii="Arial" w:hAnsi="Arial" w:cs="Arial"/>
                <w:bCs/>
                <w:sz w:val="20"/>
                <w:szCs w:val="20"/>
              </w:rPr>
            </w:pPr>
          </w:p>
          <w:p w14:paraId="17ABCE2C" w14:textId="77777777" w:rsidR="00C57ACA" w:rsidRDefault="00C57ACA" w:rsidP="00C57ACA">
            <w:pPr>
              <w:jc w:val="both"/>
              <w:rPr>
                <w:rFonts w:ascii="Arial" w:hAnsi="Arial" w:cs="Arial"/>
                <w:bCs/>
                <w:sz w:val="20"/>
                <w:szCs w:val="20"/>
              </w:rPr>
            </w:pPr>
            <w:r w:rsidRPr="00A82742">
              <w:rPr>
                <w:rFonts w:ascii="Arial" w:hAnsi="Arial" w:cs="Arial"/>
                <w:bCs/>
                <w:sz w:val="20"/>
                <w:szCs w:val="20"/>
              </w:rPr>
              <w:t>Hradená liečba podlieha predchádzajúcemu súhlasu zdravotnej poisťovne.</w:t>
            </w:r>
          </w:p>
          <w:p w14:paraId="3DF843B4" w14:textId="5D3364B8" w:rsidR="00C57ACA" w:rsidRPr="00A82742" w:rsidRDefault="00C57ACA" w:rsidP="00C57ACA">
            <w:pPr>
              <w:jc w:val="both"/>
              <w:rPr>
                <w:rFonts w:ascii="Arial" w:hAnsi="Arial" w:cs="Arial"/>
                <w:bCs/>
                <w:sz w:val="20"/>
                <w:szCs w:val="20"/>
              </w:rPr>
            </w:pPr>
          </w:p>
        </w:tc>
      </w:tr>
      <w:tr w:rsidR="00C57ACA" w:rsidRPr="0000591E" w14:paraId="6EE4C518" w14:textId="77777777" w:rsidTr="003F7925">
        <w:trPr>
          <w:gridAfter w:val="2"/>
          <w:wAfter w:w="154" w:type="dxa"/>
          <w:trHeight w:val="20"/>
        </w:trPr>
        <w:tc>
          <w:tcPr>
            <w:tcW w:w="1256" w:type="dxa"/>
            <w:tcBorders>
              <w:bottom w:val="single" w:sz="4" w:space="0" w:color="auto"/>
            </w:tcBorders>
            <w:noWrap/>
            <w:vAlign w:val="bottom"/>
          </w:tcPr>
          <w:p w14:paraId="7CD9834D" w14:textId="2163FD43" w:rsidR="00C57ACA" w:rsidRPr="0000591E" w:rsidRDefault="00C57ACA" w:rsidP="00C57ACA">
            <w:pPr>
              <w:jc w:val="both"/>
              <w:rPr>
                <w:rFonts w:ascii="Arial" w:hAnsi="Arial" w:cs="Arial"/>
                <w:b/>
                <w:bCs/>
                <w:sz w:val="20"/>
                <w:szCs w:val="20"/>
              </w:rPr>
            </w:pPr>
            <w:r w:rsidRPr="00A82742">
              <w:rPr>
                <w:rFonts w:ascii="Arial" w:hAnsi="Arial" w:cs="Arial"/>
                <w:b/>
                <w:bCs/>
                <w:sz w:val="20"/>
                <w:szCs w:val="20"/>
              </w:rPr>
              <w:t>L01EX07</w:t>
            </w:r>
          </w:p>
        </w:tc>
        <w:tc>
          <w:tcPr>
            <w:tcW w:w="9452" w:type="dxa"/>
            <w:tcBorders>
              <w:bottom w:val="single" w:sz="4" w:space="0" w:color="auto"/>
            </w:tcBorders>
            <w:noWrap/>
            <w:vAlign w:val="bottom"/>
          </w:tcPr>
          <w:p w14:paraId="3F8F1350" w14:textId="4FE4280F" w:rsidR="00C57ACA" w:rsidRPr="0000591E" w:rsidRDefault="00C57ACA" w:rsidP="00C57ACA">
            <w:pPr>
              <w:jc w:val="both"/>
              <w:rPr>
                <w:rFonts w:ascii="Arial" w:hAnsi="Arial" w:cs="Arial"/>
                <w:b/>
                <w:bCs/>
                <w:sz w:val="20"/>
                <w:szCs w:val="20"/>
              </w:rPr>
            </w:pPr>
            <w:r>
              <w:rPr>
                <w:rFonts w:ascii="Arial" w:hAnsi="Arial" w:cs="Arial"/>
                <w:b/>
                <w:bCs/>
                <w:sz w:val="20"/>
                <w:szCs w:val="20"/>
              </w:rPr>
              <w:t>K</w:t>
            </w:r>
            <w:r w:rsidRPr="00A82742">
              <w:rPr>
                <w:rFonts w:ascii="Arial" w:hAnsi="Arial" w:cs="Arial"/>
                <w:b/>
                <w:bCs/>
                <w:sz w:val="20"/>
                <w:szCs w:val="20"/>
              </w:rPr>
              <w:t>abozantinib p.o. 20 mg + 80 mg</w:t>
            </w:r>
          </w:p>
        </w:tc>
      </w:tr>
      <w:tr w:rsidR="00C57ACA" w:rsidRPr="0000591E" w14:paraId="4964A4C1" w14:textId="77777777" w:rsidTr="003F7925">
        <w:trPr>
          <w:gridAfter w:val="2"/>
          <w:wAfter w:w="154" w:type="dxa"/>
          <w:trHeight w:val="20"/>
        </w:trPr>
        <w:tc>
          <w:tcPr>
            <w:tcW w:w="1256" w:type="dxa"/>
            <w:tcBorders>
              <w:top w:val="single" w:sz="4" w:space="0" w:color="auto"/>
            </w:tcBorders>
            <w:noWrap/>
            <w:vAlign w:val="bottom"/>
          </w:tcPr>
          <w:p w14:paraId="6B6B80E9" w14:textId="77777777" w:rsidR="00C57ACA" w:rsidRPr="00A82742" w:rsidRDefault="00C57ACA" w:rsidP="00C57ACA">
            <w:pPr>
              <w:jc w:val="both"/>
              <w:rPr>
                <w:rFonts w:ascii="Arial" w:hAnsi="Arial" w:cs="Arial"/>
                <w:bCs/>
                <w:sz w:val="20"/>
                <w:szCs w:val="20"/>
              </w:rPr>
            </w:pPr>
          </w:p>
        </w:tc>
        <w:tc>
          <w:tcPr>
            <w:tcW w:w="9452" w:type="dxa"/>
            <w:tcBorders>
              <w:top w:val="single" w:sz="4" w:space="0" w:color="auto"/>
            </w:tcBorders>
            <w:noWrap/>
            <w:vAlign w:val="bottom"/>
          </w:tcPr>
          <w:p w14:paraId="6919C1F6" w14:textId="77777777" w:rsidR="00C57ACA" w:rsidRPr="00A82742" w:rsidRDefault="00C57ACA" w:rsidP="00C57ACA">
            <w:pPr>
              <w:jc w:val="both"/>
              <w:rPr>
                <w:rFonts w:ascii="Arial" w:hAnsi="Arial" w:cs="Arial"/>
                <w:bCs/>
                <w:sz w:val="20"/>
                <w:szCs w:val="20"/>
              </w:rPr>
            </w:pPr>
            <w:r w:rsidRPr="00A82742">
              <w:rPr>
                <w:rFonts w:ascii="Arial" w:hAnsi="Arial" w:cs="Arial"/>
                <w:bCs/>
                <w:sz w:val="20"/>
                <w:szCs w:val="20"/>
              </w:rPr>
              <w:t xml:space="preserve">Hradená liečba sa môže indikovať na liečbu dospelých pacientov s inoperabilným lokálne pokročilým alebo metastatickým medulárnym karcinómom štítnej žľazy s rádiologicky preukázanou progresiou. </w:t>
            </w:r>
          </w:p>
          <w:p w14:paraId="683FA1AE" w14:textId="77777777" w:rsidR="00C57ACA" w:rsidRPr="00A82742" w:rsidRDefault="00C57ACA" w:rsidP="00C57ACA">
            <w:pPr>
              <w:jc w:val="both"/>
              <w:rPr>
                <w:rFonts w:ascii="Arial" w:hAnsi="Arial" w:cs="Arial"/>
                <w:bCs/>
                <w:sz w:val="20"/>
                <w:szCs w:val="20"/>
              </w:rPr>
            </w:pPr>
            <w:r w:rsidRPr="00A82742">
              <w:rPr>
                <w:rFonts w:ascii="Arial" w:hAnsi="Arial" w:cs="Arial"/>
                <w:bCs/>
                <w:sz w:val="20"/>
                <w:szCs w:val="20"/>
              </w:rPr>
              <w:t xml:space="preserve">Hradená liečba podlieha predchádzajúcemu súhlasu zdravotnej poisťovne.  </w:t>
            </w:r>
          </w:p>
          <w:p w14:paraId="163D514D" w14:textId="77777777" w:rsidR="00C57ACA" w:rsidRPr="00A82742" w:rsidRDefault="00C57ACA" w:rsidP="00C57ACA">
            <w:pPr>
              <w:jc w:val="both"/>
              <w:rPr>
                <w:rFonts w:ascii="Arial" w:hAnsi="Arial" w:cs="Arial"/>
                <w:bCs/>
                <w:sz w:val="20"/>
                <w:szCs w:val="20"/>
              </w:rPr>
            </w:pPr>
          </w:p>
        </w:tc>
      </w:tr>
      <w:tr w:rsidR="00C57ACA" w:rsidRPr="0000591E" w14:paraId="0530B736" w14:textId="77777777" w:rsidTr="003F7925">
        <w:trPr>
          <w:gridAfter w:val="2"/>
          <w:wAfter w:w="154" w:type="dxa"/>
          <w:trHeight w:val="20"/>
        </w:trPr>
        <w:tc>
          <w:tcPr>
            <w:tcW w:w="1256" w:type="dxa"/>
            <w:tcBorders>
              <w:bottom w:val="single" w:sz="4" w:space="0" w:color="auto"/>
            </w:tcBorders>
            <w:noWrap/>
            <w:vAlign w:val="bottom"/>
          </w:tcPr>
          <w:p w14:paraId="273842CE" w14:textId="22EF0BA8" w:rsidR="00C57ACA" w:rsidRPr="0000591E" w:rsidRDefault="00C57ACA" w:rsidP="00C57ACA">
            <w:pPr>
              <w:jc w:val="both"/>
              <w:rPr>
                <w:rFonts w:ascii="Arial" w:hAnsi="Arial" w:cs="Arial"/>
                <w:b/>
                <w:bCs/>
                <w:sz w:val="20"/>
                <w:szCs w:val="20"/>
              </w:rPr>
            </w:pPr>
            <w:r w:rsidRPr="0070286B">
              <w:rPr>
                <w:rFonts w:ascii="Arial" w:hAnsi="Arial" w:cs="Arial"/>
                <w:b/>
                <w:bCs/>
                <w:sz w:val="20"/>
                <w:szCs w:val="20"/>
              </w:rPr>
              <w:t>L01EX08</w:t>
            </w:r>
          </w:p>
        </w:tc>
        <w:tc>
          <w:tcPr>
            <w:tcW w:w="9452" w:type="dxa"/>
            <w:tcBorders>
              <w:bottom w:val="single" w:sz="4" w:space="0" w:color="auto"/>
            </w:tcBorders>
            <w:noWrap/>
            <w:vAlign w:val="bottom"/>
          </w:tcPr>
          <w:p w14:paraId="346797A0" w14:textId="79CDD407" w:rsidR="00C57ACA" w:rsidRPr="0000591E" w:rsidRDefault="00C57ACA" w:rsidP="00C57ACA">
            <w:pPr>
              <w:jc w:val="both"/>
              <w:rPr>
                <w:rFonts w:ascii="Arial" w:hAnsi="Arial" w:cs="Arial"/>
                <w:b/>
                <w:bCs/>
                <w:sz w:val="20"/>
                <w:szCs w:val="20"/>
              </w:rPr>
            </w:pPr>
            <w:r w:rsidRPr="0070286B">
              <w:rPr>
                <w:rFonts w:ascii="Arial" w:hAnsi="Arial" w:cs="Arial"/>
                <w:b/>
                <w:bCs/>
                <w:sz w:val="20"/>
                <w:szCs w:val="20"/>
              </w:rPr>
              <w:t>Lenvatinib p.o. 4 mg</w:t>
            </w:r>
          </w:p>
        </w:tc>
      </w:tr>
      <w:tr w:rsidR="00C57ACA" w:rsidRPr="0000591E" w14:paraId="6740CC83" w14:textId="77777777" w:rsidTr="003F7925">
        <w:trPr>
          <w:gridAfter w:val="2"/>
          <w:wAfter w:w="154" w:type="dxa"/>
          <w:trHeight w:val="20"/>
        </w:trPr>
        <w:tc>
          <w:tcPr>
            <w:tcW w:w="1256" w:type="dxa"/>
            <w:tcBorders>
              <w:top w:val="single" w:sz="4" w:space="0" w:color="auto"/>
            </w:tcBorders>
            <w:noWrap/>
            <w:vAlign w:val="bottom"/>
          </w:tcPr>
          <w:p w14:paraId="6D8CA626"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34361383" w14:textId="1F3A824D" w:rsidR="00C57ACA" w:rsidRPr="0070286B" w:rsidRDefault="00C57ACA" w:rsidP="00C57ACA">
            <w:pPr>
              <w:jc w:val="both"/>
              <w:rPr>
                <w:rFonts w:ascii="Arial" w:hAnsi="Arial" w:cs="Arial"/>
                <w:bCs/>
                <w:sz w:val="20"/>
                <w:szCs w:val="20"/>
              </w:rPr>
            </w:pPr>
            <w:r w:rsidRPr="0070286B">
              <w:rPr>
                <w:rFonts w:ascii="Arial" w:hAnsi="Arial" w:cs="Arial"/>
                <w:bCs/>
                <w:sz w:val="20"/>
                <w:szCs w:val="20"/>
              </w:rPr>
              <w:t xml:space="preserve">Hradená liečba sa môže indikovať ako monoterapia na liečbu dospelých pacientov s pokročilým alebo neresekovateľným hepatocelulárnym karcinómom (HCC), ktorí predtým nedostávali žiadnu systémovú liečbu a majú stav funkčnosti pečene Child-Pgh triedy A a status Eastern Cooperative Oncology Group Performance (ECOG PS) 0 alebo 1. </w:t>
            </w:r>
          </w:p>
          <w:p w14:paraId="199765E1" w14:textId="77777777" w:rsidR="00C57ACA" w:rsidRPr="0070286B" w:rsidRDefault="00C57ACA" w:rsidP="00C57ACA">
            <w:pPr>
              <w:jc w:val="both"/>
              <w:rPr>
                <w:rFonts w:ascii="Arial" w:hAnsi="Arial" w:cs="Arial"/>
                <w:bCs/>
                <w:sz w:val="20"/>
                <w:szCs w:val="20"/>
              </w:rPr>
            </w:pPr>
            <w:r w:rsidRPr="0070286B">
              <w:rPr>
                <w:rFonts w:ascii="Arial" w:hAnsi="Arial" w:cs="Arial"/>
                <w:bCs/>
                <w:sz w:val="20"/>
                <w:szCs w:val="20"/>
              </w:rPr>
              <w:t xml:space="preserve">Hradená liečba je indikovaná dovtedy, kým je pozorovateľný klinický prínos alebo pokiaľ sa nevyskytne neprijateľná toxicita. </w:t>
            </w:r>
          </w:p>
          <w:p w14:paraId="47CEE555" w14:textId="22A59233" w:rsidR="00C57ACA" w:rsidRPr="0070286B" w:rsidRDefault="00C57ACA" w:rsidP="00C57ACA">
            <w:pPr>
              <w:jc w:val="both"/>
              <w:rPr>
                <w:rFonts w:ascii="Arial" w:hAnsi="Arial" w:cs="Arial"/>
                <w:bCs/>
                <w:sz w:val="20"/>
                <w:szCs w:val="20"/>
              </w:rPr>
            </w:pPr>
            <w:r w:rsidRPr="0070286B">
              <w:rPr>
                <w:rFonts w:ascii="Arial" w:hAnsi="Arial" w:cs="Arial"/>
                <w:bCs/>
                <w:sz w:val="20"/>
                <w:szCs w:val="20"/>
              </w:rPr>
              <w:t>Hradená liečba podlieha predchádzajúcemu súhlasu zdravotnej poisťovne.</w:t>
            </w:r>
          </w:p>
        </w:tc>
      </w:tr>
      <w:tr w:rsidR="00C57ACA" w:rsidRPr="0000591E" w14:paraId="68A265FC" w14:textId="77777777" w:rsidTr="003F7925">
        <w:trPr>
          <w:gridAfter w:val="2"/>
          <w:wAfter w:w="154" w:type="dxa"/>
          <w:trHeight w:val="20"/>
        </w:trPr>
        <w:tc>
          <w:tcPr>
            <w:tcW w:w="1256" w:type="dxa"/>
            <w:tcBorders>
              <w:bottom w:val="single" w:sz="4" w:space="0" w:color="auto"/>
            </w:tcBorders>
            <w:noWrap/>
            <w:vAlign w:val="bottom"/>
          </w:tcPr>
          <w:p w14:paraId="1B0EEE91" w14:textId="5A8F43C7" w:rsidR="00C57ACA" w:rsidRPr="0000591E" w:rsidRDefault="00C57ACA" w:rsidP="00C57ACA">
            <w:pPr>
              <w:jc w:val="both"/>
              <w:rPr>
                <w:rFonts w:ascii="Arial" w:hAnsi="Arial" w:cs="Arial"/>
                <w:b/>
                <w:bCs/>
                <w:sz w:val="20"/>
                <w:szCs w:val="20"/>
              </w:rPr>
            </w:pPr>
            <w:r w:rsidRPr="00CE0728">
              <w:rPr>
                <w:rFonts w:ascii="Arial" w:hAnsi="Arial" w:cs="Arial"/>
                <w:b/>
                <w:bCs/>
                <w:sz w:val="20"/>
                <w:szCs w:val="20"/>
              </w:rPr>
              <w:t>L01EX09</w:t>
            </w:r>
          </w:p>
        </w:tc>
        <w:tc>
          <w:tcPr>
            <w:tcW w:w="9452" w:type="dxa"/>
            <w:tcBorders>
              <w:bottom w:val="single" w:sz="4" w:space="0" w:color="auto"/>
            </w:tcBorders>
            <w:noWrap/>
            <w:vAlign w:val="bottom"/>
          </w:tcPr>
          <w:p w14:paraId="29AEA417" w14:textId="77777777" w:rsidR="00C57ACA" w:rsidRPr="00CE0728" w:rsidRDefault="00C57ACA" w:rsidP="00C57ACA">
            <w:pPr>
              <w:jc w:val="both"/>
              <w:rPr>
                <w:rFonts w:ascii="Arial" w:hAnsi="Arial" w:cs="Arial"/>
                <w:b/>
                <w:bCs/>
                <w:sz w:val="20"/>
                <w:szCs w:val="20"/>
              </w:rPr>
            </w:pPr>
            <w:r w:rsidRPr="00CE0728">
              <w:rPr>
                <w:rFonts w:ascii="Arial" w:hAnsi="Arial" w:cs="Arial"/>
                <w:b/>
                <w:bCs/>
                <w:sz w:val="20"/>
                <w:szCs w:val="20"/>
              </w:rPr>
              <w:t>Nintedanib p.o. 100 mg</w:t>
            </w:r>
          </w:p>
          <w:p w14:paraId="26E2DF6F" w14:textId="2BD9C080" w:rsidR="00C57ACA" w:rsidRPr="0000591E" w:rsidRDefault="00C57ACA" w:rsidP="00C57ACA">
            <w:pPr>
              <w:jc w:val="both"/>
              <w:rPr>
                <w:rFonts w:ascii="Arial" w:hAnsi="Arial" w:cs="Arial"/>
                <w:b/>
                <w:bCs/>
                <w:sz w:val="20"/>
                <w:szCs w:val="20"/>
              </w:rPr>
            </w:pPr>
            <w:r w:rsidRPr="00CE0728">
              <w:rPr>
                <w:rFonts w:ascii="Arial" w:hAnsi="Arial" w:cs="Arial"/>
                <w:b/>
                <w:bCs/>
                <w:sz w:val="20"/>
                <w:szCs w:val="20"/>
              </w:rPr>
              <w:t>Nintedanib p.o. 150 mg</w:t>
            </w:r>
          </w:p>
        </w:tc>
      </w:tr>
      <w:tr w:rsidR="00C57ACA" w:rsidRPr="0000591E" w14:paraId="252BB7DD" w14:textId="77777777" w:rsidTr="003F7925">
        <w:trPr>
          <w:gridAfter w:val="2"/>
          <w:wAfter w:w="154" w:type="dxa"/>
          <w:trHeight w:val="20"/>
        </w:trPr>
        <w:tc>
          <w:tcPr>
            <w:tcW w:w="1256" w:type="dxa"/>
            <w:tcBorders>
              <w:top w:val="single" w:sz="4" w:space="0" w:color="auto"/>
            </w:tcBorders>
            <w:noWrap/>
            <w:vAlign w:val="bottom"/>
          </w:tcPr>
          <w:p w14:paraId="6EA3C692"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DBC00C7"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Hradenú liečbu môže indikovať:</w:t>
            </w:r>
          </w:p>
          <w:p w14:paraId="00767D15"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a) pneumológ alebo reumatológ u dospelých pacientov s progresívnym fenotypom intersticiálnych pľúcnych ochorení</w:t>
            </w:r>
          </w:p>
          <w:p w14:paraId="5CA9373D"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(PF-ILD), u ktorých je FVC ≥ 45% a DLCO ≥ 30% &lt; 80% referenčnej hodnoty a spĺňajú ≥1 z nasledovných kritérií</w:t>
            </w:r>
          </w:p>
          <w:p w14:paraId="62B90A3B"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progresie počas 24 mesiacov pred vyšetrením bez ohľadu na liečbu:</w:t>
            </w:r>
          </w:p>
          <w:p w14:paraId="6FCA7463"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Pokles FVC ≥10% RH alebo,</w:t>
            </w:r>
          </w:p>
          <w:p w14:paraId="44DFFCF1"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Pokles FVC ≥5 – &lt;10% RH a zvýraznenie respiračných symptómov alebo,</w:t>
            </w:r>
          </w:p>
          <w:p w14:paraId="5FF77082"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Pokles FVC ≥5 – &lt;10% RH a nárast rozsahu fibrózy na HRCT alebo,</w:t>
            </w:r>
          </w:p>
          <w:p w14:paraId="32A40597" w14:textId="77777777" w:rsidR="00C57ACA" w:rsidRDefault="00C57ACA" w:rsidP="00C57ACA">
            <w:pPr>
              <w:jc w:val="both"/>
              <w:rPr>
                <w:rFonts w:ascii="Arial" w:hAnsi="Arial" w:cs="Arial"/>
                <w:bCs/>
                <w:sz w:val="20"/>
                <w:szCs w:val="20"/>
              </w:rPr>
            </w:pPr>
            <w:r w:rsidRPr="00CE0728">
              <w:rPr>
                <w:rFonts w:ascii="Arial" w:hAnsi="Arial" w:cs="Arial"/>
                <w:bCs/>
                <w:sz w:val="20"/>
                <w:szCs w:val="20"/>
              </w:rPr>
              <w:t>- Zvýraznenie respiračných symptómov a nárast rozsahu fibrózy na HRCT.</w:t>
            </w:r>
          </w:p>
          <w:p w14:paraId="14E76986" w14:textId="77777777" w:rsidR="00C57ACA" w:rsidRPr="00CE0728" w:rsidRDefault="00C57ACA" w:rsidP="00C57ACA">
            <w:pPr>
              <w:jc w:val="both"/>
              <w:rPr>
                <w:rFonts w:ascii="Arial" w:hAnsi="Arial" w:cs="Arial"/>
                <w:bCs/>
                <w:sz w:val="20"/>
                <w:szCs w:val="20"/>
              </w:rPr>
            </w:pPr>
          </w:p>
          <w:p w14:paraId="59774DF1" w14:textId="77777777" w:rsidR="00C57ACA" w:rsidRDefault="00C57ACA" w:rsidP="00C57ACA">
            <w:pPr>
              <w:jc w:val="both"/>
              <w:rPr>
                <w:rFonts w:ascii="Arial" w:hAnsi="Arial" w:cs="Arial"/>
                <w:bCs/>
                <w:sz w:val="20"/>
                <w:szCs w:val="20"/>
              </w:rPr>
            </w:pPr>
            <w:r w:rsidRPr="00CE0728">
              <w:rPr>
                <w:rFonts w:ascii="Arial" w:hAnsi="Arial" w:cs="Arial"/>
                <w:bCs/>
                <w:sz w:val="20"/>
                <w:szCs w:val="20"/>
              </w:rPr>
              <w:t>Účinnosť liečby musí byť prehodnotená po 6 mesiacoch liečby (a ďalej tiež každých 6 mesiacov) - dyspnoe, FVC, DLCO, akútna exacerbácia, hospitalizácia pre respiračné ťažkosti.</w:t>
            </w:r>
          </w:p>
          <w:p w14:paraId="6FA7E942" w14:textId="77777777" w:rsidR="00C57ACA" w:rsidRPr="00CE0728" w:rsidRDefault="00C57ACA" w:rsidP="00C57ACA">
            <w:pPr>
              <w:jc w:val="both"/>
              <w:rPr>
                <w:rFonts w:ascii="Arial" w:hAnsi="Arial" w:cs="Arial"/>
                <w:bCs/>
                <w:sz w:val="20"/>
                <w:szCs w:val="20"/>
              </w:rPr>
            </w:pPr>
          </w:p>
          <w:p w14:paraId="50F5F975" w14:textId="15DB636B" w:rsidR="00C57ACA" w:rsidRPr="00CE0728" w:rsidRDefault="00C57ACA" w:rsidP="00C57ACA">
            <w:pPr>
              <w:jc w:val="both"/>
              <w:rPr>
                <w:rFonts w:ascii="Arial" w:hAnsi="Arial" w:cs="Arial"/>
                <w:bCs/>
                <w:sz w:val="20"/>
                <w:szCs w:val="20"/>
              </w:rPr>
            </w:pPr>
            <w:r w:rsidRPr="00CE0728">
              <w:rPr>
                <w:rFonts w:ascii="Arial" w:hAnsi="Arial" w:cs="Arial"/>
                <w:bCs/>
                <w:sz w:val="20"/>
                <w:szCs w:val="20"/>
              </w:rPr>
              <w:t>Liečba sa môže indikovať na Klinike pneumológie, ftizeológie a funkčnej diagnostiky SZU a UNB v Bratislave, na Klinike pneumológie a ftizeológie UN v Martine, v Špecializovanej nemocnici sv. Svorada Zobor v Nitre , na Oddelení pneumológie a ftizeológie NÚTPCHaHCH vo Vyšných Hágoch, na Klinike pneumológie a ftizeológie UN LP v Košiciach, na Oddelení pneumológie a ftizeológie FN s poliklinikou FD Roosevelta v Banskej Bystrici, na Pneumoftizeologickej ambulacii, ZAPA JJ s.r.o v Leviciach a na Klinike ORBIS Štefánikova trieda 72/46A v</w:t>
            </w:r>
            <w:r>
              <w:rPr>
                <w:rFonts w:ascii="Arial" w:hAnsi="Arial" w:cs="Arial"/>
                <w:bCs/>
                <w:sz w:val="20"/>
                <w:szCs w:val="20"/>
              </w:rPr>
              <w:t> </w:t>
            </w:r>
            <w:r w:rsidRPr="00CE0728">
              <w:rPr>
                <w:rFonts w:ascii="Arial" w:hAnsi="Arial" w:cs="Arial"/>
                <w:bCs/>
                <w:sz w:val="20"/>
                <w:szCs w:val="20"/>
              </w:rPr>
              <w:t>Nitre</w:t>
            </w:r>
            <w:r>
              <w:rPr>
                <w:rFonts w:ascii="Arial" w:hAnsi="Arial" w:cs="Arial"/>
                <w:bCs/>
                <w:sz w:val="20"/>
                <w:szCs w:val="20"/>
              </w:rPr>
              <w:t xml:space="preserve"> </w:t>
            </w:r>
            <w:r w:rsidRPr="00A56D21">
              <w:rPr>
                <w:rFonts w:ascii="Arial" w:hAnsi="Arial" w:cs="Arial"/>
                <w:bCs/>
                <w:sz w:val="20"/>
                <w:szCs w:val="20"/>
              </w:rPr>
              <w:t>a na pracovisku pneumológie a ftizeológie FNsP J. A. Reimana v Prešove.</w:t>
            </w:r>
            <w:r w:rsidRPr="00CE0728">
              <w:rPr>
                <w:rFonts w:ascii="Arial" w:hAnsi="Arial" w:cs="Arial"/>
                <w:bCs/>
                <w:sz w:val="20"/>
                <w:szCs w:val="20"/>
              </w:rPr>
              <w:t xml:space="preserve"> Liečbu môže indikovať reumatológ na V. Internej klinike Univerzitnej nemocnice Bratislava – Ružinov, na I. Internej klinike Univerzitnej nemocnici UN L. Pasteura, Košice, v Národnom ústave reumatických chorôb, Piešťany, na II. internej klinike SZU Fakultnej nemocnice s poliklinikou F.D. Roosevelta, Banská Bystrica, na I. internej klinike Univerzitnej nemocnice Bratislava – Staré Mesto, na II. Internej klinike Univerzitnej nemocnice Martin, na Internej klinike Fakultnej nemocnice Nitra a na IV. Internej klinike v Univerzitnej nemocnici L. Pasteura, Rastislavova 43 v Košiciach.</w:t>
            </w:r>
          </w:p>
          <w:p w14:paraId="076FCE5B"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xml:space="preserve"> </w:t>
            </w:r>
          </w:p>
          <w:p w14:paraId="674C2C28"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Hradená liečba podlieha predchádzajúcemu súhlasu zdravotnej poisťovne.</w:t>
            </w:r>
          </w:p>
          <w:p w14:paraId="7046F616" w14:textId="77777777" w:rsidR="00C57ACA" w:rsidRPr="00CE0728" w:rsidRDefault="00C57ACA" w:rsidP="00C57ACA">
            <w:pPr>
              <w:jc w:val="both"/>
              <w:rPr>
                <w:rFonts w:ascii="Arial" w:hAnsi="Arial" w:cs="Arial"/>
                <w:bCs/>
                <w:sz w:val="20"/>
                <w:szCs w:val="20"/>
              </w:rPr>
            </w:pPr>
          </w:p>
          <w:p w14:paraId="6D5B97FC"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xml:space="preserve">b) pneumológ u dospelých pacientov s idiopatickou pľúcnou fibrózou (IPF), u ktorých je FVC ≥ 50 % a DLCO ≥ 30% referenčnej hodnoty. Úspešnosť liečby sa musí pravidelne prehodnotiť po á 6 mesiacoch liečby. Liečba sa ukončí, pokiaľ dôjde k progresii ochorenia definovanej ako pokles FVC ≥ 10% absolútnych hodnôt a pokles DLCO ≥ 15 % absolútnych hodnôt oproti hodnotám FVC a DLCO nameraným na predchádzajúcej 6 mesačnej kontrole (tj. v 6. mesiaci sa hodnotí oproti stavu pred zahájením liečby, v 12. mesiaci oproti 6. mesiacu a v 18. mesiaci oproti 12.mesiacu a pod.) v troch po sebe nasledujúcich 6 mesačných obdobiach. </w:t>
            </w:r>
          </w:p>
          <w:p w14:paraId="6DE29142" w14:textId="7B81364F" w:rsidR="00C57ACA" w:rsidRPr="00CE0728" w:rsidRDefault="00C57ACA" w:rsidP="00C57ACA">
            <w:pPr>
              <w:jc w:val="both"/>
              <w:rPr>
                <w:rFonts w:ascii="Arial" w:hAnsi="Arial" w:cs="Arial"/>
                <w:bCs/>
                <w:sz w:val="20"/>
                <w:szCs w:val="20"/>
              </w:rPr>
            </w:pPr>
            <w:r w:rsidRPr="00CE0728">
              <w:rPr>
                <w:rFonts w:ascii="Arial" w:hAnsi="Arial" w:cs="Arial"/>
                <w:bCs/>
                <w:sz w:val="20"/>
                <w:szCs w:val="20"/>
              </w:rPr>
              <w:t>Liečba sa môže indikovať na Klinike pneumológie, ftizeológie a funkčnej diagnostiky SZU a UNB v Bratislave, na Klinike pneumológie a ftizeológie UN v Martine, v Špecializovanej nemocnici sv. Svorada Zobor v Nitre , na Oddelení pneumológie a ftizeológie NÚTPCHaHCH vo Vyšných Hágoch, na Klinike pneumológie a ftizeológie UN LP v Košiciach, na Oddelení pneumológie a ftizeológie FN s poliklinikou FD Roosevelta v Banskej Bystrici, na Pneumoftizeologickej ambulacii, ZAPA JJ s.r.o v Leviciach a na Klinike ORBIS Štefánikova trieda 72/46A v</w:t>
            </w:r>
            <w:r>
              <w:rPr>
                <w:rFonts w:ascii="Arial" w:hAnsi="Arial" w:cs="Arial"/>
                <w:bCs/>
                <w:sz w:val="20"/>
                <w:szCs w:val="20"/>
              </w:rPr>
              <w:t> </w:t>
            </w:r>
            <w:r w:rsidRPr="00CE0728">
              <w:rPr>
                <w:rFonts w:ascii="Arial" w:hAnsi="Arial" w:cs="Arial"/>
                <w:bCs/>
                <w:sz w:val="20"/>
                <w:szCs w:val="20"/>
              </w:rPr>
              <w:t>Nitre</w:t>
            </w:r>
            <w:r>
              <w:rPr>
                <w:rFonts w:ascii="Arial" w:hAnsi="Arial" w:cs="Arial"/>
                <w:bCs/>
                <w:sz w:val="20"/>
                <w:szCs w:val="20"/>
              </w:rPr>
              <w:t xml:space="preserve"> </w:t>
            </w:r>
            <w:r w:rsidRPr="00A56D21">
              <w:rPr>
                <w:rFonts w:ascii="Arial" w:hAnsi="Arial" w:cs="Arial"/>
                <w:bCs/>
                <w:sz w:val="20"/>
                <w:szCs w:val="20"/>
              </w:rPr>
              <w:t>a na pracovisku pneumológie a ftizeológie FNsP J. A. Reimana v Prešove.</w:t>
            </w:r>
          </w:p>
          <w:p w14:paraId="27EB94C7" w14:textId="77777777" w:rsidR="00C57ACA" w:rsidRPr="00CE0728" w:rsidRDefault="00C57ACA" w:rsidP="00C57ACA">
            <w:pPr>
              <w:jc w:val="both"/>
              <w:rPr>
                <w:rFonts w:ascii="Arial" w:hAnsi="Arial" w:cs="Arial"/>
                <w:bCs/>
                <w:sz w:val="20"/>
                <w:szCs w:val="20"/>
              </w:rPr>
            </w:pPr>
          </w:p>
          <w:p w14:paraId="13B75D41"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Hradená liečba podlieha predchádzajúcemu súhlasu zdravotnej poisťovne.</w:t>
            </w:r>
          </w:p>
          <w:p w14:paraId="1C05CA39" w14:textId="77777777" w:rsidR="00C57ACA" w:rsidRPr="00CE0728" w:rsidRDefault="00C57ACA" w:rsidP="00C57ACA">
            <w:pPr>
              <w:jc w:val="both"/>
              <w:rPr>
                <w:rFonts w:ascii="Arial" w:hAnsi="Arial" w:cs="Arial"/>
                <w:bCs/>
                <w:sz w:val="20"/>
                <w:szCs w:val="20"/>
              </w:rPr>
            </w:pPr>
          </w:p>
        </w:tc>
      </w:tr>
      <w:tr w:rsidR="00C57ACA" w:rsidRPr="0000591E" w14:paraId="7DEBAAAA" w14:textId="77777777" w:rsidTr="003F7925">
        <w:trPr>
          <w:gridAfter w:val="2"/>
          <w:wAfter w:w="154" w:type="dxa"/>
          <w:trHeight w:val="20"/>
        </w:trPr>
        <w:tc>
          <w:tcPr>
            <w:tcW w:w="1256" w:type="dxa"/>
            <w:tcBorders>
              <w:bottom w:val="single" w:sz="4" w:space="0" w:color="auto"/>
            </w:tcBorders>
            <w:noWrap/>
            <w:vAlign w:val="bottom"/>
          </w:tcPr>
          <w:p w14:paraId="5ED7ABEF" w14:textId="798111B1" w:rsidR="00C57ACA" w:rsidRPr="0000591E" w:rsidRDefault="00C57ACA" w:rsidP="00C57ACA">
            <w:pPr>
              <w:jc w:val="both"/>
              <w:rPr>
                <w:rFonts w:ascii="Arial" w:hAnsi="Arial" w:cs="Arial"/>
                <w:b/>
                <w:bCs/>
                <w:sz w:val="20"/>
                <w:szCs w:val="20"/>
              </w:rPr>
            </w:pPr>
            <w:r w:rsidRPr="006F4920">
              <w:rPr>
                <w:rFonts w:ascii="Arial" w:hAnsi="Arial" w:cs="Arial"/>
                <w:b/>
                <w:bCs/>
                <w:sz w:val="20"/>
                <w:szCs w:val="20"/>
              </w:rPr>
              <w:t>L01EX10</w:t>
            </w:r>
          </w:p>
        </w:tc>
        <w:tc>
          <w:tcPr>
            <w:tcW w:w="9452" w:type="dxa"/>
            <w:tcBorders>
              <w:bottom w:val="single" w:sz="4" w:space="0" w:color="auto"/>
            </w:tcBorders>
            <w:noWrap/>
            <w:vAlign w:val="bottom"/>
          </w:tcPr>
          <w:p w14:paraId="12EBDF8C" w14:textId="16E926DB" w:rsidR="00C57ACA" w:rsidRPr="0000591E" w:rsidRDefault="00C57ACA" w:rsidP="00C57ACA">
            <w:pPr>
              <w:jc w:val="both"/>
              <w:rPr>
                <w:rFonts w:ascii="Arial" w:hAnsi="Arial" w:cs="Arial"/>
                <w:b/>
                <w:bCs/>
                <w:sz w:val="20"/>
                <w:szCs w:val="20"/>
              </w:rPr>
            </w:pPr>
            <w:r w:rsidRPr="006F4920">
              <w:rPr>
                <w:rFonts w:ascii="Arial" w:hAnsi="Arial" w:cs="Arial"/>
                <w:b/>
                <w:bCs/>
                <w:sz w:val="20"/>
                <w:szCs w:val="20"/>
              </w:rPr>
              <w:t>Midostaurín p.o. 25 mg</w:t>
            </w:r>
          </w:p>
        </w:tc>
      </w:tr>
      <w:tr w:rsidR="00C57ACA" w:rsidRPr="0000591E" w14:paraId="2BD94711" w14:textId="77777777" w:rsidTr="003F7925">
        <w:trPr>
          <w:gridAfter w:val="2"/>
          <w:wAfter w:w="154" w:type="dxa"/>
          <w:trHeight w:val="20"/>
        </w:trPr>
        <w:tc>
          <w:tcPr>
            <w:tcW w:w="1256" w:type="dxa"/>
            <w:tcBorders>
              <w:top w:val="single" w:sz="4" w:space="0" w:color="auto"/>
            </w:tcBorders>
            <w:noWrap/>
            <w:vAlign w:val="bottom"/>
          </w:tcPr>
          <w:p w14:paraId="66690333"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DE40189" w14:textId="77777777" w:rsidR="00C57ACA" w:rsidRPr="006F4920" w:rsidRDefault="00C57ACA" w:rsidP="00C57ACA">
            <w:pPr>
              <w:jc w:val="both"/>
              <w:rPr>
                <w:rFonts w:ascii="Arial" w:hAnsi="Arial" w:cs="Arial"/>
                <w:bCs/>
                <w:sz w:val="20"/>
                <w:szCs w:val="20"/>
              </w:rPr>
            </w:pPr>
            <w:r w:rsidRPr="006F4920">
              <w:rPr>
                <w:rFonts w:ascii="Arial" w:hAnsi="Arial" w:cs="Arial"/>
                <w:bCs/>
                <w:sz w:val="20"/>
                <w:szCs w:val="20"/>
              </w:rPr>
              <w:t xml:space="preserve">Hradená liečba sa môže indikovať u dospelých pacientov s novodiagnostikovanou akútnou myeloidnou leukémiou (AML) s pozitívnou mutáciou génu FLT3 v indukčnej fáze v kombinácii so štandardnou chemoterapiou daunorubicínom a cytarabínom v maximálnej dĺžke liečby v trvaní 2 cyklov a v pokračujúcej konsolidačnej fáze v kombinácii s vysokodávkovým cytarabínom v maximálnej dĺžke liečby v trvaní 4 cyklov. </w:t>
            </w:r>
          </w:p>
          <w:p w14:paraId="2F1BE3A0" w14:textId="77777777" w:rsidR="00C57ACA" w:rsidRPr="006F4920" w:rsidRDefault="00C57ACA" w:rsidP="00C57ACA">
            <w:pPr>
              <w:jc w:val="both"/>
              <w:rPr>
                <w:rFonts w:ascii="Arial" w:hAnsi="Arial" w:cs="Arial"/>
                <w:bCs/>
                <w:sz w:val="20"/>
                <w:szCs w:val="20"/>
              </w:rPr>
            </w:pPr>
            <w:r w:rsidRPr="006F4920">
              <w:rPr>
                <w:rFonts w:ascii="Arial" w:hAnsi="Arial" w:cs="Arial"/>
                <w:bCs/>
                <w:sz w:val="20"/>
                <w:szCs w:val="20"/>
              </w:rPr>
              <w:t xml:space="preserve">Následná udržiavacia liečba v monoterapii  je hradená pre pacientov s kompletnou odpoveďou (definovanou ako ≤ 5% blastov v kostnej dreni a neprítomnosť blastov v krvi, normálnym krvným obrazom a neprítomnosťou extramedulárnej leukémie) až do relapsu v maximálnej dĺžke udržiavacej liečby v trvaní 12 cyklov. </w:t>
            </w:r>
          </w:p>
          <w:p w14:paraId="12C91FC6" w14:textId="491DE517" w:rsidR="00C57ACA" w:rsidRDefault="00C57ACA" w:rsidP="00C57ACA">
            <w:pPr>
              <w:jc w:val="both"/>
              <w:rPr>
                <w:rFonts w:ascii="Arial" w:hAnsi="Arial" w:cs="Arial"/>
                <w:bCs/>
                <w:sz w:val="20"/>
                <w:szCs w:val="20"/>
              </w:rPr>
            </w:pPr>
            <w:r w:rsidRPr="006F4920">
              <w:rPr>
                <w:rFonts w:ascii="Arial" w:hAnsi="Arial" w:cs="Arial"/>
                <w:bCs/>
                <w:sz w:val="20"/>
                <w:szCs w:val="20"/>
              </w:rPr>
              <w:t>Hradená liečba podlieha predchádzajúcemu súhlasu zdravotnej poisťovne.</w:t>
            </w:r>
          </w:p>
          <w:p w14:paraId="65ACA8EC" w14:textId="44E67A48" w:rsidR="00D02ED7" w:rsidRPr="006F4920" w:rsidRDefault="00D02ED7" w:rsidP="00C57ACA">
            <w:pPr>
              <w:jc w:val="both"/>
              <w:rPr>
                <w:rFonts w:ascii="Arial" w:hAnsi="Arial" w:cs="Arial"/>
                <w:bCs/>
                <w:sz w:val="20"/>
                <w:szCs w:val="20"/>
              </w:rPr>
            </w:pPr>
          </w:p>
        </w:tc>
      </w:tr>
      <w:tr w:rsidR="00C57ACA" w:rsidRPr="0000591E" w14:paraId="4A0B46BA" w14:textId="77777777" w:rsidTr="003F7925">
        <w:trPr>
          <w:gridAfter w:val="2"/>
          <w:wAfter w:w="154" w:type="dxa"/>
          <w:trHeight w:val="20"/>
        </w:trPr>
        <w:tc>
          <w:tcPr>
            <w:tcW w:w="1256" w:type="dxa"/>
            <w:tcBorders>
              <w:bottom w:val="single" w:sz="4" w:space="0" w:color="auto"/>
            </w:tcBorders>
            <w:noWrap/>
            <w:vAlign w:val="bottom"/>
          </w:tcPr>
          <w:p w14:paraId="3D0FD755" w14:textId="0F5E4834" w:rsidR="00C57ACA" w:rsidRPr="0000591E" w:rsidRDefault="00C57ACA" w:rsidP="00C57ACA">
            <w:pPr>
              <w:jc w:val="both"/>
              <w:rPr>
                <w:rFonts w:ascii="Arial" w:hAnsi="Arial" w:cs="Arial"/>
                <w:b/>
                <w:bCs/>
                <w:sz w:val="20"/>
                <w:szCs w:val="20"/>
              </w:rPr>
            </w:pPr>
            <w:r w:rsidRPr="003F29BC">
              <w:rPr>
                <w:rFonts w:ascii="Arial" w:hAnsi="Arial" w:cs="Arial"/>
                <w:b/>
                <w:bCs/>
                <w:sz w:val="20"/>
                <w:szCs w:val="20"/>
              </w:rPr>
              <w:t>L01EX13</w:t>
            </w:r>
          </w:p>
        </w:tc>
        <w:tc>
          <w:tcPr>
            <w:tcW w:w="9452" w:type="dxa"/>
            <w:tcBorders>
              <w:bottom w:val="single" w:sz="4" w:space="0" w:color="auto"/>
            </w:tcBorders>
            <w:noWrap/>
            <w:vAlign w:val="bottom"/>
          </w:tcPr>
          <w:p w14:paraId="23C4A56F" w14:textId="761946C9" w:rsidR="00C57ACA" w:rsidRPr="0000591E" w:rsidRDefault="00C57ACA" w:rsidP="00C57ACA">
            <w:pPr>
              <w:jc w:val="both"/>
              <w:rPr>
                <w:rFonts w:ascii="Arial" w:hAnsi="Arial" w:cs="Arial"/>
                <w:b/>
                <w:bCs/>
                <w:sz w:val="20"/>
                <w:szCs w:val="20"/>
              </w:rPr>
            </w:pPr>
            <w:r w:rsidRPr="003F29BC">
              <w:rPr>
                <w:rFonts w:ascii="Arial" w:hAnsi="Arial" w:cs="Arial"/>
                <w:b/>
                <w:bCs/>
                <w:sz w:val="20"/>
                <w:szCs w:val="20"/>
              </w:rPr>
              <w:t>Gilteritinib p.o. 40 mg</w:t>
            </w:r>
          </w:p>
        </w:tc>
      </w:tr>
      <w:tr w:rsidR="00C57ACA" w:rsidRPr="0000591E" w14:paraId="493A129A" w14:textId="77777777" w:rsidTr="003F7925">
        <w:trPr>
          <w:gridAfter w:val="2"/>
          <w:wAfter w:w="154" w:type="dxa"/>
          <w:trHeight w:val="20"/>
        </w:trPr>
        <w:tc>
          <w:tcPr>
            <w:tcW w:w="1256" w:type="dxa"/>
            <w:tcBorders>
              <w:top w:val="single" w:sz="4" w:space="0" w:color="auto"/>
            </w:tcBorders>
            <w:noWrap/>
            <w:vAlign w:val="bottom"/>
          </w:tcPr>
          <w:p w14:paraId="7FEE0839"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2E62E57" w14:textId="77777777" w:rsidR="00C57ACA" w:rsidRPr="003F29BC" w:rsidRDefault="00C57ACA" w:rsidP="00C57ACA">
            <w:pPr>
              <w:jc w:val="both"/>
              <w:rPr>
                <w:rFonts w:ascii="Arial" w:hAnsi="Arial" w:cs="Arial"/>
                <w:bCs/>
                <w:sz w:val="20"/>
                <w:szCs w:val="20"/>
              </w:rPr>
            </w:pPr>
            <w:r w:rsidRPr="003F29BC">
              <w:rPr>
                <w:rFonts w:ascii="Arial" w:hAnsi="Arial" w:cs="Arial"/>
                <w:bCs/>
                <w:sz w:val="20"/>
                <w:szCs w:val="20"/>
              </w:rPr>
              <w:t>Xospata, ako hradená liečba, je indikovaná ako monoterapia na liečbu dospelých pacientov s relapsovanou alebo refraktérnou akútnou myeloidnou leukémiou (AML)  s mutáciou FLT3 a výkonnostným stavom ECOG 0-2. Liečba Xospatou môže pokračovať od 30. dňa po transplantácii krvotvorných kmeňových buniek, ak bolo prihojenie transplantátu úspešné (definované počtom neutrofilov &gt;0,5x109/l, trombocytov &gt;20 x109/l a bez transfúznej závislosti), zároveň pacient nemal stupeň (≥2) akútnej reakcie štepu proti hostiteľovi a dosiahol kompletnú remisiu ochorenia (rovnaké parametre krvného obrazu ako pri úspešnom prihojení štepu, súčasne v kostnej dreni je &lt; 5 % blastov a v periférnej krvi blasty nie sú).</w:t>
            </w:r>
          </w:p>
          <w:p w14:paraId="638CAEDF" w14:textId="77777777" w:rsidR="00C57ACA" w:rsidRPr="003F29BC" w:rsidRDefault="00C57ACA" w:rsidP="00C57ACA">
            <w:pPr>
              <w:jc w:val="both"/>
              <w:rPr>
                <w:rFonts w:ascii="Arial" w:hAnsi="Arial" w:cs="Arial"/>
                <w:bCs/>
                <w:sz w:val="20"/>
                <w:szCs w:val="20"/>
              </w:rPr>
            </w:pPr>
          </w:p>
          <w:p w14:paraId="39EF413C" w14:textId="77777777" w:rsidR="00C57ACA" w:rsidRDefault="00C57ACA" w:rsidP="00C57ACA">
            <w:pPr>
              <w:jc w:val="both"/>
              <w:rPr>
                <w:rFonts w:ascii="Arial" w:hAnsi="Arial" w:cs="Arial"/>
                <w:bCs/>
                <w:sz w:val="20"/>
                <w:szCs w:val="20"/>
              </w:rPr>
            </w:pPr>
            <w:r w:rsidRPr="003F29BC">
              <w:rPr>
                <w:rFonts w:ascii="Arial" w:hAnsi="Arial" w:cs="Arial"/>
                <w:bCs/>
                <w:sz w:val="20"/>
                <w:szCs w:val="20"/>
              </w:rPr>
              <w:t>Hradená liečba podlieha predchádzajúcemu súhlasu zdravotnej poisťovne.</w:t>
            </w:r>
          </w:p>
          <w:p w14:paraId="138AD080" w14:textId="77777777" w:rsidR="00C57ACA" w:rsidRDefault="00C57ACA" w:rsidP="00C57ACA">
            <w:pPr>
              <w:jc w:val="both"/>
              <w:rPr>
                <w:rFonts w:ascii="Arial" w:hAnsi="Arial" w:cs="Arial"/>
                <w:bCs/>
                <w:sz w:val="20"/>
                <w:szCs w:val="20"/>
              </w:rPr>
            </w:pPr>
          </w:p>
          <w:p w14:paraId="69BE6BCA" w14:textId="6D01BA5D" w:rsidR="006B4A3D" w:rsidRPr="003F29BC" w:rsidRDefault="006B4A3D" w:rsidP="00C57ACA">
            <w:pPr>
              <w:jc w:val="both"/>
              <w:rPr>
                <w:rFonts w:ascii="Arial" w:hAnsi="Arial" w:cs="Arial"/>
                <w:bCs/>
                <w:sz w:val="20"/>
                <w:szCs w:val="20"/>
              </w:rPr>
            </w:pPr>
          </w:p>
        </w:tc>
      </w:tr>
      <w:tr w:rsidR="00C57ACA" w:rsidRPr="0000591E" w14:paraId="1F8BE437" w14:textId="77777777" w:rsidTr="003F7925">
        <w:trPr>
          <w:gridAfter w:val="2"/>
          <w:wAfter w:w="154" w:type="dxa"/>
          <w:trHeight w:val="20"/>
        </w:trPr>
        <w:tc>
          <w:tcPr>
            <w:tcW w:w="1256" w:type="dxa"/>
            <w:tcBorders>
              <w:bottom w:val="single" w:sz="4" w:space="0" w:color="auto"/>
            </w:tcBorders>
            <w:noWrap/>
            <w:vAlign w:val="bottom"/>
          </w:tcPr>
          <w:p w14:paraId="58D900D6" w14:textId="79CC95B4" w:rsidR="00C57ACA" w:rsidRPr="0000591E" w:rsidRDefault="00C57ACA" w:rsidP="00C57ACA">
            <w:pPr>
              <w:jc w:val="both"/>
              <w:rPr>
                <w:rFonts w:ascii="Arial" w:hAnsi="Arial" w:cs="Arial"/>
                <w:b/>
                <w:bCs/>
                <w:sz w:val="20"/>
                <w:szCs w:val="20"/>
              </w:rPr>
            </w:pPr>
            <w:r w:rsidRPr="00893C12">
              <w:rPr>
                <w:rFonts w:ascii="Arial" w:hAnsi="Arial" w:cs="Arial"/>
                <w:b/>
                <w:bCs/>
                <w:sz w:val="20"/>
                <w:szCs w:val="20"/>
              </w:rPr>
              <w:t>L01EX14</w:t>
            </w:r>
          </w:p>
        </w:tc>
        <w:tc>
          <w:tcPr>
            <w:tcW w:w="9452" w:type="dxa"/>
            <w:tcBorders>
              <w:bottom w:val="single" w:sz="4" w:space="0" w:color="auto"/>
            </w:tcBorders>
            <w:noWrap/>
            <w:vAlign w:val="bottom"/>
          </w:tcPr>
          <w:p w14:paraId="1801FE77" w14:textId="059CDA9A" w:rsidR="00C57ACA" w:rsidRPr="0000591E" w:rsidRDefault="00C57ACA" w:rsidP="00C57ACA">
            <w:pPr>
              <w:jc w:val="both"/>
              <w:rPr>
                <w:rFonts w:ascii="Arial" w:hAnsi="Arial" w:cs="Arial"/>
                <w:b/>
                <w:bCs/>
                <w:sz w:val="20"/>
                <w:szCs w:val="20"/>
              </w:rPr>
            </w:pPr>
            <w:r w:rsidRPr="00893C12">
              <w:rPr>
                <w:rFonts w:ascii="Arial" w:hAnsi="Arial" w:cs="Arial"/>
                <w:b/>
                <w:bCs/>
                <w:sz w:val="20"/>
                <w:szCs w:val="20"/>
              </w:rPr>
              <w:t>Entrektinib p.o. 200 mg</w:t>
            </w:r>
          </w:p>
        </w:tc>
      </w:tr>
      <w:tr w:rsidR="00C57ACA" w:rsidRPr="0000591E" w14:paraId="287737A2" w14:textId="77777777" w:rsidTr="003F7925">
        <w:trPr>
          <w:gridAfter w:val="2"/>
          <w:wAfter w:w="154" w:type="dxa"/>
          <w:trHeight w:val="20"/>
        </w:trPr>
        <w:tc>
          <w:tcPr>
            <w:tcW w:w="1256" w:type="dxa"/>
            <w:tcBorders>
              <w:top w:val="single" w:sz="4" w:space="0" w:color="auto"/>
            </w:tcBorders>
            <w:noWrap/>
            <w:vAlign w:val="bottom"/>
          </w:tcPr>
          <w:p w14:paraId="21C975EB"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3C8D0E29" w14:textId="77777777" w:rsidR="00C57ACA" w:rsidRDefault="00C57ACA" w:rsidP="00C57ACA">
            <w:pPr>
              <w:jc w:val="both"/>
              <w:rPr>
                <w:rFonts w:ascii="Arial" w:hAnsi="Arial" w:cs="Arial"/>
                <w:bCs/>
                <w:sz w:val="20"/>
                <w:szCs w:val="20"/>
              </w:rPr>
            </w:pPr>
            <w:r w:rsidRPr="00893C12">
              <w:rPr>
                <w:rFonts w:ascii="Arial" w:hAnsi="Arial" w:cs="Arial"/>
                <w:bCs/>
                <w:sz w:val="20"/>
                <w:szCs w:val="20"/>
              </w:rPr>
              <w:t xml:space="preserve">Hradená liečba sa môže indikovať ako monoterapia na liečbu dospelých pacientov s ROS1-pozitívnym pokročilým nemalobunkovým karcinómom pľúc (non-small cell lung cancer, NSCLC), ktorí doteraz neboli liečení inhibítormi ROS1. </w:t>
            </w:r>
          </w:p>
          <w:p w14:paraId="3BADDED4" w14:textId="77777777" w:rsidR="00C57ACA" w:rsidRDefault="00C57ACA" w:rsidP="00C57ACA">
            <w:pPr>
              <w:jc w:val="both"/>
              <w:rPr>
                <w:rFonts w:ascii="Arial" w:hAnsi="Arial" w:cs="Arial"/>
                <w:bCs/>
                <w:sz w:val="20"/>
                <w:szCs w:val="20"/>
              </w:rPr>
            </w:pPr>
            <w:r w:rsidRPr="00893C12">
              <w:rPr>
                <w:rFonts w:ascii="Arial" w:hAnsi="Arial" w:cs="Arial"/>
                <w:bCs/>
                <w:sz w:val="20"/>
                <w:szCs w:val="20"/>
              </w:rPr>
              <w:t>Hradená liečba podlieha predchádzajúcemu súhlasu zdravotnej poisťovne.</w:t>
            </w:r>
          </w:p>
          <w:p w14:paraId="48BD7D28" w14:textId="502878C4" w:rsidR="00C57ACA" w:rsidRPr="00893C12" w:rsidRDefault="00C57ACA" w:rsidP="00C57ACA">
            <w:pPr>
              <w:jc w:val="both"/>
              <w:rPr>
                <w:rFonts w:ascii="Arial" w:hAnsi="Arial" w:cs="Arial"/>
                <w:bCs/>
                <w:sz w:val="20"/>
                <w:szCs w:val="20"/>
              </w:rPr>
            </w:pPr>
          </w:p>
        </w:tc>
      </w:tr>
      <w:tr w:rsidR="007C38B9" w:rsidRPr="0000591E" w14:paraId="2F65E421" w14:textId="77777777" w:rsidTr="007C38B9">
        <w:trPr>
          <w:gridAfter w:val="2"/>
          <w:wAfter w:w="154" w:type="dxa"/>
          <w:trHeight w:val="20"/>
        </w:trPr>
        <w:tc>
          <w:tcPr>
            <w:tcW w:w="1256" w:type="dxa"/>
            <w:tcBorders>
              <w:bottom w:val="single" w:sz="4" w:space="0" w:color="auto"/>
            </w:tcBorders>
            <w:noWrap/>
            <w:vAlign w:val="bottom"/>
          </w:tcPr>
          <w:p w14:paraId="6C92C1A7" w14:textId="06D501C8" w:rsidR="007C38B9" w:rsidRPr="00940C85" w:rsidRDefault="007C38B9" w:rsidP="00C57ACA">
            <w:pPr>
              <w:jc w:val="both"/>
              <w:rPr>
                <w:rFonts w:ascii="Arial" w:hAnsi="Arial" w:cs="Arial"/>
                <w:b/>
                <w:bCs/>
                <w:sz w:val="20"/>
                <w:szCs w:val="20"/>
              </w:rPr>
            </w:pPr>
            <w:r w:rsidRPr="007C38B9">
              <w:rPr>
                <w:rFonts w:ascii="Arial" w:hAnsi="Arial" w:cs="Arial"/>
                <w:b/>
                <w:bCs/>
                <w:sz w:val="20"/>
                <w:szCs w:val="20"/>
              </w:rPr>
              <w:t>L01EX18</w:t>
            </w:r>
          </w:p>
        </w:tc>
        <w:tc>
          <w:tcPr>
            <w:tcW w:w="9452" w:type="dxa"/>
            <w:tcBorders>
              <w:bottom w:val="single" w:sz="4" w:space="0" w:color="auto"/>
            </w:tcBorders>
            <w:noWrap/>
            <w:vAlign w:val="bottom"/>
          </w:tcPr>
          <w:p w14:paraId="66B28096" w14:textId="77777777" w:rsidR="007C38B9" w:rsidRDefault="007C38B9" w:rsidP="00C57ACA">
            <w:pPr>
              <w:jc w:val="both"/>
              <w:rPr>
                <w:rFonts w:ascii="Arial" w:hAnsi="Arial" w:cs="Arial"/>
                <w:b/>
                <w:bCs/>
                <w:sz w:val="20"/>
                <w:szCs w:val="20"/>
              </w:rPr>
            </w:pPr>
            <w:r w:rsidRPr="007C38B9">
              <w:rPr>
                <w:rFonts w:ascii="Arial" w:hAnsi="Arial" w:cs="Arial"/>
                <w:b/>
                <w:bCs/>
                <w:sz w:val="20"/>
                <w:szCs w:val="20"/>
              </w:rPr>
              <w:t>Avapritinib</w:t>
            </w:r>
            <w:r>
              <w:rPr>
                <w:rFonts w:ascii="Arial" w:hAnsi="Arial" w:cs="Arial"/>
                <w:b/>
                <w:bCs/>
                <w:sz w:val="20"/>
                <w:szCs w:val="20"/>
              </w:rPr>
              <w:t xml:space="preserve"> </w:t>
            </w:r>
            <w:r w:rsidRPr="007C38B9">
              <w:rPr>
                <w:rFonts w:ascii="Arial" w:hAnsi="Arial" w:cs="Arial"/>
                <w:b/>
                <w:bCs/>
                <w:sz w:val="20"/>
                <w:szCs w:val="20"/>
              </w:rPr>
              <w:t>p.o. 50 mg</w:t>
            </w:r>
          </w:p>
          <w:p w14:paraId="4EC0627F" w14:textId="1C2A64B6" w:rsidR="007C38B9" w:rsidRDefault="007C38B9" w:rsidP="007C38B9">
            <w:pPr>
              <w:jc w:val="both"/>
              <w:rPr>
                <w:rFonts w:ascii="Arial" w:hAnsi="Arial" w:cs="Arial"/>
                <w:b/>
                <w:bCs/>
                <w:sz w:val="20"/>
                <w:szCs w:val="20"/>
              </w:rPr>
            </w:pPr>
            <w:r w:rsidRPr="007C38B9">
              <w:rPr>
                <w:rFonts w:ascii="Arial" w:hAnsi="Arial" w:cs="Arial"/>
                <w:b/>
                <w:bCs/>
                <w:sz w:val="20"/>
                <w:szCs w:val="20"/>
              </w:rPr>
              <w:t>Avapritinib</w:t>
            </w:r>
            <w:r>
              <w:rPr>
                <w:rFonts w:ascii="Arial" w:hAnsi="Arial" w:cs="Arial"/>
                <w:b/>
                <w:bCs/>
                <w:sz w:val="20"/>
                <w:szCs w:val="20"/>
              </w:rPr>
              <w:t xml:space="preserve"> </w:t>
            </w:r>
            <w:r w:rsidRPr="007C38B9">
              <w:rPr>
                <w:rFonts w:ascii="Arial" w:hAnsi="Arial" w:cs="Arial"/>
                <w:b/>
                <w:bCs/>
                <w:sz w:val="20"/>
                <w:szCs w:val="20"/>
              </w:rPr>
              <w:t xml:space="preserve">p.o. </w:t>
            </w:r>
            <w:r>
              <w:rPr>
                <w:rFonts w:ascii="Arial" w:hAnsi="Arial" w:cs="Arial"/>
                <w:b/>
                <w:bCs/>
                <w:sz w:val="20"/>
                <w:szCs w:val="20"/>
              </w:rPr>
              <w:t>10</w:t>
            </w:r>
            <w:r w:rsidRPr="007C38B9">
              <w:rPr>
                <w:rFonts w:ascii="Arial" w:hAnsi="Arial" w:cs="Arial"/>
                <w:b/>
                <w:bCs/>
                <w:sz w:val="20"/>
                <w:szCs w:val="20"/>
              </w:rPr>
              <w:t>0 mg</w:t>
            </w:r>
          </w:p>
          <w:p w14:paraId="551C07D9" w14:textId="1245796D" w:rsidR="007C38B9" w:rsidRPr="00940C85" w:rsidRDefault="007C38B9" w:rsidP="00C57ACA">
            <w:pPr>
              <w:jc w:val="both"/>
              <w:rPr>
                <w:rFonts w:ascii="Arial" w:hAnsi="Arial" w:cs="Arial"/>
                <w:b/>
                <w:bCs/>
                <w:sz w:val="20"/>
                <w:szCs w:val="20"/>
              </w:rPr>
            </w:pPr>
            <w:r w:rsidRPr="007C38B9">
              <w:rPr>
                <w:rFonts w:ascii="Arial" w:hAnsi="Arial" w:cs="Arial"/>
                <w:b/>
                <w:bCs/>
                <w:sz w:val="20"/>
                <w:szCs w:val="20"/>
              </w:rPr>
              <w:t>Avapritinib</w:t>
            </w:r>
            <w:r>
              <w:rPr>
                <w:rFonts w:ascii="Arial" w:hAnsi="Arial" w:cs="Arial"/>
                <w:b/>
                <w:bCs/>
                <w:sz w:val="20"/>
                <w:szCs w:val="20"/>
              </w:rPr>
              <w:t xml:space="preserve"> </w:t>
            </w:r>
            <w:r w:rsidRPr="007C38B9">
              <w:rPr>
                <w:rFonts w:ascii="Arial" w:hAnsi="Arial" w:cs="Arial"/>
                <w:b/>
                <w:bCs/>
                <w:sz w:val="20"/>
                <w:szCs w:val="20"/>
              </w:rPr>
              <w:t xml:space="preserve">p.o. </w:t>
            </w:r>
            <w:r>
              <w:rPr>
                <w:rFonts w:ascii="Arial" w:hAnsi="Arial" w:cs="Arial"/>
                <w:b/>
                <w:bCs/>
                <w:sz w:val="20"/>
                <w:szCs w:val="20"/>
              </w:rPr>
              <w:t>20</w:t>
            </w:r>
            <w:r w:rsidRPr="007C38B9">
              <w:rPr>
                <w:rFonts w:ascii="Arial" w:hAnsi="Arial" w:cs="Arial"/>
                <w:b/>
                <w:bCs/>
                <w:sz w:val="20"/>
                <w:szCs w:val="20"/>
              </w:rPr>
              <w:t>0 mg</w:t>
            </w:r>
          </w:p>
        </w:tc>
      </w:tr>
      <w:tr w:rsidR="007C38B9" w:rsidRPr="0000591E" w14:paraId="3C792CB7" w14:textId="77777777" w:rsidTr="007C38B9">
        <w:trPr>
          <w:gridAfter w:val="2"/>
          <w:wAfter w:w="154" w:type="dxa"/>
          <w:trHeight w:val="20"/>
        </w:trPr>
        <w:tc>
          <w:tcPr>
            <w:tcW w:w="1256" w:type="dxa"/>
            <w:tcBorders>
              <w:top w:val="single" w:sz="4" w:space="0" w:color="auto"/>
            </w:tcBorders>
            <w:noWrap/>
            <w:vAlign w:val="bottom"/>
          </w:tcPr>
          <w:p w14:paraId="3EE25E92" w14:textId="77777777" w:rsidR="007C38B9" w:rsidRPr="00940C85" w:rsidRDefault="007C38B9" w:rsidP="00C57ACA">
            <w:pPr>
              <w:jc w:val="both"/>
              <w:rPr>
                <w:rFonts w:ascii="Arial" w:hAnsi="Arial" w:cs="Arial"/>
                <w:b/>
                <w:bCs/>
                <w:sz w:val="20"/>
                <w:szCs w:val="20"/>
              </w:rPr>
            </w:pPr>
          </w:p>
        </w:tc>
        <w:tc>
          <w:tcPr>
            <w:tcW w:w="9452" w:type="dxa"/>
            <w:tcBorders>
              <w:top w:val="single" w:sz="4" w:space="0" w:color="auto"/>
            </w:tcBorders>
            <w:noWrap/>
            <w:vAlign w:val="bottom"/>
          </w:tcPr>
          <w:p w14:paraId="1D015E53" w14:textId="77777777" w:rsidR="0062266D" w:rsidRDefault="0062266D" w:rsidP="0062266D">
            <w:pPr>
              <w:jc w:val="both"/>
              <w:rPr>
                <w:rFonts w:ascii="Arial" w:hAnsi="Arial" w:cs="Arial"/>
                <w:sz w:val="20"/>
                <w:szCs w:val="20"/>
              </w:rPr>
            </w:pPr>
            <w:r w:rsidRPr="0062266D">
              <w:rPr>
                <w:rFonts w:ascii="Arial" w:hAnsi="Arial" w:cs="Arial"/>
                <w:sz w:val="20"/>
                <w:szCs w:val="20"/>
              </w:rPr>
              <w:t>Hradená liečba sa môže indikovať u dospelých pacientov na liečbu agresívnej systémovej mastocytózy, so systémovou mastocytózou so súvisiacim hematologickým novotvarom, alebo s mastocytovou leukémiou po najmenej jednej systémovej liečbe.</w:t>
            </w:r>
          </w:p>
          <w:p w14:paraId="43FD5736" w14:textId="77777777" w:rsidR="0062266D" w:rsidRPr="0062266D" w:rsidRDefault="0062266D" w:rsidP="0062266D">
            <w:pPr>
              <w:jc w:val="both"/>
              <w:rPr>
                <w:rFonts w:ascii="Arial" w:hAnsi="Arial" w:cs="Arial"/>
                <w:sz w:val="20"/>
                <w:szCs w:val="20"/>
              </w:rPr>
            </w:pPr>
          </w:p>
          <w:p w14:paraId="7F0CCAD1" w14:textId="77777777" w:rsidR="00D02ED7" w:rsidRDefault="0062266D" w:rsidP="0062266D">
            <w:pPr>
              <w:jc w:val="both"/>
              <w:rPr>
                <w:rFonts w:ascii="Arial" w:hAnsi="Arial" w:cs="Arial"/>
                <w:sz w:val="20"/>
                <w:szCs w:val="20"/>
              </w:rPr>
            </w:pPr>
            <w:r w:rsidRPr="0062266D">
              <w:rPr>
                <w:rFonts w:ascii="Arial" w:hAnsi="Arial" w:cs="Arial"/>
                <w:sz w:val="20"/>
                <w:szCs w:val="20"/>
              </w:rPr>
              <w:t>Hradená liečba podlieha predchádzajúcemu súhlasu zdravotnej poisťovne.</w:t>
            </w:r>
          </w:p>
          <w:p w14:paraId="0D52CC6D" w14:textId="58A8C66E" w:rsidR="00ED57A6" w:rsidRPr="00D02ED7" w:rsidRDefault="00ED57A6" w:rsidP="0062266D">
            <w:pPr>
              <w:jc w:val="both"/>
              <w:rPr>
                <w:rFonts w:ascii="Arial" w:hAnsi="Arial" w:cs="Arial"/>
                <w:sz w:val="20"/>
                <w:szCs w:val="20"/>
              </w:rPr>
            </w:pPr>
          </w:p>
        </w:tc>
      </w:tr>
      <w:tr w:rsidR="00ED57A6" w:rsidRPr="0000591E" w14:paraId="0E2DFE21" w14:textId="77777777" w:rsidTr="007C38B9">
        <w:trPr>
          <w:gridAfter w:val="2"/>
          <w:wAfter w:w="154" w:type="dxa"/>
          <w:trHeight w:val="20"/>
        </w:trPr>
        <w:tc>
          <w:tcPr>
            <w:tcW w:w="1256" w:type="dxa"/>
            <w:tcBorders>
              <w:bottom w:val="single" w:sz="4" w:space="0" w:color="auto"/>
            </w:tcBorders>
            <w:noWrap/>
            <w:vAlign w:val="bottom"/>
          </w:tcPr>
          <w:p w14:paraId="414D25AD" w14:textId="37C108E8" w:rsidR="00ED57A6" w:rsidRPr="00940C85" w:rsidRDefault="00ED57A6" w:rsidP="00C57ACA">
            <w:pPr>
              <w:jc w:val="both"/>
              <w:rPr>
                <w:rFonts w:ascii="Arial" w:hAnsi="Arial" w:cs="Arial"/>
                <w:b/>
                <w:bCs/>
                <w:sz w:val="20"/>
                <w:szCs w:val="20"/>
              </w:rPr>
            </w:pPr>
            <w:r w:rsidRPr="00940C85">
              <w:rPr>
                <w:rFonts w:ascii="Arial" w:hAnsi="Arial" w:cs="Arial"/>
                <w:b/>
                <w:bCs/>
                <w:sz w:val="20"/>
                <w:szCs w:val="20"/>
              </w:rPr>
              <w:t>L01EX2</w:t>
            </w:r>
            <w:r>
              <w:rPr>
                <w:rFonts w:ascii="Arial" w:hAnsi="Arial" w:cs="Arial"/>
                <w:b/>
                <w:bCs/>
                <w:sz w:val="20"/>
                <w:szCs w:val="20"/>
              </w:rPr>
              <w:t>1</w:t>
            </w:r>
          </w:p>
        </w:tc>
        <w:tc>
          <w:tcPr>
            <w:tcW w:w="9452" w:type="dxa"/>
            <w:tcBorders>
              <w:bottom w:val="single" w:sz="4" w:space="0" w:color="auto"/>
            </w:tcBorders>
            <w:noWrap/>
            <w:vAlign w:val="bottom"/>
          </w:tcPr>
          <w:p w14:paraId="47AB3571" w14:textId="0E5C54C5" w:rsidR="00ED57A6" w:rsidRPr="00940C85" w:rsidRDefault="00ED57A6" w:rsidP="00C57ACA">
            <w:pPr>
              <w:jc w:val="both"/>
              <w:rPr>
                <w:rFonts w:ascii="Arial" w:hAnsi="Arial" w:cs="Arial"/>
                <w:b/>
                <w:bCs/>
                <w:sz w:val="20"/>
                <w:szCs w:val="20"/>
              </w:rPr>
            </w:pPr>
            <w:r w:rsidRPr="00ED57A6">
              <w:rPr>
                <w:rFonts w:ascii="Arial" w:hAnsi="Arial" w:cs="Arial"/>
                <w:b/>
                <w:bCs/>
                <w:sz w:val="20"/>
                <w:szCs w:val="20"/>
              </w:rPr>
              <w:t>Tepotinib</w:t>
            </w:r>
            <w:r>
              <w:rPr>
                <w:rFonts w:ascii="Arial" w:hAnsi="Arial" w:cs="Arial"/>
                <w:b/>
                <w:bCs/>
                <w:sz w:val="20"/>
                <w:szCs w:val="20"/>
              </w:rPr>
              <w:t xml:space="preserve"> p.o. </w:t>
            </w:r>
            <w:r w:rsidRPr="00ED57A6">
              <w:rPr>
                <w:rFonts w:ascii="Arial" w:hAnsi="Arial" w:cs="Arial"/>
                <w:b/>
                <w:bCs/>
                <w:sz w:val="20"/>
                <w:szCs w:val="20"/>
              </w:rPr>
              <w:t>225 mg</w:t>
            </w:r>
          </w:p>
        </w:tc>
      </w:tr>
      <w:tr w:rsidR="00ED57A6" w:rsidRPr="0000591E" w14:paraId="6D3C6713" w14:textId="77777777" w:rsidTr="007C38B9">
        <w:trPr>
          <w:gridAfter w:val="2"/>
          <w:wAfter w:w="154" w:type="dxa"/>
          <w:trHeight w:val="20"/>
        </w:trPr>
        <w:tc>
          <w:tcPr>
            <w:tcW w:w="1256" w:type="dxa"/>
            <w:tcBorders>
              <w:bottom w:val="single" w:sz="4" w:space="0" w:color="auto"/>
            </w:tcBorders>
            <w:noWrap/>
            <w:vAlign w:val="bottom"/>
          </w:tcPr>
          <w:p w14:paraId="7DE9C0F0" w14:textId="77777777" w:rsidR="00ED57A6" w:rsidRPr="00940C85" w:rsidRDefault="00ED57A6" w:rsidP="00C57ACA">
            <w:pPr>
              <w:jc w:val="both"/>
              <w:rPr>
                <w:rFonts w:ascii="Arial" w:hAnsi="Arial" w:cs="Arial"/>
                <w:b/>
                <w:bCs/>
                <w:sz w:val="20"/>
                <w:szCs w:val="20"/>
              </w:rPr>
            </w:pPr>
          </w:p>
        </w:tc>
        <w:tc>
          <w:tcPr>
            <w:tcW w:w="9452" w:type="dxa"/>
            <w:tcBorders>
              <w:bottom w:val="single" w:sz="4" w:space="0" w:color="auto"/>
            </w:tcBorders>
            <w:noWrap/>
            <w:vAlign w:val="bottom"/>
          </w:tcPr>
          <w:p w14:paraId="647D06B8" w14:textId="77777777" w:rsidR="00ED57A6" w:rsidRPr="00ED57A6" w:rsidRDefault="00ED57A6" w:rsidP="00ED57A6">
            <w:pPr>
              <w:jc w:val="both"/>
              <w:rPr>
                <w:rFonts w:ascii="Arial" w:hAnsi="Arial" w:cs="Arial"/>
                <w:sz w:val="20"/>
                <w:szCs w:val="20"/>
              </w:rPr>
            </w:pPr>
            <w:r w:rsidRPr="00ED57A6">
              <w:rPr>
                <w:rFonts w:ascii="Arial" w:hAnsi="Arial" w:cs="Arial"/>
                <w:sz w:val="20"/>
                <w:szCs w:val="20"/>
              </w:rPr>
              <w:t>Hradená liečba sa môže indikovať ako monoterapia na liečbu dospelých pacientov s pokročilým nemalobunkovým karcinómom pľúc (Non-Small Cell Lung Cancer, NSCLC) s mutáciami vedúcimi ku skippingu exónu 14 génu pre faktor mezenchymálno-epiteliálneho prechodu (METex14, mesenchymal-epithelial transition factor gene exon 14), ktorí vyžadujú systémovú liečbu po predchádzajúcej prvolíniovej liečbe imunoterapiou a/alebo po predchádzajúcej liečbe chemoterapiou na báze platiny u pacientov nevhodných na imunoterapiu.</w:t>
            </w:r>
          </w:p>
          <w:p w14:paraId="2705B6C8" w14:textId="77777777" w:rsidR="00ED57A6" w:rsidRPr="00ED57A6" w:rsidRDefault="00ED57A6" w:rsidP="00ED57A6">
            <w:pPr>
              <w:jc w:val="both"/>
              <w:rPr>
                <w:rFonts w:ascii="Arial" w:hAnsi="Arial" w:cs="Arial"/>
                <w:sz w:val="20"/>
                <w:szCs w:val="20"/>
              </w:rPr>
            </w:pPr>
            <w:r w:rsidRPr="00ED57A6">
              <w:rPr>
                <w:rFonts w:ascii="Arial" w:hAnsi="Arial" w:cs="Arial"/>
                <w:sz w:val="20"/>
                <w:szCs w:val="20"/>
              </w:rPr>
              <w:t xml:space="preserve">Liečba je hradená do straty klinického prínosu alebo do vzniku nezvládnuteľnej toxicity. </w:t>
            </w:r>
          </w:p>
          <w:p w14:paraId="7780A327" w14:textId="77777777" w:rsidR="00ED57A6" w:rsidRPr="00ED57A6" w:rsidRDefault="00ED57A6" w:rsidP="00ED57A6">
            <w:pPr>
              <w:jc w:val="both"/>
              <w:rPr>
                <w:rFonts w:ascii="Arial" w:hAnsi="Arial" w:cs="Arial"/>
                <w:sz w:val="20"/>
                <w:szCs w:val="20"/>
              </w:rPr>
            </w:pPr>
            <w:r w:rsidRPr="00ED57A6">
              <w:rPr>
                <w:rFonts w:ascii="Arial" w:hAnsi="Arial" w:cs="Arial"/>
                <w:sz w:val="20"/>
                <w:szCs w:val="20"/>
              </w:rPr>
              <w:t>Podmienkou hradenej liečby je dobrý výkonnostný stav pacienta charakterizovaný na ECOG škále (Eastern Cooperative Oncology Group performance status) ako skóre 0-1.</w:t>
            </w:r>
          </w:p>
          <w:p w14:paraId="1D001105" w14:textId="77777777" w:rsidR="00ED57A6" w:rsidRPr="00ED57A6" w:rsidRDefault="00ED57A6" w:rsidP="00ED57A6">
            <w:pPr>
              <w:jc w:val="both"/>
              <w:rPr>
                <w:rFonts w:ascii="Arial" w:hAnsi="Arial" w:cs="Arial"/>
                <w:sz w:val="20"/>
                <w:szCs w:val="20"/>
              </w:rPr>
            </w:pPr>
          </w:p>
          <w:p w14:paraId="49520ECF" w14:textId="77777777" w:rsidR="00ED57A6" w:rsidRDefault="00ED57A6" w:rsidP="00ED57A6">
            <w:pPr>
              <w:jc w:val="both"/>
              <w:rPr>
                <w:rFonts w:ascii="Arial" w:hAnsi="Arial" w:cs="Arial"/>
                <w:sz w:val="20"/>
                <w:szCs w:val="20"/>
              </w:rPr>
            </w:pPr>
            <w:r w:rsidRPr="00ED57A6">
              <w:rPr>
                <w:rFonts w:ascii="Arial" w:hAnsi="Arial" w:cs="Arial"/>
                <w:sz w:val="20"/>
                <w:szCs w:val="20"/>
              </w:rPr>
              <w:t>Hradená liečba podlieha predchádzajúcemu súhlasu zdravotnej poisťovne.</w:t>
            </w:r>
          </w:p>
          <w:p w14:paraId="0B9BA603" w14:textId="2699BE6A" w:rsidR="00ED57A6" w:rsidRPr="00ED57A6" w:rsidRDefault="00ED57A6" w:rsidP="00ED57A6">
            <w:pPr>
              <w:jc w:val="both"/>
              <w:rPr>
                <w:rFonts w:ascii="Arial" w:hAnsi="Arial" w:cs="Arial"/>
                <w:sz w:val="20"/>
                <w:szCs w:val="20"/>
              </w:rPr>
            </w:pPr>
          </w:p>
        </w:tc>
      </w:tr>
      <w:tr w:rsidR="00C57ACA" w:rsidRPr="0000591E" w14:paraId="74E058EB" w14:textId="77777777" w:rsidTr="007C38B9">
        <w:trPr>
          <w:gridAfter w:val="2"/>
          <w:wAfter w:w="154" w:type="dxa"/>
          <w:trHeight w:val="20"/>
        </w:trPr>
        <w:tc>
          <w:tcPr>
            <w:tcW w:w="1256" w:type="dxa"/>
            <w:tcBorders>
              <w:bottom w:val="single" w:sz="4" w:space="0" w:color="auto"/>
            </w:tcBorders>
            <w:noWrap/>
            <w:vAlign w:val="bottom"/>
          </w:tcPr>
          <w:p w14:paraId="699F36D8" w14:textId="79529476" w:rsidR="00C57ACA" w:rsidRPr="0000591E" w:rsidRDefault="00C57ACA" w:rsidP="00C57ACA">
            <w:pPr>
              <w:jc w:val="both"/>
              <w:rPr>
                <w:rFonts w:ascii="Arial" w:hAnsi="Arial" w:cs="Arial"/>
                <w:b/>
                <w:bCs/>
                <w:sz w:val="20"/>
                <w:szCs w:val="20"/>
              </w:rPr>
            </w:pPr>
            <w:r w:rsidRPr="00940C85">
              <w:rPr>
                <w:rFonts w:ascii="Arial" w:hAnsi="Arial" w:cs="Arial"/>
                <w:b/>
                <w:bCs/>
                <w:sz w:val="20"/>
                <w:szCs w:val="20"/>
              </w:rPr>
              <w:t>L01EX22</w:t>
            </w:r>
          </w:p>
        </w:tc>
        <w:tc>
          <w:tcPr>
            <w:tcW w:w="9452" w:type="dxa"/>
            <w:tcBorders>
              <w:bottom w:val="single" w:sz="4" w:space="0" w:color="auto"/>
            </w:tcBorders>
            <w:noWrap/>
            <w:vAlign w:val="bottom"/>
          </w:tcPr>
          <w:p w14:paraId="5883AE33" w14:textId="77777777" w:rsidR="00C57ACA" w:rsidRPr="00940C85" w:rsidRDefault="00C57ACA" w:rsidP="00C57ACA">
            <w:pPr>
              <w:jc w:val="both"/>
              <w:rPr>
                <w:rFonts w:ascii="Arial" w:hAnsi="Arial" w:cs="Arial"/>
                <w:b/>
                <w:bCs/>
                <w:sz w:val="20"/>
                <w:szCs w:val="20"/>
              </w:rPr>
            </w:pPr>
            <w:r w:rsidRPr="00940C85">
              <w:rPr>
                <w:rFonts w:ascii="Arial" w:hAnsi="Arial" w:cs="Arial"/>
                <w:b/>
                <w:bCs/>
                <w:sz w:val="20"/>
                <w:szCs w:val="20"/>
              </w:rPr>
              <w:t>Selperkatinib p.o. 40 mg</w:t>
            </w:r>
          </w:p>
          <w:p w14:paraId="1C07DE1A" w14:textId="4EBEAD8C" w:rsidR="00C57ACA" w:rsidRPr="0000591E" w:rsidRDefault="00C57ACA" w:rsidP="00C57ACA">
            <w:pPr>
              <w:jc w:val="both"/>
              <w:rPr>
                <w:rFonts w:ascii="Arial" w:hAnsi="Arial" w:cs="Arial"/>
                <w:b/>
                <w:bCs/>
                <w:sz w:val="20"/>
                <w:szCs w:val="20"/>
              </w:rPr>
            </w:pPr>
            <w:r w:rsidRPr="00940C85">
              <w:rPr>
                <w:rFonts w:ascii="Arial" w:hAnsi="Arial" w:cs="Arial"/>
                <w:b/>
                <w:bCs/>
                <w:sz w:val="20"/>
                <w:szCs w:val="20"/>
              </w:rPr>
              <w:t>Selperkatinib p.o. 80 mg</w:t>
            </w:r>
          </w:p>
        </w:tc>
      </w:tr>
      <w:tr w:rsidR="00C57ACA" w:rsidRPr="0000591E" w14:paraId="60723B5E" w14:textId="77777777" w:rsidTr="003F7925">
        <w:trPr>
          <w:gridAfter w:val="2"/>
          <w:wAfter w:w="154" w:type="dxa"/>
          <w:trHeight w:val="20"/>
        </w:trPr>
        <w:tc>
          <w:tcPr>
            <w:tcW w:w="1256" w:type="dxa"/>
            <w:tcBorders>
              <w:top w:val="single" w:sz="4" w:space="0" w:color="auto"/>
            </w:tcBorders>
            <w:noWrap/>
            <w:vAlign w:val="bottom"/>
          </w:tcPr>
          <w:p w14:paraId="69844066"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94415A8"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 xml:space="preserve">Hradená liečba sa môže indikovať: </w:t>
            </w:r>
          </w:p>
          <w:p w14:paraId="13FF8B53"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 xml:space="preserve">a) v monoterapii na liečbu dospelých pacientov s pokročilým nemalobunkovým karcinómom pľúc (non-small cell lung cancer, NSCLC) pozitívnym na RET fúzie, ktorí vyžadujú systémovú liečbu po predchádzajúcej liečbe imunoterapiou a/alebo chemoterapiou na báze platiny, </w:t>
            </w:r>
          </w:p>
          <w:p w14:paraId="4D90B8F5"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 xml:space="preserve">b) v monoterapii na liečbu dospelých pacientov s pokročilým karcinómom štítnej žľazy pozitívnym na RET fúzie, ktorí vyžadujú systémovú liečbu po predchádzajúcej liečbe sorafenibom a/alebo lenvatinibom, </w:t>
            </w:r>
          </w:p>
          <w:p w14:paraId="4414659F"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 xml:space="preserve">c) v monoterapii na liečbu dospelých a dospievajúcich vo veku 12 rokov a starších s pokročilým RET-mutantným medulárnym karcinómom štítnej žľazy (medullary thyroid cancer, MTC), ktorí vyžadujú systémovú liečbu po predchádzajúcej liečbe kabozantinibom a/alebo vandetanibom. </w:t>
            </w:r>
          </w:p>
          <w:p w14:paraId="5D8B5DB3" w14:textId="77777777" w:rsidR="00C57ACA" w:rsidRPr="00940C85" w:rsidRDefault="00C57ACA" w:rsidP="00C57ACA">
            <w:pPr>
              <w:jc w:val="both"/>
              <w:rPr>
                <w:rFonts w:ascii="Arial" w:hAnsi="Arial" w:cs="Arial"/>
                <w:bCs/>
                <w:sz w:val="20"/>
                <w:szCs w:val="20"/>
              </w:rPr>
            </w:pPr>
          </w:p>
          <w:p w14:paraId="677F02E9" w14:textId="77777777" w:rsidR="00C57ACA" w:rsidRDefault="00C57ACA" w:rsidP="00C57ACA">
            <w:pPr>
              <w:jc w:val="both"/>
              <w:rPr>
                <w:rFonts w:ascii="Arial" w:hAnsi="Arial" w:cs="Arial"/>
                <w:bCs/>
                <w:sz w:val="20"/>
                <w:szCs w:val="20"/>
              </w:rPr>
            </w:pPr>
            <w:r w:rsidRPr="00940C85">
              <w:rPr>
                <w:rFonts w:ascii="Arial" w:hAnsi="Arial" w:cs="Arial"/>
                <w:bCs/>
                <w:sz w:val="20"/>
                <w:szCs w:val="20"/>
              </w:rPr>
              <w:t>Hradená liečba podlieha predchádzajúcemu súhlasu zdravotnej poisťovne.</w:t>
            </w:r>
          </w:p>
          <w:p w14:paraId="11A7764E" w14:textId="4C655BC9" w:rsidR="00C57ACA" w:rsidRPr="00940C85" w:rsidRDefault="00C57ACA" w:rsidP="00C57ACA">
            <w:pPr>
              <w:jc w:val="both"/>
              <w:rPr>
                <w:rFonts w:ascii="Arial" w:hAnsi="Arial" w:cs="Arial"/>
                <w:bCs/>
                <w:sz w:val="20"/>
                <w:szCs w:val="20"/>
              </w:rPr>
            </w:pPr>
          </w:p>
        </w:tc>
      </w:tr>
      <w:tr w:rsidR="00C57ACA" w:rsidRPr="0000591E" w14:paraId="5D74F4AA" w14:textId="77777777" w:rsidTr="001919E7">
        <w:trPr>
          <w:gridAfter w:val="2"/>
          <w:wAfter w:w="154" w:type="dxa"/>
          <w:trHeight w:val="20"/>
        </w:trPr>
        <w:tc>
          <w:tcPr>
            <w:tcW w:w="1256" w:type="dxa"/>
            <w:tcBorders>
              <w:bottom w:val="single" w:sz="4" w:space="0" w:color="auto"/>
            </w:tcBorders>
            <w:noWrap/>
            <w:vAlign w:val="bottom"/>
          </w:tcPr>
          <w:p w14:paraId="205777D5" w14:textId="7A15DACC" w:rsidR="00C57ACA" w:rsidRPr="0000591E" w:rsidRDefault="00C57ACA" w:rsidP="00C57ACA">
            <w:pPr>
              <w:jc w:val="both"/>
              <w:rPr>
                <w:rFonts w:ascii="Arial" w:hAnsi="Arial" w:cs="Arial"/>
                <w:b/>
                <w:bCs/>
                <w:sz w:val="20"/>
                <w:szCs w:val="20"/>
              </w:rPr>
            </w:pPr>
            <w:r w:rsidRPr="001919E7">
              <w:rPr>
                <w:rFonts w:ascii="Arial" w:hAnsi="Arial" w:cs="Arial"/>
                <w:b/>
                <w:bCs/>
                <w:sz w:val="20"/>
                <w:szCs w:val="20"/>
              </w:rPr>
              <w:t>L01FA01</w:t>
            </w:r>
          </w:p>
        </w:tc>
        <w:tc>
          <w:tcPr>
            <w:tcW w:w="9452" w:type="dxa"/>
            <w:tcBorders>
              <w:bottom w:val="single" w:sz="4" w:space="0" w:color="auto"/>
            </w:tcBorders>
            <w:noWrap/>
            <w:vAlign w:val="bottom"/>
          </w:tcPr>
          <w:p w14:paraId="3CEDA3FE" w14:textId="77777777" w:rsidR="00C57ACA" w:rsidRPr="001919E7" w:rsidRDefault="00C57ACA" w:rsidP="00C57ACA">
            <w:pPr>
              <w:jc w:val="both"/>
              <w:rPr>
                <w:rFonts w:ascii="Arial" w:hAnsi="Arial" w:cs="Arial"/>
                <w:b/>
                <w:bCs/>
                <w:sz w:val="20"/>
                <w:szCs w:val="20"/>
              </w:rPr>
            </w:pPr>
            <w:r w:rsidRPr="001919E7">
              <w:rPr>
                <w:rFonts w:ascii="Arial" w:hAnsi="Arial" w:cs="Arial"/>
                <w:b/>
                <w:bCs/>
                <w:sz w:val="20"/>
                <w:szCs w:val="20"/>
              </w:rPr>
              <w:t>Rituximab parent. 100 mg,</w:t>
            </w:r>
          </w:p>
          <w:p w14:paraId="569CEE75" w14:textId="03B90924" w:rsidR="00C57ACA" w:rsidRPr="0000591E" w:rsidRDefault="00C57ACA" w:rsidP="00C57ACA">
            <w:pPr>
              <w:jc w:val="both"/>
              <w:rPr>
                <w:rFonts w:ascii="Arial" w:hAnsi="Arial" w:cs="Arial"/>
                <w:b/>
                <w:bCs/>
                <w:sz w:val="20"/>
                <w:szCs w:val="20"/>
              </w:rPr>
            </w:pPr>
            <w:r w:rsidRPr="001919E7">
              <w:rPr>
                <w:rFonts w:ascii="Arial" w:hAnsi="Arial" w:cs="Arial"/>
                <w:b/>
                <w:bCs/>
                <w:sz w:val="20"/>
                <w:szCs w:val="20"/>
              </w:rPr>
              <w:t>Rituximab parent. 500 mg</w:t>
            </w:r>
          </w:p>
        </w:tc>
      </w:tr>
      <w:tr w:rsidR="00C57ACA" w:rsidRPr="0000591E" w14:paraId="6611155C" w14:textId="77777777" w:rsidTr="001919E7">
        <w:trPr>
          <w:gridAfter w:val="2"/>
          <w:wAfter w:w="154" w:type="dxa"/>
          <w:trHeight w:val="20"/>
        </w:trPr>
        <w:tc>
          <w:tcPr>
            <w:tcW w:w="1256" w:type="dxa"/>
            <w:tcBorders>
              <w:top w:val="single" w:sz="4" w:space="0" w:color="auto"/>
            </w:tcBorders>
            <w:noWrap/>
            <w:vAlign w:val="bottom"/>
          </w:tcPr>
          <w:p w14:paraId="13A13BF4" w14:textId="14D2A419"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A4E7440"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Pri indikovaní konkrétneho lieku je potrebné zohľadniť rozdielne registrované indikácie uvedené v súhrne charakteristických vlastností (SmPC, časť 4.1).</w:t>
            </w:r>
          </w:p>
          <w:p w14:paraId="1ECE96E4" w14:textId="77777777" w:rsidR="00C57ACA" w:rsidRPr="001919E7" w:rsidRDefault="00C57ACA" w:rsidP="00C57ACA">
            <w:pPr>
              <w:jc w:val="both"/>
              <w:rPr>
                <w:rFonts w:ascii="Arial" w:hAnsi="Arial" w:cs="Arial"/>
                <w:bCs/>
                <w:sz w:val="20"/>
                <w:szCs w:val="20"/>
              </w:rPr>
            </w:pPr>
          </w:p>
          <w:p w14:paraId="767F61EC"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Hradenú liečbu môže indikovať </w:t>
            </w:r>
          </w:p>
          <w:p w14:paraId="0FDC8450" w14:textId="77777777" w:rsidR="00C57ACA" w:rsidRPr="001919E7" w:rsidRDefault="00C57ACA" w:rsidP="00C57ACA">
            <w:pPr>
              <w:tabs>
                <w:tab w:val="left" w:pos="365"/>
              </w:tabs>
              <w:jc w:val="both"/>
              <w:rPr>
                <w:rFonts w:ascii="Arial" w:hAnsi="Arial" w:cs="Arial"/>
                <w:bCs/>
                <w:sz w:val="20"/>
                <w:szCs w:val="20"/>
              </w:rPr>
            </w:pPr>
            <w:r w:rsidRPr="001919E7">
              <w:rPr>
                <w:rFonts w:ascii="Arial" w:hAnsi="Arial" w:cs="Arial"/>
                <w:bCs/>
                <w:sz w:val="20"/>
                <w:szCs w:val="20"/>
              </w:rPr>
              <w:t>a)</w:t>
            </w:r>
            <w:r w:rsidRPr="001919E7">
              <w:rPr>
                <w:rFonts w:ascii="Arial" w:hAnsi="Arial" w:cs="Arial"/>
                <w:bCs/>
                <w:sz w:val="20"/>
                <w:szCs w:val="20"/>
              </w:rPr>
              <w:tab/>
              <w:t xml:space="preserve">hematológ alebo klinický onkológ </w:t>
            </w:r>
          </w:p>
          <w:p w14:paraId="19CCA1FE" w14:textId="6A4FBEB7"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1.</w:t>
            </w:r>
            <w:r w:rsidRPr="001919E7">
              <w:rPr>
                <w:rFonts w:ascii="Arial" w:hAnsi="Arial" w:cs="Arial"/>
                <w:bCs/>
                <w:sz w:val="20"/>
                <w:szCs w:val="20"/>
              </w:rPr>
              <w:tab/>
              <w:t xml:space="preserve">na liečbu doteraz neliečených pacientov v štádiách III-IV folikulového lymfómu v kombinácii s </w:t>
            </w:r>
            <w:r>
              <w:rPr>
                <w:rFonts w:ascii="Arial" w:hAnsi="Arial" w:cs="Arial"/>
                <w:bCs/>
                <w:sz w:val="20"/>
                <w:szCs w:val="20"/>
              </w:rPr>
              <w:tab/>
            </w:r>
            <w:r w:rsidRPr="001919E7">
              <w:rPr>
                <w:rFonts w:ascii="Arial" w:hAnsi="Arial" w:cs="Arial"/>
                <w:bCs/>
                <w:sz w:val="20"/>
                <w:szCs w:val="20"/>
              </w:rPr>
              <w:t>chemoterapiou,</w:t>
            </w:r>
          </w:p>
          <w:p w14:paraId="5A6F5833" w14:textId="1AF455BE"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2.</w:t>
            </w:r>
            <w:r w:rsidRPr="001919E7">
              <w:rPr>
                <w:rFonts w:ascii="Arial" w:hAnsi="Arial" w:cs="Arial"/>
                <w:bCs/>
                <w:sz w:val="20"/>
                <w:szCs w:val="20"/>
              </w:rPr>
              <w:tab/>
              <w:t xml:space="preserve">ako udržiavaciu liečbu pacientov s relapsujúcim/refraktérnym folikul. lymfómom, ktorí odpovedali </w:t>
            </w:r>
            <w:r>
              <w:rPr>
                <w:rFonts w:ascii="Arial" w:hAnsi="Arial" w:cs="Arial"/>
                <w:bCs/>
                <w:sz w:val="20"/>
                <w:szCs w:val="20"/>
              </w:rPr>
              <w:tab/>
            </w:r>
            <w:r w:rsidRPr="001919E7">
              <w:rPr>
                <w:rFonts w:ascii="Arial" w:hAnsi="Arial" w:cs="Arial"/>
                <w:bCs/>
                <w:sz w:val="20"/>
                <w:szCs w:val="20"/>
              </w:rPr>
              <w:t>na indukčnú liečbu chemoterapiou s alebo bez rituximabu,</w:t>
            </w:r>
          </w:p>
          <w:p w14:paraId="7C978EF1" w14:textId="3568271A"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3.</w:t>
            </w:r>
            <w:r w:rsidRPr="001919E7">
              <w:rPr>
                <w:rFonts w:ascii="Arial" w:hAnsi="Arial" w:cs="Arial"/>
                <w:bCs/>
                <w:sz w:val="20"/>
                <w:szCs w:val="20"/>
              </w:rPr>
              <w:tab/>
              <w:t xml:space="preserve">ako monoterapiu na liečbu pacientov v štádiách III-IV folikul. lymfómu, ktorí sú rezistentní na </w:t>
            </w:r>
            <w:r>
              <w:rPr>
                <w:rFonts w:ascii="Arial" w:hAnsi="Arial" w:cs="Arial"/>
                <w:bCs/>
                <w:sz w:val="20"/>
                <w:szCs w:val="20"/>
              </w:rPr>
              <w:tab/>
            </w:r>
            <w:r w:rsidRPr="001919E7">
              <w:rPr>
                <w:rFonts w:ascii="Arial" w:hAnsi="Arial" w:cs="Arial"/>
                <w:bCs/>
                <w:sz w:val="20"/>
                <w:szCs w:val="20"/>
              </w:rPr>
              <w:t xml:space="preserve">chemoterapiu, alebo ktorí sa nachádzajú v druhom alebo nasledujúcom ďalšom relapse po </w:t>
            </w:r>
            <w:r>
              <w:rPr>
                <w:rFonts w:ascii="Arial" w:hAnsi="Arial" w:cs="Arial"/>
                <w:bCs/>
                <w:sz w:val="20"/>
                <w:szCs w:val="20"/>
              </w:rPr>
              <w:tab/>
            </w:r>
            <w:r w:rsidRPr="001919E7">
              <w:rPr>
                <w:rFonts w:ascii="Arial" w:hAnsi="Arial" w:cs="Arial"/>
                <w:bCs/>
                <w:sz w:val="20"/>
                <w:szCs w:val="20"/>
              </w:rPr>
              <w:t>chemoterapii,</w:t>
            </w:r>
          </w:p>
          <w:p w14:paraId="5D539B66" w14:textId="67129D99"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4.</w:t>
            </w:r>
            <w:r w:rsidRPr="001919E7">
              <w:rPr>
                <w:rFonts w:ascii="Arial" w:hAnsi="Arial" w:cs="Arial"/>
                <w:bCs/>
                <w:sz w:val="20"/>
                <w:szCs w:val="20"/>
              </w:rPr>
              <w:tab/>
              <w:t xml:space="preserve">na liečbu pacientov s CD20 pozit. difúznym B-veľkobunkovým non-Hodgkinovým lymfómom v </w:t>
            </w:r>
            <w:r>
              <w:rPr>
                <w:rFonts w:ascii="Arial" w:hAnsi="Arial" w:cs="Arial"/>
                <w:bCs/>
                <w:sz w:val="20"/>
                <w:szCs w:val="20"/>
              </w:rPr>
              <w:tab/>
            </w:r>
            <w:r w:rsidRPr="001919E7">
              <w:rPr>
                <w:rFonts w:ascii="Arial" w:hAnsi="Arial" w:cs="Arial"/>
                <w:bCs/>
                <w:sz w:val="20"/>
                <w:szCs w:val="20"/>
              </w:rPr>
              <w:t>kombinácii s CHOP (cyklofosfamid, doxorubicín, vinkristín, prednizolón) chemoterapiou,</w:t>
            </w:r>
          </w:p>
          <w:p w14:paraId="6B7D8EF7" w14:textId="0657DC20"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5.</w:t>
            </w:r>
            <w:r w:rsidRPr="001919E7">
              <w:rPr>
                <w:rFonts w:ascii="Arial" w:hAnsi="Arial" w:cs="Arial"/>
                <w:bCs/>
                <w:sz w:val="20"/>
                <w:szCs w:val="20"/>
              </w:rPr>
              <w:tab/>
              <w:t xml:space="preserve">na liečbu doteraz neliečených pacientov a pacientov s relapsujúcou/refraktérnou chronickou </w:t>
            </w:r>
            <w:r>
              <w:rPr>
                <w:rFonts w:ascii="Arial" w:hAnsi="Arial" w:cs="Arial"/>
                <w:bCs/>
                <w:sz w:val="20"/>
                <w:szCs w:val="20"/>
              </w:rPr>
              <w:tab/>
            </w:r>
            <w:r w:rsidRPr="001919E7">
              <w:rPr>
                <w:rFonts w:ascii="Arial" w:hAnsi="Arial" w:cs="Arial"/>
                <w:bCs/>
                <w:sz w:val="20"/>
                <w:szCs w:val="20"/>
              </w:rPr>
              <w:t>lymfocytovou leukémiou (CLL) v kombinácii s chemoterapiou;</w:t>
            </w:r>
          </w:p>
          <w:p w14:paraId="6DFC8866" w14:textId="77777777" w:rsidR="00C57ACA" w:rsidRPr="001919E7" w:rsidRDefault="00C57ACA" w:rsidP="00C57ACA">
            <w:pPr>
              <w:jc w:val="both"/>
              <w:rPr>
                <w:rFonts w:ascii="Arial" w:hAnsi="Arial" w:cs="Arial"/>
                <w:b/>
                <w:bCs/>
                <w:sz w:val="20"/>
                <w:szCs w:val="20"/>
              </w:rPr>
            </w:pPr>
            <w:r w:rsidRPr="001919E7">
              <w:rPr>
                <w:rFonts w:ascii="Arial" w:hAnsi="Arial" w:cs="Arial"/>
                <w:b/>
                <w:bCs/>
                <w:sz w:val="20"/>
                <w:szCs w:val="20"/>
              </w:rPr>
              <w:t>Poznámka: výdaj lieku podľa bodov 1-5 sa nevzťahuje na výdaj v centrách</w:t>
            </w:r>
          </w:p>
          <w:p w14:paraId="0C09AB7E" w14:textId="77777777" w:rsidR="00C57ACA" w:rsidRPr="001919E7" w:rsidRDefault="00C57ACA" w:rsidP="00C57ACA">
            <w:pPr>
              <w:jc w:val="both"/>
              <w:rPr>
                <w:rFonts w:ascii="Arial" w:hAnsi="Arial" w:cs="Arial"/>
                <w:bCs/>
                <w:sz w:val="20"/>
                <w:szCs w:val="20"/>
              </w:rPr>
            </w:pPr>
          </w:p>
          <w:p w14:paraId="4E839637" w14:textId="77EF0CBD" w:rsidR="00C57ACA" w:rsidRDefault="00C57ACA" w:rsidP="00C57ACA">
            <w:pPr>
              <w:ind w:left="352"/>
              <w:jc w:val="both"/>
              <w:rPr>
                <w:rFonts w:ascii="Arial" w:hAnsi="Arial" w:cs="Arial"/>
                <w:bCs/>
                <w:sz w:val="20"/>
                <w:szCs w:val="20"/>
              </w:rPr>
            </w:pPr>
            <w:r w:rsidRPr="001919E7">
              <w:rPr>
                <w:rFonts w:ascii="Arial" w:hAnsi="Arial" w:cs="Arial"/>
                <w:bCs/>
                <w:sz w:val="20"/>
                <w:szCs w:val="20"/>
              </w:rPr>
              <w:t>6.</w:t>
            </w:r>
            <w:r w:rsidRPr="001919E7">
              <w:rPr>
                <w:rFonts w:ascii="Arial" w:hAnsi="Arial" w:cs="Arial"/>
                <w:bCs/>
                <w:sz w:val="20"/>
                <w:szCs w:val="20"/>
              </w:rPr>
              <w:tab/>
              <w:t xml:space="preserve">v kombinácii s venetoclaxom u dospelých pacientov s relabujúcou alebo refraktérnou chronickou </w:t>
            </w:r>
            <w:r>
              <w:rPr>
                <w:rFonts w:ascii="Arial" w:hAnsi="Arial" w:cs="Arial"/>
                <w:bCs/>
                <w:sz w:val="20"/>
                <w:szCs w:val="20"/>
              </w:rPr>
              <w:tab/>
            </w:r>
            <w:r w:rsidRPr="001919E7">
              <w:rPr>
                <w:rFonts w:ascii="Arial" w:hAnsi="Arial" w:cs="Arial"/>
                <w:bCs/>
                <w:sz w:val="20"/>
                <w:szCs w:val="20"/>
              </w:rPr>
              <w:t xml:space="preserve">lymfocytovou leukémiou (CLL), vo výkonnostnom stave ECOG 0-2, s absolútnym počtom </w:t>
            </w:r>
            <w:r>
              <w:rPr>
                <w:rFonts w:ascii="Arial" w:hAnsi="Arial" w:cs="Arial"/>
                <w:bCs/>
                <w:sz w:val="20"/>
                <w:szCs w:val="20"/>
              </w:rPr>
              <w:tab/>
            </w:r>
            <w:r w:rsidRPr="001919E7">
              <w:rPr>
                <w:rFonts w:ascii="Arial" w:hAnsi="Arial" w:cs="Arial"/>
                <w:bCs/>
                <w:sz w:val="20"/>
                <w:szCs w:val="20"/>
              </w:rPr>
              <w:t xml:space="preserve">neutrofilov ≥ 0,75x109/l a s počtom krvných doštičiek ≥ 30x109/l </w:t>
            </w:r>
          </w:p>
          <w:p w14:paraId="506459DB" w14:textId="63079370" w:rsidR="00C57ACA" w:rsidRPr="001919E7" w:rsidRDefault="00C57ACA" w:rsidP="00C57ACA">
            <w:pPr>
              <w:ind w:left="352"/>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 xml:space="preserve">a) ktorí sú refraktérni alebo u ktorých došlo k relapsu do 18 mesiacov od predchádzajúcej </w:t>
            </w:r>
            <w:r>
              <w:rPr>
                <w:rFonts w:ascii="Arial" w:hAnsi="Arial" w:cs="Arial"/>
                <w:bCs/>
                <w:sz w:val="20"/>
                <w:szCs w:val="20"/>
              </w:rPr>
              <w:tab/>
            </w:r>
            <w:r w:rsidRPr="001919E7">
              <w:rPr>
                <w:rFonts w:ascii="Arial" w:hAnsi="Arial" w:cs="Arial"/>
                <w:bCs/>
                <w:sz w:val="20"/>
                <w:szCs w:val="20"/>
              </w:rPr>
              <w:t>liečby alebo</w:t>
            </w:r>
          </w:p>
          <w:p w14:paraId="34D7F60F" w14:textId="582E56F5" w:rsidR="00C57ACA" w:rsidRPr="001919E7" w:rsidRDefault="00C57ACA" w:rsidP="00C57ACA">
            <w:pPr>
              <w:ind w:left="352"/>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 xml:space="preserve">b) u pacientov s prítomnou mutáciou TP53 alebo del 17p.         </w:t>
            </w:r>
          </w:p>
          <w:p w14:paraId="24E34729" w14:textId="77777777" w:rsidR="00C57ACA" w:rsidRDefault="00C57ACA" w:rsidP="00C57ACA">
            <w:pPr>
              <w:ind w:left="352"/>
              <w:jc w:val="both"/>
              <w:rPr>
                <w:rFonts w:ascii="Arial" w:hAnsi="Arial" w:cs="Arial"/>
                <w:bCs/>
                <w:sz w:val="20"/>
                <w:szCs w:val="20"/>
              </w:rPr>
            </w:pPr>
          </w:p>
          <w:p w14:paraId="08A47572" w14:textId="77777777" w:rsidR="00C57ACA" w:rsidRDefault="00C57ACA" w:rsidP="00C57ACA">
            <w:pPr>
              <w:ind w:left="352"/>
              <w:jc w:val="both"/>
              <w:rPr>
                <w:rFonts w:ascii="Arial" w:hAnsi="Arial" w:cs="Arial"/>
                <w:bCs/>
                <w:sz w:val="20"/>
                <w:szCs w:val="20"/>
              </w:rPr>
            </w:pPr>
            <w:r w:rsidRPr="001919E7">
              <w:rPr>
                <w:rFonts w:ascii="Arial" w:hAnsi="Arial" w:cs="Arial"/>
                <w:bCs/>
                <w:sz w:val="20"/>
                <w:szCs w:val="20"/>
              </w:rPr>
              <w:t>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ambulancií Fakultnej nemocnice Nitra; Oddelení klinickej hematológie, Fakultnej nemocnice s poliklinikou J. A. Reimana Prešov.</w:t>
            </w:r>
          </w:p>
          <w:p w14:paraId="5C076C92" w14:textId="62D9F04F" w:rsidR="00C57ACA" w:rsidRDefault="00C57ACA" w:rsidP="00C57ACA">
            <w:pPr>
              <w:ind w:left="352"/>
              <w:jc w:val="both"/>
              <w:rPr>
                <w:rFonts w:ascii="Arial" w:hAnsi="Arial" w:cs="Arial"/>
                <w:bCs/>
                <w:sz w:val="20"/>
                <w:szCs w:val="20"/>
              </w:rPr>
            </w:pPr>
            <w:r w:rsidRPr="001919E7">
              <w:rPr>
                <w:rFonts w:ascii="Arial" w:hAnsi="Arial" w:cs="Arial"/>
                <w:bCs/>
                <w:sz w:val="20"/>
                <w:szCs w:val="20"/>
              </w:rPr>
              <w:t>Hradená liečba podlieha predchádzajúcemu súhlasu zdravotnej poisťovne.</w:t>
            </w:r>
          </w:p>
          <w:p w14:paraId="5DE4F418" w14:textId="77777777" w:rsidR="00C57ACA" w:rsidRPr="001919E7" w:rsidRDefault="00C57ACA" w:rsidP="00C57ACA">
            <w:pPr>
              <w:ind w:left="352"/>
              <w:jc w:val="both"/>
              <w:rPr>
                <w:rFonts w:ascii="Arial" w:hAnsi="Arial" w:cs="Arial"/>
                <w:bCs/>
                <w:sz w:val="20"/>
                <w:szCs w:val="20"/>
              </w:rPr>
            </w:pPr>
          </w:p>
          <w:p w14:paraId="23DD160D" w14:textId="446064D5"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7.</w:t>
            </w:r>
            <w:r w:rsidRPr="001919E7">
              <w:rPr>
                <w:rFonts w:ascii="Arial" w:hAnsi="Arial" w:cs="Arial"/>
                <w:bCs/>
                <w:sz w:val="20"/>
                <w:szCs w:val="20"/>
              </w:rPr>
              <w:tab/>
              <w:t xml:space="preserve">u dospelých pacientov v kombinácii s polatuzumab-vedotínom, cyklofosfamidom, doxorubicinom </w:t>
            </w:r>
            <w:r>
              <w:rPr>
                <w:rFonts w:ascii="Arial" w:hAnsi="Arial" w:cs="Arial"/>
                <w:bCs/>
                <w:sz w:val="20"/>
                <w:szCs w:val="20"/>
              </w:rPr>
              <w:tab/>
            </w:r>
            <w:r w:rsidRPr="001919E7">
              <w:rPr>
                <w:rFonts w:ascii="Arial" w:hAnsi="Arial" w:cs="Arial"/>
                <w:bCs/>
                <w:sz w:val="20"/>
                <w:szCs w:val="20"/>
              </w:rPr>
              <w:t xml:space="preserve">a prednisonom (R-CHP) na liečbu difúzneho B-veľkobunkového non-Hodgkinovho lymfómu </w:t>
            </w:r>
            <w:r>
              <w:rPr>
                <w:rFonts w:ascii="Arial" w:hAnsi="Arial" w:cs="Arial"/>
                <w:bCs/>
                <w:sz w:val="20"/>
                <w:szCs w:val="20"/>
              </w:rPr>
              <w:tab/>
            </w:r>
            <w:r w:rsidRPr="001919E7">
              <w:rPr>
                <w:rFonts w:ascii="Arial" w:hAnsi="Arial" w:cs="Arial"/>
                <w:bCs/>
                <w:sz w:val="20"/>
                <w:szCs w:val="20"/>
              </w:rPr>
              <w:t xml:space="preserve">(DLBCL), s IPI skóre 3-5 a ECOG výkonnostným stavom 0-2, ktorí doteraz neboli liečení. Liečba </w:t>
            </w:r>
            <w:r>
              <w:rPr>
                <w:rFonts w:ascii="Arial" w:hAnsi="Arial" w:cs="Arial"/>
                <w:bCs/>
                <w:sz w:val="20"/>
                <w:szCs w:val="20"/>
              </w:rPr>
              <w:tab/>
            </w:r>
            <w:r w:rsidRPr="001919E7">
              <w:rPr>
                <w:rFonts w:ascii="Arial" w:hAnsi="Arial" w:cs="Arial"/>
                <w:bCs/>
                <w:sz w:val="20"/>
                <w:szCs w:val="20"/>
              </w:rPr>
              <w:t xml:space="preserve">je hradená do progresie ochorenia, maximálne 6 cyklov kombinovanej liečby a ďalších 2 cyklov </w:t>
            </w:r>
            <w:r>
              <w:rPr>
                <w:rFonts w:ascii="Arial" w:hAnsi="Arial" w:cs="Arial"/>
                <w:bCs/>
                <w:sz w:val="20"/>
                <w:szCs w:val="20"/>
              </w:rPr>
              <w:tab/>
            </w:r>
            <w:r w:rsidRPr="001919E7">
              <w:rPr>
                <w:rFonts w:ascii="Arial" w:hAnsi="Arial" w:cs="Arial"/>
                <w:bCs/>
                <w:sz w:val="20"/>
                <w:szCs w:val="20"/>
              </w:rPr>
              <w:t xml:space="preserve">rituximabu v monoterapii. Hradená liečba podlieha predchádzajúcemu súhlasu zdravotnej </w:t>
            </w:r>
            <w:r>
              <w:rPr>
                <w:rFonts w:ascii="Arial" w:hAnsi="Arial" w:cs="Arial"/>
                <w:bCs/>
                <w:sz w:val="20"/>
                <w:szCs w:val="20"/>
              </w:rPr>
              <w:tab/>
            </w:r>
            <w:r w:rsidRPr="001919E7">
              <w:rPr>
                <w:rFonts w:ascii="Arial" w:hAnsi="Arial" w:cs="Arial"/>
                <w:bCs/>
                <w:sz w:val="20"/>
                <w:szCs w:val="20"/>
              </w:rPr>
              <w:t>poisťovne.</w:t>
            </w:r>
          </w:p>
          <w:p w14:paraId="73A3B19C" w14:textId="4A8B47FE" w:rsidR="00C57ACA" w:rsidRPr="001919E7" w:rsidRDefault="00C57ACA" w:rsidP="00C57ACA">
            <w:pPr>
              <w:tabs>
                <w:tab w:val="left" w:pos="352"/>
              </w:tabs>
              <w:jc w:val="both"/>
              <w:rPr>
                <w:rFonts w:ascii="Arial" w:hAnsi="Arial" w:cs="Arial"/>
                <w:bCs/>
                <w:sz w:val="20"/>
                <w:szCs w:val="20"/>
              </w:rPr>
            </w:pPr>
            <w:r w:rsidRPr="001919E7">
              <w:rPr>
                <w:rFonts w:ascii="Arial" w:hAnsi="Arial" w:cs="Arial"/>
                <w:bCs/>
                <w:sz w:val="20"/>
                <w:szCs w:val="20"/>
              </w:rPr>
              <w:t>b)</w:t>
            </w:r>
            <w:r>
              <w:rPr>
                <w:rFonts w:ascii="Arial" w:hAnsi="Arial" w:cs="Arial"/>
                <w:bCs/>
                <w:sz w:val="20"/>
                <w:szCs w:val="20"/>
              </w:rPr>
              <w:tab/>
            </w:r>
            <w:r w:rsidRPr="001919E7">
              <w:rPr>
                <w:rFonts w:ascii="Arial" w:hAnsi="Arial" w:cs="Arial"/>
                <w:bCs/>
                <w:sz w:val="20"/>
                <w:szCs w:val="20"/>
              </w:rPr>
              <w:t xml:space="preserve">reumatológ </w:t>
            </w:r>
          </w:p>
          <w:p w14:paraId="69E1930C" w14:textId="4675E6E9" w:rsidR="00C57ACA" w:rsidRPr="001919E7" w:rsidRDefault="00C57ACA" w:rsidP="00C57ACA">
            <w:pPr>
              <w:tabs>
                <w:tab w:val="left" w:pos="352"/>
              </w:tabs>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1.</w:t>
            </w:r>
            <w:r w:rsidRPr="001919E7">
              <w:rPr>
                <w:rFonts w:ascii="Arial" w:hAnsi="Arial" w:cs="Arial"/>
                <w:bCs/>
                <w:sz w:val="20"/>
                <w:szCs w:val="20"/>
              </w:rPr>
              <w:tab/>
              <w:t xml:space="preserve">u aktívnej formy reumatoidnej artritídy ťažkého stupňa u pacientov, ktorí neodpovedali adekvátne </w:t>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na inhibítory TNF; </w:t>
            </w:r>
          </w:p>
          <w:p w14:paraId="0DD32A6C" w14:textId="2B6B739D" w:rsidR="00C57ACA" w:rsidRPr="001919E7" w:rsidRDefault="00C57ACA" w:rsidP="00C57ACA">
            <w:pPr>
              <w:tabs>
                <w:tab w:val="left" w:pos="352"/>
              </w:tabs>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2.</w:t>
            </w:r>
            <w:r w:rsidRPr="001919E7">
              <w:rPr>
                <w:rFonts w:ascii="Arial" w:hAnsi="Arial" w:cs="Arial"/>
                <w:bCs/>
                <w:sz w:val="20"/>
                <w:szCs w:val="20"/>
              </w:rPr>
              <w:tab/>
              <w:t xml:space="preserve">v kombinácii s glukokortikoidmi na indukciu remisie u dospelých pacientov so závažnou, aktívnou </w:t>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granulomatózou s polyangiitídou (Wegenerova) (GPA) a mikroskopickou polyangiitídou (MPA) v </w:t>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elapse po liečbe cyklofosfamidom alebo u pacientov, u ktorých bola liečba cyklofosfamidom</w:t>
            </w:r>
            <w:r>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kontraindikovaná, či bola prerušená z dôvodu výskytu nežiaducich účinkov, vrátane nedostatku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účinnosti; </w:t>
            </w:r>
          </w:p>
          <w:p w14:paraId="790F3CC2" w14:textId="77777777" w:rsidR="00C57ACA" w:rsidRPr="001919E7" w:rsidRDefault="00C57ACA" w:rsidP="00C57ACA">
            <w:pPr>
              <w:tabs>
                <w:tab w:val="left" w:pos="352"/>
              </w:tabs>
              <w:jc w:val="both"/>
              <w:rPr>
                <w:rFonts w:ascii="Arial" w:hAnsi="Arial" w:cs="Arial"/>
                <w:bCs/>
                <w:sz w:val="20"/>
                <w:szCs w:val="20"/>
              </w:rPr>
            </w:pPr>
            <w:r w:rsidRPr="001919E7">
              <w:rPr>
                <w:rFonts w:ascii="Arial" w:hAnsi="Arial" w:cs="Arial"/>
                <w:bCs/>
                <w:sz w:val="20"/>
                <w:szCs w:val="20"/>
              </w:rPr>
              <w:t>c)</w:t>
            </w:r>
            <w:r w:rsidRPr="001919E7">
              <w:rPr>
                <w:rFonts w:ascii="Arial" w:hAnsi="Arial" w:cs="Arial"/>
                <w:bCs/>
                <w:sz w:val="20"/>
                <w:szCs w:val="20"/>
              </w:rPr>
              <w:tab/>
              <w:t xml:space="preserve">dermatovenerológ </w:t>
            </w:r>
          </w:p>
          <w:p w14:paraId="589AE246"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       1. na liečbu pacientov so stredne ťažkým až ťažkým pemphigus vulgaris (PV). </w:t>
            </w:r>
          </w:p>
          <w:p w14:paraId="464BD401" w14:textId="3B927379" w:rsidR="00C57ACA" w:rsidRPr="001919E7" w:rsidRDefault="00C57ACA" w:rsidP="00C57ACA">
            <w:pPr>
              <w:jc w:val="both"/>
              <w:rPr>
                <w:rFonts w:ascii="Arial" w:hAnsi="Arial" w:cs="Arial"/>
                <w:bCs/>
                <w:sz w:val="20"/>
                <w:szCs w:val="20"/>
              </w:rPr>
            </w:pPr>
          </w:p>
        </w:tc>
      </w:tr>
      <w:tr w:rsidR="00C57ACA" w:rsidRPr="0000591E" w14:paraId="04C02A96" w14:textId="77777777" w:rsidTr="001919E7">
        <w:trPr>
          <w:gridAfter w:val="2"/>
          <w:wAfter w:w="154" w:type="dxa"/>
          <w:trHeight w:val="20"/>
        </w:trPr>
        <w:tc>
          <w:tcPr>
            <w:tcW w:w="1256" w:type="dxa"/>
            <w:tcBorders>
              <w:bottom w:val="single" w:sz="4" w:space="0" w:color="auto"/>
            </w:tcBorders>
            <w:noWrap/>
            <w:vAlign w:val="bottom"/>
          </w:tcPr>
          <w:p w14:paraId="0DB0B7C6" w14:textId="77777777" w:rsidR="00C57ACA" w:rsidRPr="0000591E" w:rsidRDefault="00C57ACA" w:rsidP="00C57ACA">
            <w:pPr>
              <w:jc w:val="both"/>
              <w:rPr>
                <w:rFonts w:ascii="Arial" w:hAnsi="Arial" w:cs="Arial"/>
                <w:b/>
                <w:bCs/>
                <w:sz w:val="20"/>
                <w:szCs w:val="20"/>
              </w:rPr>
            </w:pPr>
            <w:r w:rsidRPr="0000591E">
              <w:rPr>
                <w:rFonts w:ascii="Arial" w:hAnsi="Arial" w:cs="Arial"/>
                <w:b/>
                <w:bCs/>
                <w:sz w:val="20"/>
                <w:szCs w:val="20"/>
              </w:rPr>
              <w:t>L01</w:t>
            </w:r>
            <w:r>
              <w:rPr>
                <w:rFonts w:ascii="Arial" w:hAnsi="Arial" w:cs="Arial"/>
                <w:b/>
                <w:bCs/>
                <w:sz w:val="20"/>
                <w:szCs w:val="20"/>
              </w:rPr>
              <w:t>FA01</w:t>
            </w:r>
          </w:p>
        </w:tc>
        <w:tc>
          <w:tcPr>
            <w:tcW w:w="9452" w:type="dxa"/>
            <w:tcBorders>
              <w:bottom w:val="single" w:sz="4" w:space="0" w:color="auto"/>
            </w:tcBorders>
            <w:noWrap/>
            <w:vAlign w:val="bottom"/>
          </w:tcPr>
          <w:p w14:paraId="4F86E306"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Rituximab s</w:t>
            </w:r>
            <w:r w:rsidRPr="0000591E">
              <w:rPr>
                <w:rFonts w:ascii="Arial" w:hAnsi="Arial" w:cs="Arial"/>
                <w:b/>
                <w:bCs/>
                <w:sz w:val="20"/>
                <w:szCs w:val="20"/>
              </w:rPr>
              <w:t>.</w:t>
            </w:r>
            <w:r>
              <w:rPr>
                <w:rFonts w:ascii="Arial" w:hAnsi="Arial" w:cs="Arial"/>
                <w:b/>
                <w:bCs/>
                <w:sz w:val="20"/>
                <w:szCs w:val="20"/>
              </w:rPr>
              <w:t>c.</w:t>
            </w:r>
            <w:r w:rsidRPr="0000591E">
              <w:rPr>
                <w:rFonts w:ascii="Arial" w:hAnsi="Arial" w:cs="Arial"/>
                <w:b/>
                <w:bCs/>
                <w:sz w:val="20"/>
                <w:szCs w:val="20"/>
              </w:rPr>
              <w:t xml:space="preserve"> 1</w:t>
            </w:r>
            <w:r>
              <w:rPr>
                <w:rFonts w:ascii="Arial" w:hAnsi="Arial" w:cs="Arial"/>
                <w:b/>
                <w:bCs/>
                <w:sz w:val="20"/>
                <w:szCs w:val="20"/>
              </w:rPr>
              <w:t>4</w:t>
            </w:r>
            <w:r w:rsidRPr="0000591E">
              <w:rPr>
                <w:rFonts w:ascii="Arial" w:hAnsi="Arial" w:cs="Arial"/>
                <w:b/>
                <w:bCs/>
                <w:sz w:val="20"/>
                <w:szCs w:val="20"/>
              </w:rPr>
              <w:t>00 mg</w:t>
            </w:r>
          </w:p>
        </w:tc>
      </w:tr>
      <w:tr w:rsidR="00C57ACA" w:rsidRPr="0000591E" w14:paraId="2093CB8B" w14:textId="77777777" w:rsidTr="001919E7">
        <w:trPr>
          <w:gridAfter w:val="2"/>
          <w:wAfter w:w="154" w:type="dxa"/>
          <w:trHeight w:val="20"/>
        </w:trPr>
        <w:tc>
          <w:tcPr>
            <w:tcW w:w="1256" w:type="dxa"/>
            <w:tcBorders>
              <w:top w:val="single" w:sz="4" w:space="0" w:color="auto"/>
            </w:tcBorders>
            <w:noWrap/>
            <w:vAlign w:val="bottom"/>
          </w:tcPr>
          <w:p w14:paraId="03172A99"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471622AA"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Hradenú liečbu môže indikovať hematológ a klinický onkológ </w:t>
            </w:r>
          </w:p>
          <w:p w14:paraId="373CAF9F" w14:textId="3C476E23"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1.</w:t>
            </w:r>
            <w:r w:rsidRPr="001919E7">
              <w:rPr>
                <w:rFonts w:ascii="Arial" w:hAnsi="Arial" w:cs="Arial"/>
                <w:bCs/>
                <w:sz w:val="20"/>
                <w:szCs w:val="20"/>
              </w:rPr>
              <w:tab/>
              <w:t xml:space="preserve">na liečbu doteraz neliečených pacientov v štádiách III-IV folikulového lymfómu v kombinácii s </w:t>
            </w:r>
            <w:r>
              <w:rPr>
                <w:rFonts w:ascii="Arial" w:hAnsi="Arial" w:cs="Arial"/>
                <w:bCs/>
                <w:sz w:val="20"/>
                <w:szCs w:val="20"/>
              </w:rPr>
              <w:tab/>
            </w:r>
            <w:r w:rsidRPr="001919E7">
              <w:rPr>
                <w:rFonts w:ascii="Arial" w:hAnsi="Arial" w:cs="Arial"/>
                <w:bCs/>
                <w:sz w:val="20"/>
                <w:szCs w:val="20"/>
              </w:rPr>
              <w:t>chemoterapiou,</w:t>
            </w:r>
          </w:p>
          <w:p w14:paraId="2E2A34C3" w14:textId="6ECCAD74"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2.</w:t>
            </w:r>
            <w:r w:rsidRPr="001919E7">
              <w:rPr>
                <w:rFonts w:ascii="Arial" w:hAnsi="Arial" w:cs="Arial"/>
                <w:bCs/>
                <w:sz w:val="20"/>
                <w:szCs w:val="20"/>
              </w:rPr>
              <w:tab/>
              <w:t xml:space="preserve">ako udržiavaciu liečbu pacientom s folikulovým lymfómom, ktorí odpovedali na indukčnú liečbu </w:t>
            </w:r>
            <w:r>
              <w:rPr>
                <w:rFonts w:ascii="Arial" w:hAnsi="Arial" w:cs="Arial"/>
                <w:bCs/>
                <w:sz w:val="20"/>
                <w:szCs w:val="20"/>
              </w:rPr>
              <w:tab/>
            </w:r>
            <w:r w:rsidRPr="001919E7">
              <w:rPr>
                <w:rFonts w:ascii="Arial" w:hAnsi="Arial" w:cs="Arial"/>
                <w:bCs/>
                <w:sz w:val="20"/>
                <w:szCs w:val="20"/>
              </w:rPr>
              <w:t>chemoterapiou s alebo bez rituximabu,</w:t>
            </w:r>
          </w:p>
          <w:p w14:paraId="2436FA0D" w14:textId="5B14D055"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3.</w:t>
            </w:r>
            <w:r w:rsidRPr="001919E7">
              <w:rPr>
                <w:rFonts w:ascii="Arial" w:hAnsi="Arial" w:cs="Arial"/>
                <w:bCs/>
                <w:sz w:val="20"/>
                <w:szCs w:val="20"/>
              </w:rPr>
              <w:tab/>
              <w:t xml:space="preserve">na liečbu pacientov s CD20 pozit. difúznym B-veľkobunkovým non-Hodgkinovým lymfómom v </w:t>
            </w:r>
            <w:r>
              <w:rPr>
                <w:rFonts w:ascii="Arial" w:hAnsi="Arial" w:cs="Arial"/>
                <w:bCs/>
                <w:sz w:val="20"/>
                <w:szCs w:val="20"/>
              </w:rPr>
              <w:tab/>
            </w:r>
            <w:r w:rsidRPr="001919E7">
              <w:rPr>
                <w:rFonts w:ascii="Arial" w:hAnsi="Arial" w:cs="Arial"/>
                <w:bCs/>
                <w:sz w:val="20"/>
                <w:szCs w:val="20"/>
              </w:rPr>
              <w:t xml:space="preserve">kombinácii s CHOP (cyklofosfamid, doxorubicín, vinkristín, prednizolón) chemoterapiou. </w:t>
            </w:r>
          </w:p>
          <w:p w14:paraId="6C239D10" w14:textId="376DDA95"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4.</w:t>
            </w:r>
            <w:r w:rsidRPr="001919E7">
              <w:rPr>
                <w:rFonts w:ascii="Arial" w:hAnsi="Arial" w:cs="Arial"/>
                <w:bCs/>
                <w:sz w:val="20"/>
                <w:szCs w:val="20"/>
              </w:rPr>
              <w:tab/>
              <w:t xml:space="preserve">u dospelých pacientov v kombinácii s polatuzumab-vedotínom, cyklofosfamidom, doxorubicinom a </w:t>
            </w:r>
            <w:r>
              <w:rPr>
                <w:rFonts w:ascii="Arial" w:hAnsi="Arial" w:cs="Arial"/>
                <w:bCs/>
                <w:sz w:val="20"/>
                <w:szCs w:val="20"/>
              </w:rPr>
              <w:tab/>
            </w:r>
            <w:r w:rsidRPr="001919E7">
              <w:rPr>
                <w:rFonts w:ascii="Arial" w:hAnsi="Arial" w:cs="Arial"/>
                <w:bCs/>
                <w:sz w:val="20"/>
                <w:szCs w:val="20"/>
              </w:rPr>
              <w:t xml:space="preserve">prednisonom (R-CHP) na liečbu difúzneho B-veľkobunkového non-Hodgkinovho lymfómu (DLBCL), </w:t>
            </w:r>
            <w:r>
              <w:rPr>
                <w:rFonts w:ascii="Arial" w:hAnsi="Arial" w:cs="Arial"/>
                <w:bCs/>
                <w:sz w:val="20"/>
                <w:szCs w:val="20"/>
              </w:rPr>
              <w:tab/>
            </w:r>
            <w:r w:rsidRPr="001919E7">
              <w:rPr>
                <w:rFonts w:ascii="Arial" w:hAnsi="Arial" w:cs="Arial"/>
                <w:bCs/>
                <w:sz w:val="20"/>
                <w:szCs w:val="20"/>
              </w:rPr>
              <w:t xml:space="preserve">s IPI skóre 3-5 a ECOG výkonnostným stavom 0-2, ktorí doteraz neboli liečení. </w:t>
            </w:r>
          </w:p>
          <w:p w14:paraId="2D4D4E93"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Liečba je hradená do progresie ochorenia, maximálne 6 cyklov kombinovanej liečby a ďalších 2 cyklov rituximabu v monoterapii. </w:t>
            </w:r>
          </w:p>
          <w:p w14:paraId="09CC1647" w14:textId="77777777" w:rsidR="00C57ACA" w:rsidRPr="001919E7" w:rsidRDefault="00C57ACA" w:rsidP="00C57ACA">
            <w:pPr>
              <w:jc w:val="both"/>
              <w:rPr>
                <w:rFonts w:ascii="Arial" w:hAnsi="Arial" w:cs="Arial"/>
                <w:bCs/>
                <w:sz w:val="20"/>
                <w:szCs w:val="20"/>
              </w:rPr>
            </w:pPr>
          </w:p>
          <w:p w14:paraId="639726D5" w14:textId="77777777" w:rsidR="00C57ACA" w:rsidRDefault="00C57ACA" w:rsidP="00C57ACA">
            <w:pPr>
              <w:jc w:val="both"/>
              <w:rPr>
                <w:rFonts w:ascii="Arial" w:hAnsi="Arial" w:cs="Arial"/>
                <w:bCs/>
                <w:sz w:val="20"/>
                <w:szCs w:val="20"/>
              </w:rPr>
            </w:pPr>
            <w:r w:rsidRPr="001919E7">
              <w:rPr>
                <w:rFonts w:ascii="Arial" w:hAnsi="Arial" w:cs="Arial"/>
                <w:bCs/>
                <w:sz w:val="20"/>
                <w:szCs w:val="20"/>
              </w:rPr>
              <w:t>Hradená liečba podlieha predchádzajúcemu súhlasu zdravotnej poisťovne.</w:t>
            </w:r>
          </w:p>
          <w:p w14:paraId="2AC9F39E" w14:textId="612F031C" w:rsidR="00C57ACA" w:rsidRPr="001919E7" w:rsidRDefault="00C57ACA" w:rsidP="00C57ACA">
            <w:pPr>
              <w:jc w:val="both"/>
              <w:rPr>
                <w:rFonts w:ascii="Arial" w:hAnsi="Arial" w:cs="Arial"/>
                <w:bCs/>
                <w:sz w:val="20"/>
                <w:szCs w:val="20"/>
              </w:rPr>
            </w:pPr>
          </w:p>
        </w:tc>
      </w:tr>
      <w:tr w:rsidR="00C57ACA" w:rsidRPr="0000591E" w14:paraId="26DA76C7" w14:textId="77777777" w:rsidTr="003F7925">
        <w:trPr>
          <w:gridAfter w:val="2"/>
          <w:wAfter w:w="154" w:type="dxa"/>
          <w:trHeight w:val="20"/>
        </w:trPr>
        <w:tc>
          <w:tcPr>
            <w:tcW w:w="1256" w:type="dxa"/>
            <w:tcBorders>
              <w:bottom w:val="single" w:sz="4" w:space="0" w:color="auto"/>
            </w:tcBorders>
            <w:noWrap/>
            <w:vAlign w:val="bottom"/>
          </w:tcPr>
          <w:p w14:paraId="75469E09" w14:textId="310CD9AF" w:rsidR="00C57ACA" w:rsidRPr="0060328F" w:rsidRDefault="00C57ACA" w:rsidP="00C57ACA">
            <w:pPr>
              <w:jc w:val="both"/>
              <w:rPr>
                <w:rFonts w:ascii="Arial" w:hAnsi="Arial" w:cs="Arial"/>
                <w:b/>
                <w:bCs/>
                <w:sz w:val="20"/>
                <w:szCs w:val="20"/>
              </w:rPr>
            </w:pPr>
            <w:r w:rsidRPr="006C1CA8">
              <w:rPr>
                <w:rFonts w:ascii="Arial" w:hAnsi="Arial" w:cs="Arial"/>
                <w:b/>
                <w:bCs/>
                <w:sz w:val="20"/>
                <w:szCs w:val="20"/>
              </w:rPr>
              <w:t>L01FA03</w:t>
            </w:r>
          </w:p>
        </w:tc>
        <w:tc>
          <w:tcPr>
            <w:tcW w:w="9452" w:type="dxa"/>
            <w:tcBorders>
              <w:bottom w:val="single" w:sz="4" w:space="0" w:color="auto"/>
            </w:tcBorders>
            <w:noWrap/>
            <w:vAlign w:val="bottom"/>
          </w:tcPr>
          <w:p w14:paraId="3129ACE4" w14:textId="69BB5797" w:rsidR="00C57ACA" w:rsidRPr="0060328F" w:rsidRDefault="00C57ACA" w:rsidP="00C57ACA">
            <w:pPr>
              <w:jc w:val="both"/>
              <w:rPr>
                <w:rFonts w:ascii="Arial" w:hAnsi="Arial" w:cs="Arial"/>
                <w:b/>
                <w:bCs/>
                <w:sz w:val="20"/>
                <w:szCs w:val="20"/>
              </w:rPr>
            </w:pPr>
            <w:r w:rsidRPr="006C1CA8">
              <w:rPr>
                <w:rFonts w:ascii="Arial" w:hAnsi="Arial" w:cs="Arial"/>
                <w:b/>
                <w:bCs/>
                <w:sz w:val="20"/>
                <w:szCs w:val="20"/>
              </w:rPr>
              <w:t>Obinutuzumab parent. 1000 mg</w:t>
            </w:r>
          </w:p>
        </w:tc>
      </w:tr>
      <w:tr w:rsidR="00C57ACA" w:rsidRPr="0000591E" w14:paraId="7D2CD308" w14:textId="77777777" w:rsidTr="003F7925">
        <w:trPr>
          <w:gridAfter w:val="2"/>
          <w:wAfter w:w="154" w:type="dxa"/>
          <w:trHeight w:val="20"/>
        </w:trPr>
        <w:tc>
          <w:tcPr>
            <w:tcW w:w="1256" w:type="dxa"/>
            <w:tcBorders>
              <w:top w:val="single" w:sz="4" w:space="0" w:color="auto"/>
            </w:tcBorders>
            <w:noWrap/>
            <w:vAlign w:val="bottom"/>
          </w:tcPr>
          <w:p w14:paraId="4D58470C"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6A717168" w14:textId="77777777" w:rsidR="00C57ACA" w:rsidRPr="006C1CA8" w:rsidRDefault="00C57ACA" w:rsidP="00C57ACA">
            <w:pPr>
              <w:jc w:val="both"/>
              <w:rPr>
                <w:rFonts w:ascii="Arial" w:hAnsi="Arial" w:cs="Arial"/>
                <w:bCs/>
                <w:sz w:val="20"/>
                <w:szCs w:val="20"/>
              </w:rPr>
            </w:pPr>
            <w:r w:rsidRPr="006C1CA8">
              <w:rPr>
                <w:rFonts w:ascii="Arial" w:hAnsi="Arial" w:cs="Arial"/>
                <w:bCs/>
                <w:sz w:val="20"/>
                <w:szCs w:val="20"/>
              </w:rPr>
              <w:t xml:space="preserve">Hradená liečba sa môže indikovať </w:t>
            </w:r>
          </w:p>
          <w:p w14:paraId="1D189666" w14:textId="77777777" w:rsidR="00C57ACA" w:rsidRPr="006C1CA8" w:rsidRDefault="00C57ACA" w:rsidP="00C57ACA">
            <w:pPr>
              <w:jc w:val="both"/>
              <w:rPr>
                <w:rFonts w:ascii="Arial" w:hAnsi="Arial" w:cs="Arial"/>
                <w:bCs/>
                <w:sz w:val="20"/>
                <w:szCs w:val="20"/>
              </w:rPr>
            </w:pPr>
            <w:r w:rsidRPr="006C1CA8">
              <w:rPr>
                <w:rFonts w:ascii="Arial" w:hAnsi="Arial" w:cs="Arial"/>
                <w:bCs/>
                <w:sz w:val="20"/>
                <w:szCs w:val="20"/>
              </w:rPr>
              <w:t>-v kombinácií s chlorambucilom u dospelých pacientov s doteraz neliečenou chronickou lymfocytovou leukémiou (CLL) a komorbiditou, pre ktorých nie je vhodná liečba plnými dávkami fludarabínu.</w:t>
            </w:r>
          </w:p>
          <w:p w14:paraId="534E84F2" w14:textId="77777777" w:rsidR="00C57ACA" w:rsidRPr="006C1CA8" w:rsidRDefault="00C57ACA" w:rsidP="00C57ACA">
            <w:pPr>
              <w:jc w:val="both"/>
              <w:rPr>
                <w:rFonts w:ascii="Arial" w:hAnsi="Arial" w:cs="Arial"/>
                <w:bCs/>
                <w:sz w:val="20"/>
                <w:szCs w:val="20"/>
              </w:rPr>
            </w:pPr>
          </w:p>
          <w:p w14:paraId="064F131B" w14:textId="77777777" w:rsidR="00C57ACA" w:rsidRPr="006C1CA8" w:rsidRDefault="00C57ACA" w:rsidP="00C57ACA">
            <w:pPr>
              <w:jc w:val="both"/>
              <w:rPr>
                <w:rFonts w:ascii="Arial" w:hAnsi="Arial" w:cs="Arial"/>
                <w:bCs/>
                <w:sz w:val="20"/>
                <w:szCs w:val="20"/>
              </w:rPr>
            </w:pPr>
            <w:r w:rsidRPr="006C1CA8">
              <w:rPr>
                <w:rFonts w:ascii="Arial" w:hAnsi="Arial" w:cs="Arial"/>
                <w:bCs/>
                <w:sz w:val="20"/>
                <w:szCs w:val="20"/>
              </w:rPr>
              <w:t>-v kombinácii s venetoklaxom na liečbu dospelých pacientov s predtým neliečenou chronickou lymfocytovou leukémiou (CLL). 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ambulancií Fakultnej nemocnice Nitra; Oddelení klinickej hematológie, Fakultnej nemocnice s poliklinikou J. A. Reimana Prešov.</w:t>
            </w:r>
          </w:p>
          <w:p w14:paraId="12B36B23" w14:textId="77777777" w:rsidR="00C57ACA" w:rsidRDefault="00C57ACA" w:rsidP="00C57ACA">
            <w:pPr>
              <w:jc w:val="both"/>
              <w:rPr>
                <w:rFonts w:ascii="Arial" w:hAnsi="Arial" w:cs="Arial"/>
                <w:bCs/>
                <w:sz w:val="20"/>
                <w:szCs w:val="20"/>
              </w:rPr>
            </w:pPr>
            <w:r w:rsidRPr="006C1CA8">
              <w:rPr>
                <w:rFonts w:ascii="Arial" w:hAnsi="Arial" w:cs="Arial"/>
                <w:bCs/>
                <w:sz w:val="20"/>
                <w:szCs w:val="20"/>
              </w:rPr>
              <w:t>Hradená liečba podlieha predchádzajúcemu súhlasu zdravotnej poisťovne.</w:t>
            </w:r>
          </w:p>
          <w:p w14:paraId="4EAA7A90" w14:textId="2AA66F51" w:rsidR="00ED57A6" w:rsidRPr="006C1CA8" w:rsidRDefault="00ED57A6" w:rsidP="00C57ACA">
            <w:pPr>
              <w:jc w:val="both"/>
              <w:rPr>
                <w:rFonts w:ascii="Arial" w:hAnsi="Arial" w:cs="Arial"/>
                <w:bCs/>
                <w:sz w:val="20"/>
                <w:szCs w:val="20"/>
              </w:rPr>
            </w:pPr>
          </w:p>
        </w:tc>
      </w:tr>
      <w:tr w:rsidR="00C57ACA" w:rsidRPr="0000591E" w14:paraId="29E136AE" w14:textId="77777777" w:rsidTr="003F7925">
        <w:trPr>
          <w:gridAfter w:val="2"/>
          <w:wAfter w:w="154" w:type="dxa"/>
          <w:trHeight w:val="20"/>
        </w:trPr>
        <w:tc>
          <w:tcPr>
            <w:tcW w:w="1256" w:type="dxa"/>
            <w:tcBorders>
              <w:bottom w:val="single" w:sz="4" w:space="0" w:color="auto"/>
            </w:tcBorders>
            <w:noWrap/>
            <w:vAlign w:val="bottom"/>
          </w:tcPr>
          <w:p w14:paraId="1D8E51A2" w14:textId="2A761109" w:rsidR="00C57ACA" w:rsidRPr="0060328F" w:rsidRDefault="00C57ACA" w:rsidP="00C57ACA">
            <w:pPr>
              <w:jc w:val="both"/>
              <w:rPr>
                <w:rFonts w:ascii="Arial" w:hAnsi="Arial" w:cs="Arial"/>
                <w:b/>
                <w:bCs/>
                <w:sz w:val="20"/>
                <w:szCs w:val="20"/>
              </w:rPr>
            </w:pPr>
            <w:r w:rsidRPr="00BF20D9">
              <w:rPr>
                <w:rFonts w:ascii="Arial" w:hAnsi="Arial" w:cs="Arial"/>
                <w:b/>
                <w:bCs/>
                <w:sz w:val="20"/>
                <w:szCs w:val="20"/>
              </w:rPr>
              <w:t>L01FB01</w:t>
            </w:r>
          </w:p>
        </w:tc>
        <w:tc>
          <w:tcPr>
            <w:tcW w:w="9452" w:type="dxa"/>
            <w:tcBorders>
              <w:bottom w:val="single" w:sz="4" w:space="0" w:color="auto"/>
            </w:tcBorders>
            <w:noWrap/>
            <w:vAlign w:val="bottom"/>
          </w:tcPr>
          <w:p w14:paraId="77DE654D" w14:textId="3B2A1C31" w:rsidR="00C57ACA" w:rsidRPr="0060328F" w:rsidRDefault="00C57ACA" w:rsidP="00C57ACA">
            <w:pPr>
              <w:jc w:val="both"/>
              <w:rPr>
                <w:rFonts w:ascii="Arial" w:hAnsi="Arial" w:cs="Arial"/>
                <w:b/>
                <w:bCs/>
                <w:sz w:val="20"/>
                <w:szCs w:val="20"/>
              </w:rPr>
            </w:pPr>
            <w:r w:rsidRPr="00BF20D9">
              <w:rPr>
                <w:rFonts w:ascii="Arial" w:hAnsi="Arial" w:cs="Arial"/>
                <w:b/>
                <w:bCs/>
                <w:sz w:val="20"/>
                <w:szCs w:val="20"/>
              </w:rPr>
              <w:t>Inotuzumab ozogamicín parent.1 mg</w:t>
            </w:r>
          </w:p>
        </w:tc>
      </w:tr>
      <w:tr w:rsidR="00C57ACA" w:rsidRPr="0000591E" w14:paraId="0277A146" w14:textId="77777777" w:rsidTr="003F7925">
        <w:trPr>
          <w:gridAfter w:val="2"/>
          <w:wAfter w:w="154" w:type="dxa"/>
          <w:trHeight w:val="20"/>
        </w:trPr>
        <w:tc>
          <w:tcPr>
            <w:tcW w:w="1256" w:type="dxa"/>
            <w:tcBorders>
              <w:top w:val="single" w:sz="4" w:space="0" w:color="auto"/>
            </w:tcBorders>
            <w:noWrap/>
            <w:vAlign w:val="bottom"/>
          </w:tcPr>
          <w:p w14:paraId="75256562"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654DB69" w14:textId="77777777" w:rsidR="00C57ACA" w:rsidRPr="00BF20D9" w:rsidRDefault="00C57ACA" w:rsidP="00C57ACA">
            <w:pPr>
              <w:jc w:val="both"/>
              <w:rPr>
                <w:rFonts w:ascii="Arial" w:hAnsi="Arial" w:cs="Arial"/>
                <w:bCs/>
                <w:sz w:val="20"/>
                <w:szCs w:val="20"/>
              </w:rPr>
            </w:pPr>
            <w:r w:rsidRPr="00BF20D9">
              <w:rPr>
                <w:rFonts w:ascii="Arial" w:hAnsi="Arial" w:cs="Arial"/>
                <w:bCs/>
                <w:sz w:val="20"/>
                <w:szCs w:val="20"/>
              </w:rPr>
              <w:t xml:space="preserve">Hradená liečba sa môže indikovať ako monoterapia u dospelých pacientov s relapsujúcou alebo refraktémou akútnou lymfoblastovou leukémiou (ALL) z prekurzorov CD22-pozitívnych B-buniek. U dospelých pacientov s relapsujúcou alebo refraktémou ALL z prekurzorov CD22-pozitívnych B-buniek pozitívnou na Philadelphia chromozóm (Ph+) musela zlyhať liečba aspoň 1 inhibítorom tyrozínkinázy (TKI). Ak nedôjde k úplnej remisii po dvoch cykloch podania liečby, ďalšia liečba nie je hradená. </w:t>
            </w:r>
          </w:p>
          <w:p w14:paraId="307254F0" w14:textId="77777777" w:rsidR="00C57ACA" w:rsidRPr="00BF20D9" w:rsidRDefault="00C57ACA" w:rsidP="00C57ACA">
            <w:pPr>
              <w:jc w:val="both"/>
              <w:rPr>
                <w:rFonts w:ascii="Arial" w:hAnsi="Arial" w:cs="Arial"/>
                <w:bCs/>
                <w:sz w:val="20"/>
                <w:szCs w:val="20"/>
              </w:rPr>
            </w:pPr>
            <w:r w:rsidRPr="00BF20D9">
              <w:rPr>
                <w:rFonts w:ascii="Arial" w:hAnsi="Arial" w:cs="Arial"/>
                <w:bCs/>
                <w:sz w:val="20"/>
                <w:szCs w:val="20"/>
              </w:rPr>
              <w:t xml:space="preserve">Hradená liečba sa môže indikovať v Onkologickom ústave sv. Alžbety s. r. o., v Národnom onkologickom ústave, Bratislava, na hematologickej klinike Univerzitnej nemocnice Bratislava - nemocnica sv. Cyrila a Metoda, vo Východoslovenskom onkologickom ústave, a. s. Košice, na klinike hematológie a onkohematológie Univerzitnej nemocnice L. Pasteura, Košice, na Onkologickej klinike SZU Fakultnej nemocnice s poliklinikou F.D.Roosevelta, Banská Bystrica, na hematologickom oddelení Fakultnej nemocnice s poliklinikou F.D.Roosevelta, Banská Bystrica a na klinike hematológie a transfuziológie Jesseniovej lekárskej fakulty Univerzity Komenského, Martin, v Univerzitnej nemocnici, Martin a vo Fakultnej nemocnici s poliklinikou J.A. Reimana, Prešov. a v Hematologickej ambulancii Fakultnej nemocnice Nitra. </w:t>
            </w:r>
          </w:p>
          <w:p w14:paraId="2D315687" w14:textId="77777777" w:rsidR="00C57ACA" w:rsidRPr="00BF20D9" w:rsidRDefault="00C57ACA" w:rsidP="00C57ACA">
            <w:pPr>
              <w:jc w:val="both"/>
              <w:rPr>
                <w:rFonts w:ascii="Arial" w:hAnsi="Arial" w:cs="Arial"/>
                <w:bCs/>
                <w:sz w:val="20"/>
                <w:szCs w:val="20"/>
              </w:rPr>
            </w:pPr>
          </w:p>
          <w:p w14:paraId="548B0895" w14:textId="77777777" w:rsidR="00C57ACA" w:rsidRDefault="00C57ACA" w:rsidP="00C57ACA">
            <w:pPr>
              <w:jc w:val="both"/>
              <w:rPr>
                <w:rFonts w:ascii="Arial" w:hAnsi="Arial" w:cs="Arial"/>
                <w:bCs/>
                <w:sz w:val="20"/>
                <w:szCs w:val="20"/>
              </w:rPr>
            </w:pPr>
            <w:r w:rsidRPr="00BF20D9">
              <w:rPr>
                <w:rFonts w:ascii="Arial" w:hAnsi="Arial" w:cs="Arial"/>
                <w:bCs/>
                <w:sz w:val="20"/>
                <w:szCs w:val="20"/>
              </w:rPr>
              <w:t>Hradená liečba podlieha predchádzajúcemu súhlasu zdravotnej poisťovne.</w:t>
            </w:r>
          </w:p>
          <w:p w14:paraId="36AF69B9" w14:textId="74A40CC6" w:rsidR="00C57ACA" w:rsidRPr="00BF20D9" w:rsidRDefault="00C57ACA" w:rsidP="00C57ACA">
            <w:pPr>
              <w:jc w:val="both"/>
              <w:rPr>
                <w:rFonts w:ascii="Arial" w:hAnsi="Arial" w:cs="Arial"/>
                <w:bCs/>
                <w:sz w:val="20"/>
                <w:szCs w:val="20"/>
              </w:rPr>
            </w:pPr>
          </w:p>
        </w:tc>
      </w:tr>
      <w:tr w:rsidR="00C57ACA" w:rsidRPr="0000591E" w14:paraId="04C92D93" w14:textId="77777777" w:rsidTr="003F7925">
        <w:trPr>
          <w:gridAfter w:val="2"/>
          <w:wAfter w:w="154" w:type="dxa"/>
          <w:trHeight w:val="20"/>
        </w:trPr>
        <w:tc>
          <w:tcPr>
            <w:tcW w:w="1256" w:type="dxa"/>
            <w:tcBorders>
              <w:bottom w:val="single" w:sz="4" w:space="0" w:color="auto"/>
            </w:tcBorders>
            <w:noWrap/>
            <w:vAlign w:val="bottom"/>
          </w:tcPr>
          <w:p w14:paraId="2310D5D6" w14:textId="2C0A5B3C" w:rsidR="00C57ACA" w:rsidRPr="0060328F" w:rsidRDefault="00C57ACA" w:rsidP="00C57ACA">
            <w:pPr>
              <w:jc w:val="both"/>
              <w:rPr>
                <w:rFonts w:ascii="Arial" w:hAnsi="Arial" w:cs="Arial"/>
                <w:b/>
                <w:bCs/>
                <w:sz w:val="20"/>
                <w:szCs w:val="20"/>
              </w:rPr>
            </w:pPr>
            <w:r w:rsidRPr="009569AC">
              <w:rPr>
                <w:rFonts w:ascii="Arial" w:hAnsi="Arial" w:cs="Arial"/>
                <w:b/>
                <w:bCs/>
                <w:sz w:val="20"/>
                <w:szCs w:val="20"/>
              </w:rPr>
              <w:t>L01FC01</w:t>
            </w:r>
          </w:p>
        </w:tc>
        <w:tc>
          <w:tcPr>
            <w:tcW w:w="9452" w:type="dxa"/>
            <w:tcBorders>
              <w:bottom w:val="single" w:sz="4" w:space="0" w:color="auto"/>
            </w:tcBorders>
            <w:noWrap/>
            <w:vAlign w:val="bottom"/>
          </w:tcPr>
          <w:p w14:paraId="7CC1B62E" w14:textId="77777777" w:rsidR="00C57ACA" w:rsidRPr="009569AC" w:rsidRDefault="00C57ACA" w:rsidP="00C57ACA">
            <w:pPr>
              <w:jc w:val="both"/>
              <w:rPr>
                <w:rFonts w:ascii="Arial" w:hAnsi="Arial" w:cs="Arial"/>
                <w:b/>
                <w:bCs/>
                <w:sz w:val="20"/>
                <w:szCs w:val="20"/>
              </w:rPr>
            </w:pPr>
            <w:r w:rsidRPr="009569AC">
              <w:rPr>
                <w:rFonts w:ascii="Arial" w:hAnsi="Arial" w:cs="Arial"/>
                <w:b/>
                <w:bCs/>
                <w:sz w:val="20"/>
                <w:szCs w:val="20"/>
              </w:rPr>
              <w:t>Daratumumab parent. 100 mg</w:t>
            </w:r>
          </w:p>
          <w:p w14:paraId="57E845C3" w14:textId="2E76EBB0" w:rsidR="00C57ACA" w:rsidRPr="0060328F" w:rsidRDefault="00C57ACA" w:rsidP="00C57ACA">
            <w:pPr>
              <w:jc w:val="both"/>
              <w:rPr>
                <w:rFonts w:ascii="Arial" w:hAnsi="Arial" w:cs="Arial"/>
                <w:b/>
                <w:bCs/>
                <w:sz w:val="20"/>
                <w:szCs w:val="20"/>
              </w:rPr>
            </w:pPr>
            <w:r w:rsidRPr="009569AC">
              <w:rPr>
                <w:rFonts w:ascii="Arial" w:hAnsi="Arial" w:cs="Arial"/>
                <w:b/>
                <w:bCs/>
                <w:sz w:val="20"/>
                <w:szCs w:val="20"/>
              </w:rPr>
              <w:t>Daratumumab parent. 400 mg</w:t>
            </w:r>
          </w:p>
        </w:tc>
      </w:tr>
      <w:tr w:rsidR="00C57ACA" w:rsidRPr="0000591E" w14:paraId="0922DD7C" w14:textId="77777777" w:rsidTr="003F7925">
        <w:trPr>
          <w:gridAfter w:val="2"/>
          <w:wAfter w:w="154" w:type="dxa"/>
          <w:trHeight w:val="20"/>
        </w:trPr>
        <w:tc>
          <w:tcPr>
            <w:tcW w:w="1256" w:type="dxa"/>
            <w:tcBorders>
              <w:top w:val="single" w:sz="4" w:space="0" w:color="auto"/>
            </w:tcBorders>
            <w:noWrap/>
            <w:vAlign w:val="bottom"/>
          </w:tcPr>
          <w:p w14:paraId="7E3B821C"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C8EC2B9"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Hradená liečba sa môže indikovať </w:t>
            </w:r>
          </w:p>
          <w:p w14:paraId="5BD0FB96"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kombinácii s bortezomibom a dexametazónom v tretej alebo štvrtej línii u dospelých pacientov s progredujúcim mnohopočetným myelómom,. Liečba sa ukončí, ak po 4 týždňoch liečby ochorenie progreduje. Progresia sa hodnotí po 4 týždňoch od začatia liečby a je definovaná podľa kritérií IMWG (International Myeloma Working Group).  </w:t>
            </w:r>
          </w:p>
          <w:p w14:paraId="7B509529"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monoterapii v tretej alebo štvrtej línii u dospelých pacientov s mnohopočetným myelómom, ktorých predchádzajúca liečba zahŕňala proteazómový inhibítor a imunomodulátor, pri poslednej liečbe preukázali progresiu ochorenia a nie sú vhodní na opakovanú liečbu režimami obsahujúcimi bortezomib. Liečba sa ukončí, ak po štyroch týždňoch liečby ochorenie progreduje. Progresia sa hodnotí najneskôr do 4 týždňov od začatia liečby a je definovaná podľa kritérií IMWG (International Myeloma Working Group). </w:t>
            </w:r>
          </w:p>
          <w:p w14:paraId="5D7746C5"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715BC484" w14:textId="52B141DD"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hradenej liečby je dobrý výkonnostný stav pacienta - Karnofského skóre 100- 60% alebo ECOG 0-2. </w:t>
            </w:r>
          </w:p>
          <w:p w14:paraId="688EF3E9"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hradenia liečby je posúdenie vhodnosti liečby na pracoviskách vykonávajúcich transplantácie:  </w:t>
            </w:r>
          </w:p>
          <w:p w14:paraId="4F302A81"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05DB702F"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p>
          <w:p w14:paraId="4E6B5BF8"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13FB70C2" w14:textId="77777777" w:rsidR="00C57ACA" w:rsidRDefault="00C57ACA" w:rsidP="00C57ACA">
            <w:pPr>
              <w:jc w:val="both"/>
              <w:rPr>
                <w:rFonts w:ascii="Arial" w:hAnsi="Arial" w:cs="Arial"/>
                <w:bCs/>
                <w:sz w:val="20"/>
                <w:szCs w:val="20"/>
              </w:rPr>
            </w:pPr>
            <w:r w:rsidRPr="009569AC">
              <w:rPr>
                <w:rFonts w:ascii="Arial" w:hAnsi="Arial" w:cs="Arial"/>
                <w:bCs/>
                <w:sz w:val="20"/>
                <w:szCs w:val="20"/>
              </w:rPr>
              <w:t>Hradená liečba podlieha predchádzajúcemu súhlasu zdravotnej poisťovne.</w:t>
            </w:r>
          </w:p>
          <w:p w14:paraId="4BFB7777" w14:textId="37F535B4" w:rsidR="00C57ACA" w:rsidRPr="009569AC" w:rsidRDefault="00C57ACA" w:rsidP="00C57ACA">
            <w:pPr>
              <w:jc w:val="both"/>
              <w:rPr>
                <w:rFonts w:ascii="Arial" w:hAnsi="Arial" w:cs="Arial"/>
                <w:bCs/>
                <w:sz w:val="20"/>
                <w:szCs w:val="20"/>
              </w:rPr>
            </w:pPr>
          </w:p>
        </w:tc>
      </w:tr>
      <w:tr w:rsidR="00C57ACA" w:rsidRPr="0000591E" w14:paraId="4F5629A6" w14:textId="77777777" w:rsidTr="003F7925">
        <w:trPr>
          <w:gridAfter w:val="2"/>
          <w:wAfter w:w="154" w:type="dxa"/>
          <w:trHeight w:val="20"/>
        </w:trPr>
        <w:tc>
          <w:tcPr>
            <w:tcW w:w="1256" w:type="dxa"/>
            <w:tcBorders>
              <w:bottom w:val="single" w:sz="4" w:space="0" w:color="auto"/>
            </w:tcBorders>
            <w:noWrap/>
            <w:vAlign w:val="bottom"/>
          </w:tcPr>
          <w:p w14:paraId="6CC8BAB6" w14:textId="0105A59F" w:rsidR="00C57ACA" w:rsidRPr="0060328F" w:rsidRDefault="00C57ACA" w:rsidP="00C57ACA">
            <w:pPr>
              <w:jc w:val="both"/>
              <w:rPr>
                <w:rFonts w:ascii="Arial" w:hAnsi="Arial" w:cs="Arial"/>
                <w:b/>
                <w:bCs/>
                <w:sz w:val="20"/>
                <w:szCs w:val="20"/>
              </w:rPr>
            </w:pPr>
            <w:r w:rsidRPr="009569AC">
              <w:rPr>
                <w:rFonts w:ascii="Arial" w:hAnsi="Arial" w:cs="Arial"/>
                <w:b/>
                <w:bCs/>
                <w:sz w:val="20"/>
                <w:szCs w:val="20"/>
              </w:rPr>
              <w:t>L01FC01</w:t>
            </w:r>
          </w:p>
        </w:tc>
        <w:tc>
          <w:tcPr>
            <w:tcW w:w="9452" w:type="dxa"/>
            <w:tcBorders>
              <w:bottom w:val="single" w:sz="4" w:space="0" w:color="auto"/>
            </w:tcBorders>
            <w:noWrap/>
            <w:vAlign w:val="bottom"/>
          </w:tcPr>
          <w:p w14:paraId="6BAFB8EC" w14:textId="4A79B476" w:rsidR="00C57ACA" w:rsidRPr="0060328F" w:rsidRDefault="00C57ACA" w:rsidP="00C57ACA">
            <w:pPr>
              <w:jc w:val="both"/>
              <w:rPr>
                <w:rFonts w:ascii="Arial" w:hAnsi="Arial" w:cs="Arial"/>
                <w:b/>
                <w:bCs/>
                <w:sz w:val="20"/>
                <w:szCs w:val="20"/>
              </w:rPr>
            </w:pPr>
            <w:r w:rsidRPr="009569AC">
              <w:rPr>
                <w:rFonts w:ascii="Arial" w:hAnsi="Arial" w:cs="Arial"/>
                <w:b/>
                <w:bCs/>
                <w:sz w:val="20"/>
                <w:szCs w:val="20"/>
              </w:rPr>
              <w:t>Daratumumab s.c. 1800 mg</w:t>
            </w:r>
          </w:p>
        </w:tc>
      </w:tr>
      <w:tr w:rsidR="00C57ACA" w:rsidRPr="0000591E" w14:paraId="0E99CB23" w14:textId="77777777" w:rsidTr="003F7925">
        <w:trPr>
          <w:gridAfter w:val="2"/>
          <w:wAfter w:w="154" w:type="dxa"/>
          <w:trHeight w:val="20"/>
        </w:trPr>
        <w:tc>
          <w:tcPr>
            <w:tcW w:w="1256" w:type="dxa"/>
            <w:tcBorders>
              <w:top w:val="single" w:sz="4" w:space="0" w:color="auto"/>
            </w:tcBorders>
            <w:noWrap/>
            <w:vAlign w:val="bottom"/>
          </w:tcPr>
          <w:p w14:paraId="3A7D64B7"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CDA2887" w14:textId="77777777" w:rsidR="00DB48C6" w:rsidRDefault="00C57ACA" w:rsidP="00C57ACA">
            <w:pPr>
              <w:jc w:val="both"/>
              <w:rPr>
                <w:rFonts w:ascii="Arial" w:hAnsi="Arial" w:cs="Arial"/>
                <w:bCs/>
                <w:sz w:val="20"/>
                <w:szCs w:val="20"/>
              </w:rPr>
            </w:pPr>
            <w:r w:rsidRPr="009569AC">
              <w:rPr>
                <w:rFonts w:ascii="Arial" w:hAnsi="Arial" w:cs="Arial"/>
                <w:bCs/>
                <w:sz w:val="20"/>
                <w:szCs w:val="20"/>
              </w:rPr>
              <w:t>Hradená liečba sa môže indikovať:</w:t>
            </w:r>
          </w:p>
          <w:p w14:paraId="6E79491C" w14:textId="77777777" w:rsidR="00DB48C6" w:rsidRPr="00DB48C6" w:rsidRDefault="00DB48C6" w:rsidP="00DB48C6">
            <w:pPr>
              <w:jc w:val="both"/>
              <w:rPr>
                <w:rFonts w:ascii="Arial" w:hAnsi="Arial" w:cs="Arial"/>
                <w:bCs/>
                <w:sz w:val="20"/>
                <w:szCs w:val="20"/>
              </w:rPr>
            </w:pPr>
            <w:r w:rsidRPr="00DB48C6">
              <w:rPr>
                <w:rFonts w:ascii="Arial" w:hAnsi="Arial" w:cs="Arial"/>
                <w:bCs/>
                <w:sz w:val="20"/>
                <w:szCs w:val="20"/>
              </w:rPr>
              <w:t>-v kombinácii s bortezomibom,  lenalidomidom a dexametazónom na liečbu dospelých pacientov s novodiagnostikovaným mnohopočetným myelómom, ktorí sú vhodní na autológnu transplantáciu kmeňových buniek, u pacientov po dosiahnutí dlhodobej MRD negativity s trvaním ≥12 mesiacov a zároveň pri celkovej dĺžke udržiavacej liečby daratumumabom v trvaní ≥24 mesiacov ďalšia liečba daratumumabom nie je hradená,</w:t>
            </w:r>
          </w:p>
          <w:p w14:paraId="2904D597"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v kombinácii s lenalidomidom a dexametazónom alebo s bortezomibom, melfalanom a prednizónom na liečbu dospelých pacientov s novodiagnostikovaným mnohopočetným myelómom, ktorí nie sú vhodní na autológnu transplantáciu kmeňových buniek,</w:t>
            </w:r>
          </w:p>
          <w:p w14:paraId="3982CB70"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v kombinácii s bortezomibom, talidomidom a dexametazónom na liečbu dospelých pacientov s novodiagnostikovaným mnohopočetným myelómom, ktorí sú vhodní na autológnu transplantáciu kmeňových buniek,</w:t>
            </w:r>
          </w:p>
          <w:p w14:paraId="69C34966"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kombinácii s bortezomibom a dexametazónom v tretej alebo štvrtej línii u dospelých pacientov s progredujúcim mnohopočetným myelómom. Liečba sa ukončí, ak po 4 týždňoch liečby ochorenie progreduje. Progresia sa hodnotí po 4 týždňoch od začatia liečby a je definovaná podľa kritérií IMWG (International Myeloma Working Group).  </w:t>
            </w:r>
          </w:p>
          <w:p w14:paraId="03E3B35D"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monoterapii v tretej alebo štvrtej línii u dospelých pacientov s mnohopočetným myelómom, ktorých predchádzajúca liečba zahŕňala proteazómový inhibítor a imunomodulátor, pri poslednej liečbe preukázali progresiu ochorenia a nie sú vhodní na opakovanú liečbu režimami obsahujúcimi bortezomib. Liečba sa ukončí, ak po štyroch týždňoch liečby ochorenie progreduje. Progresia sa hodnotí najneskôr do 4 týždňov od začatia liečby a je definovaná podľa kritérií IMWG (International Myeloma Working Group). </w:t>
            </w:r>
          </w:p>
          <w:p w14:paraId="51649A13" w14:textId="77777777" w:rsidR="00C57ACA" w:rsidRPr="009569AC" w:rsidRDefault="00C57ACA" w:rsidP="00C57ACA">
            <w:pPr>
              <w:jc w:val="both"/>
              <w:rPr>
                <w:rFonts w:ascii="Arial" w:hAnsi="Arial" w:cs="Arial"/>
                <w:bCs/>
                <w:sz w:val="20"/>
                <w:szCs w:val="20"/>
              </w:rPr>
            </w:pPr>
          </w:p>
          <w:p w14:paraId="1B77B9F3"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hradenej liečby je dobrý výkonnostný stav pacienta - Karnofského skóre 100 - 60% alebo ECOG 0-2. </w:t>
            </w:r>
          </w:p>
          <w:p w14:paraId="5B255A18"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42FE3B1D"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hradenia liečby je posúdenie vhodnosti liečby na pracoviskách vykonávajúcich transplantácie:  </w:t>
            </w:r>
          </w:p>
          <w:p w14:paraId="2E2E8CB2"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4AD8553E"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p>
          <w:p w14:paraId="684AF76C"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18616B6B" w14:textId="77777777" w:rsidR="00C57ACA" w:rsidRDefault="00C57ACA" w:rsidP="00C57ACA">
            <w:pPr>
              <w:jc w:val="both"/>
              <w:rPr>
                <w:rFonts w:ascii="Arial" w:hAnsi="Arial" w:cs="Arial"/>
                <w:bCs/>
                <w:sz w:val="20"/>
                <w:szCs w:val="20"/>
              </w:rPr>
            </w:pPr>
            <w:r w:rsidRPr="009569AC">
              <w:rPr>
                <w:rFonts w:ascii="Arial" w:hAnsi="Arial" w:cs="Arial"/>
                <w:bCs/>
                <w:sz w:val="20"/>
                <w:szCs w:val="20"/>
              </w:rPr>
              <w:t>Hradená liečba podlieha predchádzajúcemu súhlasu zdravotnej poisťovne.</w:t>
            </w:r>
          </w:p>
          <w:p w14:paraId="778D9BAA" w14:textId="7BAA3E0E" w:rsidR="00C57ACA" w:rsidRPr="009569AC" w:rsidRDefault="00C57ACA" w:rsidP="00C57ACA">
            <w:pPr>
              <w:jc w:val="both"/>
              <w:rPr>
                <w:rFonts w:ascii="Arial" w:hAnsi="Arial" w:cs="Arial"/>
                <w:bCs/>
                <w:sz w:val="20"/>
                <w:szCs w:val="20"/>
              </w:rPr>
            </w:pPr>
          </w:p>
        </w:tc>
      </w:tr>
      <w:tr w:rsidR="00C57ACA" w:rsidRPr="0000591E" w14:paraId="5F96D98E" w14:textId="77777777" w:rsidTr="003F7925">
        <w:trPr>
          <w:gridAfter w:val="2"/>
          <w:wAfter w:w="154" w:type="dxa"/>
          <w:trHeight w:val="20"/>
        </w:trPr>
        <w:tc>
          <w:tcPr>
            <w:tcW w:w="1256" w:type="dxa"/>
            <w:tcBorders>
              <w:bottom w:val="single" w:sz="4" w:space="0" w:color="auto"/>
            </w:tcBorders>
            <w:noWrap/>
            <w:vAlign w:val="bottom"/>
          </w:tcPr>
          <w:p w14:paraId="0EF7FD83" w14:textId="0EE20163" w:rsidR="00C57ACA" w:rsidRPr="0060328F" w:rsidRDefault="00C57ACA" w:rsidP="00C57ACA">
            <w:pPr>
              <w:jc w:val="both"/>
              <w:rPr>
                <w:rFonts w:ascii="Arial" w:hAnsi="Arial" w:cs="Arial"/>
                <w:b/>
                <w:bCs/>
                <w:sz w:val="20"/>
                <w:szCs w:val="20"/>
              </w:rPr>
            </w:pPr>
            <w:r w:rsidRPr="00C54CD9">
              <w:rPr>
                <w:rFonts w:ascii="Arial" w:hAnsi="Arial" w:cs="Arial"/>
                <w:b/>
                <w:bCs/>
                <w:sz w:val="20"/>
                <w:szCs w:val="20"/>
              </w:rPr>
              <w:t>L01FD01</w:t>
            </w:r>
          </w:p>
        </w:tc>
        <w:tc>
          <w:tcPr>
            <w:tcW w:w="9452" w:type="dxa"/>
            <w:tcBorders>
              <w:bottom w:val="single" w:sz="4" w:space="0" w:color="auto"/>
            </w:tcBorders>
            <w:noWrap/>
            <w:vAlign w:val="bottom"/>
          </w:tcPr>
          <w:p w14:paraId="5AC55691" w14:textId="6E591D8C" w:rsidR="00C57ACA" w:rsidRPr="0060328F" w:rsidRDefault="00C57ACA" w:rsidP="00C57ACA">
            <w:pPr>
              <w:jc w:val="both"/>
              <w:rPr>
                <w:rFonts w:ascii="Arial" w:hAnsi="Arial" w:cs="Arial"/>
                <w:b/>
                <w:bCs/>
                <w:sz w:val="20"/>
                <w:szCs w:val="20"/>
              </w:rPr>
            </w:pPr>
            <w:r w:rsidRPr="00C54CD9">
              <w:rPr>
                <w:rFonts w:ascii="Arial" w:hAnsi="Arial" w:cs="Arial"/>
                <w:b/>
                <w:bCs/>
                <w:sz w:val="20"/>
                <w:szCs w:val="20"/>
              </w:rPr>
              <w:t>Trastuzumab parent. 150 mg</w:t>
            </w:r>
          </w:p>
        </w:tc>
      </w:tr>
      <w:tr w:rsidR="00C57ACA" w:rsidRPr="0000591E" w14:paraId="3460E452" w14:textId="77777777" w:rsidTr="003F7925">
        <w:trPr>
          <w:gridAfter w:val="2"/>
          <w:wAfter w:w="154" w:type="dxa"/>
          <w:trHeight w:val="20"/>
        </w:trPr>
        <w:tc>
          <w:tcPr>
            <w:tcW w:w="1256" w:type="dxa"/>
            <w:tcBorders>
              <w:top w:val="single" w:sz="4" w:space="0" w:color="auto"/>
            </w:tcBorders>
            <w:noWrap/>
            <w:vAlign w:val="bottom"/>
          </w:tcPr>
          <w:p w14:paraId="10866CE3"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98D59AE" w14:textId="77777777" w:rsidR="00C57ACA" w:rsidRPr="00C54CD9" w:rsidRDefault="00C57ACA" w:rsidP="00C57ACA">
            <w:pPr>
              <w:jc w:val="both"/>
              <w:rPr>
                <w:rFonts w:ascii="Arial" w:hAnsi="Arial" w:cs="Arial"/>
                <w:bCs/>
                <w:sz w:val="20"/>
                <w:szCs w:val="20"/>
              </w:rPr>
            </w:pPr>
            <w:r w:rsidRPr="00C54CD9">
              <w:rPr>
                <w:rFonts w:ascii="Arial" w:hAnsi="Arial" w:cs="Arial"/>
                <w:bCs/>
                <w:sz w:val="20"/>
                <w:szCs w:val="20"/>
              </w:rPr>
              <w:t>Hradená liečba sa môže indikovať</w:t>
            </w:r>
          </w:p>
          <w:p w14:paraId="634D4563" w14:textId="3E9A5009" w:rsidR="00C57ACA" w:rsidRDefault="00C57ACA" w:rsidP="00C57ACA">
            <w:pPr>
              <w:jc w:val="both"/>
              <w:rPr>
                <w:rFonts w:ascii="Arial" w:hAnsi="Arial" w:cs="Arial"/>
                <w:bCs/>
                <w:sz w:val="20"/>
                <w:szCs w:val="20"/>
              </w:rPr>
            </w:pPr>
            <w:r w:rsidRPr="00C54CD9">
              <w:rPr>
                <w:rFonts w:ascii="Arial" w:hAnsi="Arial" w:cs="Arial"/>
                <w:bCs/>
                <w:sz w:val="20"/>
                <w:szCs w:val="20"/>
              </w:rPr>
              <w:t>a) pri metastatickom nádore prsníka s nadmernou expresiou receptora HER2 stupeň 3+</w:t>
            </w:r>
            <w:r>
              <w:rPr>
                <w:rFonts w:ascii="Arial" w:hAnsi="Arial" w:cs="Arial"/>
                <w:bCs/>
                <w:sz w:val="20"/>
                <w:szCs w:val="20"/>
              </w:rPr>
              <w:t xml:space="preserve"> </w:t>
            </w:r>
            <w:r w:rsidRPr="00C54CD9">
              <w:rPr>
                <w:rFonts w:ascii="Arial" w:hAnsi="Arial" w:cs="Arial"/>
                <w:bCs/>
                <w:sz w:val="20"/>
                <w:szCs w:val="20"/>
              </w:rPr>
              <w:t>podľa imunohistochemického vyšetrenia (štandardný Hercept-test) alebo HER2 stupeň</w:t>
            </w:r>
            <w:r>
              <w:rPr>
                <w:rFonts w:ascii="Arial" w:hAnsi="Arial" w:cs="Arial"/>
                <w:bCs/>
                <w:sz w:val="20"/>
                <w:szCs w:val="20"/>
              </w:rPr>
              <w:t xml:space="preserve"> </w:t>
            </w:r>
            <w:r w:rsidRPr="00C54CD9">
              <w:rPr>
                <w:rFonts w:ascii="Arial" w:hAnsi="Arial" w:cs="Arial"/>
                <w:bCs/>
                <w:sz w:val="20"/>
                <w:szCs w:val="20"/>
              </w:rPr>
              <w:t>2+ s potvrdením amplifikácie HER2 génu jednou z metód in situ hybridizácie v</w:t>
            </w:r>
            <w:r>
              <w:rPr>
                <w:rFonts w:ascii="Arial" w:hAnsi="Arial" w:cs="Arial"/>
                <w:bCs/>
                <w:sz w:val="20"/>
                <w:szCs w:val="20"/>
              </w:rPr>
              <w:t> </w:t>
            </w:r>
            <w:r w:rsidRPr="00C54CD9">
              <w:rPr>
                <w:rFonts w:ascii="Arial" w:hAnsi="Arial" w:cs="Arial"/>
                <w:bCs/>
                <w:sz w:val="20"/>
                <w:szCs w:val="20"/>
              </w:rPr>
              <w:t>prvej</w:t>
            </w:r>
            <w:r>
              <w:rPr>
                <w:rFonts w:ascii="Arial" w:hAnsi="Arial" w:cs="Arial"/>
                <w:bCs/>
                <w:sz w:val="20"/>
                <w:szCs w:val="20"/>
              </w:rPr>
              <w:t xml:space="preserve"> </w:t>
            </w:r>
            <w:r w:rsidRPr="00C54CD9">
              <w:rPr>
                <w:rFonts w:ascii="Arial" w:hAnsi="Arial" w:cs="Arial"/>
                <w:bCs/>
                <w:sz w:val="20"/>
                <w:szCs w:val="20"/>
              </w:rPr>
              <w:t>alebo druhej línii liečby,</w:t>
            </w:r>
          </w:p>
          <w:p w14:paraId="40FD47AE" w14:textId="77777777" w:rsidR="00C57ACA" w:rsidRPr="00C54CD9" w:rsidRDefault="00C57ACA" w:rsidP="00C57ACA">
            <w:pPr>
              <w:jc w:val="both"/>
              <w:rPr>
                <w:rFonts w:ascii="Arial" w:hAnsi="Arial" w:cs="Arial"/>
                <w:bCs/>
                <w:sz w:val="20"/>
                <w:szCs w:val="20"/>
              </w:rPr>
            </w:pPr>
          </w:p>
          <w:p w14:paraId="362CCCD7" w14:textId="579C066E" w:rsidR="00C57ACA" w:rsidRDefault="00C57ACA" w:rsidP="00C57ACA">
            <w:pPr>
              <w:jc w:val="both"/>
              <w:rPr>
                <w:rFonts w:ascii="Arial" w:hAnsi="Arial" w:cs="Arial"/>
                <w:bCs/>
                <w:sz w:val="20"/>
                <w:szCs w:val="20"/>
              </w:rPr>
            </w:pPr>
            <w:r w:rsidRPr="00C54CD9">
              <w:rPr>
                <w:rFonts w:ascii="Arial" w:hAnsi="Arial" w:cs="Arial"/>
                <w:bCs/>
                <w:sz w:val="20"/>
                <w:szCs w:val="20"/>
              </w:rPr>
              <w:t>b) na adjuvantnú liečbu pacientov po operácii včasného karcinómu prsníka pri veľkosti</w:t>
            </w:r>
            <w:r>
              <w:rPr>
                <w:rFonts w:ascii="Arial" w:hAnsi="Arial" w:cs="Arial"/>
                <w:bCs/>
                <w:sz w:val="20"/>
                <w:szCs w:val="20"/>
              </w:rPr>
              <w:t xml:space="preserve"> </w:t>
            </w:r>
            <w:r w:rsidRPr="00C54CD9">
              <w:rPr>
                <w:rFonts w:ascii="Arial" w:hAnsi="Arial" w:cs="Arial"/>
                <w:bCs/>
                <w:sz w:val="20"/>
                <w:szCs w:val="20"/>
              </w:rPr>
              <w:t>nádoru nad 0,5 cm s nadmernou expresiou receptora HER2 stupeň 3+ podľa</w:t>
            </w:r>
            <w:r>
              <w:rPr>
                <w:rFonts w:ascii="Arial" w:hAnsi="Arial" w:cs="Arial"/>
                <w:bCs/>
                <w:sz w:val="20"/>
                <w:szCs w:val="20"/>
              </w:rPr>
              <w:t xml:space="preserve"> </w:t>
            </w:r>
            <w:r w:rsidRPr="00C54CD9">
              <w:rPr>
                <w:rFonts w:ascii="Arial" w:hAnsi="Arial" w:cs="Arial"/>
                <w:bCs/>
                <w:sz w:val="20"/>
                <w:szCs w:val="20"/>
              </w:rPr>
              <w:t>imunohistochemického vyšetrenia (štandardný Hercept-test) alebo HER2 stupeň 2+ s</w:t>
            </w:r>
            <w:r>
              <w:rPr>
                <w:rFonts w:ascii="Arial" w:hAnsi="Arial" w:cs="Arial"/>
                <w:bCs/>
                <w:sz w:val="20"/>
                <w:szCs w:val="20"/>
              </w:rPr>
              <w:t xml:space="preserve"> </w:t>
            </w:r>
            <w:r w:rsidRPr="00C54CD9">
              <w:rPr>
                <w:rFonts w:ascii="Arial" w:hAnsi="Arial" w:cs="Arial"/>
                <w:bCs/>
                <w:sz w:val="20"/>
                <w:szCs w:val="20"/>
              </w:rPr>
              <w:t>potvrdením amplifikácie HER2 génu jednou z metód in situ hybridizácie,</w:t>
            </w:r>
          </w:p>
          <w:p w14:paraId="17AF91AA" w14:textId="77777777" w:rsidR="00C57ACA" w:rsidRPr="00C54CD9" w:rsidRDefault="00C57ACA" w:rsidP="00C57ACA">
            <w:pPr>
              <w:jc w:val="both"/>
              <w:rPr>
                <w:rFonts w:ascii="Arial" w:hAnsi="Arial" w:cs="Arial"/>
                <w:bCs/>
                <w:sz w:val="20"/>
                <w:szCs w:val="20"/>
              </w:rPr>
            </w:pPr>
          </w:p>
          <w:p w14:paraId="7BCFE3B8" w14:textId="6B480317" w:rsidR="00C57ACA" w:rsidRPr="00C54CD9" w:rsidRDefault="00C57ACA" w:rsidP="00C57ACA">
            <w:pPr>
              <w:jc w:val="both"/>
              <w:rPr>
                <w:rFonts w:ascii="Arial" w:hAnsi="Arial" w:cs="Arial"/>
                <w:bCs/>
                <w:sz w:val="20"/>
                <w:szCs w:val="20"/>
              </w:rPr>
            </w:pPr>
            <w:r w:rsidRPr="00C54CD9">
              <w:rPr>
                <w:rFonts w:ascii="Arial" w:hAnsi="Arial" w:cs="Arial"/>
                <w:bCs/>
                <w:sz w:val="20"/>
                <w:szCs w:val="20"/>
              </w:rPr>
              <w:t>c) v kombinácii s neoadjuvantnou chemoterapiou nasledovanou adjuvantným podávaním</w:t>
            </w:r>
            <w:r>
              <w:rPr>
                <w:rFonts w:ascii="Arial" w:hAnsi="Arial" w:cs="Arial"/>
                <w:bCs/>
                <w:sz w:val="20"/>
                <w:szCs w:val="20"/>
              </w:rPr>
              <w:t xml:space="preserve"> </w:t>
            </w:r>
            <w:r w:rsidRPr="00C54CD9">
              <w:rPr>
                <w:rFonts w:ascii="Arial" w:hAnsi="Arial" w:cs="Arial"/>
                <w:bCs/>
                <w:sz w:val="20"/>
                <w:szCs w:val="20"/>
              </w:rPr>
              <w:t>trastuzumabu pri lokálne pokročilom karcinóme prsníka (vrátane inflamatórneho)</w:t>
            </w:r>
          </w:p>
          <w:p w14:paraId="716008D8" w14:textId="0D98B86B" w:rsidR="00C57ACA" w:rsidRDefault="00C57ACA" w:rsidP="00C57ACA">
            <w:pPr>
              <w:tabs>
                <w:tab w:val="left" w:pos="352"/>
              </w:tabs>
              <w:jc w:val="both"/>
              <w:rPr>
                <w:rFonts w:ascii="Arial" w:hAnsi="Arial" w:cs="Arial"/>
                <w:bCs/>
                <w:sz w:val="20"/>
                <w:szCs w:val="20"/>
              </w:rPr>
            </w:pPr>
            <w:r w:rsidRPr="00C54CD9">
              <w:rPr>
                <w:rFonts w:ascii="Arial" w:hAnsi="Arial" w:cs="Arial"/>
                <w:bCs/>
                <w:sz w:val="20"/>
                <w:szCs w:val="20"/>
              </w:rPr>
              <w:t>alebo nádoroch s priemerom &gt; 2 cm.</w:t>
            </w:r>
          </w:p>
          <w:p w14:paraId="36E7A668" w14:textId="77777777" w:rsidR="00C57ACA" w:rsidRPr="00C54CD9" w:rsidRDefault="00C57ACA" w:rsidP="00C57ACA">
            <w:pPr>
              <w:jc w:val="both"/>
              <w:rPr>
                <w:rFonts w:ascii="Arial" w:hAnsi="Arial" w:cs="Arial"/>
                <w:bCs/>
                <w:sz w:val="20"/>
                <w:szCs w:val="20"/>
              </w:rPr>
            </w:pPr>
          </w:p>
          <w:p w14:paraId="06855BA3" w14:textId="654A2621" w:rsidR="00C57ACA" w:rsidRDefault="00C57ACA" w:rsidP="00C57ACA">
            <w:pPr>
              <w:tabs>
                <w:tab w:val="left" w:pos="210"/>
              </w:tabs>
              <w:jc w:val="both"/>
              <w:rPr>
                <w:rFonts w:ascii="Arial" w:hAnsi="Arial" w:cs="Arial"/>
                <w:bCs/>
                <w:sz w:val="20"/>
                <w:szCs w:val="20"/>
              </w:rPr>
            </w:pPr>
            <w:r w:rsidRPr="00C54CD9">
              <w:rPr>
                <w:rFonts w:ascii="Arial" w:hAnsi="Arial" w:cs="Arial"/>
                <w:bCs/>
                <w:sz w:val="20"/>
                <w:szCs w:val="20"/>
              </w:rPr>
              <w:t>d)</w:t>
            </w:r>
            <w:r w:rsidRPr="00C54CD9">
              <w:rPr>
                <w:rFonts w:ascii="Arial" w:hAnsi="Arial" w:cs="Arial"/>
                <w:bCs/>
                <w:sz w:val="20"/>
                <w:szCs w:val="20"/>
              </w:rPr>
              <w:tab/>
            </w:r>
            <w:r>
              <w:rPr>
                <w:rFonts w:ascii="Arial" w:hAnsi="Arial" w:cs="Arial"/>
                <w:bCs/>
                <w:sz w:val="20"/>
                <w:szCs w:val="20"/>
              </w:rPr>
              <w:t xml:space="preserve"> </w:t>
            </w:r>
            <w:r w:rsidRPr="00C54CD9">
              <w:rPr>
                <w:rFonts w:ascii="Arial" w:hAnsi="Arial" w:cs="Arial"/>
                <w:bCs/>
                <w:sz w:val="20"/>
                <w:szCs w:val="20"/>
              </w:rPr>
              <w:t xml:space="preserve">v kombinácii s pertuzumabom a docetaxelom pri metastatickom karcinóme prsníka s nadmernou expresiou receptora HER2 stupeň 3+ podľa imunohistochemického vyšetrenia (štandardný Hercept-test) alebo HER2 stupeň 2+ s potvrdením amplifikácie HER2 génu jednou z metód in situ hybridizácie v prvej línii liečby.  </w:t>
            </w:r>
          </w:p>
          <w:p w14:paraId="1205F3E9" w14:textId="77777777" w:rsidR="00A957DD" w:rsidRDefault="00A957DD" w:rsidP="00C57ACA">
            <w:pPr>
              <w:tabs>
                <w:tab w:val="left" w:pos="210"/>
              </w:tabs>
              <w:jc w:val="both"/>
              <w:rPr>
                <w:rFonts w:ascii="Arial" w:hAnsi="Arial" w:cs="Arial"/>
                <w:bCs/>
                <w:sz w:val="20"/>
                <w:szCs w:val="20"/>
              </w:rPr>
            </w:pPr>
          </w:p>
          <w:p w14:paraId="2A48C374" w14:textId="5C9DD5FD" w:rsidR="00A957DD" w:rsidRPr="00A957DD" w:rsidRDefault="00A957DD" w:rsidP="00A957DD">
            <w:pPr>
              <w:tabs>
                <w:tab w:val="left" w:pos="210"/>
              </w:tabs>
              <w:jc w:val="both"/>
              <w:rPr>
                <w:rFonts w:ascii="Arial" w:hAnsi="Arial" w:cs="Arial"/>
                <w:bCs/>
                <w:sz w:val="20"/>
                <w:szCs w:val="20"/>
              </w:rPr>
            </w:pPr>
            <w:r w:rsidRPr="00A957DD">
              <w:rPr>
                <w:rFonts w:ascii="Arial" w:hAnsi="Arial" w:cs="Arial"/>
                <w:bCs/>
                <w:sz w:val="20"/>
                <w:szCs w:val="20"/>
              </w:rPr>
              <w:t xml:space="preserve">e) v kombinácii s tukatinibom a kapecitabínom na liečbu dospelých pacientov s HER2-pozitívnym, lokálne pokročilým alebo metastatickým karcinómom prsníka ako tretia línia liečby u pacientov, ktorí dostali 2 predchádzajúce anti-HER2 liečebné režimy na lokálne pokročilý alebo metastatický karcinóm. </w:t>
            </w:r>
          </w:p>
          <w:p w14:paraId="447F0A4A" w14:textId="77777777" w:rsidR="00A957DD" w:rsidRPr="00A957DD" w:rsidRDefault="00A957DD" w:rsidP="00A957DD">
            <w:pPr>
              <w:tabs>
                <w:tab w:val="left" w:pos="210"/>
              </w:tabs>
              <w:jc w:val="both"/>
              <w:rPr>
                <w:rFonts w:ascii="Arial" w:hAnsi="Arial" w:cs="Arial"/>
                <w:bCs/>
                <w:sz w:val="20"/>
                <w:szCs w:val="20"/>
              </w:rPr>
            </w:pPr>
          </w:p>
          <w:p w14:paraId="2836E06F" w14:textId="58BA87DB" w:rsidR="00A957DD" w:rsidRDefault="00A957DD" w:rsidP="00A957DD">
            <w:pPr>
              <w:tabs>
                <w:tab w:val="left" w:pos="210"/>
              </w:tabs>
              <w:jc w:val="both"/>
              <w:rPr>
                <w:rFonts w:ascii="Arial" w:hAnsi="Arial" w:cs="Arial"/>
                <w:bCs/>
                <w:sz w:val="20"/>
                <w:szCs w:val="20"/>
              </w:rPr>
            </w:pPr>
            <w:r w:rsidRPr="00A957DD">
              <w:rPr>
                <w:rFonts w:ascii="Arial" w:hAnsi="Arial" w:cs="Arial"/>
                <w:bCs/>
                <w:sz w:val="20"/>
                <w:szCs w:val="20"/>
              </w:rPr>
              <w:t>Hradená liečba podlieha predchádzajúcemu súhlasu zdravotnej poisťovne.</w:t>
            </w:r>
          </w:p>
          <w:p w14:paraId="100BEBC7" w14:textId="31333F8A" w:rsidR="00C57ACA" w:rsidRPr="00C54CD9" w:rsidRDefault="00C57ACA" w:rsidP="00C57ACA">
            <w:pPr>
              <w:jc w:val="both"/>
              <w:rPr>
                <w:rFonts w:ascii="Arial" w:hAnsi="Arial" w:cs="Arial"/>
                <w:bCs/>
                <w:sz w:val="20"/>
                <w:szCs w:val="20"/>
              </w:rPr>
            </w:pPr>
          </w:p>
        </w:tc>
      </w:tr>
      <w:tr w:rsidR="00C57ACA" w:rsidRPr="0000591E" w14:paraId="72B1B44B" w14:textId="77777777" w:rsidTr="003F7925">
        <w:trPr>
          <w:gridAfter w:val="2"/>
          <w:wAfter w:w="154" w:type="dxa"/>
          <w:trHeight w:val="20"/>
        </w:trPr>
        <w:tc>
          <w:tcPr>
            <w:tcW w:w="1256" w:type="dxa"/>
            <w:tcBorders>
              <w:bottom w:val="single" w:sz="4" w:space="0" w:color="auto"/>
            </w:tcBorders>
            <w:noWrap/>
            <w:vAlign w:val="bottom"/>
          </w:tcPr>
          <w:p w14:paraId="24E545AE" w14:textId="48861CC6" w:rsidR="00C57ACA" w:rsidRPr="0060328F" w:rsidRDefault="00C57ACA" w:rsidP="00C57ACA">
            <w:pPr>
              <w:jc w:val="both"/>
              <w:rPr>
                <w:rFonts w:ascii="Arial" w:hAnsi="Arial" w:cs="Arial"/>
                <w:b/>
                <w:bCs/>
                <w:sz w:val="20"/>
                <w:szCs w:val="20"/>
              </w:rPr>
            </w:pPr>
            <w:r w:rsidRPr="00C54CD9">
              <w:rPr>
                <w:rFonts w:ascii="Arial" w:hAnsi="Arial" w:cs="Arial"/>
                <w:b/>
                <w:bCs/>
                <w:sz w:val="20"/>
                <w:szCs w:val="20"/>
              </w:rPr>
              <w:t>L01FD01</w:t>
            </w:r>
          </w:p>
        </w:tc>
        <w:tc>
          <w:tcPr>
            <w:tcW w:w="9452" w:type="dxa"/>
            <w:tcBorders>
              <w:bottom w:val="single" w:sz="4" w:space="0" w:color="auto"/>
            </w:tcBorders>
            <w:noWrap/>
            <w:vAlign w:val="bottom"/>
          </w:tcPr>
          <w:p w14:paraId="0AAEE5C7" w14:textId="3FBDADF2" w:rsidR="00C57ACA" w:rsidRPr="0060328F" w:rsidRDefault="00C57ACA" w:rsidP="00C57ACA">
            <w:pPr>
              <w:jc w:val="both"/>
              <w:rPr>
                <w:rFonts w:ascii="Arial" w:hAnsi="Arial" w:cs="Arial"/>
                <w:b/>
                <w:bCs/>
                <w:sz w:val="20"/>
                <w:szCs w:val="20"/>
              </w:rPr>
            </w:pPr>
            <w:r w:rsidRPr="00C54CD9">
              <w:rPr>
                <w:rFonts w:ascii="Arial" w:hAnsi="Arial" w:cs="Arial"/>
                <w:b/>
                <w:bCs/>
                <w:sz w:val="20"/>
                <w:szCs w:val="20"/>
              </w:rPr>
              <w:t>Trastuzumab s.c. 600 mg</w:t>
            </w:r>
          </w:p>
        </w:tc>
      </w:tr>
      <w:tr w:rsidR="00C57ACA" w:rsidRPr="0000591E" w14:paraId="3BC1DFAC" w14:textId="77777777" w:rsidTr="003F7925">
        <w:trPr>
          <w:gridAfter w:val="2"/>
          <w:wAfter w:w="154" w:type="dxa"/>
          <w:trHeight w:val="20"/>
        </w:trPr>
        <w:tc>
          <w:tcPr>
            <w:tcW w:w="1256" w:type="dxa"/>
            <w:tcBorders>
              <w:top w:val="single" w:sz="4" w:space="0" w:color="auto"/>
            </w:tcBorders>
            <w:noWrap/>
            <w:vAlign w:val="bottom"/>
          </w:tcPr>
          <w:p w14:paraId="6DD54109"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117DEAD8" w14:textId="77777777" w:rsidR="00C57ACA" w:rsidRPr="00C54CD9" w:rsidRDefault="00C57ACA" w:rsidP="00C57ACA">
            <w:pPr>
              <w:jc w:val="both"/>
              <w:rPr>
                <w:rFonts w:ascii="Arial" w:hAnsi="Arial" w:cs="Arial"/>
                <w:bCs/>
                <w:sz w:val="20"/>
                <w:szCs w:val="20"/>
              </w:rPr>
            </w:pPr>
            <w:r w:rsidRPr="00C54CD9">
              <w:rPr>
                <w:rFonts w:ascii="Arial" w:hAnsi="Arial" w:cs="Arial"/>
                <w:bCs/>
                <w:sz w:val="20"/>
                <w:szCs w:val="20"/>
              </w:rPr>
              <w:t xml:space="preserve">Hradená liečba sa môže indikovať </w:t>
            </w:r>
          </w:p>
          <w:p w14:paraId="26A7269A" w14:textId="77777777" w:rsidR="00C57ACA" w:rsidRPr="00C54CD9" w:rsidRDefault="00C57ACA" w:rsidP="00C57ACA">
            <w:pPr>
              <w:tabs>
                <w:tab w:val="left" w:pos="309"/>
              </w:tabs>
              <w:jc w:val="both"/>
              <w:rPr>
                <w:rFonts w:ascii="Arial" w:hAnsi="Arial" w:cs="Arial"/>
                <w:bCs/>
                <w:sz w:val="20"/>
                <w:szCs w:val="20"/>
              </w:rPr>
            </w:pPr>
            <w:r w:rsidRPr="00C54CD9">
              <w:rPr>
                <w:rFonts w:ascii="Arial" w:hAnsi="Arial" w:cs="Arial"/>
                <w:bCs/>
                <w:sz w:val="20"/>
                <w:szCs w:val="20"/>
              </w:rPr>
              <w:t>a)</w:t>
            </w:r>
            <w:r w:rsidRPr="00C54CD9">
              <w:rPr>
                <w:rFonts w:ascii="Arial" w:hAnsi="Arial" w:cs="Arial"/>
                <w:bCs/>
                <w:sz w:val="20"/>
                <w:szCs w:val="20"/>
              </w:rPr>
              <w:tab/>
              <w:t xml:space="preserve">pri metastatickom nádore prsníka s nadmernou expresiou receptora HER2 stupeň 3+ podľa imunohistochemického vyšetrenia (štandardný Hercept-test) alebo HER2 stupeň 2+ s potvrdením amplifikácie HER2 génu jednou z metód in situ hybridizácie v prvej alebo druhej línii liečby, </w:t>
            </w:r>
          </w:p>
          <w:p w14:paraId="7D808F1F" w14:textId="77777777" w:rsidR="00C57ACA" w:rsidRDefault="00C57ACA" w:rsidP="00C57ACA">
            <w:pPr>
              <w:tabs>
                <w:tab w:val="left" w:pos="332"/>
              </w:tabs>
              <w:jc w:val="both"/>
              <w:rPr>
                <w:rFonts w:ascii="Arial" w:hAnsi="Arial" w:cs="Arial"/>
                <w:bCs/>
                <w:sz w:val="20"/>
                <w:szCs w:val="20"/>
              </w:rPr>
            </w:pPr>
          </w:p>
          <w:p w14:paraId="7580BC61" w14:textId="2A50EC28" w:rsidR="00C57ACA" w:rsidRPr="00C54CD9" w:rsidRDefault="00C57ACA" w:rsidP="00C57ACA">
            <w:pPr>
              <w:tabs>
                <w:tab w:val="left" w:pos="332"/>
              </w:tabs>
              <w:jc w:val="both"/>
              <w:rPr>
                <w:rFonts w:ascii="Arial" w:hAnsi="Arial" w:cs="Arial"/>
                <w:bCs/>
                <w:sz w:val="20"/>
                <w:szCs w:val="20"/>
              </w:rPr>
            </w:pPr>
            <w:r w:rsidRPr="00C54CD9">
              <w:rPr>
                <w:rFonts w:ascii="Arial" w:hAnsi="Arial" w:cs="Arial"/>
                <w:bCs/>
                <w:sz w:val="20"/>
                <w:szCs w:val="20"/>
              </w:rPr>
              <w:t>b)</w:t>
            </w:r>
            <w:r w:rsidRPr="00C54CD9">
              <w:rPr>
                <w:rFonts w:ascii="Arial" w:hAnsi="Arial" w:cs="Arial"/>
                <w:bCs/>
                <w:sz w:val="20"/>
                <w:szCs w:val="20"/>
              </w:rPr>
              <w:tab/>
              <w:t>na adjuvantnú liečbu pacientov po operácii včasného karcinómu prsníka pri veľkosti nádoru nad 0,5 cm s nadmernou expresiou receptora HER2 stupeň 3+ podľa imunohistochemického vyšetrenia (štandardný Hercept-test) alebo HER2 stupeň 2+ s potvrdením amplifikácie HER2 génu jednou z metód in situ hybridizácie,</w:t>
            </w:r>
          </w:p>
          <w:p w14:paraId="575A99F2" w14:textId="77777777" w:rsidR="00C57ACA" w:rsidRDefault="00C57ACA" w:rsidP="00C57ACA">
            <w:pPr>
              <w:jc w:val="both"/>
              <w:rPr>
                <w:rFonts w:ascii="Arial" w:hAnsi="Arial" w:cs="Arial"/>
                <w:bCs/>
                <w:sz w:val="20"/>
                <w:szCs w:val="20"/>
              </w:rPr>
            </w:pPr>
          </w:p>
          <w:p w14:paraId="66C7DEA8" w14:textId="2197CB2F" w:rsidR="00C57ACA" w:rsidRPr="00C54CD9" w:rsidRDefault="00C57ACA" w:rsidP="00C57ACA">
            <w:pPr>
              <w:tabs>
                <w:tab w:val="left" w:pos="352"/>
              </w:tabs>
              <w:jc w:val="both"/>
              <w:rPr>
                <w:rFonts w:ascii="Arial" w:hAnsi="Arial" w:cs="Arial"/>
                <w:bCs/>
                <w:sz w:val="20"/>
                <w:szCs w:val="20"/>
              </w:rPr>
            </w:pPr>
            <w:r w:rsidRPr="00C54CD9">
              <w:rPr>
                <w:rFonts w:ascii="Arial" w:hAnsi="Arial" w:cs="Arial"/>
                <w:bCs/>
                <w:sz w:val="20"/>
                <w:szCs w:val="20"/>
              </w:rPr>
              <w:t>c)</w:t>
            </w:r>
            <w:r w:rsidRPr="00C54CD9">
              <w:rPr>
                <w:rFonts w:ascii="Arial" w:hAnsi="Arial" w:cs="Arial"/>
                <w:bCs/>
                <w:sz w:val="20"/>
                <w:szCs w:val="20"/>
              </w:rPr>
              <w:tab/>
              <w:t>v kombinácii s neoadjuvantnou chemoterapiou nasledovanou adjuvantným podávaním trastuzumabu pri lokálne pokročilom karcinóme prsníka (vrátane inflamatórneho) alebo nádoroch s priemerom &gt; 2 cm.</w:t>
            </w:r>
          </w:p>
          <w:p w14:paraId="02DB5C7C" w14:textId="77777777" w:rsidR="00C57ACA" w:rsidRDefault="00C57ACA" w:rsidP="00C57ACA">
            <w:pPr>
              <w:jc w:val="both"/>
              <w:rPr>
                <w:rFonts w:ascii="Arial" w:hAnsi="Arial" w:cs="Arial"/>
                <w:bCs/>
                <w:sz w:val="20"/>
                <w:szCs w:val="20"/>
              </w:rPr>
            </w:pPr>
          </w:p>
          <w:p w14:paraId="1CB5B1F8" w14:textId="0286A7AD" w:rsidR="00C57ACA" w:rsidRPr="00C54CD9" w:rsidRDefault="00C57ACA" w:rsidP="00D03DD8">
            <w:pPr>
              <w:tabs>
                <w:tab w:val="left" w:pos="352"/>
              </w:tabs>
              <w:jc w:val="both"/>
              <w:rPr>
                <w:rFonts w:ascii="Arial" w:hAnsi="Arial" w:cs="Arial"/>
                <w:bCs/>
                <w:sz w:val="20"/>
                <w:szCs w:val="20"/>
              </w:rPr>
            </w:pPr>
            <w:r w:rsidRPr="00C54CD9">
              <w:rPr>
                <w:rFonts w:ascii="Arial" w:hAnsi="Arial" w:cs="Arial"/>
                <w:bCs/>
                <w:sz w:val="20"/>
                <w:szCs w:val="20"/>
              </w:rPr>
              <w:t>d)</w:t>
            </w:r>
            <w:r w:rsidRPr="00C54CD9">
              <w:rPr>
                <w:rFonts w:ascii="Arial" w:hAnsi="Arial" w:cs="Arial"/>
                <w:bCs/>
                <w:sz w:val="20"/>
                <w:szCs w:val="20"/>
              </w:rPr>
              <w:tab/>
              <w:t xml:space="preserve">v kombinácii s pertuzumabom a docetaxelom pri metastatickom karcinóme prsníka s nadmernou expresiou receptora HER2 stupeň 3+ podľa imunohistochemického vyšetrenia (štandardný Hercept-test) alebo HER2 stupeň 2+ s potvrdením amplifikácie HER2 génu jednou z metód in situ hybridizácie v prvej línii liečby.  </w:t>
            </w:r>
          </w:p>
          <w:p w14:paraId="5447990F" w14:textId="77777777" w:rsidR="00C50E8C" w:rsidRPr="00C50E8C" w:rsidRDefault="00C50E8C" w:rsidP="00C50E8C">
            <w:pPr>
              <w:jc w:val="both"/>
              <w:rPr>
                <w:rFonts w:ascii="Arial" w:hAnsi="Arial" w:cs="Arial"/>
                <w:bCs/>
                <w:sz w:val="20"/>
                <w:szCs w:val="20"/>
              </w:rPr>
            </w:pPr>
            <w:r w:rsidRPr="00C50E8C">
              <w:rPr>
                <w:rFonts w:ascii="Arial" w:hAnsi="Arial" w:cs="Arial"/>
                <w:bCs/>
                <w:sz w:val="20"/>
                <w:szCs w:val="20"/>
              </w:rPr>
              <w:t>Hradená liečba je indikovaná</w:t>
            </w:r>
          </w:p>
          <w:p w14:paraId="59C7BA47" w14:textId="77777777" w:rsidR="00C50E8C" w:rsidRPr="00C50E8C" w:rsidRDefault="00C50E8C" w:rsidP="00C50E8C">
            <w:pPr>
              <w:jc w:val="both"/>
              <w:rPr>
                <w:rFonts w:ascii="Arial" w:hAnsi="Arial" w:cs="Arial"/>
                <w:bCs/>
                <w:sz w:val="20"/>
                <w:szCs w:val="20"/>
              </w:rPr>
            </w:pPr>
          </w:p>
          <w:p w14:paraId="5E4209DC" w14:textId="332D31BB" w:rsidR="00C50E8C" w:rsidRPr="00C50E8C" w:rsidRDefault="00C50E8C" w:rsidP="00D03DD8">
            <w:pPr>
              <w:tabs>
                <w:tab w:val="left" w:pos="299"/>
              </w:tabs>
              <w:jc w:val="both"/>
              <w:rPr>
                <w:rFonts w:ascii="Arial" w:hAnsi="Arial" w:cs="Arial"/>
                <w:bCs/>
                <w:sz w:val="20"/>
                <w:szCs w:val="20"/>
              </w:rPr>
            </w:pPr>
            <w:r w:rsidRPr="00C50E8C">
              <w:rPr>
                <w:rFonts w:ascii="Arial" w:hAnsi="Arial" w:cs="Arial"/>
                <w:bCs/>
                <w:sz w:val="20"/>
                <w:szCs w:val="20"/>
              </w:rPr>
              <w:t xml:space="preserve">e) </w:t>
            </w:r>
            <w:r w:rsidR="00D03DD8">
              <w:rPr>
                <w:rFonts w:ascii="Arial" w:hAnsi="Arial" w:cs="Arial"/>
                <w:bCs/>
                <w:sz w:val="20"/>
                <w:szCs w:val="20"/>
              </w:rPr>
              <w:tab/>
            </w:r>
            <w:r w:rsidRPr="00C50E8C">
              <w:rPr>
                <w:rFonts w:ascii="Arial" w:hAnsi="Arial" w:cs="Arial"/>
                <w:bCs/>
                <w:sz w:val="20"/>
                <w:szCs w:val="20"/>
              </w:rPr>
              <w:t xml:space="preserve">v kombinácii s tukatinibom a kapecitabínom na liečbu dospelých pacientov s HER2-pozitívnym, lokálne pokročilým alebo metastatickým karcinómom prsníka ako tretia línia liečby u pacientov, ktorí dostali 2 predchádzajúce anti-HER2 liečebné režimy na lokálne pokročilý alebo metastatický karcinóm. </w:t>
            </w:r>
          </w:p>
          <w:p w14:paraId="1F6C788C" w14:textId="77777777" w:rsidR="00C50E8C" w:rsidRDefault="00C50E8C" w:rsidP="00C57ACA">
            <w:pPr>
              <w:jc w:val="both"/>
              <w:rPr>
                <w:rFonts w:ascii="Arial" w:hAnsi="Arial" w:cs="Arial"/>
                <w:bCs/>
                <w:sz w:val="20"/>
                <w:szCs w:val="20"/>
              </w:rPr>
            </w:pPr>
          </w:p>
          <w:p w14:paraId="21BE9C96" w14:textId="463FFA27" w:rsidR="00C57ACA" w:rsidRDefault="00C57ACA" w:rsidP="00C57ACA">
            <w:pPr>
              <w:jc w:val="both"/>
              <w:rPr>
                <w:rFonts w:ascii="Arial" w:hAnsi="Arial" w:cs="Arial"/>
                <w:bCs/>
                <w:sz w:val="20"/>
                <w:szCs w:val="20"/>
              </w:rPr>
            </w:pPr>
            <w:r w:rsidRPr="00C54CD9">
              <w:rPr>
                <w:rFonts w:ascii="Arial" w:hAnsi="Arial" w:cs="Arial"/>
                <w:bCs/>
                <w:sz w:val="20"/>
                <w:szCs w:val="20"/>
              </w:rPr>
              <w:t>Hradená liečba podlieha predchádzajúcemu súhlasu zdravotnej poisťovne.</w:t>
            </w:r>
          </w:p>
          <w:p w14:paraId="292CEE62" w14:textId="4D110A22" w:rsidR="00C57ACA" w:rsidRPr="00C54CD9" w:rsidRDefault="00C57ACA" w:rsidP="00C57ACA">
            <w:pPr>
              <w:jc w:val="both"/>
              <w:rPr>
                <w:rFonts w:ascii="Arial" w:hAnsi="Arial" w:cs="Arial"/>
                <w:bCs/>
                <w:sz w:val="20"/>
                <w:szCs w:val="20"/>
              </w:rPr>
            </w:pPr>
          </w:p>
        </w:tc>
      </w:tr>
      <w:tr w:rsidR="00C57ACA" w:rsidRPr="0000591E" w14:paraId="3ACE6CAE" w14:textId="77777777" w:rsidTr="003F7925">
        <w:trPr>
          <w:gridAfter w:val="2"/>
          <w:wAfter w:w="154" w:type="dxa"/>
          <w:trHeight w:val="20"/>
        </w:trPr>
        <w:tc>
          <w:tcPr>
            <w:tcW w:w="1256" w:type="dxa"/>
            <w:tcBorders>
              <w:bottom w:val="single" w:sz="4" w:space="0" w:color="auto"/>
            </w:tcBorders>
            <w:noWrap/>
            <w:vAlign w:val="bottom"/>
          </w:tcPr>
          <w:p w14:paraId="214AC5CC" w14:textId="256AE6E9" w:rsidR="00C57ACA" w:rsidRPr="0060328F" w:rsidRDefault="00C57ACA" w:rsidP="00C57ACA">
            <w:pPr>
              <w:jc w:val="both"/>
              <w:rPr>
                <w:rFonts w:ascii="Arial" w:hAnsi="Arial" w:cs="Arial"/>
                <w:b/>
                <w:bCs/>
                <w:sz w:val="20"/>
                <w:szCs w:val="20"/>
              </w:rPr>
            </w:pPr>
            <w:r w:rsidRPr="00880F42">
              <w:rPr>
                <w:rFonts w:ascii="Arial" w:hAnsi="Arial" w:cs="Arial"/>
                <w:b/>
                <w:bCs/>
                <w:sz w:val="20"/>
                <w:szCs w:val="20"/>
              </w:rPr>
              <w:t>L01FD02</w:t>
            </w:r>
          </w:p>
        </w:tc>
        <w:tc>
          <w:tcPr>
            <w:tcW w:w="9452" w:type="dxa"/>
            <w:tcBorders>
              <w:bottom w:val="single" w:sz="4" w:space="0" w:color="auto"/>
            </w:tcBorders>
            <w:noWrap/>
            <w:vAlign w:val="bottom"/>
          </w:tcPr>
          <w:p w14:paraId="4C92E7AB" w14:textId="1CE9EF48" w:rsidR="00C57ACA" w:rsidRPr="0060328F" w:rsidRDefault="00C57ACA" w:rsidP="00C57ACA">
            <w:pPr>
              <w:jc w:val="both"/>
              <w:rPr>
                <w:rFonts w:ascii="Arial" w:hAnsi="Arial" w:cs="Arial"/>
                <w:b/>
                <w:bCs/>
                <w:sz w:val="20"/>
                <w:szCs w:val="20"/>
              </w:rPr>
            </w:pPr>
            <w:r w:rsidRPr="00880F42">
              <w:rPr>
                <w:rFonts w:ascii="Arial" w:hAnsi="Arial" w:cs="Arial"/>
                <w:b/>
                <w:bCs/>
                <w:sz w:val="20"/>
                <w:szCs w:val="20"/>
              </w:rPr>
              <w:t>Pertuzumab parent. 420 mg</w:t>
            </w:r>
          </w:p>
        </w:tc>
      </w:tr>
      <w:tr w:rsidR="00C57ACA" w:rsidRPr="0000591E" w14:paraId="76B4B685" w14:textId="77777777" w:rsidTr="003F7925">
        <w:trPr>
          <w:gridAfter w:val="2"/>
          <w:wAfter w:w="154" w:type="dxa"/>
          <w:trHeight w:val="20"/>
        </w:trPr>
        <w:tc>
          <w:tcPr>
            <w:tcW w:w="1256" w:type="dxa"/>
            <w:tcBorders>
              <w:top w:val="single" w:sz="4" w:space="0" w:color="auto"/>
            </w:tcBorders>
            <w:noWrap/>
            <w:vAlign w:val="bottom"/>
          </w:tcPr>
          <w:p w14:paraId="72269BAB"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75FD08E" w14:textId="77777777" w:rsidR="00C57ACA" w:rsidRDefault="00C57ACA" w:rsidP="00C57ACA">
            <w:pPr>
              <w:jc w:val="both"/>
              <w:rPr>
                <w:rFonts w:ascii="Arial" w:hAnsi="Arial" w:cs="Arial"/>
                <w:bCs/>
                <w:sz w:val="20"/>
                <w:szCs w:val="20"/>
              </w:rPr>
            </w:pPr>
            <w:r w:rsidRPr="00880F42">
              <w:rPr>
                <w:rFonts w:ascii="Arial" w:hAnsi="Arial" w:cs="Arial"/>
                <w:bCs/>
                <w:sz w:val="20"/>
                <w:szCs w:val="20"/>
              </w:rPr>
              <w:t xml:space="preserve">Hradená liečba sa môže indikovať v kombinácii s trastuzumabom a docetaxelom pri metastatickom karcinóme prsníka s nadmernou expresiou receptora HER2 stupeň 3+ podľa imunohistochemického vyšetrenia (štandardný Hercept-test) alebo HER2 stupeň 2+ s potvrdením amplifikácie HER2 génu jednou z metód in situ hybridizácie v prvej línii liečby. </w:t>
            </w:r>
          </w:p>
          <w:p w14:paraId="475C0E78" w14:textId="6708CAFA" w:rsidR="00C57ACA" w:rsidRDefault="00C57ACA" w:rsidP="00C57ACA">
            <w:pPr>
              <w:jc w:val="both"/>
              <w:rPr>
                <w:rFonts w:ascii="Arial" w:hAnsi="Arial" w:cs="Arial"/>
                <w:bCs/>
                <w:sz w:val="20"/>
                <w:szCs w:val="20"/>
              </w:rPr>
            </w:pPr>
            <w:r w:rsidRPr="00880F42">
              <w:rPr>
                <w:rFonts w:ascii="Arial" w:hAnsi="Arial" w:cs="Arial"/>
                <w:bCs/>
                <w:sz w:val="20"/>
                <w:szCs w:val="20"/>
              </w:rPr>
              <w:t>Hradená liečba podlieha predchádzajúcemu súhlasu zdravotnej poisťovne.</w:t>
            </w:r>
          </w:p>
          <w:p w14:paraId="4E2EDBD7" w14:textId="6AEDFEFD" w:rsidR="00C57ACA" w:rsidRPr="00880F42" w:rsidRDefault="00C57ACA" w:rsidP="00C57ACA">
            <w:pPr>
              <w:jc w:val="both"/>
              <w:rPr>
                <w:rFonts w:ascii="Arial" w:hAnsi="Arial" w:cs="Arial"/>
                <w:bCs/>
                <w:sz w:val="20"/>
                <w:szCs w:val="20"/>
              </w:rPr>
            </w:pPr>
          </w:p>
        </w:tc>
      </w:tr>
      <w:tr w:rsidR="00C57ACA" w:rsidRPr="0000591E" w14:paraId="719BCA79" w14:textId="77777777" w:rsidTr="003F7925">
        <w:trPr>
          <w:gridAfter w:val="2"/>
          <w:wAfter w:w="154" w:type="dxa"/>
          <w:trHeight w:val="20"/>
        </w:trPr>
        <w:tc>
          <w:tcPr>
            <w:tcW w:w="1256" w:type="dxa"/>
            <w:tcBorders>
              <w:bottom w:val="single" w:sz="4" w:space="0" w:color="auto"/>
            </w:tcBorders>
            <w:noWrap/>
            <w:vAlign w:val="bottom"/>
          </w:tcPr>
          <w:p w14:paraId="267DE0D7" w14:textId="239633FB" w:rsidR="00C57ACA" w:rsidRPr="0060328F" w:rsidRDefault="00C57ACA" w:rsidP="00C57ACA">
            <w:pPr>
              <w:jc w:val="both"/>
              <w:rPr>
                <w:rFonts w:ascii="Arial" w:hAnsi="Arial" w:cs="Arial"/>
                <w:b/>
                <w:bCs/>
                <w:sz w:val="20"/>
                <w:szCs w:val="20"/>
              </w:rPr>
            </w:pPr>
            <w:r w:rsidRPr="000A2D60">
              <w:rPr>
                <w:rFonts w:ascii="Arial" w:hAnsi="Arial" w:cs="Arial"/>
                <w:b/>
                <w:bCs/>
                <w:sz w:val="20"/>
                <w:szCs w:val="20"/>
              </w:rPr>
              <w:t>L01FD03</w:t>
            </w:r>
          </w:p>
        </w:tc>
        <w:tc>
          <w:tcPr>
            <w:tcW w:w="9452" w:type="dxa"/>
            <w:tcBorders>
              <w:bottom w:val="single" w:sz="4" w:space="0" w:color="auto"/>
            </w:tcBorders>
            <w:noWrap/>
            <w:vAlign w:val="bottom"/>
          </w:tcPr>
          <w:p w14:paraId="4FE5F957" w14:textId="77777777" w:rsidR="00C57ACA" w:rsidRPr="000A2D60" w:rsidRDefault="00C57ACA" w:rsidP="00C57ACA">
            <w:pPr>
              <w:jc w:val="both"/>
              <w:rPr>
                <w:rFonts w:ascii="Arial" w:hAnsi="Arial" w:cs="Arial"/>
                <w:b/>
                <w:bCs/>
                <w:sz w:val="20"/>
                <w:szCs w:val="20"/>
              </w:rPr>
            </w:pPr>
            <w:r w:rsidRPr="000A2D60">
              <w:rPr>
                <w:rFonts w:ascii="Arial" w:hAnsi="Arial" w:cs="Arial"/>
                <w:b/>
                <w:bCs/>
                <w:sz w:val="20"/>
                <w:szCs w:val="20"/>
              </w:rPr>
              <w:t>Trastuzumab emtanzín parent. 100 mg</w:t>
            </w:r>
          </w:p>
          <w:p w14:paraId="46276D60" w14:textId="449B5958" w:rsidR="00C57ACA" w:rsidRPr="0060328F" w:rsidRDefault="00C57ACA" w:rsidP="00C57ACA">
            <w:pPr>
              <w:jc w:val="both"/>
              <w:rPr>
                <w:rFonts w:ascii="Arial" w:hAnsi="Arial" w:cs="Arial"/>
                <w:b/>
                <w:bCs/>
                <w:sz w:val="20"/>
                <w:szCs w:val="20"/>
              </w:rPr>
            </w:pPr>
            <w:r w:rsidRPr="000A2D60">
              <w:rPr>
                <w:rFonts w:ascii="Arial" w:hAnsi="Arial" w:cs="Arial"/>
                <w:b/>
                <w:bCs/>
                <w:sz w:val="20"/>
                <w:szCs w:val="20"/>
              </w:rPr>
              <w:t>Trastuzumab emtanzín parent. 160 mg</w:t>
            </w:r>
          </w:p>
        </w:tc>
      </w:tr>
      <w:tr w:rsidR="00C57ACA" w:rsidRPr="0000591E" w14:paraId="0EFC0D92" w14:textId="77777777" w:rsidTr="003F7925">
        <w:trPr>
          <w:gridAfter w:val="2"/>
          <w:wAfter w:w="154" w:type="dxa"/>
          <w:trHeight w:val="20"/>
        </w:trPr>
        <w:tc>
          <w:tcPr>
            <w:tcW w:w="1256" w:type="dxa"/>
            <w:tcBorders>
              <w:top w:val="single" w:sz="4" w:space="0" w:color="auto"/>
            </w:tcBorders>
            <w:noWrap/>
            <w:vAlign w:val="bottom"/>
          </w:tcPr>
          <w:p w14:paraId="7C2DCC1F"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67971D65"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 xml:space="preserve">Hradená liečba sa môže indikovať v monoterapii: </w:t>
            </w:r>
          </w:p>
          <w:p w14:paraId="2B4FA59A"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a) v druhej a vyššej línii pri neresekovateľnom lokálne pokročilom alebo metastatickom karcinóme prsníka s nadmernou expresiou receptora HER2 stupeň 3+ podľa imunohistochemického vyšetrenia (štandardný Hercept-test) alebo HER2 stupeň 2+ s potvrdením amplifikácie HER2 génu jednou z metód in situ hybridizácie u pacientov, ktorí boli predtým liečení trastuzumabom a taxánom, samostatne alebo v kombinácii,</w:t>
            </w:r>
          </w:p>
          <w:p w14:paraId="2990CCBA"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 xml:space="preserve">b) pri recidíve ochorenia počas adjuvantnej liečby alebo v priebehu šiestich mesiacov po ukončení adjuvantnej liečby u pacientov s nadmernou expresiou receptora HER2 stupeň 3+ podľa imunohistochemického vyšetrenia (štandardný Hercept-test) alebo HER2 stupeň 2+ s potvrdením amplifikácie HER2 génu jednou z metód in situ hybridizácie </w:t>
            </w:r>
          </w:p>
          <w:p w14:paraId="330AD5DC"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 xml:space="preserve">c) na adjuvantnú liečbu dospelých pacientov s HER2 pozitívnym včasným karcinómom prsníka (early breast cancer, EBC), ktorí majú reziduálne invazívne ochorenie v prsníku a/alebo v lymfatických uzlinách po neoadjuvantnej liečbe na báze taxánu a HER2 cielenej liečbe. </w:t>
            </w:r>
          </w:p>
          <w:p w14:paraId="41BB2E0A" w14:textId="77777777" w:rsidR="00C57ACA" w:rsidRPr="000A2D60" w:rsidRDefault="00C57ACA" w:rsidP="00C57ACA">
            <w:pPr>
              <w:jc w:val="both"/>
              <w:rPr>
                <w:rFonts w:ascii="Arial" w:hAnsi="Arial" w:cs="Arial"/>
                <w:bCs/>
                <w:sz w:val="20"/>
                <w:szCs w:val="20"/>
              </w:rPr>
            </w:pPr>
          </w:p>
          <w:p w14:paraId="44E21CA9"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Hradená liečba podlieha predchádzajúcemu súhlasu zdravotnej poisťovne.</w:t>
            </w:r>
          </w:p>
          <w:p w14:paraId="03FCA96B" w14:textId="00B439BD" w:rsidR="00C57ACA" w:rsidRPr="000A2D60" w:rsidRDefault="00C57ACA" w:rsidP="00C57ACA">
            <w:pPr>
              <w:jc w:val="both"/>
              <w:rPr>
                <w:rFonts w:ascii="Arial" w:hAnsi="Arial" w:cs="Arial"/>
                <w:bCs/>
                <w:sz w:val="20"/>
                <w:szCs w:val="20"/>
              </w:rPr>
            </w:pPr>
          </w:p>
        </w:tc>
      </w:tr>
      <w:tr w:rsidR="00C57ACA" w:rsidRPr="0000591E" w14:paraId="7ADC3186" w14:textId="77777777" w:rsidTr="003F7925">
        <w:trPr>
          <w:gridAfter w:val="2"/>
          <w:wAfter w:w="154" w:type="dxa"/>
          <w:trHeight w:val="20"/>
        </w:trPr>
        <w:tc>
          <w:tcPr>
            <w:tcW w:w="1256" w:type="dxa"/>
            <w:tcBorders>
              <w:bottom w:val="single" w:sz="4" w:space="0" w:color="auto"/>
            </w:tcBorders>
            <w:noWrap/>
            <w:vAlign w:val="bottom"/>
          </w:tcPr>
          <w:p w14:paraId="2378E083" w14:textId="67457FB6" w:rsidR="00C57ACA" w:rsidRPr="0060328F" w:rsidRDefault="00C57ACA" w:rsidP="00C57ACA">
            <w:pPr>
              <w:jc w:val="both"/>
              <w:rPr>
                <w:rFonts w:ascii="Arial" w:hAnsi="Arial" w:cs="Arial"/>
                <w:b/>
                <w:bCs/>
                <w:sz w:val="20"/>
                <w:szCs w:val="20"/>
              </w:rPr>
            </w:pPr>
            <w:r w:rsidRPr="00494755">
              <w:rPr>
                <w:rFonts w:ascii="Arial" w:hAnsi="Arial" w:cs="Arial"/>
                <w:b/>
                <w:bCs/>
                <w:sz w:val="20"/>
                <w:szCs w:val="20"/>
              </w:rPr>
              <w:t>L01FD04</w:t>
            </w:r>
          </w:p>
        </w:tc>
        <w:tc>
          <w:tcPr>
            <w:tcW w:w="9452" w:type="dxa"/>
            <w:tcBorders>
              <w:bottom w:val="single" w:sz="4" w:space="0" w:color="auto"/>
            </w:tcBorders>
            <w:noWrap/>
            <w:vAlign w:val="bottom"/>
          </w:tcPr>
          <w:p w14:paraId="6F49BCC8" w14:textId="1D07E786" w:rsidR="00C57ACA" w:rsidRPr="0060328F" w:rsidRDefault="00C57ACA" w:rsidP="00C57ACA">
            <w:pPr>
              <w:jc w:val="both"/>
              <w:rPr>
                <w:rFonts w:ascii="Arial" w:hAnsi="Arial" w:cs="Arial"/>
                <w:b/>
                <w:bCs/>
                <w:sz w:val="20"/>
                <w:szCs w:val="20"/>
              </w:rPr>
            </w:pPr>
            <w:r w:rsidRPr="00494755">
              <w:rPr>
                <w:rFonts w:ascii="Arial" w:hAnsi="Arial" w:cs="Arial"/>
                <w:b/>
                <w:bCs/>
                <w:sz w:val="20"/>
                <w:szCs w:val="20"/>
              </w:rPr>
              <w:t>Trastuzumab-deruxtekan parent. 100 mg</w:t>
            </w:r>
          </w:p>
        </w:tc>
      </w:tr>
      <w:tr w:rsidR="00C57ACA" w:rsidRPr="0000591E" w14:paraId="42B1C957" w14:textId="77777777" w:rsidTr="003F7925">
        <w:trPr>
          <w:gridAfter w:val="2"/>
          <w:wAfter w:w="154" w:type="dxa"/>
          <w:trHeight w:val="20"/>
        </w:trPr>
        <w:tc>
          <w:tcPr>
            <w:tcW w:w="1256" w:type="dxa"/>
            <w:tcBorders>
              <w:top w:val="single" w:sz="4" w:space="0" w:color="auto"/>
            </w:tcBorders>
            <w:noWrap/>
            <w:vAlign w:val="bottom"/>
          </w:tcPr>
          <w:p w14:paraId="72C8A47C"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D577007" w14:textId="77777777" w:rsidR="00C57ACA" w:rsidRPr="00494755" w:rsidRDefault="00C57ACA" w:rsidP="00C57ACA">
            <w:pPr>
              <w:jc w:val="both"/>
              <w:rPr>
                <w:rFonts w:ascii="Arial" w:hAnsi="Arial" w:cs="Arial"/>
                <w:bCs/>
                <w:sz w:val="20"/>
                <w:szCs w:val="20"/>
              </w:rPr>
            </w:pPr>
            <w:r w:rsidRPr="00494755">
              <w:rPr>
                <w:rFonts w:ascii="Arial" w:hAnsi="Arial" w:cs="Arial"/>
                <w:bCs/>
                <w:sz w:val="20"/>
                <w:szCs w:val="20"/>
              </w:rPr>
              <w:t>Liečba liekom Enhertu v monoterapii je hradená dospelým pacientom s neresekovateľným alebo metastatickým HER2-pozitívnym karcinómom prsníka, ktorí už podstúpili jeden alebo viac liečebných režimov proti HER2.</w:t>
            </w:r>
          </w:p>
          <w:p w14:paraId="68356D2A" w14:textId="77777777" w:rsidR="00C57ACA" w:rsidRPr="00494755" w:rsidRDefault="00C57ACA" w:rsidP="00C57ACA">
            <w:pPr>
              <w:jc w:val="both"/>
              <w:rPr>
                <w:rFonts w:ascii="Arial" w:hAnsi="Arial" w:cs="Arial"/>
                <w:bCs/>
                <w:sz w:val="20"/>
                <w:szCs w:val="20"/>
              </w:rPr>
            </w:pPr>
            <w:r w:rsidRPr="00494755">
              <w:rPr>
                <w:rFonts w:ascii="Arial" w:hAnsi="Arial" w:cs="Arial"/>
                <w:bCs/>
                <w:sz w:val="20"/>
                <w:szCs w:val="20"/>
              </w:rPr>
              <w:t>Liečba je hradená do progresie alebo neprijateľnej toxicity, podľa toho čo nastane skôr.</w:t>
            </w:r>
          </w:p>
          <w:p w14:paraId="64A9E2A9" w14:textId="77777777" w:rsidR="00C57ACA" w:rsidRPr="00494755" w:rsidRDefault="00C57ACA" w:rsidP="00C57ACA">
            <w:pPr>
              <w:jc w:val="both"/>
              <w:rPr>
                <w:rFonts w:ascii="Arial" w:hAnsi="Arial" w:cs="Arial"/>
                <w:bCs/>
                <w:sz w:val="20"/>
                <w:szCs w:val="20"/>
              </w:rPr>
            </w:pPr>
          </w:p>
          <w:p w14:paraId="10A39495" w14:textId="77777777" w:rsidR="00C57ACA" w:rsidRDefault="00C57ACA" w:rsidP="00C57ACA">
            <w:pPr>
              <w:jc w:val="both"/>
              <w:rPr>
                <w:rFonts w:ascii="Arial" w:hAnsi="Arial" w:cs="Arial"/>
                <w:bCs/>
                <w:sz w:val="20"/>
                <w:szCs w:val="20"/>
              </w:rPr>
            </w:pPr>
            <w:r w:rsidRPr="00494755">
              <w:rPr>
                <w:rFonts w:ascii="Arial" w:hAnsi="Arial" w:cs="Arial"/>
                <w:bCs/>
                <w:sz w:val="20"/>
                <w:szCs w:val="20"/>
              </w:rPr>
              <w:t>Hradená liečba je podmienená predchádzajúcim súhlasom zdravotnej poisťovne.</w:t>
            </w:r>
          </w:p>
          <w:p w14:paraId="165B2BF3" w14:textId="38402A4D" w:rsidR="00C57ACA" w:rsidRPr="00494755" w:rsidRDefault="00C57ACA" w:rsidP="00C57ACA">
            <w:pPr>
              <w:jc w:val="both"/>
              <w:rPr>
                <w:rFonts w:ascii="Arial" w:hAnsi="Arial" w:cs="Arial"/>
                <w:bCs/>
                <w:sz w:val="20"/>
                <w:szCs w:val="20"/>
              </w:rPr>
            </w:pPr>
          </w:p>
        </w:tc>
      </w:tr>
      <w:tr w:rsidR="00C57ACA" w:rsidRPr="0000591E" w14:paraId="12AF9CE2" w14:textId="77777777" w:rsidTr="003F7925">
        <w:trPr>
          <w:gridAfter w:val="2"/>
          <w:wAfter w:w="154" w:type="dxa"/>
          <w:trHeight w:val="20"/>
        </w:trPr>
        <w:tc>
          <w:tcPr>
            <w:tcW w:w="1256" w:type="dxa"/>
            <w:tcBorders>
              <w:bottom w:val="single" w:sz="4" w:space="0" w:color="auto"/>
            </w:tcBorders>
            <w:noWrap/>
            <w:vAlign w:val="bottom"/>
          </w:tcPr>
          <w:p w14:paraId="149D1913" w14:textId="49593424" w:rsidR="00C57ACA" w:rsidRPr="0060328F" w:rsidRDefault="00C57ACA" w:rsidP="00C57ACA">
            <w:pPr>
              <w:jc w:val="both"/>
              <w:rPr>
                <w:rFonts w:ascii="Arial" w:hAnsi="Arial" w:cs="Arial"/>
                <w:b/>
                <w:bCs/>
                <w:sz w:val="20"/>
                <w:szCs w:val="20"/>
              </w:rPr>
            </w:pPr>
            <w:r w:rsidRPr="0042003B">
              <w:rPr>
                <w:rFonts w:ascii="Arial" w:hAnsi="Arial" w:cs="Arial"/>
                <w:b/>
                <w:bCs/>
                <w:sz w:val="20"/>
                <w:szCs w:val="20"/>
              </w:rPr>
              <w:t>L01FE01</w:t>
            </w:r>
          </w:p>
        </w:tc>
        <w:tc>
          <w:tcPr>
            <w:tcW w:w="9452" w:type="dxa"/>
            <w:tcBorders>
              <w:bottom w:val="single" w:sz="4" w:space="0" w:color="auto"/>
            </w:tcBorders>
            <w:noWrap/>
            <w:vAlign w:val="bottom"/>
          </w:tcPr>
          <w:p w14:paraId="69D7B109" w14:textId="63CF2249" w:rsidR="00C57ACA" w:rsidRPr="0042003B" w:rsidRDefault="00C57ACA" w:rsidP="00C57ACA">
            <w:pPr>
              <w:jc w:val="both"/>
              <w:rPr>
                <w:rFonts w:ascii="Arial" w:hAnsi="Arial" w:cs="Arial"/>
                <w:b/>
                <w:bCs/>
                <w:sz w:val="20"/>
                <w:szCs w:val="20"/>
              </w:rPr>
            </w:pPr>
            <w:r w:rsidRPr="0042003B">
              <w:rPr>
                <w:rFonts w:ascii="Arial" w:hAnsi="Arial" w:cs="Arial"/>
                <w:b/>
                <w:bCs/>
                <w:sz w:val="20"/>
                <w:szCs w:val="20"/>
              </w:rPr>
              <w:t>Cetuximab parent. 100 mg</w:t>
            </w:r>
          </w:p>
        </w:tc>
      </w:tr>
      <w:tr w:rsidR="00C57ACA" w:rsidRPr="0000591E" w14:paraId="228F31CC" w14:textId="77777777" w:rsidTr="003F7925">
        <w:trPr>
          <w:gridAfter w:val="2"/>
          <w:wAfter w:w="154" w:type="dxa"/>
          <w:trHeight w:val="20"/>
        </w:trPr>
        <w:tc>
          <w:tcPr>
            <w:tcW w:w="1256" w:type="dxa"/>
            <w:tcBorders>
              <w:top w:val="single" w:sz="4" w:space="0" w:color="auto"/>
            </w:tcBorders>
            <w:noWrap/>
            <w:vAlign w:val="bottom"/>
          </w:tcPr>
          <w:p w14:paraId="4E654B59"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814D224" w14:textId="77777777" w:rsidR="00C57ACA" w:rsidRPr="0042003B" w:rsidRDefault="00C57ACA" w:rsidP="00C57ACA">
            <w:pPr>
              <w:jc w:val="both"/>
              <w:rPr>
                <w:rFonts w:ascii="Arial" w:hAnsi="Arial" w:cs="Arial"/>
                <w:bCs/>
                <w:sz w:val="20"/>
                <w:szCs w:val="20"/>
              </w:rPr>
            </w:pPr>
            <w:r w:rsidRPr="0042003B">
              <w:rPr>
                <w:rFonts w:ascii="Arial" w:hAnsi="Arial" w:cs="Arial"/>
                <w:bCs/>
                <w:sz w:val="20"/>
                <w:szCs w:val="20"/>
              </w:rPr>
              <w:t>Hradená liečba sa môže indikovať u pacientov s</w:t>
            </w:r>
          </w:p>
          <w:p w14:paraId="34489598" w14:textId="77777777" w:rsidR="00C57ACA" w:rsidRDefault="00C57ACA" w:rsidP="00C57ACA">
            <w:pPr>
              <w:jc w:val="both"/>
              <w:rPr>
                <w:rFonts w:ascii="Arial" w:hAnsi="Arial" w:cs="Arial"/>
                <w:bCs/>
                <w:sz w:val="20"/>
                <w:szCs w:val="20"/>
              </w:rPr>
            </w:pPr>
          </w:p>
          <w:p w14:paraId="41CE7BBB" w14:textId="39D17A2B" w:rsidR="00C57ACA" w:rsidRPr="0042003B" w:rsidRDefault="00C57ACA" w:rsidP="00C57ACA">
            <w:pPr>
              <w:jc w:val="both"/>
              <w:rPr>
                <w:rFonts w:ascii="Arial" w:hAnsi="Arial" w:cs="Arial"/>
                <w:bCs/>
                <w:sz w:val="20"/>
                <w:szCs w:val="20"/>
              </w:rPr>
            </w:pPr>
            <w:r w:rsidRPr="0042003B">
              <w:rPr>
                <w:rFonts w:ascii="Arial" w:hAnsi="Arial" w:cs="Arial"/>
                <w:bCs/>
                <w:sz w:val="20"/>
                <w:szCs w:val="20"/>
              </w:rPr>
              <w:t>a)</w:t>
            </w:r>
            <w:r>
              <w:rPr>
                <w:rFonts w:ascii="Arial" w:hAnsi="Arial" w:cs="Arial"/>
                <w:bCs/>
                <w:sz w:val="20"/>
                <w:szCs w:val="20"/>
              </w:rPr>
              <w:t xml:space="preserve"> </w:t>
            </w:r>
            <w:r w:rsidRPr="0042003B">
              <w:rPr>
                <w:rFonts w:ascii="Arial" w:hAnsi="Arial" w:cs="Arial"/>
                <w:bCs/>
                <w:sz w:val="20"/>
                <w:szCs w:val="20"/>
              </w:rPr>
              <w:t>lokálne pokročilým skvamocelulárnym karcinómom hlavy a krku v kombinácii s rádioterapiou a/alebo v kombinácii s chemoterapiou na báze platiny pri opakovanom a/alebo metastatickom ochorení,</w:t>
            </w:r>
          </w:p>
          <w:p w14:paraId="11944CF4" w14:textId="77777777" w:rsidR="00C57ACA" w:rsidRDefault="00C57ACA" w:rsidP="00C57ACA">
            <w:pPr>
              <w:jc w:val="both"/>
              <w:rPr>
                <w:rFonts w:ascii="Arial" w:hAnsi="Arial" w:cs="Arial"/>
                <w:bCs/>
                <w:sz w:val="20"/>
                <w:szCs w:val="20"/>
              </w:rPr>
            </w:pPr>
          </w:p>
          <w:p w14:paraId="296D87CE" w14:textId="3DF8EC76" w:rsidR="00C57ACA" w:rsidRPr="0042003B" w:rsidRDefault="00C57ACA" w:rsidP="00C57ACA">
            <w:pPr>
              <w:jc w:val="both"/>
              <w:rPr>
                <w:rFonts w:ascii="Arial" w:hAnsi="Arial" w:cs="Arial"/>
                <w:bCs/>
                <w:sz w:val="20"/>
                <w:szCs w:val="20"/>
              </w:rPr>
            </w:pPr>
            <w:r w:rsidRPr="0042003B">
              <w:rPr>
                <w:rFonts w:ascii="Arial" w:hAnsi="Arial" w:cs="Arial"/>
                <w:bCs/>
                <w:sz w:val="20"/>
                <w:szCs w:val="20"/>
              </w:rPr>
              <w:t>b)</w:t>
            </w:r>
            <w:r>
              <w:rPr>
                <w:rFonts w:ascii="Arial" w:hAnsi="Arial" w:cs="Arial"/>
                <w:bCs/>
                <w:sz w:val="20"/>
                <w:szCs w:val="20"/>
              </w:rPr>
              <w:t xml:space="preserve"> </w:t>
            </w:r>
            <w:r w:rsidRPr="0042003B">
              <w:rPr>
                <w:rFonts w:ascii="Arial" w:hAnsi="Arial" w:cs="Arial"/>
                <w:bCs/>
                <w:sz w:val="20"/>
                <w:szCs w:val="20"/>
              </w:rPr>
              <w:t>metastatickým kolorektálnym karcinómom s divokým (nezmutovaným) typom génu RAS (exóny 2, 3 a 4 génov KRAS a NRAS) s expresiou epidermálneho receptora rastového faktoru (EGFR)</w:t>
            </w:r>
          </w:p>
          <w:p w14:paraId="69FFBFA0" w14:textId="4D3D8480" w:rsidR="00C57ACA" w:rsidRPr="0042003B" w:rsidRDefault="00C57ACA" w:rsidP="00C57ACA">
            <w:pPr>
              <w:jc w:val="both"/>
              <w:rPr>
                <w:rFonts w:ascii="Arial" w:hAnsi="Arial" w:cs="Arial"/>
                <w:bCs/>
                <w:sz w:val="20"/>
                <w:szCs w:val="20"/>
              </w:rPr>
            </w:pPr>
            <w:r>
              <w:rPr>
                <w:rFonts w:ascii="Arial" w:hAnsi="Arial" w:cs="Arial"/>
                <w:bCs/>
                <w:sz w:val="20"/>
                <w:szCs w:val="20"/>
              </w:rPr>
              <w:tab/>
            </w:r>
            <w:r w:rsidRPr="0042003B">
              <w:rPr>
                <w:rFonts w:ascii="Arial" w:hAnsi="Arial" w:cs="Arial"/>
                <w:bCs/>
                <w:sz w:val="20"/>
                <w:szCs w:val="20"/>
              </w:rPr>
              <w:t>1.</w:t>
            </w:r>
            <w:r>
              <w:rPr>
                <w:rFonts w:ascii="Arial" w:hAnsi="Arial" w:cs="Arial"/>
                <w:bCs/>
                <w:sz w:val="20"/>
                <w:szCs w:val="20"/>
              </w:rPr>
              <w:t xml:space="preserve"> </w:t>
            </w:r>
            <w:r w:rsidRPr="0042003B">
              <w:rPr>
                <w:rFonts w:ascii="Arial" w:hAnsi="Arial" w:cs="Arial"/>
                <w:bCs/>
                <w:sz w:val="20"/>
                <w:szCs w:val="20"/>
              </w:rPr>
              <w:t>v kombinácii s chemoterapiou na báze irinotekanu</w:t>
            </w:r>
          </w:p>
          <w:p w14:paraId="13675C82" w14:textId="04DAA548" w:rsidR="00C57ACA" w:rsidRPr="0042003B" w:rsidRDefault="00C57ACA" w:rsidP="00C57ACA">
            <w:pPr>
              <w:jc w:val="both"/>
              <w:rPr>
                <w:rFonts w:ascii="Arial" w:hAnsi="Arial" w:cs="Arial"/>
                <w:bCs/>
                <w:sz w:val="20"/>
                <w:szCs w:val="20"/>
              </w:rPr>
            </w:pPr>
            <w:r>
              <w:rPr>
                <w:rFonts w:ascii="Arial" w:hAnsi="Arial" w:cs="Arial"/>
                <w:bCs/>
                <w:sz w:val="20"/>
                <w:szCs w:val="20"/>
              </w:rPr>
              <w:tab/>
            </w:r>
            <w:r w:rsidRPr="0042003B">
              <w:rPr>
                <w:rFonts w:ascii="Arial" w:hAnsi="Arial" w:cs="Arial"/>
                <w:bCs/>
                <w:sz w:val="20"/>
                <w:szCs w:val="20"/>
              </w:rPr>
              <w:t>2.</w:t>
            </w:r>
            <w:r>
              <w:rPr>
                <w:rFonts w:ascii="Arial" w:hAnsi="Arial" w:cs="Arial"/>
                <w:bCs/>
                <w:sz w:val="20"/>
                <w:szCs w:val="20"/>
              </w:rPr>
              <w:t xml:space="preserve"> </w:t>
            </w:r>
            <w:r w:rsidRPr="0042003B">
              <w:rPr>
                <w:rFonts w:ascii="Arial" w:hAnsi="Arial" w:cs="Arial"/>
                <w:bCs/>
                <w:sz w:val="20"/>
                <w:szCs w:val="20"/>
              </w:rPr>
              <w:t>pri prvolíniovej liečbe v kombinácii s FOLFOX</w:t>
            </w:r>
          </w:p>
          <w:p w14:paraId="7F54929B" w14:textId="45E5DBB7" w:rsidR="00C57ACA" w:rsidRPr="0042003B" w:rsidRDefault="00C57ACA" w:rsidP="00C57ACA">
            <w:pPr>
              <w:jc w:val="both"/>
              <w:rPr>
                <w:rFonts w:ascii="Arial" w:hAnsi="Arial" w:cs="Arial"/>
                <w:bCs/>
                <w:sz w:val="20"/>
                <w:szCs w:val="20"/>
              </w:rPr>
            </w:pPr>
            <w:r>
              <w:rPr>
                <w:rFonts w:ascii="Arial" w:hAnsi="Arial" w:cs="Arial"/>
                <w:bCs/>
                <w:sz w:val="20"/>
                <w:szCs w:val="20"/>
              </w:rPr>
              <w:tab/>
            </w:r>
            <w:r w:rsidRPr="0042003B">
              <w:rPr>
                <w:rFonts w:ascii="Arial" w:hAnsi="Arial" w:cs="Arial"/>
                <w:bCs/>
                <w:sz w:val="20"/>
                <w:szCs w:val="20"/>
              </w:rPr>
              <w:t>3.</w:t>
            </w:r>
            <w:r>
              <w:rPr>
                <w:rFonts w:ascii="Arial" w:hAnsi="Arial" w:cs="Arial"/>
                <w:bCs/>
                <w:sz w:val="20"/>
                <w:szCs w:val="20"/>
              </w:rPr>
              <w:t xml:space="preserve"> </w:t>
            </w:r>
            <w:r w:rsidRPr="0042003B">
              <w:rPr>
                <w:rFonts w:ascii="Arial" w:hAnsi="Arial" w:cs="Arial"/>
                <w:bCs/>
                <w:sz w:val="20"/>
                <w:szCs w:val="20"/>
              </w:rPr>
              <w:t>ako samostatne podávaný liek u pacientov, u ktorých zlyhala liečba na základe oxaliplatiny                 a irinotekanu a ktorí trpia neznášanlivosťou na irinotekan</w:t>
            </w:r>
          </w:p>
          <w:p w14:paraId="6A894B07" w14:textId="77777777" w:rsidR="00C57ACA" w:rsidRPr="0042003B" w:rsidRDefault="00C57ACA" w:rsidP="00C57ACA">
            <w:pPr>
              <w:jc w:val="both"/>
              <w:rPr>
                <w:rFonts w:ascii="Arial" w:hAnsi="Arial" w:cs="Arial"/>
                <w:bCs/>
                <w:sz w:val="20"/>
                <w:szCs w:val="20"/>
              </w:rPr>
            </w:pPr>
          </w:p>
          <w:p w14:paraId="30103C29" w14:textId="77777777" w:rsidR="00C57ACA" w:rsidRDefault="00C57ACA" w:rsidP="00C57ACA">
            <w:pPr>
              <w:jc w:val="both"/>
              <w:rPr>
                <w:rFonts w:ascii="Arial" w:hAnsi="Arial" w:cs="Arial"/>
                <w:bCs/>
                <w:sz w:val="20"/>
                <w:szCs w:val="20"/>
              </w:rPr>
            </w:pPr>
            <w:r w:rsidRPr="0042003B">
              <w:rPr>
                <w:rFonts w:ascii="Arial" w:hAnsi="Arial" w:cs="Arial"/>
                <w:bCs/>
                <w:sz w:val="20"/>
                <w:szCs w:val="20"/>
              </w:rPr>
              <w:t xml:space="preserve">Hradená liečba podlieha predchádzajúcemu súhlasu zdravotnej poisťovne. </w:t>
            </w:r>
          </w:p>
          <w:p w14:paraId="17EF6D9C" w14:textId="77777777" w:rsidR="00ED57A6" w:rsidRDefault="00ED57A6" w:rsidP="00C57ACA">
            <w:pPr>
              <w:jc w:val="both"/>
              <w:rPr>
                <w:rFonts w:ascii="Arial" w:hAnsi="Arial" w:cs="Arial"/>
                <w:bCs/>
                <w:sz w:val="20"/>
                <w:szCs w:val="20"/>
              </w:rPr>
            </w:pPr>
          </w:p>
          <w:p w14:paraId="33DA99A2" w14:textId="77777777" w:rsidR="00ED57A6" w:rsidRPr="0042003B" w:rsidRDefault="00ED57A6" w:rsidP="00C57ACA">
            <w:pPr>
              <w:jc w:val="both"/>
              <w:rPr>
                <w:rFonts w:ascii="Arial" w:hAnsi="Arial" w:cs="Arial"/>
                <w:bCs/>
                <w:sz w:val="20"/>
                <w:szCs w:val="20"/>
              </w:rPr>
            </w:pPr>
          </w:p>
          <w:p w14:paraId="1F087578" w14:textId="6B46BE86" w:rsidR="00C57ACA" w:rsidRPr="0042003B" w:rsidRDefault="00C57ACA" w:rsidP="00C57ACA">
            <w:pPr>
              <w:jc w:val="both"/>
              <w:rPr>
                <w:rFonts w:ascii="Arial" w:hAnsi="Arial" w:cs="Arial"/>
                <w:bCs/>
                <w:sz w:val="20"/>
                <w:szCs w:val="20"/>
              </w:rPr>
            </w:pPr>
          </w:p>
        </w:tc>
      </w:tr>
      <w:tr w:rsidR="00C57ACA" w:rsidRPr="0000591E" w14:paraId="30790070" w14:textId="77777777" w:rsidTr="003F7925">
        <w:trPr>
          <w:gridAfter w:val="2"/>
          <w:wAfter w:w="154" w:type="dxa"/>
          <w:trHeight w:val="20"/>
        </w:trPr>
        <w:tc>
          <w:tcPr>
            <w:tcW w:w="1256" w:type="dxa"/>
            <w:tcBorders>
              <w:bottom w:val="single" w:sz="4" w:space="0" w:color="auto"/>
            </w:tcBorders>
            <w:noWrap/>
            <w:vAlign w:val="bottom"/>
          </w:tcPr>
          <w:p w14:paraId="711DA55A" w14:textId="19951511" w:rsidR="00C57ACA" w:rsidRPr="0060328F" w:rsidRDefault="00C57ACA" w:rsidP="00C57ACA">
            <w:pPr>
              <w:jc w:val="both"/>
              <w:rPr>
                <w:rFonts w:ascii="Arial" w:hAnsi="Arial" w:cs="Arial"/>
                <w:b/>
                <w:bCs/>
                <w:sz w:val="20"/>
                <w:szCs w:val="20"/>
              </w:rPr>
            </w:pPr>
            <w:r w:rsidRPr="00FD2BC6">
              <w:rPr>
                <w:rFonts w:ascii="Arial" w:hAnsi="Arial" w:cs="Arial"/>
                <w:b/>
                <w:bCs/>
                <w:sz w:val="20"/>
                <w:szCs w:val="20"/>
              </w:rPr>
              <w:t>L01FE02</w:t>
            </w:r>
          </w:p>
        </w:tc>
        <w:tc>
          <w:tcPr>
            <w:tcW w:w="9452" w:type="dxa"/>
            <w:tcBorders>
              <w:bottom w:val="single" w:sz="4" w:space="0" w:color="auto"/>
            </w:tcBorders>
            <w:noWrap/>
            <w:vAlign w:val="bottom"/>
          </w:tcPr>
          <w:p w14:paraId="372AF5EC" w14:textId="77777777" w:rsidR="00C57ACA" w:rsidRPr="00FD2BC6" w:rsidRDefault="00C57ACA" w:rsidP="00C57ACA">
            <w:pPr>
              <w:jc w:val="both"/>
              <w:rPr>
                <w:rFonts w:ascii="Arial" w:hAnsi="Arial" w:cs="Arial"/>
                <w:b/>
                <w:bCs/>
                <w:sz w:val="20"/>
                <w:szCs w:val="20"/>
              </w:rPr>
            </w:pPr>
            <w:r w:rsidRPr="00FD2BC6">
              <w:rPr>
                <w:rFonts w:ascii="Arial" w:hAnsi="Arial" w:cs="Arial"/>
                <w:b/>
                <w:bCs/>
                <w:sz w:val="20"/>
                <w:szCs w:val="20"/>
              </w:rPr>
              <w:t>Panitumumab parent. 100 mg</w:t>
            </w:r>
          </w:p>
          <w:p w14:paraId="195D6F06" w14:textId="06292D86" w:rsidR="00C57ACA" w:rsidRPr="0060328F" w:rsidRDefault="00C57ACA" w:rsidP="00C57ACA">
            <w:pPr>
              <w:jc w:val="both"/>
              <w:rPr>
                <w:rFonts w:ascii="Arial" w:hAnsi="Arial" w:cs="Arial"/>
                <w:b/>
                <w:bCs/>
                <w:sz w:val="20"/>
                <w:szCs w:val="20"/>
              </w:rPr>
            </w:pPr>
            <w:r w:rsidRPr="00FD2BC6">
              <w:rPr>
                <w:rFonts w:ascii="Arial" w:hAnsi="Arial" w:cs="Arial"/>
                <w:b/>
                <w:bCs/>
                <w:sz w:val="20"/>
                <w:szCs w:val="20"/>
              </w:rPr>
              <w:t>Panitumumab parent. 400 mg</w:t>
            </w:r>
          </w:p>
        </w:tc>
      </w:tr>
      <w:tr w:rsidR="00C57ACA" w:rsidRPr="0000591E" w14:paraId="037D259F" w14:textId="77777777" w:rsidTr="003F7925">
        <w:trPr>
          <w:gridAfter w:val="2"/>
          <w:wAfter w:w="154" w:type="dxa"/>
          <w:trHeight w:val="20"/>
        </w:trPr>
        <w:tc>
          <w:tcPr>
            <w:tcW w:w="1256" w:type="dxa"/>
            <w:tcBorders>
              <w:top w:val="single" w:sz="4" w:space="0" w:color="auto"/>
            </w:tcBorders>
            <w:noWrap/>
            <w:vAlign w:val="bottom"/>
          </w:tcPr>
          <w:p w14:paraId="71A07283"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EE77A25"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Hradená liečba sa môže indikovať na liečbu pacientov s metastatickým kolorektálnym karcinómom (mCRC) s génom RAS (exóny 2, 3 a 4 génov KRAS a NRAS) divokéko typu:</w:t>
            </w:r>
          </w:p>
          <w:p w14:paraId="7145BC39"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1.</w:t>
            </w:r>
            <w:r w:rsidRPr="00FD2BC6">
              <w:rPr>
                <w:rFonts w:ascii="Arial" w:hAnsi="Arial" w:cs="Arial"/>
                <w:bCs/>
                <w:sz w:val="20"/>
                <w:szCs w:val="20"/>
              </w:rPr>
              <w:tab/>
              <w:t>v prvej línii v kombinácii s FOLFOX alebo FOLFIRI;</w:t>
            </w:r>
          </w:p>
          <w:p w14:paraId="1B52CE4C"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2.</w:t>
            </w:r>
            <w:r w:rsidRPr="00FD2BC6">
              <w:rPr>
                <w:rFonts w:ascii="Arial" w:hAnsi="Arial" w:cs="Arial"/>
                <w:bCs/>
                <w:sz w:val="20"/>
                <w:szCs w:val="20"/>
              </w:rPr>
              <w:tab/>
              <w:t>v druhej línii v kombinácii s FOLFIRI alebo FOLFOX podľa toho, akú liečbu dostali v prvej línii;</w:t>
            </w:r>
          </w:p>
          <w:p w14:paraId="52C0E930"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3.</w:t>
            </w:r>
            <w:r w:rsidRPr="00FD2BC6">
              <w:rPr>
                <w:rFonts w:ascii="Arial" w:hAnsi="Arial" w:cs="Arial"/>
                <w:bCs/>
                <w:sz w:val="20"/>
                <w:szCs w:val="20"/>
              </w:rPr>
              <w:tab/>
              <w:t xml:space="preserve">ako monoterapia po zlyhaní chemoterapie obsahujúcej fluoropyrimidín, oxaliplatinu a irinotekan. </w:t>
            </w:r>
          </w:p>
          <w:p w14:paraId="4DBEBD63" w14:textId="77777777" w:rsidR="00C57ACA" w:rsidRPr="00FD2BC6" w:rsidRDefault="00C57ACA" w:rsidP="00C57ACA">
            <w:pPr>
              <w:jc w:val="both"/>
              <w:rPr>
                <w:rFonts w:ascii="Arial" w:hAnsi="Arial" w:cs="Arial"/>
                <w:bCs/>
                <w:sz w:val="20"/>
                <w:szCs w:val="20"/>
              </w:rPr>
            </w:pPr>
          </w:p>
          <w:p w14:paraId="071A8C1B" w14:textId="77777777" w:rsidR="00C57ACA" w:rsidRDefault="00C57ACA" w:rsidP="00C57ACA">
            <w:pPr>
              <w:jc w:val="both"/>
              <w:rPr>
                <w:rFonts w:ascii="Arial" w:hAnsi="Arial" w:cs="Arial"/>
                <w:bCs/>
                <w:sz w:val="20"/>
                <w:szCs w:val="20"/>
              </w:rPr>
            </w:pPr>
            <w:r w:rsidRPr="00FD2BC6">
              <w:rPr>
                <w:rFonts w:ascii="Arial" w:hAnsi="Arial" w:cs="Arial"/>
                <w:bCs/>
                <w:sz w:val="20"/>
                <w:szCs w:val="20"/>
              </w:rPr>
              <w:t>Hradená liečba podlieha predchádzajúcemu súhlasu zdravotnej poisťovne.</w:t>
            </w:r>
          </w:p>
          <w:p w14:paraId="3355F3F7" w14:textId="5E448E78" w:rsidR="00C57ACA" w:rsidRPr="00FD2BC6" w:rsidRDefault="00C57ACA" w:rsidP="00C57ACA">
            <w:pPr>
              <w:jc w:val="both"/>
              <w:rPr>
                <w:rFonts w:ascii="Arial" w:hAnsi="Arial" w:cs="Arial"/>
                <w:bCs/>
                <w:sz w:val="20"/>
                <w:szCs w:val="20"/>
              </w:rPr>
            </w:pPr>
          </w:p>
        </w:tc>
      </w:tr>
      <w:tr w:rsidR="00C57ACA" w:rsidRPr="0000591E" w14:paraId="20196EEF" w14:textId="77777777" w:rsidTr="003F7925">
        <w:trPr>
          <w:gridAfter w:val="2"/>
          <w:wAfter w:w="154" w:type="dxa"/>
          <w:trHeight w:val="20"/>
        </w:trPr>
        <w:tc>
          <w:tcPr>
            <w:tcW w:w="1256" w:type="dxa"/>
            <w:tcBorders>
              <w:bottom w:val="single" w:sz="4" w:space="0" w:color="auto"/>
            </w:tcBorders>
            <w:noWrap/>
            <w:vAlign w:val="bottom"/>
          </w:tcPr>
          <w:p w14:paraId="77B59B67" w14:textId="77777777"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L01FF01</w:t>
            </w:r>
          </w:p>
        </w:tc>
        <w:tc>
          <w:tcPr>
            <w:tcW w:w="9452" w:type="dxa"/>
            <w:tcBorders>
              <w:bottom w:val="single" w:sz="4" w:space="0" w:color="auto"/>
            </w:tcBorders>
            <w:noWrap/>
            <w:vAlign w:val="bottom"/>
          </w:tcPr>
          <w:p w14:paraId="0D17C3DE" w14:textId="77777777"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Nivolumab parent. 100 mg</w:t>
            </w:r>
          </w:p>
          <w:p w14:paraId="63C1E274" w14:textId="77777777"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Nivolumab parent. 40 mg</w:t>
            </w:r>
          </w:p>
        </w:tc>
      </w:tr>
      <w:tr w:rsidR="00C57ACA" w:rsidRPr="0000591E" w14:paraId="1B7C528C" w14:textId="77777777" w:rsidTr="003F7925">
        <w:trPr>
          <w:gridAfter w:val="2"/>
          <w:wAfter w:w="154" w:type="dxa"/>
          <w:trHeight w:val="20"/>
        </w:trPr>
        <w:tc>
          <w:tcPr>
            <w:tcW w:w="1256" w:type="dxa"/>
            <w:noWrap/>
            <w:vAlign w:val="bottom"/>
          </w:tcPr>
          <w:p w14:paraId="0AC184CB" w14:textId="77777777" w:rsidR="00C57ACA" w:rsidRPr="00B05694" w:rsidRDefault="00C57ACA" w:rsidP="00C57ACA">
            <w:pPr>
              <w:jc w:val="both"/>
              <w:rPr>
                <w:rFonts w:ascii="Arial" w:hAnsi="Arial" w:cs="Arial"/>
                <w:b/>
                <w:bCs/>
                <w:sz w:val="20"/>
                <w:szCs w:val="20"/>
              </w:rPr>
            </w:pPr>
          </w:p>
        </w:tc>
        <w:tc>
          <w:tcPr>
            <w:tcW w:w="9452" w:type="dxa"/>
            <w:noWrap/>
            <w:vAlign w:val="bottom"/>
          </w:tcPr>
          <w:p w14:paraId="3D101B8A" w14:textId="77777777" w:rsidR="00C57ACA" w:rsidRPr="00CE579C" w:rsidRDefault="00C57ACA" w:rsidP="00C57ACA">
            <w:pPr>
              <w:jc w:val="both"/>
              <w:rPr>
                <w:rFonts w:ascii="Arial" w:hAnsi="Arial" w:cs="Arial"/>
                <w:bCs/>
                <w:sz w:val="20"/>
                <w:szCs w:val="20"/>
              </w:rPr>
            </w:pPr>
            <w:r w:rsidRPr="00CE579C">
              <w:rPr>
                <w:rFonts w:ascii="Arial" w:hAnsi="Arial" w:cs="Arial"/>
                <w:bCs/>
                <w:sz w:val="20"/>
                <w:szCs w:val="20"/>
              </w:rPr>
              <w:t>Hradená liečba sa môže indikovať u pacientov</w:t>
            </w:r>
          </w:p>
          <w:p w14:paraId="2DFD5506" w14:textId="77777777" w:rsidR="00C57ACA" w:rsidRPr="00CE579C" w:rsidRDefault="00C57ACA" w:rsidP="00C57ACA">
            <w:pPr>
              <w:jc w:val="both"/>
              <w:rPr>
                <w:rFonts w:ascii="Arial" w:hAnsi="Arial" w:cs="Arial"/>
                <w:bCs/>
                <w:sz w:val="20"/>
                <w:szCs w:val="20"/>
              </w:rPr>
            </w:pPr>
            <w:r w:rsidRPr="00CE579C">
              <w:rPr>
                <w:rFonts w:ascii="Arial" w:hAnsi="Arial" w:cs="Arial"/>
                <w:bCs/>
                <w:sz w:val="20"/>
                <w:szCs w:val="20"/>
              </w:rPr>
              <w:t>a) v monoterapii na liečbu pokročilého (neresekovateľného alebo metastatického) melanómu u dospelých.</w:t>
            </w:r>
          </w:p>
          <w:p w14:paraId="6AB3A37D" w14:textId="77777777" w:rsidR="00C57ACA" w:rsidRDefault="00C57ACA" w:rsidP="00C57ACA">
            <w:pPr>
              <w:jc w:val="both"/>
              <w:rPr>
                <w:rFonts w:ascii="Arial" w:hAnsi="Arial" w:cs="Arial"/>
                <w:bCs/>
                <w:sz w:val="20"/>
                <w:szCs w:val="20"/>
              </w:rPr>
            </w:pPr>
            <w:r w:rsidRPr="00CE579C">
              <w:rPr>
                <w:rFonts w:ascii="Arial" w:hAnsi="Arial" w:cs="Arial"/>
                <w:bCs/>
                <w:sz w:val="20"/>
                <w:szCs w:val="20"/>
              </w:rPr>
              <w:t>b) v monoterapii na liečbu pokročilého karcinómu z renálnych buniek u dospelých po predchádzajúcej liečbe. Podmienkou hradenej liečby je svetlobunkový podtyp RCC a dobrý výkonnostný stav pacienta charakterizovaný na ECOG škále ako skóre 0-1.</w:t>
            </w:r>
          </w:p>
          <w:p w14:paraId="4C96C020" w14:textId="77777777" w:rsidR="00986FE5" w:rsidRPr="00986FE5" w:rsidRDefault="00986FE5" w:rsidP="00986FE5">
            <w:pPr>
              <w:jc w:val="both"/>
              <w:rPr>
                <w:rFonts w:ascii="Arial" w:hAnsi="Arial" w:cs="Arial"/>
                <w:bCs/>
                <w:sz w:val="20"/>
                <w:szCs w:val="20"/>
              </w:rPr>
            </w:pPr>
            <w:r w:rsidRPr="00986FE5">
              <w:rPr>
                <w:rFonts w:ascii="Arial" w:hAnsi="Arial" w:cs="Arial"/>
                <w:bCs/>
                <w:sz w:val="20"/>
                <w:szCs w:val="20"/>
              </w:rPr>
              <w:t xml:space="preserve">c) v kombinácii s ipilimumabom dospelým pacientom so stredným/s vysokým rizikom pokročilého karcinómu z renálnych buniek podľa škály IMDC v prvej línii liečby. Podmienkou hradenej liečby je svetlobunkový podtyp pokročilého renálneho karcinómu a dobrý výkonnostný stav pacienta charakterizovaný na ECOG škále ako skóre 0 – 1. </w:t>
            </w:r>
          </w:p>
          <w:p w14:paraId="1EFE0EDA" w14:textId="77777777" w:rsidR="00986FE5" w:rsidRDefault="00986FE5" w:rsidP="00986FE5">
            <w:pPr>
              <w:jc w:val="both"/>
              <w:rPr>
                <w:rFonts w:ascii="Arial" w:hAnsi="Arial" w:cs="Arial"/>
                <w:bCs/>
                <w:sz w:val="20"/>
                <w:szCs w:val="20"/>
              </w:rPr>
            </w:pPr>
          </w:p>
          <w:p w14:paraId="25F2A131" w14:textId="3BA4091A" w:rsidR="00986FE5" w:rsidRPr="00CE579C" w:rsidRDefault="00986FE5" w:rsidP="00986FE5">
            <w:pPr>
              <w:jc w:val="both"/>
              <w:rPr>
                <w:rFonts w:ascii="Arial" w:hAnsi="Arial" w:cs="Arial"/>
                <w:bCs/>
                <w:sz w:val="20"/>
                <w:szCs w:val="20"/>
              </w:rPr>
            </w:pPr>
            <w:r w:rsidRPr="00986FE5">
              <w:rPr>
                <w:rFonts w:ascii="Arial" w:hAnsi="Arial" w:cs="Arial"/>
                <w:bCs/>
                <w:sz w:val="20"/>
                <w:szCs w:val="20"/>
              </w:rPr>
              <w:t>Hradená liečba podlieha predchádzajúcemu súhlasu zdravotnej poisťovne.</w:t>
            </w:r>
          </w:p>
          <w:p w14:paraId="789F89F4" w14:textId="28F2663F" w:rsidR="00C57ACA" w:rsidRPr="00CE579C" w:rsidRDefault="00C57ACA" w:rsidP="00986FE5">
            <w:pPr>
              <w:jc w:val="both"/>
              <w:rPr>
                <w:rFonts w:ascii="Arial" w:hAnsi="Arial" w:cs="Arial"/>
                <w:bCs/>
                <w:sz w:val="20"/>
                <w:szCs w:val="20"/>
              </w:rPr>
            </w:pPr>
          </w:p>
        </w:tc>
      </w:tr>
      <w:tr w:rsidR="00C57ACA" w:rsidRPr="0000591E" w14:paraId="40DC49CA" w14:textId="77777777" w:rsidTr="003F7925">
        <w:trPr>
          <w:gridAfter w:val="2"/>
          <w:wAfter w:w="154" w:type="dxa"/>
          <w:trHeight w:val="20"/>
        </w:trPr>
        <w:tc>
          <w:tcPr>
            <w:tcW w:w="1256" w:type="dxa"/>
            <w:tcBorders>
              <w:bottom w:val="single" w:sz="4" w:space="0" w:color="auto"/>
            </w:tcBorders>
            <w:noWrap/>
            <w:vAlign w:val="bottom"/>
          </w:tcPr>
          <w:p w14:paraId="0B7796E9" w14:textId="77777777" w:rsidR="00C57ACA" w:rsidRPr="00FA0BC0" w:rsidRDefault="00C57ACA" w:rsidP="00C57ACA">
            <w:pPr>
              <w:jc w:val="both"/>
              <w:rPr>
                <w:rFonts w:ascii="Arial" w:hAnsi="Arial" w:cs="Arial"/>
                <w:b/>
                <w:bCs/>
                <w:color w:val="000000" w:themeColor="text1"/>
                <w:sz w:val="20"/>
                <w:szCs w:val="20"/>
              </w:rPr>
            </w:pPr>
            <w:r w:rsidRPr="00FA0BC0">
              <w:rPr>
                <w:rFonts w:ascii="Arial" w:hAnsi="Arial" w:cs="Arial"/>
                <w:b/>
                <w:bCs/>
                <w:color w:val="000000" w:themeColor="text1"/>
                <w:sz w:val="20"/>
                <w:szCs w:val="20"/>
              </w:rPr>
              <w:t>L01FF02</w:t>
            </w:r>
          </w:p>
        </w:tc>
        <w:tc>
          <w:tcPr>
            <w:tcW w:w="9452" w:type="dxa"/>
            <w:tcBorders>
              <w:bottom w:val="single" w:sz="4" w:space="0" w:color="auto"/>
            </w:tcBorders>
            <w:noWrap/>
            <w:vAlign w:val="bottom"/>
          </w:tcPr>
          <w:p w14:paraId="05E51827" w14:textId="77777777" w:rsidR="00C57ACA" w:rsidRPr="00FA0BC0" w:rsidRDefault="00C57ACA" w:rsidP="00C57ACA">
            <w:pPr>
              <w:jc w:val="both"/>
              <w:rPr>
                <w:rFonts w:ascii="Arial" w:hAnsi="Arial" w:cs="Arial"/>
                <w:b/>
                <w:bCs/>
                <w:color w:val="000000" w:themeColor="text1"/>
                <w:sz w:val="20"/>
                <w:szCs w:val="20"/>
              </w:rPr>
            </w:pPr>
            <w:r w:rsidRPr="00FA0BC0">
              <w:rPr>
                <w:rFonts w:ascii="Arial" w:hAnsi="Arial" w:cs="Arial"/>
                <w:b/>
                <w:bCs/>
                <w:color w:val="000000" w:themeColor="text1"/>
                <w:sz w:val="20"/>
                <w:szCs w:val="20"/>
              </w:rPr>
              <w:t>Pembrolizumab parent. 25 mg/ml</w:t>
            </w:r>
          </w:p>
        </w:tc>
      </w:tr>
      <w:tr w:rsidR="00C57ACA" w:rsidRPr="0000591E" w14:paraId="6F65DA57" w14:textId="77777777" w:rsidTr="003F7925">
        <w:trPr>
          <w:gridAfter w:val="2"/>
          <w:wAfter w:w="154" w:type="dxa"/>
          <w:trHeight w:val="20"/>
        </w:trPr>
        <w:tc>
          <w:tcPr>
            <w:tcW w:w="1256" w:type="dxa"/>
            <w:noWrap/>
            <w:vAlign w:val="bottom"/>
          </w:tcPr>
          <w:p w14:paraId="5E079802" w14:textId="77777777" w:rsidR="00C57ACA" w:rsidRPr="00B05694" w:rsidRDefault="00C57ACA" w:rsidP="00C57ACA">
            <w:pPr>
              <w:jc w:val="both"/>
              <w:rPr>
                <w:rFonts w:ascii="Arial" w:hAnsi="Arial" w:cs="Arial"/>
                <w:b/>
                <w:bCs/>
                <w:sz w:val="20"/>
                <w:szCs w:val="20"/>
              </w:rPr>
            </w:pPr>
          </w:p>
        </w:tc>
        <w:tc>
          <w:tcPr>
            <w:tcW w:w="9452" w:type="dxa"/>
            <w:noWrap/>
            <w:vAlign w:val="bottom"/>
          </w:tcPr>
          <w:p w14:paraId="645F6575" w14:textId="77777777" w:rsidR="00C57ACA" w:rsidRDefault="00C57ACA" w:rsidP="00797511">
            <w:pPr>
              <w:autoSpaceDE w:val="0"/>
              <w:autoSpaceDN w:val="0"/>
              <w:adjustRightInd w:val="0"/>
              <w:rPr>
                <w:rFonts w:ascii="Arial" w:hAnsi="Arial" w:cs="Arial"/>
                <w:bCs/>
                <w:sz w:val="20"/>
                <w:szCs w:val="20"/>
              </w:rPr>
            </w:pPr>
            <w:r w:rsidRPr="0078427E">
              <w:rPr>
                <w:rFonts w:ascii="Arial" w:hAnsi="Arial" w:cs="Arial"/>
                <w:bCs/>
                <w:sz w:val="20"/>
                <w:szCs w:val="20"/>
              </w:rPr>
              <w:t>Hradená liečba je:</w:t>
            </w:r>
          </w:p>
          <w:p w14:paraId="3AC42673" w14:textId="77777777" w:rsidR="00C57ACA" w:rsidRPr="0078427E" w:rsidRDefault="00C57ACA" w:rsidP="00C57ACA">
            <w:pPr>
              <w:autoSpaceDE w:val="0"/>
              <w:autoSpaceDN w:val="0"/>
              <w:adjustRightInd w:val="0"/>
              <w:spacing w:after="180"/>
              <w:rPr>
                <w:rFonts w:ascii="Arial" w:hAnsi="Arial" w:cs="Arial"/>
                <w:bCs/>
                <w:sz w:val="20"/>
                <w:szCs w:val="20"/>
              </w:rPr>
            </w:pPr>
            <w:r w:rsidRPr="0078427E">
              <w:rPr>
                <w:rFonts w:ascii="Arial" w:hAnsi="Arial" w:cs="Arial"/>
                <w:bCs/>
                <w:sz w:val="20"/>
                <w:szCs w:val="20"/>
              </w:rPr>
              <w:t>a) v monoterapii indikovaná na liečbu pokročilého (neresekovateľného alebo metastatického)</w:t>
            </w:r>
            <w:r>
              <w:rPr>
                <w:rFonts w:ascii="Arial" w:hAnsi="Arial" w:cs="Arial"/>
                <w:bCs/>
                <w:sz w:val="20"/>
                <w:szCs w:val="20"/>
              </w:rPr>
              <w:t xml:space="preserve"> </w:t>
            </w:r>
            <w:r w:rsidRPr="0078427E">
              <w:rPr>
                <w:rFonts w:ascii="Arial" w:hAnsi="Arial" w:cs="Arial"/>
                <w:bCs/>
                <w:sz w:val="20"/>
                <w:szCs w:val="20"/>
              </w:rPr>
              <w:t>melanómu u dospelých,</w:t>
            </w:r>
          </w:p>
          <w:p w14:paraId="1203E7AA" w14:textId="77777777" w:rsidR="00C57ACA" w:rsidRPr="0078427E" w:rsidRDefault="00C57ACA" w:rsidP="00C57ACA">
            <w:pPr>
              <w:autoSpaceDE w:val="0"/>
              <w:autoSpaceDN w:val="0"/>
              <w:adjustRightInd w:val="0"/>
              <w:spacing w:after="180"/>
              <w:rPr>
                <w:rFonts w:ascii="Arial" w:hAnsi="Arial" w:cs="Arial"/>
                <w:bCs/>
                <w:sz w:val="20"/>
                <w:szCs w:val="20"/>
              </w:rPr>
            </w:pPr>
            <w:r w:rsidRPr="0078427E">
              <w:rPr>
                <w:rFonts w:ascii="Arial" w:hAnsi="Arial" w:cs="Arial"/>
                <w:bCs/>
                <w:sz w:val="20"/>
                <w:szCs w:val="20"/>
              </w:rPr>
              <w:t>b) v monoterapii indikovaná ako liečba prvej línie metastatického nemalobunkového</w:t>
            </w:r>
            <w:r>
              <w:rPr>
                <w:rFonts w:ascii="Arial" w:hAnsi="Arial" w:cs="Arial"/>
                <w:bCs/>
                <w:sz w:val="20"/>
                <w:szCs w:val="20"/>
              </w:rPr>
              <w:t xml:space="preserve"> </w:t>
            </w:r>
            <w:r w:rsidRPr="0078427E">
              <w:rPr>
                <w:rFonts w:ascii="Arial" w:hAnsi="Arial" w:cs="Arial"/>
                <w:bCs/>
                <w:sz w:val="20"/>
                <w:szCs w:val="20"/>
              </w:rPr>
              <w:t>karcinómu pľúc u dospelých s expresiou PD-L1 v nádoroch, s proporčným skóre nádoru</w:t>
            </w:r>
            <w:r>
              <w:rPr>
                <w:rFonts w:ascii="Arial" w:hAnsi="Arial" w:cs="Arial"/>
                <w:bCs/>
                <w:sz w:val="20"/>
                <w:szCs w:val="20"/>
              </w:rPr>
              <w:t xml:space="preserve"> </w:t>
            </w:r>
            <w:r w:rsidRPr="0078427E">
              <w:rPr>
                <w:rFonts w:ascii="Arial" w:hAnsi="Arial" w:cs="Arial"/>
                <w:bCs/>
                <w:sz w:val="20"/>
                <w:szCs w:val="20"/>
              </w:rPr>
              <w:t>(tumour proportion score, TPS) ≥ 50 %, bez pozitivity mutácií EGFR alebo ALK v</w:t>
            </w:r>
            <w:r>
              <w:rPr>
                <w:rFonts w:ascii="Arial" w:hAnsi="Arial" w:cs="Arial"/>
                <w:bCs/>
                <w:sz w:val="20"/>
                <w:szCs w:val="20"/>
              </w:rPr>
              <w:t xml:space="preserve"> </w:t>
            </w:r>
            <w:r w:rsidRPr="0078427E">
              <w:rPr>
                <w:rFonts w:ascii="Arial" w:hAnsi="Arial" w:cs="Arial"/>
                <w:bCs/>
                <w:sz w:val="20"/>
                <w:szCs w:val="20"/>
              </w:rPr>
              <w:t>nádorových bunkách, maximálne po dobu 24 mesiacov,</w:t>
            </w:r>
          </w:p>
          <w:p w14:paraId="3ADB2F16" w14:textId="77777777" w:rsidR="00C57ACA" w:rsidRPr="00ED1CF0" w:rsidRDefault="00C57ACA" w:rsidP="00C57ACA">
            <w:pPr>
              <w:autoSpaceDE w:val="0"/>
              <w:autoSpaceDN w:val="0"/>
              <w:adjustRightInd w:val="0"/>
              <w:spacing w:after="180"/>
              <w:jc w:val="both"/>
              <w:rPr>
                <w:rFonts w:ascii="Arial" w:hAnsi="Arial" w:cs="Arial"/>
                <w:bCs/>
                <w:sz w:val="20"/>
                <w:szCs w:val="20"/>
              </w:rPr>
            </w:pPr>
            <w:r w:rsidRPr="0078427E">
              <w:rPr>
                <w:rFonts w:ascii="Arial" w:hAnsi="Arial" w:cs="Arial"/>
                <w:bCs/>
                <w:sz w:val="20"/>
                <w:szCs w:val="20"/>
              </w:rPr>
              <w:t>c) v monoterapii alebo v kombinácii s chemoterapiou obsahujúcou platinu a 5- fluóruracil (5-</w:t>
            </w:r>
            <w:r>
              <w:rPr>
                <w:rFonts w:ascii="Arial" w:hAnsi="Arial" w:cs="Arial"/>
                <w:bCs/>
                <w:sz w:val="20"/>
                <w:szCs w:val="20"/>
              </w:rPr>
              <w:t xml:space="preserve"> </w:t>
            </w:r>
            <w:r w:rsidRPr="0078427E">
              <w:rPr>
                <w:rFonts w:ascii="Arial" w:hAnsi="Arial" w:cs="Arial"/>
                <w:bCs/>
                <w:sz w:val="20"/>
                <w:szCs w:val="20"/>
              </w:rPr>
              <w:t xml:space="preserve">FU) </w:t>
            </w:r>
            <w:r w:rsidRPr="00ED1CF0">
              <w:rPr>
                <w:rFonts w:ascii="Arial" w:hAnsi="Arial" w:cs="Arial"/>
                <w:bCs/>
                <w:sz w:val="20"/>
                <w:szCs w:val="20"/>
              </w:rPr>
              <w:t>indikovaná ako liečba prvej línie metastatického alebo neresekovateľného rekurentného skvamocelulárneho karcinómu hlavy a krku u dospelých, ktorých nádory vykazujú expresiu PD-L1 s hodnotou CPS ≥ 1, po dobu maximálne 24 mesiacov.</w:t>
            </w:r>
          </w:p>
          <w:p w14:paraId="05AA4007" w14:textId="77777777" w:rsidR="00C57ACA" w:rsidRPr="00ED1CF0" w:rsidRDefault="00C57ACA" w:rsidP="00C57ACA">
            <w:pPr>
              <w:autoSpaceDE w:val="0"/>
              <w:autoSpaceDN w:val="0"/>
              <w:adjustRightInd w:val="0"/>
              <w:spacing w:after="180" w:line="276" w:lineRule="auto"/>
              <w:jc w:val="both"/>
              <w:rPr>
                <w:rFonts w:ascii="Arial" w:hAnsi="Arial" w:cs="Arial"/>
                <w:color w:val="000000"/>
                <w:sz w:val="20"/>
                <w:szCs w:val="20"/>
                <w:u w:color="000000"/>
              </w:rPr>
            </w:pPr>
            <w:r w:rsidRPr="00ED1CF0">
              <w:rPr>
                <w:rFonts w:ascii="Arial" w:hAnsi="Arial" w:cs="Arial"/>
                <w:color w:val="000000"/>
                <w:sz w:val="20"/>
                <w:szCs w:val="20"/>
                <w:u w:color="000000"/>
              </w:rPr>
              <w:t xml:space="preserve">d) v kombinácii s chemoterapiou indikovaná ako neoadjuvantná liečba a následne s pokračovaním vo forme monoterapie ako adjuvantná liečba po chirurgickom zákroku dospelým s lokálne pokročilým trojnásobne negatívnym karcinómom prsníka alebo trojnásobne negatívnym karcinómom prsníka v skorom štádiu s vysokým rizikom rekurencie. </w:t>
            </w:r>
          </w:p>
          <w:p w14:paraId="6F6708A2" w14:textId="77777777" w:rsidR="00C57ACA" w:rsidRDefault="00C57ACA" w:rsidP="00C57ACA">
            <w:pPr>
              <w:jc w:val="both"/>
              <w:rPr>
                <w:rFonts w:ascii="Arial" w:hAnsi="Arial" w:cs="Arial"/>
                <w:color w:val="000000"/>
                <w:sz w:val="20"/>
                <w:szCs w:val="20"/>
                <w:u w:color="000000"/>
              </w:rPr>
            </w:pPr>
            <w:r>
              <w:rPr>
                <w:rFonts w:ascii="Arial" w:hAnsi="Arial" w:cs="Arial"/>
                <w:color w:val="000000"/>
                <w:sz w:val="20"/>
                <w:szCs w:val="20"/>
                <w:u w:color="000000"/>
              </w:rPr>
              <w:t>e</w:t>
            </w:r>
            <w:r w:rsidRPr="00ED1CF0">
              <w:rPr>
                <w:rFonts w:ascii="Arial" w:hAnsi="Arial" w:cs="Arial"/>
                <w:color w:val="000000"/>
                <w:sz w:val="20"/>
                <w:szCs w:val="20"/>
                <w:u w:color="000000"/>
              </w:rPr>
              <w:t>) v monoterapii indikovaná v prvej línii metastatického kolorektálneho karcinómu u dospelých pacientov s MSI-H (microsatellite instability-high) alebo dMMR (mismatch repair deficient), maximálne po dobu 24 mesiacov.</w:t>
            </w:r>
          </w:p>
          <w:p w14:paraId="5EC3229D" w14:textId="77777777" w:rsidR="00C57ACA" w:rsidRPr="00ED1CF0" w:rsidRDefault="00C57ACA" w:rsidP="00C57ACA">
            <w:pPr>
              <w:jc w:val="both"/>
              <w:rPr>
                <w:rFonts w:ascii="Arial" w:hAnsi="Arial" w:cs="Arial"/>
                <w:color w:val="000000"/>
                <w:sz w:val="20"/>
                <w:szCs w:val="20"/>
                <w:u w:color="000000"/>
              </w:rPr>
            </w:pPr>
          </w:p>
          <w:p w14:paraId="7F13D34C" w14:textId="77777777" w:rsidR="00C57ACA" w:rsidRDefault="00C57ACA" w:rsidP="00C57ACA">
            <w:pPr>
              <w:jc w:val="both"/>
              <w:rPr>
                <w:rFonts w:ascii="Arial" w:hAnsi="Arial" w:cs="Arial"/>
                <w:color w:val="000000"/>
                <w:sz w:val="20"/>
                <w:szCs w:val="20"/>
                <w:u w:color="000000"/>
              </w:rPr>
            </w:pPr>
            <w:r>
              <w:rPr>
                <w:rFonts w:ascii="Arial" w:hAnsi="Arial" w:cs="Arial"/>
                <w:color w:val="000000"/>
                <w:sz w:val="20"/>
                <w:szCs w:val="20"/>
                <w:u w:color="000000"/>
              </w:rPr>
              <w:t>f</w:t>
            </w:r>
            <w:r w:rsidRPr="00ED1CF0">
              <w:rPr>
                <w:rFonts w:ascii="Arial" w:hAnsi="Arial" w:cs="Arial"/>
                <w:color w:val="000000"/>
                <w:sz w:val="20"/>
                <w:szCs w:val="20"/>
                <w:u w:color="000000"/>
              </w:rPr>
              <w:t>) v kombinácii s chemoterapiou obsahujúcou pemetrexed a platinu indikovaná ako liečba prvej línie metastatického neskvamózneho nemalobunkového karcinómu pľúc u dospelých s expresiou PD-L1 v nádoroch, s proporčným skóre nádoru (tumour proportion score, TPS) ˂ 50 %, bez pozitivity mutácií EGFR alebo ALK v nádorových bunkách, maximálne po dobu 24 mesiacov.</w:t>
            </w:r>
          </w:p>
          <w:p w14:paraId="369E0AE3" w14:textId="77777777" w:rsidR="00C57ACA" w:rsidRDefault="00C57ACA" w:rsidP="00C57ACA">
            <w:pPr>
              <w:jc w:val="both"/>
              <w:rPr>
                <w:rFonts w:ascii="Arial" w:hAnsi="Arial" w:cs="Arial"/>
                <w:color w:val="000000"/>
                <w:sz w:val="20"/>
                <w:szCs w:val="20"/>
                <w:u w:color="000000"/>
              </w:rPr>
            </w:pPr>
          </w:p>
          <w:p w14:paraId="68147F1A" w14:textId="22410A47" w:rsidR="00C57ACA" w:rsidRDefault="00C57ACA" w:rsidP="00C57ACA">
            <w:pPr>
              <w:jc w:val="both"/>
              <w:rPr>
                <w:rFonts w:ascii="Arial" w:hAnsi="Arial" w:cs="Arial"/>
                <w:color w:val="000000"/>
                <w:sz w:val="20"/>
                <w:szCs w:val="20"/>
                <w:u w:color="000000"/>
              </w:rPr>
            </w:pPr>
            <w:r>
              <w:rPr>
                <w:rFonts w:ascii="Arial" w:hAnsi="Arial" w:cs="Arial"/>
                <w:color w:val="000000"/>
                <w:sz w:val="20"/>
                <w:szCs w:val="20"/>
                <w:u w:color="000000"/>
              </w:rPr>
              <w:t xml:space="preserve">g) </w:t>
            </w:r>
            <w:r w:rsidRPr="00B9533C">
              <w:rPr>
                <w:rFonts w:ascii="Arial" w:hAnsi="Arial" w:cs="Arial"/>
                <w:color w:val="000000"/>
                <w:sz w:val="20"/>
                <w:szCs w:val="20"/>
                <w:u w:color="000000"/>
              </w:rPr>
              <w:t>v kombinácii s chemoterapiou a bevacizumabom alebo bez neho indikovaná na liečbu  perzistentného, rekurentného alebo metastatického cervikálneho karcinómu v prvej línii u dospelých, ktorí neboli liečení chemoterapiou (s výnimkou jej súbežného použitia ako rádiosenzibilizačnej látky) a ktorých nádory vykazujú expresiu PD-L1 s CPS ≥ 1, po dobu maximálne 24 mesiacov. Kombinácia pembrolizumabu so samotnou chemoterapiou je hradená iba pacientom nevhodným na liečbu bevacizumabom.</w:t>
            </w:r>
          </w:p>
          <w:p w14:paraId="34340436" w14:textId="5AD0EA11" w:rsidR="00C57ACA" w:rsidRDefault="00C57ACA" w:rsidP="00C57ACA">
            <w:pPr>
              <w:jc w:val="both"/>
              <w:rPr>
                <w:rFonts w:ascii="Arial" w:hAnsi="Arial" w:cs="Arial"/>
                <w:color w:val="000000"/>
                <w:sz w:val="20"/>
                <w:szCs w:val="20"/>
                <w:u w:color="000000"/>
              </w:rPr>
            </w:pPr>
          </w:p>
          <w:p w14:paraId="722012D8" w14:textId="79416FAC" w:rsidR="00C57ACA" w:rsidRDefault="00C57ACA" w:rsidP="00C57ACA">
            <w:pPr>
              <w:jc w:val="both"/>
              <w:rPr>
                <w:rFonts w:ascii="Arial" w:hAnsi="Arial" w:cs="Arial"/>
                <w:color w:val="000000"/>
                <w:sz w:val="20"/>
                <w:szCs w:val="20"/>
                <w:u w:color="000000"/>
              </w:rPr>
            </w:pPr>
            <w:r w:rsidRPr="001F695E">
              <w:rPr>
                <w:rFonts w:ascii="Arial" w:hAnsi="Arial" w:cs="Arial"/>
                <w:color w:val="000000"/>
                <w:sz w:val="20"/>
                <w:szCs w:val="20"/>
                <w:u w:color="000000"/>
              </w:rPr>
              <w:t>h) v kombinácii s karboplatinou a paklitaxelom indikovaná ako liečba prvej línie metastatického skvamózneho nemalobunkového karcinómu pľúc u dospelých s expresiou PD-L1 v nádoroch, s proporčným skóre nádoru (tumour proportion score, TPS) 1-49 %, maximálne 35 cyklov liečby pembrolizumabom. Podmienkou hradenej liečby je výkonnostný stav pacienta ECOG 0-1.</w:t>
            </w:r>
          </w:p>
          <w:p w14:paraId="4760263D" w14:textId="77777777" w:rsidR="00797511" w:rsidRDefault="00797511" w:rsidP="00C57ACA">
            <w:pPr>
              <w:jc w:val="both"/>
              <w:rPr>
                <w:rFonts w:ascii="Arial" w:hAnsi="Arial" w:cs="Arial"/>
                <w:color w:val="000000"/>
                <w:sz w:val="20"/>
                <w:szCs w:val="20"/>
                <w:u w:color="000000"/>
              </w:rPr>
            </w:pPr>
          </w:p>
          <w:p w14:paraId="0AB288D5" w14:textId="34B10093" w:rsidR="00797511" w:rsidRPr="001F695E" w:rsidRDefault="00797511" w:rsidP="00C57ACA">
            <w:pPr>
              <w:jc w:val="both"/>
              <w:rPr>
                <w:rFonts w:ascii="Arial" w:hAnsi="Arial" w:cs="Arial"/>
                <w:color w:val="000000"/>
                <w:sz w:val="20"/>
                <w:szCs w:val="20"/>
                <w:u w:color="000000"/>
              </w:rPr>
            </w:pPr>
            <w:r w:rsidRPr="00797511">
              <w:rPr>
                <w:rFonts w:ascii="Arial" w:hAnsi="Arial" w:cs="Arial"/>
                <w:color w:val="000000"/>
                <w:sz w:val="20"/>
                <w:szCs w:val="20"/>
                <w:u w:color="000000"/>
              </w:rPr>
              <w:t>i)  v kombinácii s chemoterapiou obsahujúcou fluórpyrimidín a platinu indikovaná ako liečba prvej línie lokálne pokročilého neresekovateľného alebo metastatického adenokarcinómu žalúdka alebo gastroezofágového prechodu, negatívneho na HER-2, u dospelých, ktorých nádory vykazujú expresiu PD-L1 s CPS ≥ 1, maximálne 35 cyklov pembrolizumabu v dávke 200 mg každé 3 týždne alebo 18 cyklov pembrolizumabu v dávke 400 mg každých 6 týždňov. Podmienkou hradenej liečby je dobrý výkonnostný stav pacienta charakterizovaný na ECOG škále (Eastern Cooperative Oncology Group performance status) ako skóre 0 – 1.</w:t>
            </w:r>
          </w:p>
          <w:p w14:paraId="537FCB26" w14:textId="77777777" w:rsidR="00C57ACA" w:rsidRPr="001F695E" w:rsidRDefault="00C57ACA" w:rsidP="00C57ACA">
            <w:pPr>
              <w:jc w:val="both"/>
              <w:rPr>
                <w:rFonts w:ascii="Arial" w:hAnsi="Arial" w:cs="Arial"/>
                <w:color w:val="000000"/>
                <w:sz w:val="20"/>
                <w:szCs w:val="20"/>
                <w:u w:color="000000"/>
              </w:rPr>
            </w:pPr>
          </w:p>
          <w:p w14:paraId="5E87E0DA" w14:textId="77777777" w:rsidR="00C57ACA" w:rsidRDefault="00C57ACA" w:rsidP="00C57ACA">
            <w:pPr>
              <w:jc w:val="both"/>
              <w:rPr>
                <w:rFonts w:ascii="Arial" w:hAnsi="Arial" w:cs="Arial"/>
                <w:color w:val="000000"/>
                <w:sz w:val="20"/>
                <w:szCs w:val="20"/>
                <w:u w:color="000000"/>
              </w:rPr>
            </w:pPr>
            <w:r w:rsidRPr="00B9533C">
              <w:rPr>
                <w:rFonts w:ascii="Arial" w:hAnsi="Arial" w:cs="Arial"/>
                <w:color w:val="000000"/>
                <w:sz w:val="20"/>
                <w:szCs w:val="20"/>
                <w:u w:color="000000"/>
              </w:rPr>
              <w:t>Hradená liečba podlieha predchádzajúcemu súhlasu zdravotnej poisťovne.</w:t>
            </w:r>
          </w:p>
          <w:p w14:paraId="1655A9F5" w14:textId="3DE03CC3" w:rsidR="00C57ACA" w:rsidRPr="00CC5C96" w:rsidRDefault="00C57ACA" w:rsidP="00C57ACA">
            <w:pPr>
              <w:jc w:val="both"/>
              <w:rPr>
                <w:rFonts w:ascii="Arial" w:hAnsi="Arial" w:cs="Arial"/>
                <w:color w:val="000000"/>
                <w:sz w:val="20"/>
                <w:szCs w:val="20"/>
                <w:u w:color="000000"/>
              </w:rPr>
            </w:pPr>
          </w:p>
        </w:tc>
      </w:tr>
      <w:tr w:rsidR="00C57ACA" w:rsidRPr="0000591E" w14:paraId="6D2D9582" w14:textId="77777777" w:rsidTr="003F7925">
        <w:trPr>
          <w:gridAfter w:val="2"/>
          <w:wAfter w:w="154" w:type="dxa"/>
          <w:trHeight w:val="20"/>
        </w:trPr>
        <w:tc>
          <w:tcPr>
            <w:tcW w:w="1256" w:type="dxa"/>
            <w:tcBorders>
              <w:bottom w:val="single" w:sz="4" w:space="0" w:color="auto"/>
            </w:tcBorders>
            <w:noWrap/>
            <w:vAlign w:val="bottom"/>
          </w:tcPr>
          <w:p w14:paraId="3176409B"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L01FF03</w:t>
            </w:r>
          </w:p>
        </w:tc>
        <w:tc>
          <w:tcPr>
            <w:tcW w:w="9452" w:type="dxa"/>
            <w:tcBorders>
              <w:bottom w:val="single" w:sz="4" w:space="0" w:color="auto"/>
            </w:tcBorders>
            <w:noWrap/>
            <w:vAlign w:val="bottom"/>
          </w:tcPr>
          <w:p w14:paraId="20993DAC" w14:textId="77777777" w:rsidR="00C57ACA" w:rsidRDefault="00C57ACA" w:rsidP="00C57ACA">
            <w:pPr>
              <w:jc w:val="both"/>
              <w:rPr>
                <w:rFonts w:ascii="Arial" w:hAnsi="Arial" w:cs="Arial"/>
                <w:b/>
                <w:bCs/>
                <w:sz w:val="20"/>
                <w:szCs w:val="20"/>
              </w:rPr>
            </w:pPr>
            <w:r>
              <w:rPr>
                <w:rFonts w:ascii="Arial" w:hAnsi="Arial" w:cs="Arial"/>
                <w:b/>
                <w:bCs/>
                <w:sz w:val="20"/>
                <w:szCs w:val="20"/>
              </w:rPr>
              <w:t>Durvalumab parent. 120 mg</w:t>
            </w:r>
          </w:p>
          <w:p w14:paraId="31DFAE47"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Durvalumab parent. 500 mg</w:t>
            </w:r>
          </w:p>
        </w:tc>
      </w:tr>
      <w:tr w:rsidR="00C57ACA" w:rsidRPr="0000591E" w14:paraId="546623A9" w14:textId="77777777" w:rsidTr="003F7925">
        <w:trPr>
          <w:gridAfter w:val="2"/>
          <w:wAfter w:w="154" w:type="dxa"/>
          <w:trHeight w:val="20"/>
        </w:trPr>
        <w:tc>
          <w:tcPr>
            <w:tcW w:w="1256" w:type="dxa"/>
            <w:tcBorders>
              <w:top w:val="single" w:sz="4" w:space="0" w:color="auto"/>
            </w:tcBorders>
            <w:noWrap/>
            <w:vAlign w:val="bottom"/>
          </w:tcPr>
          <w:p w14:paraId="08CD9384" w14:textId="77777777" w:rsidR="00C57ACA" w:rsidRDefault="00C57ACA" w:rsidP="00C57ACA">
            <w:pPr>
              <w:jc w:val="both"/>
              <w:rPr>
                <w:rFonts w:ascii="Arial" w:hAnsi="Arial" w:cs="Arial"/>
                <w:b/>
                <w:bCs/>
                <w:sz w:val="20"/>
                <w:szCs w:val="20"/>
              </w:rPr>
            </w:pPr>
          </w:p>
          <w:p w14:paraId="51A0E906"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5185C41" w14:textId="77777777" w:rsidR="00C57ACA" w:rsidRPr="00FA0BC0" w:rsidRDefault="00C57ACA" w:rsidP="00C57ACA">
            <w:pPr>
              <w:jc w:val="both"/>
              <w:rPr>
                <w:rFonts w:ascii="Arial" w:hAnsi="Arial" w:cs="Arial"/>
                <w:color w:val="000000" w:themeColor="text1"/>
                <w:sz w:val="20"/>
                <w:szCs w:val="20"/>
              </w:rPr>
            </w:pPr>
            <w:r w:rsidRPr="00FA0BC0">
              <w:rPr>
                <w:rFonts w:ascii="Arial" w:hAnsi="Arial" w:cs="Arial"/>
                <w:color w:val="000000" w:themeColor="text1"/>
                <w:sz w:val="20"/>
                <w:szCs w:val="20"/>
              </w:rPr>
              <w:t>Hradená liečba sa môže indikovať na liečbu dospelých pacientov s lokálne pokročilým neresekovateľným nemalobunkovým karcinómom pľúc (non-small cell lung cancer, NSCLC) exprimujúcim PD-L1 na ≥ 1 % nádorových buniek a u ktorých po konkomitantnej chemoradiačnej liečbe na báze platiny nedošlo k progresii ochorenia.</w:t>
            </w:r>
          </w:p>
          <w:p w14:paraId="3297F19F" w14:textId="77777777" w:rsidR="00C57ACA" w:rsidRPr="00FA0BC0" w:rsidRDefault="00C57ACA" w:rsidP="00C57ACA">
            <w:pPr>
              <w:jc w:val="both"/>
              <w:rPr>
                <w:rFonts w:ascii="Arial" w:hAnsi="Arial" w:cs="Arial"/>
                <w:color w:val="000000" w:themeColor="text1"/>
                <w:sz w:val="20"/>
                <w:szCs w:val="20"/>
              </w:rPr>
            </w:pPr>
          </w:p>
          <w:p w14:paraId="76CA9294" w14:textId="0017173B" w:rsidR="00C57ACA" w:rsidRPr="004F1153" w:rsidRDefault="00C57ACA" w:rsidP="00C57ACA">
            <w:pPr>
              <w:autoSpaceDE w:val="0"/>
              <w:autoSpaceDN w:val="0"/>
              <w:adjustRightInd w:val="0"/>
              <w:spacing w:after="180" w:line="276" w:lineRule="auto"/>
              <w:jc w:val="both"/>
              <w:rPr>
                <w:rFonts w:ascii="Verdana" w:hAnsi="Verdana"/>
                <w:color w:val="000000" w:themeColor="text1"/>
                <w:u w:color="000000"/>
              </w:rPr>
            </w:pPr>
            <w:r w:rsidRPr="00FA0BC0">
              <w:rPr>
                <w:rFonts w:ascii="Arial" w:hAnsi="Arial"/>
                <w:color w:val="000000" w:themeColor="text1"/>
                <w:sz w:val="20"/>
                <w:u w:color="000000"/>
              </w:rPr>
              <w:t>Hradená liečba podlieha predchádzajúcemu súhlasu zdravotnej poisťovne.</w:t>
            </w:r>
          </w:p>
        </w:tc>
      </w:tr>
      <w:tr w:rsidR="00C57ACA" w:rsidRPr="0000591E" w14:paraId="7C9DD508" w14:textId="77777777" w:rsidTr="003F7925">
        <w:trPr>
          <w:gridAfter w:val="2"/>
          <w:wAfter w:w="154" w:type="dxa"/>
          <w:trHeight w:val="20"/>
        </w:trPr>
        <w:tc>
          <w:tcPr>
            <w:tcW w:w="1256" w:type="dxa"/>
            <w:tcBorders>
              <w:bottom w:val="single" w:sz="4" w:space="0" w:color="auto"/>
            </w:tcBorders>
            <w:noWrap/>
            <w:vAlign w:val="bottom"/>
          </w:tcPr>
          <w:p w14:paraId="4D286EE5" w14:textId="08B68049" w:rsidR="00C57ACA" w:rsidRPr="00FA0BC0" w:rsidRDefault="00C57ACA" w:rsidP="00C57ACA">
            <w:pPr>
              <w:jc w:val="both"/>
              <w:rPr>
                <w:rFonts w:ascii="Arial" w:hAnsi="Arial" w:cs="Arial"/>
                <w:b/>
                <w:bCs/>
                <w:color w:val="000000" w:themeColor="text1"/>
                <w:sz w:val="20"/>
                <w:szCs w:val="20"/>
              </w:rPr>
            </w:pPr>
            <w:r w:rsidRPr="00CC5C96">
              <w:rPr>
                <w:rFonts w:ascii="Arial" w:hAnsi="Arial" w:cs="Arial"/>
                <w:b/>
                <w:bCs/>
                <w:color w:val="000000" w:themeColor="text1"/>
                <w:sz w:val="20"/>
                <w:szCs w:val="20"/>
              </w:rPr>
              <w:t>L01FF04</w:t>
            </w:r>
          </w:p>
        </w:tc>
        <w:tc>
          <w:tcPr>
            <w:tcW w:w="9452" w:type="dxa"/>
            <w:tcBorders>
              <w:bottom w:val="single" w:sz="4" w:space="0" w:color="auto"/>
            </w:tcBorders>
            <w:noWrap/>
            <w:vAlign w:val="bottom"/>
          </w:tcPr>
          <w:p w14:paraId="2333284D" w14:textId="19947CAF" w:rsidR="00C57ACA" w:rsidRPr="00FA0BC0" w:rsidRDefault="00C57ACA" w:rsidP="00C57ACA">
            <w:pPr>
              <w:jc w:val="both"/>
              <w:rPr>
                <w:rFonts w:ascii="Arial" w:hAnsi="Arial" w:cs="Arial"/>
                <w:b/>
                <w:color w:val="000000" w:themeColor="text1"/>
                <w:sz w:val="20"/>
                <w:szCs w:val="20"/>
              </w:rPr>
            </w:pPr>
            <w:r w:rsidRPr="00CC5C96">
              <w:rPr>
                <w:rFonts w:ascii="Arial" w:hAnsi="Arial" w:cs="Arial"/>
                <w:b/>
                <w:color w:val="000000" w:themeColor="text1"/>
                <w:sz w:val="20"/>
                <w:szCs w:val="20"/>
              </w:rPr>
              <w:t>Avelumab parent. 200 mg</w:t>
            </w:r>
          </w:p>
        </w:tc>
      </w:tr>
      <w:tr w:rsidR="00C57ACA" w:rsidRPr="0000591E" w14:paraId="2E2B13C4" w14:textId="77777777" w:rsidTr="003F7925">
        <w:trPr>
          <w:gridAfter w:val="2"/>
          <w:wAfter w:w="154" w:type="dxa"/>
          <w:trHeight w:val="20"/>
        </w:trPr>
        <w:tc>
          <w:tcPr>
            <w:tcW w:w="1256" w:type="dxa"/>
            <w:tcBorders>
              <w:top w:val="single" w:sz="4" w:space="0" w:color="auto"/>
            </w:tcBorders>
            <w:noWrap/>
            <w:vAlign w:val="bottom"/>
          </w:tcPr>
          <w:p w14:paraId="63124130" w14:textId="77777777" w:rsidR="00C57ACA" w:rsidRPr="00FA0BC0" w:rsidRDefault="00C57ACA" w:rsidP="00C57ACA">
            <w:pPr>
              <w:jc w:val="both"/>
              <w:rPr>
                <w:rFonts w:ascii="Arial" w:hAnsi="Arial" w:cs="Arial"/>
                <w:b/>
                <w:bCs/>
                <w:color w:val="000000" w:themeColor="text1"/>
                <w:sz w:val="20"/>
                <w:szCs w:val="20"/>
              </w:rPr>
            </w:pPr>
          </w:p>
        </w:tc>
        <w:tc>
          <w:tcPr>
            <w:tcW w:w="9452" w:type="dxa"/>
            <w:tcBorders>
              <w:top w:val="single" w:sz="4" w:space="0" w:color="auto"/>
            </w:tcBorders>
            <w:noWrap/>
            <w:vAlign w:val="bottom"/>
          </w:tcPr>
          <w:p w14:paraId="1A5BF46E" w14:textId="77777777" w:rsidR="00C57ACA" w:rsidRPr="00CC5C96"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Hradená liečba sa môže indikovať v monoterapii</w:t>
            </w:r>
          </w:p>
          <w:p w14:paraId="54BCDFB9" w14:textId="77777777" w:rsidR="00C57ACA" w:rsidRPr="00CC5C96"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a) na liečbu dospelých pacientov s metastatickým karcinómom z Merkelových buniek (Merkel Cell Carcinoma, MCC).</w:t>
            </w:r>
          </w:p>
          <w:p w14:paraId="6CDFAC26" w14:textId="77777777" w:rsidR="00C57ACA" w:rsidRPr="00CC5C96"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b) na udržiavaciu liečbu prvej línie dospelých pacientov s lokálne pokročilým alebo metastatickým uroteliálnym karcinómom (Urothelial Carcinoma, UC), ktorí sú po chemoterapii na báze platiny bez progresie ochorenia.</w:t>
            </w:r>
          </w:p>
          <w:p w14:paraId="235285E0" w14:textId="77777777" w:rsidR="00C57ACA"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Hradená liečba podlieha predchádzajúcemu súhlasu zdravotnej poisťovne.</w:t>
            </w:r>
          </w:p>
          <w:p w14:paraId="4E5BADE5" w14:textId="4FA5B661" w:rsidR="00C57ACA" w:rsidRPr="00CC5C96" w:rsidRDefault="00C57ACA" w:rsidP="00C57ACA">
            <w:pPr>
              <w:jc w:val="both"/>
              <w:rPr>
                <w:rFonts w:ascii="Arial" w:hAnsi="Arial" w:cs="Arial"/>
                <w:color w:val="000000" w:themeColor="text1"/>
                <w:sz w:val="20"/>
                <w:szCs w:val="20"/>
              </w:rPr>
            </w:pPr>
          </w:p>
        </w:tc>
      </w:tr>
      <w:tr w:rsidR="00C57ACA" w:rsidRPr="0000591E" w14:paraId="1B852CA6" w14:textId="77777777" w:rsidTr="003F7925">
        <w:trPr>
          <w:gridAfter w:val="2"/>
          <w:wAfter w:w="154" w:type="dxa"/>
          <w:trHeight w:val="20"/>
        </w:trPr>
        <w:tc>
          <w:tcPr>
            <w:tcW w:w="1256" w:type="dxa"/>
            <w:tcBorders>
              <w:bottom w:val="single" w:sz="4" w:space="0" w:color="auto"/>
            </w:tcBorders>
            <w:noWrap/>
            <w:vAlign w:val="bottom"/>
          </w:tcPr>
          <w:p w14:paraId="6D72F9CF" w14:textId="77777777" w:rsidR="00C57ACA" w:rsidRPr="0053738A" w:rsidRDefault="00C57ACA" w:rsidP="00C57ACA">
            <w:pPr>
              <w:jc w:val="both"/>
              <w:rPr>
                <w:rFonts w:ascii="Arial" w:hAnsi="Arial" w:cs="Arial"/>
                <w:b/>
                <w:bCs/>
                <w:color w:val="92D050"/>
                <w:sz w:val="20"/>
                <w:szCs w:val="20"/>
              </w:rPr>
            </w:pPr>
            <w:r w:rsidRPr="00FA0BC0">
              <w:rPr>
                <w:rFonts w:ascii="Arial" w:hAnsi="Arial" w:cs="Arial"/>
                <w:b/>
                <w:bCs/>
                <w:color w:val="000000" w:themeColor="text1"/>
                <w:sz w:val="20"/>
                <w:szCs w:val="20"/>
              </w:rPr>
              <w:t>L01FF05</w:t>
            </w:r>
          </w:p>
        </w:tc>
        <w:tc>
          <w:tcPr>
            <w:tcW w:w="9452" w:type="dxa"/>
            <w:tcBorders>
              <w:bottom w:val="single" w:sz="4" w:space="0" w:color="auto"/>
            </w:tcBorders>
            <w:noWrap/>
            <w:vAlign w:val="bottom"/>
          </w:tcPr>
          <w:p w14:paraId="0540F389" w14:textId="77777777" w:rsidR="00C57ACA" w:rsidRDefault="00C57ACA" w:rsidP="00C57ACA">
            <w:pPr>
              <w:jc w:val="both"/>
              <w:rPr>
                <w:rFonts w:ascii="Arial" w:hAnsi="Arial" w:cs="Arial"/>
                <w:b/>
                <w:color w:val="000000" w:themeColor="text1"/>
                <w:sz w:val="20"/>
                <w:szCs w:val="20"/>
              </w:rPr>
            </w:pPr>
            <w:r w:rsidRPr="00FA0BC0">
              <w:rPr>
                <w:rFonts w:ascii="Arial" w:hAnsi="Arial" w:cs="Arial"/>
                <w:b/>
                <w:color w:val="000000" w:themeColor="text1"/>
                <w:sz w:val="20"/>
                <w:szCs w:val="20"/>
              </w:rPr>
              <w:t>Atezolizumab parent. 1200 mg</w:t>
            </w:r>
          </w:p>
          <w:p w14:paraId="6EE67E38" w14:textId="1B4EE334" w:rsidR="00AC2F4A" w:rsidRPr="00FA0BC0" w:rsidRDefault="00AC2F4A" w:rsidP="00C57ACA">
            <w:pPr>
              <w:jc w:val="both"/>
              <w:rPr>
                <w:rFonts w:ascii="Arial" w:hAnsi="Arial" w:cs="Arial"/>
                <w:b/>
                <w:color w:val="000000" w:themeColor="text1"/>
                <w:sz w:val="20"/>
                <w:szCs w:val="20"/>
              </w:rPr>
            </w:pPr>
            <w:r w:rsidRPr="00AC2F4A">
              <w:rPr>
                <w:rFonts w:ascii="Arial" w:hAnsi="Arial" w:cs="Arial"/>
                <w:b/>
                <w:color w:val="000000" w:themeColor="text1"/>
                <w:sz w:val="20"/>
                <w:szCs w:val="20"/>
              </w:rPr>
              <w:t xml:space="preserve">Atezolizumab </w:t>
            </w:r>
            <w:r>
              <w:rPr>
                <w:rFonts w:ascii="Arial" w:hAnsi="Arial" w:cs="Arial"/>
                <w:b/>
                <w:color w:val="000000" w:themeColor="text1"/>
                <w:sz w:val="20"/>
                <w:szCs w:val="20"/>
              </w:rPr>
              <w:t>s.c</w:t>
            </w:r>
            <w:r w:rsidRPr="00AC2F4A">
              <w:rPr>
                <w:rFonts w:ascii="Arial" w:hAnsi="Arial" w:cs="Arial"/>
                <w:b/>
                <w:color w:val="000000" w:themeColor="text1"/>
                <w:sz w:val="20"/>
                <w:szCs w:val="20"/>
              </w:rPr>
              <w:t>. 1</w:t>
            </w:r>
            <w:r>
              <w:rPr>
                <w:rFonts w:ascii="Arial" w:hAnsi="Arial" w:cs="Arial"/>
                <w:b/>
                <w:color w:val="000000" w:themeColor="text1"/>
                <w:sz w:val="20"/>
                <w:szCs w:val="20"/>
              </w:rPr>
              <w:t>875</w:t>
            </w:r>
            <w:r w:rsidRPr="00AC2F4A">
              <w:rPr>
                <w:rFonts w:ascii="Arial" w:hAnsi="Arial" w:cs="Arial"/>
                <w:b/>
                <w:color w:val="000000" w:themeColor="text1"/>
                <w:sz w:val="20"/>
                <w:szCs w:val="20"/>
              </w:rPr>
              <w:t xml:space="preserve"> mg</w:t>
            </w:r>
          </w:p>
        </w:tc>
      </w:tr>
      <w:tr w:rsidR="00C57ACA" w:rsidRPr="0000591E" w14:paraId="20F81DEA" w14:textId="77777777" w:rsidTr="003F7925">
        <w:trPr>
          <w:gridAfter w:val="2"/>
          <w:wAfter w:w="154" w:type="dxa"/>
          <w:trHeight w:val="20"/>
        </w:trPr>
        <w:tc>
          <w:tcPr>
            <w:tcW w:w="1256" w:type="dxa"/>
            <w:noWrap/>
            <w:vAlign w:val="bottom"/>
          </w:tcPr>
          <w:p w14:paraId="5F0E8AFC" w14:textId="77777777" w:rsidR="00C57ACA" w:rsidRDefault="00C57ACA" w:rsidP="00C57ACA">
            <w:pPr>
              <w:jc w:val="both"/>
              <w:rPr>
                <w:rFonts w:ascii="Arial" w:hAnsi="Arial" w:cs="Arial"/>
                <w:b/>
                <w:bCs/>
                <w:sz w:val="20"/>
                <w:szCs w:val="20"/>
              </w:rPr>
            </w:pPr>
          </w:p>
        </w:tc>
        <w:tc>
          <w:tcPr>
            <w:tcW w:w="9452" w:type="dxa"/>
            <w:noWrap/>
            <w:vAlign w:val="bottom"/>
          </w:tcPr>
          <w:p w14:paraId="4BF6C59B"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Hradená liečba sa môže indikovať:</w:t>
            </w:r>
          </w:p>
          <w:p w14:paraId="55079FE7"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a) ako monoterapia v adjuvantnom režime po kompletnej resekcii a chemoterapii na báze platiny dospelým pacientom</w:t>
            </w:r>
            <w:r>
              <w:rPr>
                <w:rFonts w:ascii="Arial" w:hAnsi="Arial" w:cs="Arial"/>
                <w:sz w:val="20"/>
                <w:szCs w:val="20"/>
              </w:rPr>
              <w:t xml:space="preserve"> </w:t>
            </w:r>
            <w:r w:rsidRPr="0053738A">
              <w:rPr>
                <w:rFonts w:ascii="Arial" w:hAnsi="Arial" w:cs="Arial"/>
                <w:sz w:val="20"/>
                <w:szCs w:val="20"/>
              </w:rPr>
              <w:t>s nemalobunkovým karcinómom pľúc (non-small cell lung cancer, NSCLC) s vysokým rizikom recidívy (podľa</w:t>
            </w:r>
            <w:r>
              <w:rPr>
                <w:rFonts w:ascii="Arial" w:hAnsi="Arial" w:cs="Arial"/>
                <w:sz w:val="20"/>
                <w:szCs w:val="20"/>
              </w:rPr>
              <w:t xml:space="preserve"> </w:t>
            </w:r>
            <w:r w:rsidRPr="0053738A">
              <w:rPr>
                <w:rFonts w:ascii="Arial" w:hAnsi="Arial" w:cs="Arial"/>
                <w:sz w:val="20"/>
                <w:szCs w:val="20"/>
              </w:rPr>
              <w:t>kapitoly 5.1. SPC lieku Tecentriq), u ktorých je v nádore expresia PD-L1 ≥ 50 % nádorových buniek (tumour cells,</w:t>
            </w:r>
            <w:r>
              <w:rPr>
                <w:rFonts w:ascii="Arial" w:hAnsi="Arial" w:cs="Arial"/>
                <w:sz w:val="20"/>
                <w:szCs w:val="20"/>
              </w:rPr>
              <w:t xml:space="preserve"> </w:t>
            </w:r>
            <w:r w:rsidRPr="0053738A">
              <w:rPr>
                <w:rFonts w:ascii="Arial" w:hAnsi="Arial" w:cs="Arial"/>
                <w:sz w:val="20"/>
                <w:szCs w:val="20"/>
              </w:rPr>
              <w:t>TC) a ktorí nemajú NSCLC s mutáciami EGFR alebo pozitivitou ALK.</w:t>
            </w:r>
          </w:p>
          <w:p w14:paraId="208E3D88"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Terapeutická indikácia odzrkadľuje populáciu pacientov so štádiom II – IIIA podľa systému pre kritéria k</w:t>
            </w:r>
            <w:r>
              <w:rPr>
                <w:rFonts w:ascii="Arial" w:hAnsi="Arial" w:cs="Arial"/>
                <w:sz w:val="20"/>
                <w:szCs w:val="20"/>
              </w:rPr>
              <w:t> </w:t>
            </w:r>
            <w:r w:rsidRPr="0053738A">
              <w:rPr>
                <w:rFonts w:ascii="Arial" w:hAnsi="Arial" w:cs="Arial"/>
                <w:sz w:val="20"/>
                <w:szCs w:val="20"/>
              </w:rPr>
              <w:t>určeniu</w:t>
            </w:r>
            <w:r>
              <w:rPr>
                <w:rFonts w:ascii="Arial" w:hAnsi="Arial" w:cs="Arial"/>
                <w:sz w:val="20"/>
                <w:szCs w:val="20"/>
              </w:rPr>
              <w:t xml:space="preserve"> </w:t>
            </w:r>
            <w:r w:rsidRPr="0053738A">
              <w:rPr>
                <w:rFonts w:ascii="Arial" w:hAnsi="Arial" w:cs="Arial"/>
                <w:sz w:val="20"/>
                <w:szCs w:val="20"/>
              </w:rPr>
              <w:t>štádia (7. vydanie).</w:t>
            </w:r>
          </w:p>
          <w:p w14:paraId="0BDB515E"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Liečba je hradená maximálne 16 cyklov, pokiaľ nedôjde k recidíve ochorenia alebo k vzniku nezvládnuteľnej toxicity.</w:t>
            </w:r>
          </w:p>
          <w:p w14:paraId="77CD3725"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b) ako monoterapia na liečbu prvej línie dospelých pacientov s metastatickým nemalobunkovým karcinómom pľúc</w:t>
            </w:r>
            <w:r>
              <w:rPr>
                <w:rFonts w:ascii="Arial" w:hAnsi="Arial" w:cs="Arial"/>
                <w:sz w:val="20"/>
                <w:szCs w:val="20"/>
              </w:rPr>
              <w:t xml:space="preserve"> </w:t>
            </w:r>
            <w:r w:rsidRPr="0053738A">
              <w:rPr>
                <w:rFonts w:ascii="Arial" w:hAnsi="Arial" w:cs="Arial"/>
                <w:sz w:val="20"/>
                <w:szCs w:val="20"/>
              </w:rPr>
              <w:t>(non-small cell lung cancer, NSCLC), u ktorých je v nádore expresia PD-L1 ≥ 50 % TC alebo ≥ 10 % nádor</w:t>
            </w:r>
            <w:r>
              <w:rPr>
                <w:rFonts w:ascii="Arial" w:hAnsi="Arial" w:cs="Arial"/>
                <w:sz w:val="20"/>
                <w:szCs w:val="20"/>
              </w:rPr>
              <w:t xml:space="preserve"> </w:t>
            </w:r>
            <w:r w:rsidRPr="0053738A">
              <w:rPr>
                <w:rFonts w:ascii="Arial" w:hAnsi="Arial" w:cs="Arial"/>
                <w:sz w:val="20"/>
                <w:szCs w:val="20"/>
              </w:rPr>
              <w:t>infiltrujúcich imunitných buniek (tumour-infiltrating immune cells, IC), ktorí nemajú NSCLC s mutáciami EGFR</w:t>
            </w:r>
            <w:r>
              <w:rPr>
                <w:rFonts w:ascii="Arial" w:hAnsi="Arial" w:cs="Arial"/>
                <w:sz w:val="20"/>
                <w:szCs w:val="20"/>
              </w:rPr>
              <w:t xml:space="preserve"> </w:t>
            </w:r>
            <w:r w:rsidRPr="0053738A">
              <w:rPr>
                <w:rFonts w:ascii="Arial" w:hAnsi="Arial" w:cs="Arial"/>
                <w:sz w:val="20"/>
                <w:szCs w:val="20"/>
              </w:rPr>
              <w:t>alebo s pozitivitou ALK.</w:t>
            </w:r>
          </w:p>
          <w:p w14:paraId="16C988E5"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Terapia je hradená do potvrdenia progresie, verifikovanej opakov</w:t>
            </w:r>
            <w:r>
              <w:rPr>
                <w:rFonts w:ascii="Arial" w:hAnsi="Arial" w:cs="Arial"/>
                <w:sz w:val="20"/>
                <w:szCs w:val="20"/>
              </w:rPr>
              <w:t xml:space="preserve">aným rádiologickým vyšetrením v </w:t>
            </w:r>
            <w:r w:rsidRPr="0053738A">
              <w:rPr>
                <w:rFonts w:ascii="Arial" w:hAnsi="Arial" w:cs="Arial"/>
                <w:sz w:val="20"/>
                <w:szCs w:val="20"/>
              </w:rPr>
              <w:t>odstupe 4-8</w:t>
            </w:r>
            <w:r>
              <w:rPr>
                <w:rFonts w:ascii="Arial" w:hAnsi="Arial" w:cs="Arial"/>
                <w:sz w:val="20"/>
                <w:szCs w:val="20"/>
              </w:rPr>
              <w:t xml:space="preserve"> </w:t>
            </w:r>
            <w:r w:rsidRPr="0053738A">
              <w:rPr>
                <w:rFonts w:ascii="Arial" w:hAnsi="Arial" w:cs="Arial"/>
                <w:sz w:val="20"/>
                <w:szCs w:val="20"/>
              </w:rPr>
              <w:t>týždňov, alebo do vzniku nezvládnuteľnej toxicity.</w:t>
            </w:r>
          </w:p>
          <w:p w14:paraId="4C9575CF"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c) ako monoterapia na liečbu dospelých pacientov s lokálne pokročilým alebo metastatickým nemalobunkovým</w:t>
            </w:r>
            <w:r>
              <w:rPr>
                <w:rFonts w:ascii="Arial" w:hAnsi="Arial" w:cs="Arial"/>
                <w:sz w:val="20"/>
                <w:szCs w:val="20"/>
              </w:rPr>
              <w:t xml:space="preserve"> </w:t>
            </w:r>
            <w:r w:rsidRPr="0053738A">
              <w:rPr>
                <w:rFonts w:ascii="Arial" w:hAnsi="Arial" w:cs="Arial"/>
                <w:sz w:val="20"/>
                <w:szCs w:val="20"/>
              </w:rPr>
              <w:t>karcinómom pľúc (non-small cell lung cancer, NSCLC) po progresii po predchádzajúcej chemoterapii. Pacienti s</w:t>
            </w:r>
            <w:r>
              <w:rPr>
                <w:rFonts w:ascii="Arial" w:hAnsi="Arial" w:cs="Arial"/>
                <w:sz w:val="20"/>
                <w:szCs w:val="20"/>
              </w:rPr>
              <w:t xml:space="preserve"> </w:t>
            </w:r>
            <w:r w:rsidRPr="0053738A">
              <w:rPr>
                <w:rFonts w:ascii="Arial" w:hAnsi="Arial" w:cs="Arial"/>
                <w:sz w:val="20"/>
                <w:szCs w:val="20"/>
              </w:rPr>
              <w:t>NSCLC s mutáciami EGFR alebo s pozitivitou ALK majú pred podávaním Tecentriqu dostávať aj cielenú liečbu.</w:t>
            </w:r>
            <w:r>
              <w:rPr>
                <w:rFonts w:ascii="Arial" w:hAnsi="Arial" w:cs="Arial"/>
                <w:sz w:val="20"/>
                <w:szCs w:val="20"/>
              </w:rPr>
              <w:t xml:space="preserve"> </w:t>
            </w:r>
            <w:r w:rsidRPr="0053738A">
              <w:rPr>
                <w:rFonts w:ascii="Arial" w:hAnsi="Arial" w:cs="Arial"/>
                <w:sz w:val="20"/>
                <w:szCs w:val="20"/>
              </w:rPr>
              <w:t>Liečba je hradená do straty klinického prínosu alebo do vzniku nezvládnuteľnej toxicity.</w:t>
            </w:r>
          </w:p>
          <w:p w14:paraId="1CD55E05"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d) v kombinácii s bevacizumabom na liečbu dospelých pacientov s pokročilým alebo neresekovateľným</w:t>
            </w:r>
          </w:p>
          <w:p w14:paraId="408494CC" w14:textId="77777777" w:rsidR="00C57ACA" w:rsidRDefault="00C57ACA" w:rsidP="00C57ACA">
            <w:pPr>
              <w:jc w:val="both"/>
              <w:rPr>
                <w:rFonts w:ascii="Arial" w:hAnsi="Arial" w:cs="Arial"/>
                <w:sz w:val="20"/>
                <w:szCs w:val="20"/>
              </w:rPr>
            </w:pPr>
            <w:r w:rsidRPr="0053738A">
              <w:rPr>
                <w:rFonts w:ascii="Arial" w:hAnsi="Arial" w:cs="Arial"/>
                <w:sz w:val="20"/>
                <w:szCs w:val="20"/>
              </w:rPr>
              <w:t>hepatocelulárnym karcinómom pacientom s pečeňovou funkciou v triede A podľa Child-Pugh klasifikácie, ktorí</w:t>
            </w:r>
            <w:r>
              <w:rPr>
                <w:rFonts w:ascii="Arial" w:hAnsi="Arial" w:cs="Arial"/>
                <w:sz w:val="20"/>
                <w:szCs w:val="20"/>
              </w:rPr>
              <w:t xml:space="preserve"> </w:t>
            </w:r>
            <w:r w:rsidRPr="0053738A">
              <w:rPr>
                <w:rFonts w:ascii="Arial" w:hAnsi="Arial" w:cs="Arial"/>
                <w:sz w:val="20"/>
                <w:szCs w:val="20"/>
              </w:rPr>
              <w:t>predtým nedostávali systémovú terapiu.</w:t>
            </w:r>
          </w:p>
          <w:p w14:paraId="394D2BAE" w14:textId="77777777" w:rsidR="00C57ACA" w:rsidRPr="0053738A" w:rsidRDefault="00C57ACA" w:rsidP="00C57ACA">
            <w:pPr>
              <w:jc w:val="both"/>
              <w:rPr>
                <w:rFonts w:ascii="Arial" w:hAnsi="Arial" w:cs="Arial"/>
                <w:sz w:val="20"/>
                <w:szCs w:val="20"/>
              </w:rPr>
            </w:pPr>
          </w:p>
          <w:p w14:paraId="60917652"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Liečba je hradená do straty klinického prínosu alebo do vzniku nezvládnuteľnej toxicity.</w:t>
            </w:r>
          </w:p>
          <w:p w14:paraId="477505E6" w14:textId="77777777" w:rsidR="00C57ACA" w:rsidRDefault="00C57ACA" w:rsidP="00C57ACA">
            <w:pPr>
              <w:jc w:val="both"/>
              <w:rPr>
                <w:rFonts w:ascii="Arial" w:hAnsi="Arial" w:cs="Arial"/>
                <w:sz w:val="20"/>
                <w:szCs w:val="20"/>
              </w:rPr>
            </w:pPr>
            <w:r w:rsidRPr="0053738A">
              <w:rPr>
                <w:rFonts w:ascii="Arial" w:hAnsi="Arial" w:cs="Arial"/>
                <w:sz w:val="20"/>
                <w:szCs w:val="20"/>
              </w:rPr>
              <w:t>Hradená liečba podlieha predchádzajúcemu súhlasu zdravotnej poisťovne.</w:t>
            </w:r>
          </w:p>
          <w:p w14:paraId="446CE774" w14:textId="0C756285" w:rsidR="00C57ACA" w:rsidRPr="00EE2809" w:rsidRDefault="00C57ACA" w:rsidP="00C57ACA">
            <w:pPr>
              <w:jc w:val="both"/>
              <w:rPr>
                <w:rFonts w:ascii="Arial" w:hAnsi="Arial" w:cs="Arial"/>
                <w:sz w:val="20"/>
                <w:szCs w:val="20"/>
              </w:rPr>
            </w:pPr>
          </w:p>
        </w:tc>
      </w:tr>
      <w:tr w:rsidR="00C57ACA" w:rsidRPr="0000591E" w14:paraId="7A80A4F0" w14:textId="77777777" w:rsidTr="00437AB7">
        <w:trPr>
          <w:gridAfter w:val="2"/>
          <w:wAfter w:w="154" w:type="dxa"/>
          <w:trHeight w:val="20"/>
        </w:trPr>
        <w:tc>
          <w:tcPr>
            <w:tcW w:w="1256" w:type="dxa"/>
            <w:tcBorders>
              <w:bottom w:val="single" w:sz="4" w:space="0" w:color="auto"/>
            </w:tcBorders>
            <w:noWrap/>
            <w:vAlign w:val="bottom"/>
          </w:tcPr>
          <w:p w14:paraId="00960AB1" w14:textId="5AE79BD0" w:rsidR="00C57ACA" w:rsidRDefault="00C57ACA" w:rsidP="00C57ACA">
            <w:pPr>
              <w:jc w:val="both"/>
              <w:rPr>
                <w:rFonts w:ascii="Arial" w:hAnsi="Arial" w:cs="Arial"/>
                <w:b/>
                <w:bCs/>
                <w:sz w:val="20"/>
                <w:szCs w:val="20"/>
              </w:rPr>
            </w:pPr>
            <w:r w:rsidRPr="00437AB7">
              <w:rPr>
                <w:rFonts w:ascii="Arial" w:hAnsi="Arial" w:cs="Arial"/>
                <w:b/>
                <w:bCs/>
                <w:sz w:val="20"/>
                <w:szCs w:val="20"/>
              </w:rPr>
              <w:t>L01FF06</w:t>
            </w:r>
          </w:p>
        </w:tc>
        <w:tc>
          <w:tcPr>
            <w:tcW w:w="9452" w:type="dxa"/>
            <w:tcBorders>
              <w:bottom w:val="single" w:sz="4" w:space="0" w:color="auto"/>
            </w:tcBorders>
            <w:vAlign w:val="bottom"/>
          </w:tcPr>
          <w:p w14:paraId="1724D15D" w14:textId="2A0254ED" w:rsidR="00C57ACA" w:rsidRPr="0000591E" w:rsidRDefault="00C57ACA" w:rsidP="00C57ACA">
            <w:pPr>
              <w:jc w:val="both"/>
              <w:rPr>
                <w:rFonts w:ascii="Arial" w:hAnsi="Arial" w:cs="Arial"/>
                <w:b/>
                <w:bCs/>
                <w:sz w:val="20"/>
                <w:szCs w:val="20"/>
              </w:rPr>
            </w:pPr>
            <w:r w:rsidRPr="00437AB7">
              <w:rPr>
                <w:rFonts w:ascii="Arial" w:hAnsi="Arial" w:cs="Arial"/>
                <w:b/>
                <w:bCs/>
                <w:sz w:val="20"/>
                <w:szCs w:val="20"/>
              </w:rPr>
              <w:t>Cemiplimab</w:t>
            </w:r>
            <w:r>
              <w:rPr>
                <w:rFonts w:ascii="Arial" w:hAnsi="Arial" w:cs="Arial"/>
                <w:b/>
                <w:bCs/>
                <w:sz w:val="20"/>
                <w:szCs w:val="20"/>
              </w:rPr>
              <w:t xml:space="preserve"> </w:t>
            </w:r>
            <w:r w:rsidRPr="00437AB7">
              <w:rPr>
                <w:rFonts w:ascii="Arial" w:hAnsi="Arial" w:cs="Arial"/>
                <w:b/>
                <w:bCs/>
                <w:sz w:val="20"/>
                <w:szCs w:val="20"/>
              </w:rPr>
              <w:t>parent. 350 mg</w:t>
            </w:r>
          </w:p>
        </w:tc>
      </w:tr>
      <w:tr w:rsidR="00C57ACA" w:rsidRPr="0000591E" w14:paraId="5582EC25" w14:textId="77777777" w:rsidTr="00437AB7">
        <w:trPr>
          <w:gridAfter w:val="2"/>
          <w:wAfter w:w="154" w:type="dxa"/>
          <w:trHeight w:val="20"/>
        </w:trPr>
        <w:tc>
          <w:tcPr>
            <w:tcW w:w="1256" w:type="dxa"/>
            <w:tcBorders>
              <w:top w:val="single" w:sz="4" w:space="0" w:color="auto"/>
            </w:tcBorders>
            <w:noWrap/>
            <w:vAlign w:val="bottom"/>
          </w:tcPr>
          <w:p w14:paraId="7E3F9F91"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7D242134" w14:textId="77777777" w:rsidR="00C57ACA" w:rsidRPr="00437AB7" w:rsidRDefault="00C57ACA" w:rsidP="00C57ACA">
            <w:pPr>
              <w:jc w:val="both"/>
              <w:rPr>
                <w:rFonts w:ascii="Arial" w:hAnsi="Arial" w:cs="Arial"/>
                <w:bCs/>
                <w:sz w:val="20"/>
                <w:szCs w:val="20"/>
              </w:rPr>
            </w:pPr>
            <w:r w:rsidRPr="00437AB7">
              <w:rPr>
                <w:rFonts w:ascii="Arial" w:hAnsi="Arial" w:cs="Arial"/>
                <w:bCs/>
                <w:sz w:val="20"/>
                <w:szCs w:val="20"/>
              </w:rPr>
              <w:t>Hradená liečba sa môže indikovať:</w:t>
            </w:r>
          </w:p>
          <w:p w14:paraId="6E1ABBF4" w14:textId="77777777" w:rsidR="00C57ACA" w:rsidRPr="00437AB7" w:rsidRDefault="00C57ACA" w:rsidP="00C57ACA">
            <w:pPr>
              <w:jc w:val="both"/>
              <w:rPr>
                <w:rFonts w:ascii="Arial" w:hAnsi="Arial" w:cs="Arial"/>
                <w:bCs/>
                <w:sz w:val="20"/>
                <w:szCs w:val="20"/>
              </w:rPr>
            </w:pPr>
            <w:r w:rsidRPr="00437AB7">
              <w:rPr>
                <w:rFonts w:ascii="Arial" w:hAnsi="Arial" w:cs="Arial"/>
                <w:bCs/>
                <w:sz w:val="20"/>
                <w:szCs w:val="20"/>
              </w:rPr>
              <w:t>a) v monoterapii u dospelých pacientov s metastatickým alebo lokálne pokročilým skvamocelulárnym karcinómom kože, ktorí nie sú vhodní na kuratívny chirurgický zákrok alebo kuratívne ožarovanie.</w:t>
            </w:r>
          </w:p>
          <w:p w14:paraId="12A9676B" w14:textId="77777777" w:rsidR="00C57ACA" w:rsidRPr="00437AB7" w:rsidRDefault="00C57ACA" w:rsidP="00C57ACA">
            <w:pPr>
              <w:jc w:val="both"/>
              <w:rPr>
                <w:rFonts w:ascii="Arial" w:hAnsi="Arial" w:cs="Arial"/>
                <w:bCs/>
                <w:sz w:val="20"/>
                <w:szCs w:val="20"/>
              </w:rPr>
            </w:pPr>
            <w:r w:rsidRPr="00437AB7">
              <w:rPr>
                <w:rFonts w:ascii="Arial" w:hAnsi="Arial" w:cs="Arial"/>
                <w:bCs/>
                <w:sz w:val="20"/>
                <w:szCs w:val="20"/>
              </w:rPr>
              <w:t>Maximálna dĺžka hradenej liečby je 24 mesiacov.</w:t>
            </w:r>
          </w:p>
          <w:p w14:paraId="31418DC9" w14:textId="77777777" w:rsidR="00C57ACA" w:rsidRDefault="00C57ACA" w:rsidP="00C57ACA">
            <w:pPr>
              <w:jc w:val="both"/>
              <w:rPr>
                <w:rFonts w:ascii="Arial" w:hAnsi="Arial" w:cs="Arial"/>
                <w:bCs/>
                <w:sz w:val="20"/>
                <w:szCs w:val="20"/>
              </w:rPr>
            </w:pPr>
            <w:r w:rsidRPr="00437AB7">
              <w:rPr>
                <w:rFonts w:ascii="Arial" w:hAnsi="Arial" w:cs="Arial"/>
                <w:bCs/>
                <w:sz w:val="20"/>
                <w:szCs w:val="20"/>
              </w:rPr>
              <w:t>Hradená liečba podlieha predchádzajúcemu súhlasu zdravotnej poisťovne.</w:t>
            </w:r>
          </w:p>
          <w:p w14:paraId="1789D8F3" w14:textId="77777777" w:rsidR="00C57ACA" w:rsidRDefault="00C57ACA" w:rsidP="00C57ACA">
            <w:pPr>
              <w:jc w:val="both"/>
              <w:rPr>
                <w:rFonts w:ascii="Arial" w:hAnsi="Arial" w:cs="Arial"/>
                <w:bCs/>
                <w:sz w:val="20"/>
                <w:szCs w:val="20"/>
              </w:rPr>
            </w:pPr>
          </w:p>
          <w:p w14:paraId="6DE9A4D7" w14:textId="30A3D0B1" w:rsidR="00C57ACA" w:rsidRPr="00437AB7" w:rsidRDefault="00C57ACA" w:rsidP="00C57ACA">
            <w:pPr>
              <w:jc w:val="both"/>
              <w:rPr>
                <w:rFonts w:ascii="Arial" w:hAnsi="Arial" w:cs="Arial"/>
                <w:bCs/>
                <w:sz w:val="20"/>
                <w:szCs w:val="20"/>
              </w:rPr>
            </w:pPr>
            <w:r w:rsidRPr="00437AB7">
              <w:rPr>
                <w:rFonts w:ascii="Arial" w:hAnsi="Arial" w:cs="Arial"/>
                <w:bCs/>
                <w:sz w:val="20"/>
                <w:szCs w:val="20"/>
              </w:rPr>
              <w:t>b) v monoterapii u dospelých pacientok s rekurentným alebo metastatickým karcinómom krčka maternice v druhej a vyššej línii po progresii ochorenia počas chemoterapie na báze platiny alebo po nej. Liečba je hradená iba v prípade, ak predchádzajúca liečba nezahŕňala inhibítory PD-1/PD-L1.</w:t>
            </w:r>
          </w:p>
          <w:p w14:paraId="41EF0EAF" w14:textId="77777777" w:rsidR="00C57ACA" w:rsidRDefault="00C57ACA" w:rsidP="00C57ACA">
            <w:pPr>
              <w:jc w:val="both"/>
              <w:rPr>
                <w:rFonts w:ascii="Arial" w:hAnsi="Arial" w:cs="Arial"/>
                <w:bCs/>
                <w:sz w:val="20"/>
                <w:szCs w:val="20"/>
              </w:rPr>
            </w:pPr>
            <w:r w:rsidRPr="00437AB7">
              <w:rPr>
                <w:rFonts w:ascii="Arial" w:hAnsi="Arial" w:cs="Arial"/>
                <w:bCs/>
                <w:sz w:val="20"/>
                <w:szCs w:val="20"/>
              </w:rPr>
              <w:t>Hradená liečba podlieha predchádzajúcemu súhlasu zdravotnej poisťovne.</w:t>
            </w:r>
          </w:p>
          <w:p w14:paraId="69D96EF7" w14:textId="16C5EBAD" w:rsidR="00C57ACA" w:rsidRPr="00437AB7" w:rsidRDefault="00C57ACA" w:rsidP="00C57ACA">
            <w:pPr>
              <w:jc w:val="both"/>
              <w:rPr>
                <w:rFonts w:ascii="Arial" w:hAnsi="Arial" w:cs="Arial"/>
                <w:bCs/>
                <w:sz w:val="20"/>
                <w:szCs w:val="20"/>
              </w:rPr>
            </w:pPr>
          </w:p>
        </w:tc>
      </w:tr>
      <w:tr w:rsidR="00C57ACA" w:rsidRPr="0000591E" w14:paraId="3FC13275" w14:textId="77777777" w:rsidTr="00437AB7">
        <w:trPr>
          <w:gridAfter w:val="2"/>
          <w:wAfter w:w="154" w:type="dxa"/>
          <w:trHeight w:val="20"/>
        </w:trPr>
        <w:tc>
          <w:tcPr>
            <w:tcW w:w="1256" w:type="dxa"/>
            <w:tcBorders>
              <w:bottom w:val="single" w:sz="4" w:space="0" w:color="auto"/>
            </w:tcBorders>
            <w:noWrap/>
            <w:vAlign w:val="bottom"/>
          </w:tcPr>
          <w:p w14:paraId="6462405A" w14:textId="77777777" w:rsidR="00C57ACA" w:rsidRPr="0000591E" w:rsidRDefault="00C57ACA" w:rsidP="00C57ACA">
            <w:pPr>
              <w:jc w:val="both"/>
              <w:rPr>
                <w:rFonts w:ascii="Arial" w:hAnsi="Arial" w:cs="Arial"/>
                <w:b/>
                <w:bCs/>
                <w:sz w:val="20"/>
                <w:szCs w:val="20"/>
                <w:lang w:eastAsia="cs-CZ"/>
              </w:rPr>
            </w:pPr>
            <w:r>
              <w:rPr>
                <w:rFonts w:ascii="Arial" w:hAnsi="Arial" w:cs="Arial"/>
                <w:b/>
                <w:bCs/>
                <w:sz w:val="20"/>
                <w:szCs w:val="20"/>
              </w:rPr>
              <w:t>L01FG01</w:t>
            </w:r>
            <w:r w:rsidRPr="0000591E">
              <w:rPr>
                <w:rFonts w:ascii="Arial" w:hAnsi="Arial" w:cs="Arial"/>
                <w:b/>
                <w:bCs/>
                <w:sz w:val="20"/>
                <w:szCs w:val="20"/>
              </w:rPr>
              <w:t xml:space="preserve"> </w:t>
            </w:r>
          </w:p>
        </w:tc>
        <w:tc>
          <w:tcPr>
            <w:tcW w:w="9452" w:type="dxa"/>
            <w:tcBorders>
              <w:bottom w:val="single" w:sz="4" w:space="0" w:color="auto"/>
            </w:tcBorders>
            <w:vAlign w:val="bottom"/>
          </w:tcPr>
          <w:p w14:paraId="284BB81B" w14:textId="77777777" w:rsidR="00C57ACA" w:rsidRPr="0000591E" w:rsidRDefault="00C57ACA" w:rsidP="00C57ACA">
            <w:pPr>
              <w:jc w:val="both"/>
              <w:rPr>
                <w:rFonts w:ascii="Arial" w:hAnsi="Arial" w:cs="Arial"/>
                <w:b/>
                <w:bCs/>
                <w:sz w:val="20"/>
                <w:szCs w:val="20"/>
              </w:rPr>
            </w:pPr>
            <w:r w:rsidRPr="0000591E">
              <w:rPr>
                <w:rFonts w:ascii="Arial" w:hAnsi="Arial" w:cs="Arial"/>
                <w:b/>
                <w:bCs/>
                <w:sz w:val="20"/>
                <w:szCs w:val="20"/>
              </w:rPr>
              <w:t>Bevacizumab parent. 100 mg,</w:t>
            </w:r>
          </w:p>
          <w:p w14:paraId="7BE29D80" w14:textId="77777777" w:rsidR="00C57ACA" w:rsidRPr="0000591E" w:rsidRDefault="00C57ACA" w:rsidP="00C57ACA">
            <w:pPr>
              <w:jc w:val="both"/>
              <w:rPr>
                <w:rFonts w:ascii="Arial" w:hAnsi="Arial" w:cs="Arial"/>
                <w:b/>
                <w:bCs/>
                <w:sz w:val="20"/>
                <w:szCs w:val="20"/>
                <w:lang w:eastAsia="cs-CZ"/>
              </w:rPr>
            </w:pPr>
            <w:r w:rsidRPr="0000591E">
              <w:rPr>
                <w:rFonts w:ascii="Arial" w:hAnsi="Arial" w:cs="Arial"/>
                <w:b/>
                <w:bCs/>
                <w:sz w:val="20"/>
                <w:szCs w:val="20"/>
              </w:rPr>
              <w:t>Bevacizumab parent. 400 mg</w:t>
            </w:r>
          </w:p>
        </w:tc>
      </w:tr>
      <w:tr w:rsidR="00C57ACA" w:rsidRPr="0000591E" w14:paraId="019FAB75" w14:textId="77777777" w:rsidTr="004F1153">
        <w:trPr>
          <w:gridAfter w:val="2"/>
          <w:wAfter w:w="154" w:type="dxa"/>
          <w:trHeight w:val="20"/>
        </w:trPr>
        <w:tc>
          <w:tcPr>
            <w:tcW w:w="1256" w:type="dxa"/>
            <w:tcBorders>
              <w:top w:val="single" w:sz="4" w:space="0" w:color="auto"/>
            </w:tcBorders>
            <w:noWrap/>
            <w:vAlign w:val="bottom"/>
          </w:tcPr>
          <w:p w14:paraId="5A1C58D7"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14060D6E" w14:textId="765C73D9" w:rsidR="00C57ACA" w:rsidRDefault="00C57ACA" w:rsidP="00C57ACA">
            <w:pPr>
              <w:jc w:val="both"/>
              <w:rPr>
                <w:rFonts w:ascii="Arial" w:hAnsi="Arial" w:cs="Arial"/>
                <w:bCs/>
                <w:sz w:val="20"/>
                <w:szCs w:val="20"/>
              </w:rPr>
            </w:pPr>
            <w:r w:rsidRPr="00F271A1">
              <w:rPr>
                <w:rFonts w:ascii="Arial" w:hAnsi="Arial" w:cs="Arial"/>
                <w:bCs/>
                <w:sz w:val="20"/>
                <w:szCs w:val="20"/>
              </w:rPr>
              <w:t>Hradená liečba sa môže indikovať u pacientov s</w:t>
            </w:r>
          </w:p>
          <w:p w14:paraId="27B108DB" w14:textId="5C89C879" w:rsidR="00C57ACA" w:rsidRDefault="00C57ACA" w:rsidP="00C57ACA">
            <w:pPr>
              <w:tabs>
                <w:tab w:val="left" w:pos="352"/>
              </w:tabs>
              <w:jc w:val="both"/>
              <w:rPr>
                <w:rFonts w:ascii="Arial" w:hAnsi="Arial" w:cs="Arial"/>
                <w:bCs/>
                <w:sz w:val="20"/>
                <w:szCs w:val="20"/>
              </w:rPr>
            </w:pPr>
            <w:r w:rsidRPr="00F271A1">
              <w:rPr>
                <w:rFonts w:ascii="Arial" w:hAnsi="Arial" w:cs="Arial"/>
                <w:bCs/>
                <w:sz w:val="20"/>
                <w:szCs w:val="20"/>
              </w:rPr>
              <w:t>a)</w:t>
            </w:r>
            <w:r w:rsidRPr="00F271A1">
              <w:rPr>
                <w:rFonts w:ascii="Arial" w:hAnsi="Arial" w:cs="Arial"/>
                <w:bCs/>
                <w:sz w:val="20"/>
                <w:szCs w:val="20"/>
              </w:rPr>
              <w:tab/>
              <w:t>metastatickým karcinómom hrubého čreva alebo konečníka v kombinácii s chemoterapiou na</w:t>
            </w:r>
            <w:r>
              <w:rPr>
                <w:rFonts w:ascii="Arial" w:hAnsi="Arial" w:cs="Arial"/>
                <w:bCs/>
                <w:sz w:val="20"/>
                <w:szCs w:val="20"/>
              </w:rPr>
              <w:t xml:space="preserve"> </w:t>
            </w:r>
            <w:r w:rsidRPr="00F271A1">
              <w:rPr>
                <w:rFonts w:ascii="Arial" w:hAnsi="Arial" w:cs="Arial"/>
                <w:bCs/>
                <w:sz w:val="20"/>
                <w:szCs w:val="20"/>
              </w:rPr>
              <w:t xml:space="preserve">báze </w:t>
            </w:r>
            <w:r>
              <w:rPr>
                <w:rFonts w:ascii="Arial" w:hAnsi="Arial" w:cs="Arial"/>
                <w:bCs/>
                <w:sz w:val="20"/>
                <w:szCs w:val="20"/>
              </w:rPr>
              <w:tab/>
            </w:r>
            <w:r w:rsidRPr="00F271A1">
              <w:rPr>
                <w:rFonts w:ascii="Arial" w:hAnsi="Arial" w:cs="Arial"/>
                <w:bCs/>
                <w:sz w:val="20"/>
                <w:szCs w:val="20"/>
              </w:rPr>
              <w:t xml:space="preserve">fluórpyrimidínu v rámci systémovej liečby ako iniciálna liečba, alebo liečba po prvej progresii,      </w:t>
            </w:r>
          </w:p>
          <w:p w14:paraId="37BFF17C" w14:textId="174A00BD" w:rsidR="00C57ACA" w:rsidRDefault="00C57ACA" w:rsidP="00C57ACA">
            <w:pPr>
              <w:tabs>
                <w:tab w:val="left" w:pos="352"/>
              </w:tabs>
              <w:jc w:val="both"/>
              <w:rPr>
                <w:rFonts w:ascii="Arial" w:hAnsi="Arial" w:cs="Arial"/>
                <w:bCs/>
                <w:sz w:val="20"/>
                <w:szCs w:val="20"/>
              </w:rPr>
            </w:pPr>
            <w:r>
              <w:rPr>
                <w:rFonts w:ascii="Arial" w:hAnsi="Arial" w:cs="Arial"/>
                <w:bCs/>
                <w:sz w:val="20"/>
                <w:szCs w:val="20"/>
              </w:rPr>
              <w:t>b)</w:t>
            </w:r>
            <w:r>
              <w:rPr>
                <w:rFonts w:ascii="Arial" w:hAnsi="Arial" w:cs="Arial"/>
                <w:bCs/>
                <w:sz w:val="20"/>
                <w:szCs w:val="20"/>
              </w:rPr>
              <w:tab/>
            </w:r>
            <w:r w:rsidRPr="00F271A1">
              <w:rPr>
                <w:rFonts w:ascii="Arial" w:hAnsi="Arial" w:cs="Arial"/>
                <w:bCs/>
                <w:sz w:val="20"/>
                <w:szCs w:val="20"/>
              </w:rPr>
              <w:t>metastatickým karcinómom prsníka ako liek v prvej línii v kombinácii s paklitaxelom u HER-2</w:t>
            </w:r>
            <w:r>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sidRPr="00F271A1">
              <w:rPr>
                <w:rFonts w:ascii="Arial" w:hAnsi="Arial" w:cs="Arial"/>
                <w:bCs/>
                <w:sz w:val="20"/>
                <w:szCs w:val="20"/>
              </w:rPr>
              <w:t>negatívnych pacientok;</w:t>
            </w:r>
          </w:p>
          <w:p w14:paraId="003ADD09" w14:textId="33C7D7DA" w:rsidR="00C57ACA" w:rsidRDefault="00C57ACA" w:rsidP="00C57ACA">
            <w:pPr>
              <w:tabs>
                <w:tab w:val="left" w:pos="352"/>
              </w:tabs>
              <w:jc w:val="both"/>
              <w:rPr>
                <w:rFonts w:ascii="Arial" w:hAnsi="Arial" w:cs="Arial"/>
                <w:bCs/>
                <w:sz w:val="20"/>
                <w:szCs w:val="20"/>
              </w:rPr>
            </w:pPr>
            <w:r>
              <w:rPr>
                <w:rFonts w:ascii="Arial" w:hAnsi="Arial" w:cs="Arial"/>
                <w:bCs/>
                <w:sz w:val="20"/>
                <w:szCs w:val="20"/>
              </w:rPr>
              <w:t>c)</w:t>
            </w:r>
            <w:r>
              <w:t xml:space="preserve"> </w:t>
            </w:r>
            <w:r>
              <w:tab/>
            </w:r>
            <w:r w:rsidRPr="00F271A1">
              <w:rPr>
                <w:rFonts w:ascii="Arial" w:hAnsi="Arial" w:cs="Arial"/>
                <w:bCs/>
                <w:sz w:val="20"/>
                <w:szCs w:val="20"/>
              </w:rPr>
              <w:t xml:space="preserve">v prvej línii metastatického, neresekovateľného alebo recidivujúceho nemalobunkového, okrem </w:t>
            </w:r>
            <w:r>
              <w:rPr>
                <w:rFonts w:ascii="Arial" w:hAnsi="Arial" w:cs="Arial"/>
                <w:bCs/>
                <w:sz w:val="20"/>
                <w:szCs w:val="20"/>
              </w:rPr>
              <w:tab/>
            </w:r>
            <w:r w:rsidRPr="00F271A1">
              <w:rPr>
                <w:rFonts w:ascii="Arial" w:hAnsi="Arial" w:cs="Arial"/>
                <w:bCs/>
                <w:sz w:val="20"/>
                <w:szCs w:val="20"/>
              </w:rPr>
              <w:t xml:space="preserve">epidermoidného (skvamocelulárneho) karcinómu </w:t>
            </w:r>
            <w:r>
              <w:rPr>
                <w:rFonts w:ascii="Arial" w:hAnsi="Arial" w:cs="Arial"/>
                <w:bCs/>
                <w:sz w:val="20"/>
                <w:szCs w:val="20"/>
              </w:rPr>
              <w:t>p</w:t>
            </w:r>
            <w:r w:rsidRPr="00F271A1">
              <w:rPr>
                <w:rFonts w:ascii="Arial" w:hAnsi="Arial" w:cs="Arial"/>
                <w:bCs/>
                <w:sz w:val="20"/>
                <w:szCs w:val="20"/>
              </w:rPr>
              <w:t xml:space="preserve">ľúc v kombinácii s platinovým derivátom (cisplatinou </w:t>
            </w:r>
            <w:r>
              <w:rPr>
                <w:rFonts w:ascii="Arial" w:hAnsi="Arial" w:cs="Arial"/>
                <w:bCs/>
                <w:sz w:val="20"/>
                <w:szCs w:val="20"/>
              </w:rPr>
              <w:tab/>
            </w:r>
            <w:r w:rsidRPr="00F271A1">
              <w:rPr>
                <w:rFonts w:ascii="Arial" w:hAnsi="Arial" w:cs="Arial"/>
                <w:bCs/>
                <w:sz w:val="20"/>
                <w:szCs w:val="20"/>
              </w:rPr>
              <w:t>alebo karboplatinou);</w:t>
            </w:r>
          </w:p>
          <w:p w14:paraId="0039AB27" w14:textId="77777777" w:rsidR="00C57ACA" w:rsidRDefault="00C57ACA" w:rsidP="00C57ACA">
            <w:pPr>
              <w:jc w:val="both"/>
              <w:rPr>
                <w:rFonts w:ascii="Arial" w:hAnsi="Arial" w:cs="Arial"/>
                <w:bCs/>
                <w:sz w:val="20"/>
                <w:szCs w:val="20"/>
              </w:rPr>
            </w:pPr>
          </w:p>
          <w:p w14:paraId="7F706E75" w14:textId="1F1192CE" w:rsidR="00C57ACA" w:rsidRPr="004F1153" w:rsidRDefault="00C57ACA" w:rsidP="00C57ACA">
            <w:pPr>
              <w:jc w:val="both"/>
              <w:rPr>
                <w:rFonts w:ascii="Arial" w:hAnsi="Arial" w:cs="Arial"/>
                <w:bCs/>
                <w:sz w:val="20"/>
                <w:szCs w:val="20"/>
              </w:rPr>
            </w:pPr>
            <w:r w:rsidRPr="004F1153">
              <w:rPr>
                <w:rFonts w:ascii="Arial" w:hAnsi="Arial" w:cs="Arial"/>
                <w:bCs/>
                <w:sz w:val="20"/>
                <w:szCs w:val="20"/>
              </w:rPr>
              <w:t xml:space="preserve">Podmienkou hradenej liečby je dobrý výkonnostný stav pacienta (Karnofského skóre viac ako 80 alebo ECOG 1). </w:t>
            </w:r>
          </w:p>
          <w:p w14:paraId="543FB295" w14:textId="638887DC" w:rsidR="00C57ACA" w:rsidRDefault="00C57ACA" w:rsidP="00C57ACA">
            <w:pPr>
              <w:jc w:val="both"/>
              <w:rPr>
                <w:rFonts w:ascii="Arial" w:hAnsi="Arial" w:cs="Arial"/>
                <w:bCs/>
                <w:sz w:val="20"/>
                <w:szCs w:val="20"/>
              </w:rPr>
            </w:pPr>
            <w:r w:rsidRPr="004F1153">
              <w:rPr>
                <w:rFonts w:ascii="Arial" w:hAnsi="Arial" w:cs="Arial"/>
                <w:bCs/>
                <w:sz w:val="20"/>
                <w:szCs w:val="20"/>
              </w:rPr>
              <w:t>Ak dôjde k progresii ochorenia po troch mesiacoch liečby alebo v jej ďalšom priebehu, ďalšia liečba nie je hradenou liečbou. Zhodnotenie stavu nádorovej choroby sa vykonáva raz za tri mesiace. Za dôkaz progresie sa považuje rast existujúcich alebo objavenie sa nových metastáz.</w:t>
            </w:r>
          </w:p>
          <w:p w14:paraId="07D0E60E" w14:textId="77777777" w:rsidR="00C57ACA" w:rsidRDefault="00C57ACA" w:rsidP="00C57ACA">
            <w:pPr>
              <w:jc w:val="both"/>
              <w:rPr>
                <w:rFonts w:ascii="Arial" w:hAnsi="Arial" w:cs="Arial"/>
                <w:bCs/>
                <w:sz w:val="20"/>
                <w:szCs w:val="20"/>
              </w:rPr>
            </w:pPr>
          </w:p>
          <w:p w14:paraId="77E5719E" w14:textId="77777777" w:rsidR="00C57ACA" w:rsidRDefault="00C57ACA" w:rsidP="00C57ACA">
            <w:pPr>
              <w:tabs>
                <w:tab w:val="left" w:pos="352"/>
              </w:tabs>
              <w:jc w:val="both"/>
              <w:rPr>
                <w:rFonts w:ascii="Arial" w:hAnsi="Arial" w:cs="Arial"/>
                <w:bCs/>
                <w:sz w:val="20"/>
                <w:szCs w:val="20"/>
              </w:rPr>
            </w:pPr>
            <w:r>
              <w:rPr>
                <w:rFonts w:ascii="Arial" w:hAnsi="Arial" w:cs="Arial"/>
                <w:bCs/>
                <w:sz w:val="20"/>
                <w:szCs w:val="20"/>
              </w:rPr>
              <w:t xml:space="preserve">d) </w:t>
            </w:r>
            <w:r>
              <w:rPr>
                <w:rFonts w:ascii="Arial" w:hAnsi="Arial" w:cs="Arial"/>
                <w:bCs/>
                <w:sz w:val="20"/>
                <w:szCs w:val="20"/>
              </w:rPr>
              <w:tab/>
            </w:r>
            <w:r w:rsidRPr="00F271A1">
              <w:rPr>
                <w:rFonts w:ascii="Arial" w:hAnsi="Arial" w:cs="Arial"/>
                <w:bCs/>
                <w:sz w:val="20"/>
                <w:szCs w:val="20"/>
              </w:rPr>
              <w:t xml:space="preserve">v kombinácii s atezolizumabom na liečbu dospelých pacientov s pokročilým alebo neresekovateľným    </w:t>
            </w:r>
            <w:r>
              <w:rPr>
                <w:rFonts w:ascii="Arial" w:hAnsi="Arial" w:cs="Arial"/>
                <w:bCs/>
                <w:sz w:val="20"/>
                <w:szCs w:val="20"/>
              </w:rPr>
              <w:tab/>
            </w:r>
            <w:r w:rsidRPr="00F271A1">
              <w:rPr>
                <w:rFonts w:ascii="Arial" w:hAnsi="Arial" w:cs="Arial"/>
                <w:bCs/>
                <w:sz w:val="20"/>
                <w:szCs w:val="20"/>
              </w:rPr>
              <w:t xml:space="preserve">hepatocelulárnym karcinómom pacientom s pečeňovou funkciou v triede A podľa Child-Pugh </w:t>
            </w:r>
            <w:r>
              <w:rPr>
                <w:rFonts w:ascii="Arial" w:hAnsi="Arial" w:cs="Arial"/>
                <w:bCs/>
                <w:sz w:val="20"/>
                <w:szCs w:val="20"/>
              </w:rPr>
              <w:tab/>
            </w:r>
            <w:r w:rsidRPr="00F271A1">
              <w:rPr>
                <w:rFonts w:ascii="Arial" w:hAnsi="Arial" w:cs="Arial"/>
                <w:bCs/>
                <w:sz w:val="20"/>
                <w:szCs w:val="20"/>
              </w:rPr>
              <w:t>klasifikácie, ktorí predtým nedostávali systémovú terapiu.</w:t>
            </w:r>
          </w:p>
          <w:p w14:paraId="3844BD73" w14:textId="29EA073D" w:rsidR="00C57ACA" w:rsidRDefault="00C57ACA" w:rsidP="00C57ACA">
            <w:pPr>
              <w:tabs>
                <w:tab w:val="left" w:pos="352"/>
              </w:tabs>
              <w:jc w:val="both"/>
              <w:rPr>
                <w:rFonts w:ascii="Arial" w:hAnsi="Arial" w:cs="Arial"/>
                <w:bCs/>
                <w:sz w:val="20"/>
                <w:szCs w:val="20"/>
              </w:rPr>
            </w:pPr>
            <w:r>
              <w:rPr>
                <w:rFonts w:ascii="Arial" w:hAnsi="Arial" w:cs="Arial"/>
                <w:bCs/>
                <w:sz w:val="20"/>
                <w:szCs w:val="20"/>
              </w:rPr>
              <w:tab/>
            </w:r>
            <w:r w:rsidRPr="00F271A1">
              <w:rPr>
                <w:rFonts w:ascii="Arial" w:hAnsi="Arial" w:cs="Arial"/>
                <w:bCs/>
                <w:sz w:val="20"/>
                <w:szCs w:val="20"/>
              </w:rPr>
              <w:t>Liečba je hradená do straty klinického prínosu alebo do vzniku nezvládnuteľnej toxicity.</w:t>
            </w:r>
          </w:p>
          <w:p w14:paraId="5EC7AD40" w14:textId="40BD0056" w:rsidR="00C57ACA" w:rsidRDefault="00C57ACA" w:rsidP="00C57ACA">
            <w:pPr>
              <w:tabs>
                <w:tab w:val="left" w:pos="354"/>
              </w:tabs>
              <w:jc w:val="both"/>
              <w:rPr>
                <w:rFonts w:ascii="Arial" w:hAnsi="Arial" w:cs="Arial"/>
                <w:bCs/>
                <w:sz w:val="20"/>
                <w:szCs w:val="20"/>
              </w:rPr>
            </w:pPr>
            <w:r w:rsidRPr="00F271A1">
              <w:rPr>
                <w:rFonts w:ascii="Arial" w:hAnsi="Arial" w:cs="Arial"/>
                <w:bCs/>
                <w:sz w:val="20"/>
                <w:szCs w:val="20"/>
              </w:rPr>
              <w:t xml:space="preserve">e) </w:t>
            </w:r>
            <w:r>
              <w:rPr>
                <w:rFonts w:ascii="Arial" w:hAnsi="Arial" w:cs="Arial"/>
                <w:bCs/>
                <w:sz w:val="20"/>
                <w:szCs w:val="20"/>
              </w:rPr>
              <w:tab/>
            </w:r>
            <w:r w:rsidRPr="00F271A1">
              <w:rPr>
                <w:rFonts w:ascii="Arial" w:hAnsi="Arial" w:cs="Arial"/>
                <w:bCs/>
                <w:sz w:val="20"/>
                <w:szCs w:val="20"/>
              </w:rPr>
              <w:t xml:space="preserve">v kombinácii s chemoterapiou a pembrolizumabom indikovaná na liečbu perzistentného, rekurentného </w:t>
            </w:r>
            <w:r>
              <w:rPr>
                <w:rFonts w:ascii="Arial" w:hAnsi="Arial" w:cs="Arial"/>
                <w:bCs/>
                <w:sz w:val="20"/>
                <w:szCs w:val="20"/>
              </w:rPr>
              <w:tab/>
            </w:r>
            <w:r w:rsidRPr="00F271A1">
              <w:rPr>
                <w:rFonts w:ascii="Arial" w:hAnsi="Arial" w:cs="Arial"/>
                <w:bCs/>
                <w:sz w:val="20"/>
                <w:szCs w:val="20"/>
              </w:rPr>
              <w:t xml:space="preserve">alebo metastatického cervikálneho karcinómu v prvej línii u dospelých, ktorí neboli liečení </w:t>
            </w:r>
            <w:r>
              <w:rPr>
                <w:rFonts w:ascii="Arial" w:hAnsi="Arial" w:cs="Arial"/>
                <w:bCs/>
                <w:sz w:val="20"/>
                <w:szCs w:val="20"/>
              </w:rPr>
              <w:tab/>
            </w:r>
            <w:r w:rsidRPr="00F271A1">
              <w:rPr>
                <w:rFonts w:ascii="Arial" w:hAnsi="Arial" w:cs="Arial"/>
                <w:bCs/>
                <w:sz w:val="20"/>
                <w:szCs w:val="20"/>
              </w:rPr>
              <w:t xml:space="preserve">chemoterapiou (s výnimkou jej súbežného použitia ako rádiosenzibilizačnej látky) a ktorých nádory </w:t>
            </w:r>
            <w:r>
              <w:rPr>
                <w:rFonts w:ascii="Arial" w:hAnsi="Arial" w:cs="Arial"/>
                <w:bCs/>
                <w:sz w:val="20"/>
                <w:szCs w:val="20"/>
              </w:rPr>
              <w:tab/>
            </w:r>
            <w:r w:rsidRPr="00F271A1">
              <w:rPr>
                <w:rFonts w:ascii="Arial" w:hAnsi="Arial" w:cs="Arial"/>
                <w:bCs/>
                <w:sz w:val="20"/>
                <w:szCs w:val="20"/>
              </w:rPr>
              <w:t>vykazujú expresiu PD-L1 s CPS ≥ 1, po dobu maximálne 24 mesiacov.</w:t>
            </w:r>
          </w:p>
          <w:p w14:paraId="7D759F92" w14:textId="24E72A63" w:rsidR="00C730E1" w:rsidRDefault="00C730E1" w:rsidP="00C730E1">
            <w:pPr>
              <w:tabs>
                <w:tab w:val="left" w:pos="354"/>
              </w:tabs>
              <w:jc w:val="both"/>
              <w:rPr>
                <w:rFonts w:ascii="Arial" w:hAnsi="Arial" w:cs="Arial"/>
                <w:bCs/>
                <w:sz w:val="20"/>
                <w:szCs w:val="20"/>
              </w:rPr>
            </w:pPr>
            <w:r w:rsidRPr="00C730E1">
              <w:rPr>
                <w:rFonts w:ascii="Arial" w:hAnsi="Arial" w:cs="Arial"/>
                <w:bCs/>
                <w:sz w:val="20"/>
                <w:szCs w:val="20"/>
              </w:rPr>
              <w:t xml:space="preserve">f)  v kombinácii s trifluridínom a tipiracilom u dospelých pacientov s metastatickým kolorektálnym </w:t>
            </w:r>
            <w:r>
              <w:rPr>
                <w:rFonts w:ascii="Arial" w:hAnsi="Arial" w:cs="Arial"/>
                <w:bCs/>
                <w:sz w:val="20"/>
                <w:szCs w:val="20"/>
              </w:rPr>
              <w:tab/>
            </w:r>
            <w:r w:rsidRPr="00C730E1">
              <w:rPr>
                <w:rFonts w:ascii="Arial" w:hAnsi="Arial" w:cs="Arial"/>
                <w:bCs/>
                <w:sz w:val="20"/>
                <w:szCs w:val="20"/>
              </w:rPr>
              <w:t xml:space="preserve">karcinómom (mCRC) v 3. línii predtým liečených dvoma režimami protinádorovej liečby vrátane </w:t>
            </w:r>
            <w:r>
              <w:rPr>
                <w:rFonts w:ascii="Arial" w:hAnsi="Arial" w:cs="Arial"/>
                <w:bCs/>
                <w:sz w:val="20"/>
                <w:szCs w:val="20"/>
              </w:rPr>
              <w:tab/>
            </w:r>
            <w:r w:rsidRPr="00C730E1">
              <w:rPr>
                <w:rFonts w:ascii="Arial" w:hAnsi="Arial" w:cs="Arial"/>
                <w:bCs/>
                <w:sz w:val="20"/>
                <w:szCs w:val="20"/>
              </w:rPr>
              <w:t xml:space="preserve">chemoterapií na báze fluoropyrimidínu, oxaliplatiny a irinotekánu, antiVEGF látok a/alebo anti-EGFR </w:t>
            </w:r>
            <w:r>
              <w:rPr>
                <w:rFonts w:ascii="Arial" w:hAnsi="Arial" w:cs="Arial"/>
                <w:bCs/>
                <w:sz w:val="20"/>
                <w:szCs w:val="20"/>
              </w:rPr>
              <w:tab/>
            </w:r>
            <w:r w:rsidRPr="00C730E1">
              <w:rPr>
                <w:rFonts w:ascii="Arial" w:hAnsi="Arial" w:cs="Arial"/>
                <w:bCs/>
                <w:sz w:val="20"/>
                <w:szCs w:val="20"/>
              </w:rPr>
              <w:t>látok. Podmienkou hradenej liečby je dobrý výkonnostný stav pacienta ECOG 0-1.</w:t>
            </w:r>
          </w:p>
          <w:p w14:paraId="0C8912B7" w14:textId="4F7846C4" w:rsidR="00C57ACA" w:rsidRPr="004F1153" w:rsidRDefault="00C57ACA" w:rsidP="00C57ACA">
            <w:pPr>
              <w:jc w:val="both"/>
              <w:rPr>
                <w:rFonts w:ascii="Arial" w:hAnsi="Arial" w:cs="Arial"/>
                <w:bCs/>
                <w:sz w:val="20"/>
                <w:szCs w:val="20"/>
              </w:rPr>
            </w:pPr>
          </w:p>
        </w:tc>
      </w:tr>
      <w:tr w:rsidR="00C57ACA" w:rsidRPr="0000591E" w14:paraId="53E911F8" w14:textId="77777777" w:rsidTr="00537C2F">
        <w:trPr>
          <w:gridAfter w:val="2"/>
          <w:wAfter w:w="154" w:type="dxa"/>
          <w:trHeight w:val="20"/>
        </w:trPr>
        <w:tc>
          <w:tcPr>
            <w:tcW w:w="1256" w:type="dxa"/>
            <w:tcBorders>
              <w:bottom w:val="single" w:sz="4" w:space="0" w:color="auto"/>
            </w:tcBorders>
            <w:noWrap/>
            <w:vAlign w:val="bottom"/>
          </w:tcPr>
          <w:p w14:paraId="7263493E" w14:textId="61430CA9" w:rsidR="00C57ACA" w:rsidRDefault="00C57ACA" w:rsidP="00C57ACA">
            <w:pPr>
              <w:jc w:val="both"/>
              <w:rPr>
                <w:rFonts w:ascii="Arial" w:hAnsi="Arial" w:cs="Arial"/>
                <w:b/>
                <w:sz w:val="20"/>
                <w:szCs w:val="20"/>
              </w:rPr>
            </w:pPr>
            <w:r>
              <w:rPr>
                <w:rFonts w:ascii="Arial" w:hAnsi="Arial" w:cs="Arial"/>
                <w:b/>
                <w:sz w:val="20"/>
                <w:szCs w:val="20"/>
              </w:rPr>
              <w:t>L01FX04</w:t>
            </w:r>
          </w:p>
        </w:tc>
        <w:tc>
          <w:tcPr>
            <w:tcW w:w="9452" w:type="dxa"/>
            <w:tcBorders>
              <w:bottom w:val="single" w:sz="4" w:space="0" w:color="auto"/>
            </w:tcBorders>
            <w:noWrap/>
            <w:vAlign w:val="bottom"/>
          </w:tcPr>
          <w:p w14:paraId="65FDC7DB" w14:textId="3610F0D1" w:rsidR="00C57ACA" w:rsidRPr="001C79C5" w:rsidRDefault="00C57ACA" w:rsidP="00C57ACA">
            <w:pPr>
              <w:rPr>
                <w:rFonts w:ascii="Arial" w:hAnsi="Arial" w:cs="Arial"/>
                <w:b/>
                <w:sz w:val="20"/>
                <w:szCs w:val="20"/>
              </w:rPr>
            </w:pPr>
            <w:r w:rsidRPr="00537C2F">
              <w:rPr>
                <w:rFonts w:ascii="Arial" w:hAnsi="Arial" w:cs="Arial"/>
                <w:b/>
                <w:sz w:val="20"/>
                <w:szCs w:val="20"/>
              </w:rPr>
              <w:t>Ipilimumab</w:t>
            </w:r>
            <w:r>
              <w:rPr>
                <w:rFonts w:ascii="Arial" w:hAnsi="Arial" w:cs="Arial"/>
                <w:b/>
                <w:sz w:val="20"/>
                <w:szCs w:val="20"/>
              </w:rPr>
              <w:t xml:space="preserve"> </w:t>
            </w:r>
            <w:r w:rsidRPr="00537C2F">
              <w:rPr>
                <w:rFonts w:ascii="Arial" w:hAnsi="Arial" w:cs="Arial"/>
                <w:b/>
                <w:sz w:val="20"/>
                <w:szCs w:val="20"/>
              </w:rPr>
              <w:t>parent. 50 mg</w:t>
            </w:r>
          </w:p>
        </w:tc>
      </w:tr>
      <w:tr w:rsidR="00C57ACA" w:rsidRPr="0000591E" w14:paraId="134F2702" w14:textId="77777777" w:rsidTr="00537C2F">
        <w:trPr>
          <w:gridAfter w:val="2"/>
          <w:wAfter w:w="154" w:type="dxa"/>
          <w:trHeight w:val="20"/>
        </w:trPr>
        <w:tc>
          <w:tcPr>
            <w:tcW w:w="1256" w:type="dxa"/>
            <w:tcBorders>
              <w:top w:val="single" w:sz="4" w:space="0" w:color="auto"/>
            </w:tcBorders>
            <w:noWrap/>
            <w:vAlign w:val="bottom"/>
          </w:tcPr>
          <w:p w14:paraId="15FF0637" w14:textId="77777777" w:rsidR="00C57ACA" w:rsidRDefault="00C57ACA" w:rsidP="00C57ACA">
            <w:pPr>
              <w:jc w:val="both"/>
              <w:rPr>
                <w:rFonts w:ascii="Arial" w:hAnsi="Arial" w:cs="Arial"/>
                <w:b/>
                <w:sz w:val="20"/>
                <w:szCs w:val="20"/>
              </w:rPr>
            </w:pPr>
          </w:p>
        </w:tc>
        <w:tc>
          <w:tcPr>
            <w:tcW w:w="9452" w:type="dxa"/>
            <w:tcBorders>
              <w:top w:val="single" w:sz="4" w:space="0" w:color="auto"/>
            </w:tcBorders>
            <w:noWrap/>
            <w:vAlign w:val="bottom"/>
          </w:tcPr>
          <w:p w14:paraId="4ED237E2" w14:textId="77777777" w:rsidR="00C57ACA" w:rsidRPr="00537C2F" w:rsidRDefault="00C57ACA" w:rsidP="00C57ACA">
            <w:pPr>
              <w:jc w:val="both"/>
              <w:rPr>
                <w:rFonts w:ascii="Arial" w:hAnsi="Arial" w:cs="Arial"/>
                <w:bCs/>
                <w:sz w:val="20"/>
                <w:szCs w:val="20"/>
              </w:rPr>
            </w:pPr>
            <w:r w:rsidRPr="00537C2F">
              <w:rPr>
                <w:rFonts w:ascii="Arial" w:hAnsi="Arial" w:cs="Arial"/>
                <w:bCs/>
                <w:sz w:val="20"/>
                <w:szCs w:val="20"/>
              </w:rPr>
              <w:t>Hradená liečba sa môže indikovať v kombinácii s nivolumabom dospelým pacientom so stredným/s vysokým rizikom pokročilého karcinómu z renálnych buniek podľa škály IMDC v prvej línii liečby. Podmienkou hradenej liečby je svetlobunkový podtyp pokročilého renálneho karcinómu a dobrý výkonnostný stav pacienta charakterizovaný na ECOG škále ako skóre 0-1.</w:t>
            </w:r>
          </w:p>
          <w:p w14:paraId="71B6B4D0" w14:textId="77777777" w:rsidR="00C57ACA" w:rsidRPr="00537C2F" w:rsidRDefault="00C57ACA" w:rsidP="00C57ACA">
            <w:pPr>
              <w:rPr>
                <w:rFonts w:ascii="Arial" w:hAnsi="Arial" w:cs="Arial"/>
                <w:bCs/>
                <w:sz w:val="20"/>
                <w:szCs w:val="20"/>
              </w:rPr>
            </w:pPr>
          </w:p>
          <w:p w14:paraId="65A4B73F" w14:textId="77777777" w:rsidR="00C57ACA" w:rsidRDefault="00C57ACA" w:rsidP="00C57ACA">
            <w:pPr>
              <w:rPr>
                <w:rFonts w:ascii="Arial" w:hAnsi="Arial" w:cs="Arial"/>
                <w:bCs/>
                <w:sz w:val="20"/>
                <w:szCs w:val="20"/>
              </w:rPr>
            </w:pPr>
            <w:r w:rsidRPr="00537C2F">
              <w:rPr>
                <w:rFonts w:ascii="Arial" w:hAnsi="Arial" w:cs="Arial"/>
                <w:bCs/>
                <w:sz w:val="20"/>
                <w:szCs w:val="20"/>
              </w:rPr>
              <w:t>Hradená liečba podlieha predchádzajúcemu súhlasu zdravotnej poisťovne.</w:t>
            </w:r>
          </w:p>
          <w:p w14:paraId="739E19C2" w14:textId="094375FE" w:rsidR="00C57ACA" w:rsidRPr="001C79C5" w:rsidRDefault="00C57ACA" w:rsidP="00C57ACA">
            <w:pPr>
              <w:rPr>
                <w:rFonts w:ascii="Arial" w:hAnsi="Arial" w:cs="Arial"/>
                <w:b/>
                <w:sz w:val="20"/>
                <w:szCs w:val="20"/>
              </w:rPr>
            </w:pPr>
          </w:p>
        </w:tc>
      </w:tr>
      <w:tr w:rsidR="00C57ACA" w:rsidRPr="0000591E" w14:paraId="5BF5680C" w14:textId="77777777" w:rsidTr="00537C2F">
        <w:trPr>
          <w:gridAfter w:val="2"/>
          <w:wAfter w:w="154" w:type="dxa"/>
          <w:trHeight w:val="20"/>
        </w:trPr>
        <w:tc>
          <w:tcPr>
            <w:tcW w:w="1256" w:type="dxa"/>
            <w:tcBorders>
              <w:bottom w:val="single" w:sz="4" w:space="0" w:color="auto"/>
            </w:tcBorders>
            <w:noWrap/>
            <w:vAlign w:val="bottom"/>
          </w:tcPr>
          <w:p w14:paraId="0B881202" w14:textId="77777777" w:rsidR="00C57ACA" w:rsidRPr="001C79C5" w:rsidRDefault="00C57ACA" w:rsidP="00C57ACA">
            <w:pPr>
              <w:jc w:val="both"/>
              <w:rPr>
                <w:rFonts w:ascii="Arial" w:hAnsi="Arial" w:cs="Arial"/>
                <w:b/>
                <w:bCs/>
                <w:sz w:val="20"/>
                <w:szCs w:val="20"/>
              </w:rPr>
            </w:pPr>
            <w:r>
              <w:rPr>
                <w:rFonts w:ascii="Arial" w:hAnsi="Arial" w:cs="Arial"/>
                <w:b/>
                <w:sz w:val="20"/>
                <w:szCs w:val="20"/>
              </w:rPr>
              <w:t>L01FX05</w:t>
            </w:r>
            <w:r w:rsidRPr="001C79C5">
              <w:rPr>
                <w:rFonts w:ascii="Arial" w:hAnsi="Arial" w:cs="Arial"/>
                <w:b/>
                <w:sz w:val="20"/>
                <w:szCs w:val="20"/>
              </w:rPr>
              <w:t xml:space="preserve">     </w:t>
            </w:r>
          </w:p>
        </w:tc>
        <w:tc>
          <w:tcPr>
            <w:tcW w:w="9452" w:type="dxa"/>
            <w:tcBorders>
              <w:bottom w:val="single" w:sz="4" w:space="0" w:color="auto"/>
            </w:tcBorders>
            <w:noWrap/>
            <w:vAlign w:val="bottom"/>
          </w:tcPr>
          <w:p w14:paraId="4EB6F582" w14:textId="12BB9C64" w:rsidR="00C57ACA" w:rsidRPr="001C79C5" w:rsidRDefault="00C57ACA" w:rsidP="00C57ACA">
            <w:pPr>
              <w:rPr>
                <w:rFonts w:ascii="Arial" w:hAnsi="Arial" w:cs="Arial"/>
                <w:b/>
                <w:sz w:val="20"/>
                <w:szCs w:val="20"/>
              </w:rPr>
            </w:pPr>
            <w:r w:rsidRPr="001C79C5">
              <w:rPr>
                <w:rFonts w:ascii="Arial" w:hAnsi="Arial" w:cs="Arial"/>
                <w:b/>
                <w:sz w:val="20"/>
                <w:szCs w:val="20"/>
              </w:rPr>
              <w:t>Brentuximab vedotin parent. 50 mg</w:t>
            </w:r>
          </w:p>
        </w:tc>
      </w:tr>
      <w:tr w:rsidR="00C57ACA" w:rsidRPr="0000591E" w14:paraId="62BBDF08" w14:textId="77777777" w:rsidTr="003F7925">
        <w:trPr>
          <w:gridAfter w:val="2"/>
          <w:wAfter w:w="154" w:type="dxa"/>
          <w:trHeight w:val="20"/>
        </w:trPr>
        <w:tc>
          <w:tcPr>
            <w:tcW w:w="1256" w:type="dxa"/>
            <w:tcBorders>
              <w:top w:val="single" w:sz="4" w:space="0" w:color="auto"/>
            </w:tcBorders>
            <w:noWrap/>
            <w:vAlign w:val="bottom"/>
          </w:tcPr>
          <w:p w14:paraId="70A57CCF"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17B1F2FC" w14:textId="70AB2E17" w:rsidR="00C57ACA" w:rsidRPr="00060E67" w:rsidRDefault="00C57ACA" w:rsidP="00C57ACA">
            <w:pPr>
              <w:autoSpaceDE w:val="0"/>
              <w:autoSpaceDN w:val="0"/>
              <w:adjustRightInd w:val="0"/>
              <w:spacing w:after="180"/>
              <w:jc w:val="both"/>
              <w:rPr>
                <w:rFonts w:ascii="Arial" w:hAnsi="Arial" w:cs="Arial"/>
                <w:sz w:val="20"/>
                <w:szCs w:val="20"/>
              </w:rPr>
            </w:pPr>
            <w:r w:rsidRPr="00060E67">
              <w:rPr>
                <w:rFonts w:ascii="Arial" w:hAnsi="Arial" w:cs="Arial"/>
                <w:sz w:val="20"/>
                <w:szCs w:val="20"/>
              </w:rPr>
              <w:t xml:space="preserve">Hradená liečba sa môže indikovať: </w:t>
            </w:r>
          </w:p>
          <w:p w14:paraId="20C362AC"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a) </w:t>
            </w:r>
            <w:r w:rsidRPr="00060E67">
              <w:rPr>
                <w:rFonts w:ascii="Arial" w:hAnsi="Arial" w:cs="Arial"/>
                <w:sz w:val="20"/>
                <w:szCs w:val="20"/>
              </w:rPr>
              <w:t>na liečbu dospelých pacientov s predtým neliečeným CD30+ Hodgkinovým lymfómom (HL) v IV. štádiu v kombinácii s doxorubicínom, vinblastínom a dakarbazínom (AVD),</w:t>
            </w:r>
          </w:p>
          <w:p w14:paraId="02AD3203"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b) </w:t>
            </w:r>
            <w:r w:rsidRPr="00060E67">
              <w:rPr>
                <w:rFonts w:ascii="Arial" w:hAnsi="Arial" w:cs="Arial"/>
                <w:sz w:val="20"/>
                <w:szCs w:val="20"/>
              </w:rPr>
              <w:t>na liečbu dospelých pacientov s relabovaným alebo refraktérnym CD30+ Hodgkinovým lymfómom (HL) po transplantácii vlastných kmeňových buniek (ASCT) a</w:t>
            </w:r>
            <w:r>
              <w:rPr>
                <w:rFonts w:ascii="Arial" w:hAnsi="Arial" w:cs="Arial"/>
                <w:sz w:val="20"/>
                <w:szCs w:val="20"/>
              </w:rPr>
              <w:t>lebo  p</w:t>
            </w:r>
            <w:r w:rsidRPr="00060E67">
              <w:rPr>
                <w:rFonts w:ascii="Arial" w:hAnsi="Arial" w:cs="Arial"/>
                <w:sz w:val="20"/>
                <w:szCs w:val="20"/>
              </w:rPr>
              <w:t xml:space="preserve">o najmenej dvoch predchádzajúcich liečbach, ak ASCT alebo multiagentná chemoterapia neprichádza do úvahy, </w:t>
            </w:r>
          </w:p>
          <w:p w14:paraId="4964422E"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c) </w:t>
            </w:r>
            <w:r w:rsidRPr="00060E67">
              <w:rPr>
                <w:rFonts w:ascii="Arial" w:hAnsi="Arial" w:cs="Arial"/>
                <w:sz w:val="20"/>
                <w:szCs w:val="20"/>
              </w:rPr>
              <w:t xml:space="preserve">na liečbu dospelých pacientov s CD30+ HL so zvýšeným rizikom recidívy alebo progresie choroby po ASCT, </w:t>
            </w:r>
          </w:p>
          <w:p w14:paraId="264BB52F"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d) </w:t>
            </w:r>
            <w:r w:rsidRPr="00060E67">
              <w:rPr>
                <w:rFonts w:ascii="Arial" w:hAnsi="Arial" w:cs="Arial"/>
                <w:sz w:val="20"/>
                <w:szCs w:val="20"/>
              </w:rPr>
              <w:t xml:space="preserve">na liečbu dospelých pacientov s relabovaným alebo refraktérnym systémovým anaplastickým veľkobunkovým lymfómom (sALCL), </w:t>
            </w:r>
          </w:p>
          <w:p w14:paraId="417287B8"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e) </w:t>
            </w:r>
            <w:r w:rsidRPr="00060E67">
              <w:rPr>
                <w:rFonts w:ascii="Arial" w:hAnsi="Arial" w:cs="Arial"/>
                <w:sz w:val="20"/>
                <w:szCs w:val="20"/>
              </w:rPr>
              <w:t>na liečbu dospelých pacientov s CD30+ kožným T-b</w:t>
            </w:r>
            <w:r>
              <w:rPr>
                <w:rFonts w:ascii="Arial" w:hAnsi="Arial" w:cs="Arial"/>
                <w:sz w:val="20"/>
                <w:szCs w:val="20"/>
              </w:rPr>
              <w:t xml:space="preserve">unkovým lymfómom (CTCL) </w:t>
            </w:r>
            <w:r w:rsidRPr="00060E67">
              <w:rPr>
                <w:rFonts w:ascii="Arial" w:hAnsi="Arial" w:cs="Arial"/>
                <w:sz w:val="20"/>
                <w:szCs w:val="20"/>
              </w:rPr>
              <w:t>po aspoň jednej predchádzajúcej systémovej liečbe,</w:t>
            </w:r>
          </w:p>
          <w:p w14:paraId="61CD67CC"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f) </w:t>
            </w:r>
            <w:r w:rsidRPr="00060E67">
              <w:rPr>
                <w:rFonts w:ascii="Arial" w:hAnsi="Arial" w:cs="Arial"/>
                <w:sz w:val="20"/>
                <w:szCs w:val="20"/>
              </w:rPr>
              <w:t xml:space="preserve">v kombinácii s cyklofosfamidom, doxorubicínom a prednizónom (CHP) na liečbu dospelých pacientov s predtým neliečeným sALCL v súlade so Súhrnom charakteristických vlastností lieku. </w:t>
            </w:r>
          </w:p>
          <w:p w14:paraId="2013E1AA" w14:textId="77777777" w:rsidR="00C57ACA" w:rsidRPr="00060E67" w:rsidRDefault="00C57ACA" w:rsidP="00C57ACA">
            <w:pPr>
              <w:autoSpaceDE w:val="0"/>
              <w:autoSpaceDN w:val="0"/>
              <w:adjustRightInd w:val="0"/>
              <w:spacing w:after="180"/>
              <w:jc w:val="both"/>
              <w:rPr>
                <w:rFonts w:ascii="Arial" w:hAnsi="Arial" w:cs="Arial"/>
                <w:sz w:val="20"/>
                <w:szCs w:val="20"/>
              </w:rPr>
            </w:pPr>
            <w:r w:rsidRPr="00060E67">
              <w:rPr>
                <w:rFonts w:ascii="Arial" w:hAnsi="Arial" w:cs="Arial"/>
                <w:sz w:val="20"/>
                <w:szCs w:val="20"/>
              </w:rPr>
              <w:t>Hradená liečba sa môže indikovať v Národnom on</w:t>
            </w:r>
            <w:r>
              <w:rPr>
                <w:rFonts w:ascii="Arial" w:hAnsi="Arial" w:cs="Arial"/>
                <w:sz w:val="20"/>
                <w:szCs w:val="20"/>
              </w:rPr>
              <w:t xml:space="preserve">kologickom ústave, Bratislava, </w:t>
            </w:r>
            <w:r w:rsidRPr="00060E67">
              <w:rPr>
                <w:rFonts w:ascii="Arial" w:hAnsi="Arial" w:cs="Arial"/>
                <w:sz w:val="20"/>
                <w:szCs w:val="20"/>
              </w:rPr>
              <w:t>vo Východoslovenskom onkologickom ústave, a. s. Košice, na Klinike hematológie a onkohematológie Univerzitnej nemocnice L. Pasteura, Košice, na Hematologickom oddelení Fakultnej nemocnice s poliklinikou F. D. Roosevelta, Banská Bystrica a na Klinike hematológie a transfuziológie Jesseniovej lekárskej fakulty Univerzity Komenského, Martin.</w:t>
            </w:r>
          </w:p>
          <w:p w14:paraId="35C50775" w14:textId="77777777" w:rsidR="00C57ACA" w:rsidRPr="00060E67" w:rsidRDefault="00C57ACA" w:rsidP="00C57ACA">
            <w:pPr>
              <w:autoSpaceDE w:val="0"/>
              <w:autoSpaceDN w:val="0"/>
              <w:adjustRightInd w:val="0"/>
              <w:spacing w:after="180"/>
              <w:jc w:val="both"/>
              <w:rPr>
                <w:rFonts w:ascii="Arial" w:hAnsi="Arial" w:cs="Arial"/>
                <w:color w:val="000000"/>
                <w:sz w:val="20"/>
                <w:u w:color="000000"/>
              </w:rPr>
            </w:pPr>
            <w:r w:rsidRPr="00060E67">
              <w:rPr>
                <w:rFonts w:ascii="Arial" w:hAnsi="Arial" w:cs="Arial"/>
                <w:sz w:val="20"/>
                <w:szCs w:val="20"/>
              </w:rPr>
              <w:t>Hradená liečba podlieha predchádzajúcemu súhlasu zdravotnej poisťovne</w:t>
            </w:r>
            <w:r>
              <w:rPr>
                <w:rFonts w:ascii="Arial" w:hAnsi="Arial" w:cs="Arial"/>
                <w:sz w:val="20"/>
                <w:szCs w:val="20"/>
              </w:rPr>
              <w:t>.</w:t>
            </w:r>
          </w:p>
        </w:tc>
      </w:tr>
      <w:tr w:rsidR="00C57ACA" w:rsidRPr="00A45DAD" w14:paraId="6B03B8BA" w14:textId="77777777" w:rsidTr="003F7925">
        <w:trPr>
          <w:gridAfter w:val="2"/>
          <w:wAfter w:w="154" w:type="dxa"/>
          <w:trHeight w:val="20"/>
        </w:trPr>
        <w:tc>
          <w:tcPr>
            <w:tcW w:w="1256" w:type="dxa"/>
            <w:tcBorders>
              <w:bottom w:val="single" w:sz="4" w:space="0" w:color="auto"/>
            </w:tcBorders>
            <w:noWrap/>
            <w:vAlign w:val="bottom"/>
          </w:tcPr>
          <w:p w14:paraId="11066412" w14:textId="71772376" w:rsidR="00C57ACA" w:rsidRPr="0060328F" w:rsidRDefault="00C57ACA" w:rsidP="00C57ACA">
            <w:pPr>
              <w:jc w:val="both"/>
              <w:rPr>
                <w:rFonts w:ascii="Arial" w:hAnsi="Arial" w:cs="Arial"/>
                <w:b/>
                <w:bCs/>
                <w:sz w:val="20"/>
                <w:szCs w:val="20"/>
              </w:rPr>
            </w:pPr>
            <w:r w:rsidRPr="00CC5C96">
              <w:rPr>
                <w:rFonts w:ascii="Arial" w:hAnsi="Arial" w:cs="Arial"/>
                <w:b/>
                <w:bCs/>
                <w:sz w:val="20"/>
                <w:szCs w:val="20"/>
              </w:rPr>
              <w:t>L01FX07</w:t>
            </w:r>
          </w:p>
        </w:tc>
        <w:tc>
          <w:tcPr>
            <w:tcW w:w="9452" w:type="dxa"/>
            <w:tcBorders>
              <w:bottom w:val="single" w:sz="4" w:space="0" w:color="auto"/>
            </w:tcBorders>
            <w:noWrap/>
            <w:vAlign w:val="bottom"/>
          </w:tcPr>
          <w:p w14:paraId="3D39BC90" w14:textId="1A900FD2" w:rsidR="00C57ACA" w:rsidRPr="0060328F" w:rsidRDefault="00C57ACA" w:rsidP="00C57ACA">
            <w:pPr>
              <w:jc w:val="both"/>
              <w:rPr>
                <w:rFonts w:ascii="Arial" w:hAnsi="Arial" w:cs="Arial"/>
                <w:b/>
                <w:bCs/>
                <w:sz w:val="20"/>
                <w:szCs w:val="20"/>
              </w:rPr>
            </w:pPr>
            <w:r w:rsidRPr="00CC5C96">
              <w:rPr>
                <w:rFonts w:ascii="Arial" w:hAnsi="Arial" w:cs="Arial"/>
                <w:b/>
                <w:bCs/>
                <w:sz w:val="20"/>
                <w:szCs w:val="20"/>
              </w:rPr>
              <w:t>Blinatumomab parent. 38,5 µg/ml</w:t>
            </w:r>
          </w:p>
        </w:tc>
      </w:tr>
      <w:tr w:rsidR="00C57ACA" w:rsidRPr="00A45DAD" w14:paraId="48A3D28E" w14:textId="77777777" w:rsidTr="003F7925">
        <w:trPr>
          <w:gridAfter w:val="2"/>
          <w:wAfter w:w="154" w:type="dxa"/>
          <w:trHeight w:val="20"/>
        </w:trPr>
        <w:tc>
          <w:tcPr>
            <w:tcW w:w="1256" w:type="dxa"/>
            <w:tcBorders>
              <w:top w:val="single" w:sz="4" w:space="0" w:color="auto"/>
            </w:tcBorders>
            <w:noWrap/>
            <w:vAlign w:val="bottom"/>
          </w:tcPr>
          <w:p w14:paraId="6E1A8229"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1E7AA7E"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Hradená liečba sa može indikovať:</w:t>
            </w:r>
          </w:p>
          <w:p w14:paraId="5F848D32"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a) u dospelých na liečbu relapsujúcej alebo refraktérnej B-prekurzorovej akútnej lymfoblastovej leukémie (ALL) s negatívnym chromozómom Philadelphia a pozitívnym CD19 vhodných na transplantáciu</w:t>
            </w:r>
          </w:p>
          <w:p w14:paraId="7B29A6E1" w14:textId="77777777" w:rsidR="00C57ACA" w:rsidRPr="00CC5C96" w:rsidRDefault="00C57ACA" w:rsidP="00C57ACA">
            <w:pPr>
              <w:jc w:val="both"/>
              <w:rPr>
                <w:rFonts w:ascii="Arial" w:hAnsi="Arial" w:cs="Arial"/>
                <w:bCs/>
                <w:sz w:val="20"/>
                <w:szCs w:val="20"/>
              </w:rPr>
            </w:pPr>
          </w:p>
          <w:p w14:paraId="07F3FF47"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 xml:space="preserve">Hradená liečba sa môže indikovať v Národnom onkologickom ústave, Bratislava, na hematologickej klinike Univerzitnej nemocnice Bratislava - nemocnica sv. Cyrila a Metoda, </w:t>
            </w:r>
          </w:p>
          <w:p w14:paraId="3694EBE2" w14:textId="77777777" w:rsidR="00C57ACA" w:rsidRPr="00CC5C96" w:rsidRDefault="00C57ACA" w:rsidP="00C57ACA">
            <w:pPr>
              <w:jc w:val="both"/>
              <w:rPr>
                <w:rFonts w:ascii="Arial" w:hAnsi="Arial" w:cs="Arial"/>
                <w:bCs/>
                <w:sz w:val="20"/>
                <w:szCs w:val="20"/>
              </w:rPr>
            </w:pPr>
          </w:p>
          <w:p w14:paraId="0A2A1393"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b) u pediatrických pacientov vo veku 1 alebo viac rokov na liečbu B prekurzorovej ALL s negatívnym chromozómom Philadelphia a pozitívnym CD19, ktorá je refraktérna alebo relapsujúca po absolvovaní aspoň dvoch predchádzajúcich liečob alebo relapsujúca po absolvovaní predchádzajúcej alogénnej transplantácie krvotvorných kmeňových buniek vhodných na transplantáciu.</w:t>
            </w:r>
          </w:p>
          <w:p w14:paraId="0B3D930C" w14:textId="77777777" w:rsidR="00C57ACA" w:rsidRPr="00CC5C96" w:rsidRDefault="00C57ACA" w:rsidP="00C57ACA">
            <w:pPr>
              <w:jc w:val="both"/>
              <w:rPr>
                <w:rFonts w:ascii="Arial" w:hAnsi="Arial" w:cs="Arial"/>
                <w:bCs/>
                <w:sz w:val="20"/>
                <w:szCs w:val="20"/>
              </w:rPr>
            </w:pPr>
          </w:p>
          <w:p w14:paraId="543EE004"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Hradená liečba sa môže indikovať na Klinike detskej hematológie a onkológie LF UK a NÚDCH, Bratislava.</w:t>
            </w:r>
          </w:p>
          <w:p w14:paraId="6FFACD1C" w14:textId="77777777" w:rsidR="00C57ACA" w:rsidRDefault="00C57ACA" w:rsidP="00C57ACA">
            <w:pPr>
              <w:jc w:val="both"/>
              <w:rPr>
                <w:rFonts w:ascii="Arial" w:hAnsi="Arial" w:cs="Arial"/>
                <w:bCs/>
                <w:sz w:val="20"/>
                <w:szCs w:val="20"/>
              </w:rPr>
            </w:pPr>
            <w:r w:rsidRPr="00CC5C96">
              <w:rPr>
                <w:rFonts w:ascii="Arial" w:hAnsi="Arial" w:cs="Arial"/>
                <w:bCs/>
                <w:sz w:val="20"/>
                <w:szCs w:val="20"/>
              </w:rPr>
              <w:t>Hradená liečba podlieha predchádzajúcemu súhlasu zdravotnej poisťovne.</w:t>
            </w:r>
          </w:p>
          <w:p w14:paraId="0A004D58" w14:textId="0C673F79" w:rsidR="00C57ACA" w:rsidRPr="00CC5C96" w:rsidRDefault="00C57ACA" w:rsidP="00C57ACA">
            <w:pPr>
              <w:jc w:val="both"/>
              <w:rPr>
                <w:rFonts w:ascii="Arial" w:hAnsi="Arial" w:cs="Arial"/>
                <w:bCs/>
                <w:sz w:val="20"/>
                <w:szCs w:val="20"/>
              </w:rPr>
            </w:pPr>
          </w:p>
        </w:tc>
      </w:tr>
      <w:tr w:rsidR="00C57ACA" w:rsidRPr="00A45DAD" w14:paraId="2E0B4461" w14:textId="77777777" w:rsidTr="003F7925">
        <w:trPr>
          <w:gridAfter w:val="2"/>
          <w:wAfter w:w="154" w:type="dxa"/>
          <w:trHeight w:val="20"/>
        </w:trPr>
        <w:tc>
          <w:tcPr>
            <w:tcW w:w="1256" w:type="dxa"/>
            <w:tcBorders>
              <w:bottom w:val="single" w:sz="4" w:space="0" w:color="auto"/>
            </w:tcBorders>
            <w:noWrap/>
            <w:vAlign w:val="bottom"/>
          </w:tcPr>
          <w:p w14:paraId="2C3DDCEC" w14:textId="42E00940" w:rsidR="00C57ACA" w:rsidRPr="0060328F" w:rsidRDefault="00C57ACA" w:rsidP="00C57ACA">
            <w:pPr>
              <w:jc w:val="both"/>
              <w:rPr>
                <w:rFonts w:ascii="Arial" w:hAnsi="Arial" w:cs="Arial"/>
                <w:b/>
                <w:bCs/>
                <w:sz w:val="20"/>
                <w:szCs w:val="20"/>
              </w:rPr>
            </w:pPr>
            <w:r w:rsidRPr="009023B4">
              <w:rPr>
                <w:rFonts w:ascii="Arial" w:hAnsi="Arial" w:cs="Arial"/>
                <w:b/>
                <w:bCs/>
                <w:sz w:val="20"/>
                <w:szCs w:val="20"/>
              </w:rPr>
              <w:t>L01FX09</w:t>
            </w:r>
          </w:p>
        </w:tc>
        <w:tc>
          <w:tcPr>
            <w:tcW w:w="9452" w:type="dxa"/>
            <w:tcBorders>
              <w:bottom w:val="single" w:sz="4" w:space="0" w:color="auto"/>
            </w:tcBorders>
            <w:noWrap/>
            <w:vAlign w:val="bottom"/>
          </w:tcPr>
          <w:p w14:paraId="5C5117CF" w14:textId="398F63EA" w:rsidR="00C57ACA" w:rsidRPr="0060328F" w:rsidRDefault="00C57ACA" w:rsidP="00C57ACA">
            <w:pPr>
              <w:jc w:val="both"/>
              <w:rPr>
                <w:rFonts w:ascii="Arial" w:hAnsi="Arial" w:cs="Arial"/>
                <w:b/>
                <w:bCs/>
                <w:sz w:val="20"/>
                <w:szCs w:val="20"/>
              </w:rPr>
            </w:pPr>
            <w:r w:rsidRPr="009023B4">
              <w:rPr>
                <w:rFonts w:ascii="Arial" w:hAnsi="Arial" w:cs="Arial"/>
                <w:b/>
                <w:bCs/>
                <w:sz w:val="20"/>
                <w:szCs w:val="20"/>
              </w:rPr>
              <w:t>Mogamulizumab parent. 4mg/ml</w:t>
            </w:r>
          </w:p>
        </w:tc>
      </w:tr>
      <w:tr w:rsidR="00C57ACA" w:rsidRPr="00A45DAD" w14:paraId="2146B7BB" w14:textId="77777777" w:rsidTr="003F7925">
        <w:trPr>
          <w:gridAfter w:val="2"/>
          <w:wAfter w:w="154" w:type="dxa"/>
          <w:trHeight w:val="20"/>
        </w:trPr>
        <w:tc>
          <w:tcPr>
            <w:tcW w:w="1256" w:type="dxa"/>
            <w:tcBorders>
              <w:top w:val="single" w:sz="4" w:space="0" w:color="auto"/>
            </w:tcBorders>
            <w:noWrap/>
            <w:vAlign w:val="bottom"/>
          </w:tcPr>
          <w:p w14:paraId="6F0D605D"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EC1404B" w14:textId="77777777" w:rsidR="00C57ACA" w:rsidRPr="009023B4" w:rsidRDefault="00C57ACA" w:rsidP="00C57ACA">
            <w:pPr>
              <w:jc w:val="both"/>
              <w:rPr>
                <w:rFonts w:ascii="Arial" w:hAnsi="Arial" w:cs="Arial"/>
                <w:bCs/>
                <w:sz w:val="20"/>
                <w:szCs w:val="20"/>
              </w:rPr>
            </w:pPr>
            <w:r w:rsidRPr="009023B4">
              <w:rPr>
                <w:rFonts w:ascii="Arial" w:hAnsi="Arial" w:cs="Arial"/>
                <w:bCs/>
                <w:sz w:val="20"/>
                <w:szCs w:val="20"/>
              </w:rPr>
              <w:t>Hradená liečba sa môže indikovať na liečbu dospelých pacientov s mycosis fungoides alebo Sézaryho syndrómom po aspoň jednej predchádzajúcej systémovej liečbe.</w:t>
            </w:r>
          </w:p>
          <w:p w14:paraId="36CC67B8" w14:textId="77777777" w:rsidR="00C57ACA" w:rsidRPr="009023B4" w:rsidRDefault="00C57ACA" w:rsidP="00C57ACA">
            <w:pPr>
              <w:jc w:val="both"/>
              <w:rPr>
                <w:rFonts w:ascii="Arial" w:hAnsi="Arial" w:cs="Arial"/>
                <w:bCs/>
                <w:sz w:val="20"/>
                <w:szCs w:val="20"/>
              </w:rPr>
            </w:pPr>
            <w:r w:rsidRPr="009023B4">
              <w:rPr>
                <w:rFonts w:ascii="Arial" w:hAnsi="Arial" w:cs="Arial"/>
                <w:bCs/>
                <w:sz w:val="20"/>
                <w:szCs w:val="20"/>
              </w:rPr>
              <w:t>Hradená liečba sa môže indikovať v Národnom onkologickom ústave, Bratislava, vo Východoslovenskom onkologickom ústave, a. s. Košice, na Klinike hematológie a onkohematológie Univerzitnej nemocnice L. Pasteura, Košice, na Hematologickom oddelení Fakultnej nemocnice s poliklinikou F. D. Roosevelta, Banská Bystrica a na Klinike hematológie a transfuziológie Jesseniovej lekárskej fakulty Univerzity Komenského, Martin.</w:t>
            </w:r>
          </w:p>
          <w:p w14:paraId="6F36B83C" w14:textId="426B6193" w:rsidR="00C57ACA" w:rsidRPr="009023B4" w:rsidRDefault="00C57ACA" w:rsidP="00C57ACA">
            <w:pPr>
              <w:jc w:val="both"/>
              <w:rPr>
                <w:rFonts w:ascii="Arial" w:hAnsi="Arial" w:cs="Arial"/>
                <w:bCs/>
                <w:sz w:val="20"/>
                <w:szCs w:val="20"/>
              </w:rPr>
            </w:pPr>
            <w:r w:rsidRPr="009023B4">
              <w:rPr>
                <w:rFonts w:ascii="Arial" w:hAnsi="Arial" w:cs="Arial"/>
                <w:bCs/>
                <w:sz w:val="20"/>
                <w:szCs w:val="20"/>
              </w:rPr>
              <w:t>Hradená liečba podlieha predchádzajúcemu súhlasu zdravotnej poisťovne.</w:t>
            </w:r>
          </w:p>
        </w:tc>
      </w:tr>
      <w:tr w:rsidR="00C57ACA" w:rsidRPr="00A45DAD" w14:paraId="34E9A942" w14:textId="77777777" w:rsidTr="003F7925">
        <w:trPr>
          <w:gridAfter w:val="2"/>
          <w:wAfter w:w="154" w:type="dxa"/>
          <w:trHeight w:val="20"/>
        </w:trPr>
        <w:tc>
          <w:tcPr>
            <w:tcW w:w="1256" w:type="dxa"/>
            <w:tcBorders>
              <w:bottom w:val="single" w:sz="4" w:space="0" w:color="auto"/>
            </w:tcBorders>
            <w:noWrap/>
            <w:vAlign w:val="bottom"/>
          </w:tcPr>
          <w:p w14:paraId="7D3ECC0F" w14:textId="77777777"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L01FX14</w:t>
            </w:r>
          </w:p>
        </w:tc>
        <w:tc>
          <w:tcPr>
            <w:tcW w:w="9452" w:type="dxa"/>
            <w:tcBorders>
              <w:bottom w:val="single" w:sz="4" w:space="0" w:color="auto"/>
            </w:tcBorders>
            <w:noWrap/>
            <w:vAlign w:val="bottom"/>
          </w:tcPr>
          <w:p w14:paraId="065C56E4" w14:textId="2C9217A2" w:rsidR="00C57ACA" w:rsidRDefault="00C57ACA" w:rsidP="00C57ACA">
            <w:pPr>
              <w:jc w:val="both"/>
              <w:rPr>
                <w:rFonts w:ascii="Arial" w:hAnsi="Arial" w:cs="Arial"/>
                <w:b/>
                <w:bCs/>
                <w:sz w:val="20"/>
                <w:szCs w:val="20"/>
              </w:rPr>
            </w:pPr>
            <w:r w:rsidRPr="0060328F">
              <w:rPr>
                <w:rFonts w:ascii="Arial" w:hAnsi="Arial" w:cs="Arial"/>
                <w:b/>
                <w:bCs/>
                <w:sz w:val="20"/>
                <w:szCs w:val="20"/>
              </w:rPr>
              <w:t>Polatuzumab vedotín parent. 30 mg</w:t>
            </w:r>
            <w:r>
              <w:rPr>
                <w:rFonts w:ascii="Arial" w:hAnsi="Arial" w:cs="Arial"/>
                <w:b/>
                <w:bCs/>
                <w:sz w:val="20"/>
                <w:szCs w:val="20"/>
              </w:rPr>
              <w:t>,</w:t>
            </w:r>
          </w:p>
          <w:p w14:paraId="1B41586A" w14:textId="25E0CDE9"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Polatuzumab vedotín parent. 140 mg</w:t>
            </w:r>
          </w:p>
        </w:tc>
      </w:tr>
      <w:tr w:rsidR="00C57ACA" w:rsidRPr="0000591E" w14:paraId="4FFDF16A" w14:textId="77777777" w:rsidTr="003F7925">
        <w:trPr>
          <w:gridAfter w:val="2"/>
          <w:wAfter w:w="154" w:type="dxa"/>
          <w:trHeight w:val="20"/>
        </w:trPr>
        <w:tc>
          <w:tcPr>
            <w:tcW w:w="1256" w:type="dxa"/>
            <w:noWrap/>
            <w:vAlign w:val="bottom"/>
          </w:tcPr>
          <w:p w14:paraId="030F1F26" w14:textId="77777777" w:rsidR="00C57ACA" w:rsidRDefault="00C57ACA" w:rsidP="00C57ACA">
            <w:pPr>
              <w:jc w:val="both"/>
              <w:rPr>
                <w:rFonts w:ascii="Arial" w:hAnsi="Arial" w:cs="Arial"/>
                <w:b/>
                <w:bCs/>
                <w:sz w:val="20"/>
                <w:szCs w:val="20"/>
              </w:rPr>
            </w:pPr>
          </w:p>
        </w:tc>
        <w:tc>
          <w:tcPr>
            <w:tcW w:w="9452" w:type="dxa"/>
            <w:noWrap/>
            <w:vAlign w:val="bottom"/>
          </w:tcPr>
          <w:p w14:paraId="762AA3EE" w14:textId="77777777" w:rsidR="00C57ACA" w:rsidRPr="00A45DAD" w:rsidRDefault="00C57ACA" w:rsidP="00C57ACA">
            <w:pPr>
              <w:autoSpaceDE w:val="0"/>
              <w:autoSpaceDN w:val="0"/>
              <w:adjustRightInd w:val="0"/>
              <w:spacing w:after="180" w:line="276" w:lineRule="auto"/>
              <w:jc w:val="both"/>
              <w:rPr>
                <w:rFonts w:ascii="Arial" w:hAnsi="Arial"/>
                <w:color w:val="000000"/>
                <w:sz w:val="20"/>
                <w:u w:color="000000"/>
              </w:rPr>
            </w:pPr>
            <w:r w:rsidRPr="00A45DAD">
              <w:rPr>
                <w:rFonts w:ascii="Arial" w:hAnsi="Arial"/>
                <w:color w:val="000000"/>
                <w:sz w:val="20"/>
                <w:u w:color="000000"/>
              </w:rPr>
              <w:t xml:space="preserve">Hradená liečba sa môže indikovať u dospelých pacientov v kombinácii s rituximabom, cyklofosfamidom, doxorubicinom a prednisonom (R-CHP) na liečbu difúzneho B-veľkobunkového non-Hodgkinovho lymfómu (DLBCL), s IPI skóre 3-5 a ECOG výkonnostným stavom 0-2, ktorí doteraz neboli liečení. </w:t>
            </w:r>
          </w:p>
          <w:p w14:paraId="5CDFEB54" w14:textId="77777777" w:rsidR="00C57ACA" w:rsidRDefault="00C57ACA" w:rsidP="00C57ACA">
            <w:pPr>
              <w:autoSpaceDE w:val="0"/>
              <w:autoSpaceDN w:val="0"/>
              <w:adjustRightInd w:val="0"/>
              <w:spacing w:after="180" w:line="276" w:lineRule="auto"/>
              <w:jc w:val="both"/>
              <w:rPr>
                <w:rFonts w:ascii="Arial" w:hAnsi="Arial"/>
                <w:color w:val="000000"/>
                <w:sz w:val="20"/>
                <w:u w:color="000000"/>
              </w:rPr>
            </w:pPr>
            <w:r w:rsidRPr="00A45DAD">
              <w:rPr>
                <w:rFonts w:ascii="Arial" w:hAnsi="Arial"/>
                <w:color w:val="000000"/>
                <w:sz w:val="20"/>
                <w:u w:color="000000"/>
              </w:rPr>
              <w:t xml:space="preserve">Liečba je hradená do progresie ochorenia, maximálne 6 cyklov kombinovanej liečby a ďalších 2 cyklov rituximabu v monoterapii. </w:t>
            </w:r>
          </w:p>
          <w:p w14:paraId="1553EED4" w14:textId="77777777" w:rsidR="00C57ACA" w:rsidRPr="00C976CC" w:rsidRDefault="00C57ACA" w:rsidP="00C57ACA">
            <w:pPr>
              <w:autoSpaceDE w:val="0"/>
              <w:autoSpaceDN w:val="0"/>
              <w:adjustRightInd w:val="0"/>
              <w:spacing w:after="180" w:line="276" w:lineRule="auto"/>
              <w:jc w:val="both"/>
              <w:rPr>
                <w:rFonts w:ascii="Arial" w:hAnsi="Arial"/>
                <w:color w:val="000000"/>
                <w:sz w:val="20"/>
                <w:u w:color="000000"/>
              </w:rPr>
            </w:pPr>
            <w:r w:rsidRPr="0055375D">
              <w:rPr>
                <w:rFonts w:ascii="Arial" w:hAnsi="Arial"/>
                <w:color w:val="000000"/>
                <w:sz w:val="20"/>
                <w:u w:color="000000"/>
              </w:rPr>
              <w:t>Hradená liečba</w:t>
            </w:r>
            <w:r>
              <w:rPr>
                <w:rFonts w:ascii="Arial" w:hAnsi="Arial"/>
                <w:color w:val="000000"/>
                <w:sz w:val="20"/>
                <w:u w:color="000000"/>
              </w:rPr>
              <w:t xml:space="preserve"> </w:t>
            </w:r>
            <w:r w:rsidRPr="0055375D">
              <w:rPr>
                <w:rFonts w:ascii="Arial" w:hAnsi="Arial"/>
                <w:color w:val="000000"/>
                <w:sz w:val="20"/>
                <w:u w:color="000000"/>
              </w:rPr>
              <w:t>podlieha predchádzajúcemu súhlasu zdravotnej poisťovne.</w:t>
            </w:r>
          </w:p>
        </w:tc>
      </w:tr>
      <w:tr w:rsidR="00C57ACA" w:rsidRPr="0000591E" w14:paraId="42EF8BF8" w14:textId="77777777" w:rsidTr="003F7925">
        <w:trPr>
          <w:gridAfter w:val="2"/>
          <w:wAfter w:w="154" w:type="dxa"/>
          <w:trHeight w:val="20"/>
        </w:trPr>
        <w:tc>
          <w:tcPr>
            <w:tcW w:w="1256" w:type="dxa"/>
            <w:tcBorders>
              <w:bottom w:val="single" w:sz="4" w:space="0" w:color="auto"/>
            </w:tcBorders>
            <w:noWrap/>
            <w:vAlign w:val="bottom"/>
          </w:tcPr>
          <w:p w14:paraId="5C234466" w14:textId="77777777" w:rsidR="00C57ACA" w:rsidRDefault="00C57ACA" w:rsidP="00C57ACA">
            <w:pPr>
              <w:jc w:val="both"/>
              <w:rPr>
                <w:rFonts w:ascii="Arial" w:hAnsi="Arial" w:cs="Arial"/>
                <w:b/>
                <w:bCs/>
                <w:sz w:val="20"/>
                <w:szCs w:val="20"/>
              </w:rPr>
            </w:pPr>
            <w:r>
              <w:rPr>
                <w:rFonts w:ascii="Arial" w:hAnsi="Arial" w:cs="Arial"/>
                <w:b/>
                <w:bCs/>
                <w:sz w:val="20"/>
                <w:szCs w:val="20"/>
              </w:rPr>
              <w:t>L01FX17</w:t>
            </w:r>
          </w:p>
        </w:tc>
        <w:tc>
          <w:tcPr>
            <w:tcW w:w="9452" w:type="dxa"/>
            <w:tcBorders>
              <w:bottom w:val="single" w:sz="4" w:space="0" w:color="auto"/>
            </w:tcBorders>
            <w:noWrap/>
            <w:vAlign w:val="bottom"/>
          </w:tcPr>
          <w:p w14:paraId="5003F58A" w14:textId="77777777" w:rsidR="00C57ACA" w:rsidRDefault="00C57ACA" w:rsidP="00C57ACA">
            <w:pPr>
              <w:jc w:val="both"/>
              <w:rPr>
                <w:rFonts w:ascii="Arial" w:hAnsi="Arial" w:cs="Arial"/>
                <w:b/>
                <w:bCs/>
                <w:sz w:val="20"/>
                <w:szCs w:val="20"/>
              </w:rPr>
            </w:pPr>
            <w:r w:rsidRPr="00064B4C">
              <w:rPr>
                <w:rFonts w:ascii="Arial" w:hAnsi="Arial" w:cs="Arial"/>
                <w:b/>
                <w:bCs/>
                <w:sz w:val="20"/>
                <w:szCs w:val="20"/>
              </w:rPr>
              <w:t>Sacituzumab govitekan</w:t>
            </w:r>
            <w:r>
              <w:rPr>
                <w:rFonts w:ascii="Arial" w:hAnsi="Arial" w:cs="Arial"/>
                <w:b/>
                <w:bCs/>
                <w:sz w:val="20"/>
                <w:szCs w:val="20"/>
              </w:rPr>
              <w:t xml:space="preserve"> </w:t>
            </w:r>
            <w:r w:rsidRPr="00064B4C">
              <w:rPr>
                <w:rFonts w:ascii="Arial" w:hAnsi="Arial" w:cs="Arial"/>
                <w:b/>
                <w:bCs/>
                <w:sz w:val="20"/>
                <w:szCs w:val="20"/>
              </w:rPr>
              <w:t>parent. 200 mg</w:t>
            </w:r>
          </w:p>
        </w:tc>
      </w:tr>
      <w:tr w:rsidR="00C57ACA" w:rsidRPr="0000591E" w14:paraId="7EBD2BD7" w14:textId="77777777" w:rsidTr="003F7925">
        <w:trPr>
          <w:gridAfter w:val="2"/>
          <w:wAfter w:w="154" w:type="dxa"/>
          <w:trHeight w:val="20"/>
        </w:trPr>
        <w:tc>
          <w:tcPr>
            <w:tcW w:w="1256" w:type="dxa"/>
            <w:tcBorders>
              <w:top w:val="single" w:sz="4" w:space="0" w:color="auto"/>
            </w:tcBorders>
            <w:noWrap/>
            <w:vAlign w:val="bottom"/>
          </w:tcPr>
          <w:p w14:paraId="7AD984F4" w14:textId="77777777" w:rsidR="00C57ACA"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5CE7902" w14:textId="5C03D225" w:rsidR="00C57ACA" w:rsidRDefault="00C57ACA" w:rsidP="00C57ACA">
            <w:pPr>
              <w:jc w:val="both"/>
              <w:rPr>
                <w:rFonts w:ascii="Arial" w:hAnsi="Arial" w:cs="Arial"/>
                <w:bCs/>
                <w:sz w:val="20"/>
                <w:szCs w:val="20"/>
              </w:rPr>
            </w:pPr>
            <w:r w:rsidRPr="00064B4C">
              <w:rPr>
                <w:rFonts w:ascii="Arial" w:hAnsi="Arial" w:cs="Arial"/>
                <w:bCs/>
                <w:sz w:val="20"/>
                <w:szCs w:val="20"/>
              </w:rPr>
              <w:t>Hradená liečba je indikovaná dospelým pacientom s neresekovateľným alebo metastatickým trojito negatívnym karcinómom prsníka,</w:t>
            </w:r>
            <w:r>
              <w:rPr>
                <w:rFonts w:ascii="Arial" w:hAnsi="Arial" w:cs="Arial"/>
                <w:bCs/>
                <w:sz w:val="20"/>
                <w:szCs w:val="20"/>
              </w:rPr>
              <w:t xml:space="preserve"> </w:t>
            </w:r>
            <w:r w:rsidRPr="00064B4C">
              <w:rPr>
                <w:rFonts w:ascii="Arial" w:hAnsi="Arial" w:cs="Arial"/>
                <w:bCs/>
                <w:sz w:val="20"/>
                <w:szCs w:val="20"/>
              </w:rPr>
              <w:t>ktorí podstúpili dve alebo viac predchád</w:t>
            </w:r>
            <w:r>
              <w:rPr>
                <w:rFonts w:ascii="Arial" w:hAnsi="Arial" w:cs="Arial"/>
                <w:bCs/>
                <w:sz w:val="20"/>
                <w:szCs w:val="20"/>
              </w:rPr>
              <w:t xml:space="preserve">zajúcich systémových terapií, z </w:t>
            </w:r>
            <w:r w:rsidRPr="00064B4C">
              <w:rPr>
                <w:rFonts w:ascii="Arial" w:hAnsi="Arial" w:cs="Arial"/>
                <w:bCs/>
                <w:sz w:val="20"/>
                <w:szCs w:val="20"/>
              </w:rPr>
              <w:t>ktorých aspoň jedna bola indikovaná na pokročilé alebo</w:t>
            </w:r>
            <w:r>
              <w:rPr>
                <w:rFonts w:ascii="Arial" w:hAnsi="Arial" w:cs="Arial"/>
                <w:bCs/>
                <w:sz w:val="20"/>
                <w:szCs w:val="20"/>
              </w:rPr>
              <w:t xml:space="preserve"> </w:t>
            </w:r>
            <w:r w:rsidRPr="00064B4C">
              <w:rPr>
                <w:rFonts w:ascii="Arial" w:hAnsi="Arial" w:cs="Arial"/>
                <w:bCs/>
                <w:sz w:val="20"/>
                <w:szCs w:val="20"/>
              </w:rPr>
              <w:t>metastatické ochorenie, za splnenia všetkých nasledujúcich podmienok:</w:t>
            </w:r>
          </w:p>
          <w:p w14:paraId="19A1C610" w14:textId="77777777" w:rsidR="00C57ACA" w:rsidRPr="00064B4C" w:rsidRDefault="00C57ACA" w:rsidP="00C57ACA">
            <w:pPr>
              <w:jc w:val="both"/>
              <w:rPr>
                <w:rFonts w:ascii="Arial" w:hAnsi="Arial" w:cs="Arial"/>
                <w:bCs/>
                <w:sz w:val="20"/>
                <w:szCs w:val="20"/>
              </w:rPr>
            </w:pPr>
          </w:p>
          <w:p w14:paraId="5D04F8A6" w14:textId="77777777" w:rsidR="00C57ACA" w:rsidRPr="00064B4C" w:rsidRDefault="00C57ACA" w:rsidP="00C57ACA">
            <w:pPr>
              <w:jc w:val="both"/>
              <w:rPr>
                <w:rFonts w:ascii="Arial" w:hAnsi="Arial" w:cs="Arial"/>
                <w:bCs/>
                <w:sz w:val="20"/>
                <w:szCs w:val="20"/>
              </w:rPr>
            </w:pPr>
            <w:r w:rsidRPr="00064B4C">
              <w:rPr>
                <w:rFonts w:ascii="Arial" w:hAnsi="Arial" w:cs="Arial"/>
                <w:bCs/>
                <w:sz w:val="20"/>
                <w:szCs w:val="20"/>
              </w:rPr>
              <w:t>a) predchádzajúca neo/adjuvantná liečba lokalizovaného ochorenia je kvalifikovaná ako jeden z požadovaných predchádzajúcich režimov</w:t>
            </w:r>
            <w:r>
              <w:rPr>
                <w:rFonts w:ascii="Arial" w:hAnsi="Arial" w:cs="Arial"/>
                <w:bCs/>
                <w:sz w:val="20"/>
                <w:szCs w:val="20"/>
              </w:rPr>
              <w:t xml:space="preserve"> </w:t>
            </w:r>
            <w:r w:rsidRPr="00064B4C">
              <w:rPr>
                <w:rFonts w:ascii="Arial" w:hAnsi="Arial" w:cs="Arial"/>
                <w:bCs/>
                <w:sz w:val="20"/>
                <w:szCs w:val="20"/>
              </w:rPr>
              <w:t>iba v prípade, že sa do 12 mesiacov po dokončení tejto neo/adjuvantnej liečby rozvinulo neresekovateľné, lokálne pokročilé alebo</w:t>
            </w:r>
            <w:r>
              <w:rPr>
                <w:rFonts w:ascii="Arial" w:hAnsi="Arial" w:cs="Arial"/>
                <w:bCs/>
                <w:sz w:val="20"/>
                <w:szCs w:val="20"/>
              </w:rPr>
              <w:t xml:space="preserve"> </w:t>
            </w:r>
            <w:r w:rsidRPr="00064B4C">
              <w:rPr>
                <w:rFonts w:ascii="Arial" w:hAnsi="Arial" w:cs="Arial"/>
                <w:bCs/>
                <w:sz w:val="20"/>
                <w:szCs w:val="20"/>
              </w:rPr>
              <w:t>metastatické ochorenie,</w:t>
            </w:r>
          </w:p>
          <w:p w14:paraId="22C3D79E" w14:textId="77777777" w:rsidR="00C57ACA" w:rsidRPr="00064B4C" w:rsidRDefault="00C57ACA" w:rsidP="00C57ACA">
            <w:pPr>
              <w:jc w:val="both"/>
              <w:rPr>
                <w:rFonts w:ascii="Arial" w:hAnsi="Arial" w:cs="Arial"/>
                <w:bCs/>
                <w:sz w:val="20"/>
                <w:szCs w:val="20"/>
              </w:rPr>
            </w:pPr>
            <w:r w:rsidRPr="00064B4C">
              <w:rPr>
                <w:rFonts w:ascii="Arial" w:hAnsi="Arial" w:cs="Arial"/>
                <w:bCs/>
                <w:sz w:val="20"/>
                <w:szCs w:val="20"/>
              </w:rPr>
              <w:t>b) pacient má výkonnostný stav 0-1 podľa ECOG,</w:t>
            </w:r>
          </w:p>
          <w:p w14:paraId="4E337DAC" w14:textId="77777777" w:rsidR="00C57ACA" w:rsidRPr="00064B4C" w:rsidRDefault="00C57ACA" w:rsidP="00C57ACA">
            <w:pPr>
              <w:jc w:val="both"/>
              <w:rPr>
                <w:rFonts w:ascii="Arial" w:hAnsi="Arial" w:cs="Arial"/>
                <w:bCs/>
                <w:sz w:val="20"/>
                <w:szCs w:val="20"/>
              </w:rPr>
            </w:pPr>
            <w:r w:rsidRPr="00064B4C">
              <w:rPr>
                <w:rFonts w:ascii="Arial" w:hAnsi="Arial" w:cs="Arial"/>
                <w:bCs/>
                <w:sz w:val="20"/>
                <w:szCs w:val="20"/>
              </w:rPr>
              <w:t>c) predchádzajúca liečba obsahovala taxán, ak táto liečba nebola kontraindikovaná alebo nevhodná.</w:t>
            </w:r>
          </w:p>
          <w:p w14:paraId="771ED916" w14:textId="77777777" w:rsidR="00C57ACA" w:rsidRDefault="00C57ACA" w:rsidP="00C57ACA">
            <w:pPr>
              <w:jc w:val="both"/>
              <w:rPr>
                <w:rFonts w:ascii="Arial" w:hAnsi="Arial" w:cs="Arial"/>
                <w:bCs/>
                <w:sz w:val="20"/>
                <w:szCs w:val="20"/>
              </w:rPr>
            </w:pPr>
          </w:p>
          <w:p w14:paraId="67D14899" w14:textId="77777777" w:rsidR="00C57ACA" w:rsidRDefault="00C57ACA" w:rsidP="00C57ACA">
            <w:pPr>
              <w:jc w:val="both"/>
              <w:rPr>
                <w:rFonts w:ascii="Arial" w:hAnsi="Arial" w:cs="Arial"/>
                <w:bCs/>
                <w:sz w:val="20"/>
                <w:szCs w:val="20"/>
              </w:rPr>
            </w:pPr>
            <w:r w:rsidRPr="00064B4C">
              <w:rPr>
                <w:rFonts w:ascii="Arial" w:hAnsi="Arial" w:cs="Arial"/>
                <w:bCs/>
                <w:sz w:val="20"/>
                <w:szCs w:val="20"/>
              </w:rPr>
              <w:t>Liečba je hradená do progresie ochorenia alebo netolerovateľnej toxicity</w:t>
            </w:r>
            <w:r>
              <w:rPr>
                <w:rFonts w:ascii="Arial" w:hAnsi="Arial" w:cs="Arial"/>
                <w:bCs/>
                <w:sz w:val="20"/>
                <w:szCs w:val="20"/>
              </w:rPr>
              <w:t xml:space="preserve">, podľa toho čo nastane skôr, a </w:t>
            </w:r>
            <w:r w:rsidRPr="00064B4C">
              <w:rPr>
                <w:rFonts w:ascii="Arial" w:hAnsi="Arial" w:cs="Arial"/>
                <w:bCs/>
                <w:sz w:val="20"/>
                <w:szCs w:val="20"/>
              </w:rPr>
              <w:t>podlieha predchádzajúcemu</w:t>
            </w:r>
            <w:r>
              <w:rPr>
                <w:rFonts w:ascii="Arial" w:hAnsi="Arial" w:cs="Arial"/>
                <w:bCs/>
                <w:sz w:val="20"/>
                <w:szCs w:val="20"/>
              </w:rPr>
              <w:t xml:space="preserve"> súhlasu zdravotnej poisťovne.</w:t>
            </w:r>
          </w:p>
          <w:p w14:paraId="616F1D1F" w14:textId="420B76F8" w:rsidR="00C57ACA" w:rsidRPr="00064B4C" w:rsidRDefault="00C57ACA" w:rsidP="00C57ACA">
            <w:pPr>
              <w:jc w:val="both"/>
              <w:rPr>
                <w:rFonts w:ascii="Arial" w:hAnsi="Arial" w:cs="Arial"/>
                <w:bCs/>
                <w:sz w:val="20"/>
                <w:szCs w:val="20"/>
              </w:rPr>
            </w:pPr>
          </w:p>
        </w:tc>
      </w:tr>
      <w:tr w:rsidR="00C57ACA" w:rsidRPr="0000591E" w14:paraId="08D504B4" w14:textId="77777777" w:rsidTr="003F7925">
        <w:trPr>
          <w:gridAfter w:val="2"/>
          <w:wAfter w:w="154" w:type="dxa"/>
          <w:trHeight w:val="20"/>
        </w:trPr>
        <w:tc>
          <w:tcPr>
            <w:tcW w:w="1256" w:type="dxa"/>
            <w:tcBorders>
              <w:bottom w:val="single" w:sz="4" w:space="0" w:color="auto"/>
            </w:tcBorders>
            <w:noWrap/>
            <w:vAlign w:val="bottom"/>
          </w:tcPr>
          <w:p w14:paraId="3A47C16E" w14:textId="77777777" w:rsidR="00C57ACA" w:rsidRDefault="00C57ACA" w:rsidP="00C57ACA">
            <w:pPr>
              <w:jc w:val="both"/>
              <w:rPr>
                <w:rFonts w:ascii="Arial" w:hAnsi="Arial" w:cs="Arial"/>
                <w:b/>
                <w:bCs/>
                <w:sz w:val="20"/>
                <w:szCs w:val="20"/>
              </w:rPr>
            </w:pPr>
            <w:r w:rsidRPr="00586C1C">
              <w:rPr>
                <w:rFonts w:ascii="Arial" w:hAnsi="Arial" w:cs="Arial"/>
                <w:b/>
                <w:bCs/>
                <w:sz w:val="20"/>
                <w:szCs w:val="20"/>
              </w:rPr>
              <w:t>L01FX22</w:t>
            </w:r>
          </w:p>
        </w:tc>
        <w:tc>
          <w:tcPr>
            <w:tcW w:w="9452" w:type="dxa"/>
            <w:tcBorders>
              <w:bottom w:val="single" w:sz="4" w:space="0" w:color="auto"/>
            </w:tcBorders>
            <w:noWrap/>
            <w:vAlign w:val="bottom"/>
          </w:tcPr>
          <w:p w14:paraId="6DD46935" w14:textId="77777777" w:rsidR="00C57ACA" w:rsidRPr="00FC3BA8" w:rsidRDefault="00C57ACA" w:rsidP="00C57ACA">
            <w:pPr>
              <w:jc w:val="both"/>
              <w:rPr>
                <w:rFonts w:ascii="Arial" w:hAnsi="Arial" w:cs="Arial"/>
                <w:b/>
                <w:bCs/>
                <w:sz w:val="20"/>
                <w:szCs w:val="20"/>
              </w:rPr>
            </w:pPr>
            <w:r w:rsidRPr="00FC3BA8">
              <w:rPr>
                <w:rFonts w:ascii="Arial" w:hAnsi="Arial" w:cs="Arial"/>
                <w:b/>
                <w:bCs/>
                <w:sz w:val="20"/>
                <w:szCs w:val="20"/>
              </w:rPr>
              <w:t>Lonkastuximab-tesirín parent. 10 mg</w:t>
            </w:r>
          </w:p>
        </w:tc>
      </w:tr>
      <w:tr w:rsidR="00C57ACA" w:rsidRPr="0000591E" w14:paraId="36D98B5C" w14:textId="77777777" w:rsidTr="003F7925">
        <w:trPr>
          <w:gridAfter w:val="2"/>
          <w:wAfter w:w="154" w:type="dxa"/>
          <w:trHeight w:val="20"/>
        </w:trPr>
        <w:tc>
          <w:tcPr>
            <w:tcW w:w="1256" w:type="dxa"/>
            <w:tcBorders>
              <w:top w:val="single" w:sz="4" w:space="0" w:color="auto"/>
            </w:tcBorders>
            <w:noWrap/>
            <w:vAlign w:val="bottom"/>
          </w:tcPr>
          <w:p w14:paraId="6F2216F9" w14:textId="77777777" w:rsidR="00C57ACA"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9D84765" w14:textId="77777777" w:rsidR="00C57ACA" w:rsidRPr="00FC3BA8" w:rsidRDefault="00C57ACA" w:rsidP="00C57ACA">
            <w:pPr>
              <w:jc w:val="both"/>
              <w:rPr>
                <w:rFonts w:ascii="Arial" w:hAnsi="Arial" w:cs="Arial"/>
                <w:bCs/>
                <w:sz w:val="20"/>
                <w:szCs w:val="20"/>
              </w:rPr>
            </w:pPr>
            <w:r w:rsidRPr="00FC3BA8">
              <w:rPr>
                <w:rFonts w:ascii="Arial" w:hAnsi="Arial" w:cs="Arial"/>
                <w:bCs/>
                <w:sz w:val="20"/>
                <w:szCs w:val="20"/>
              </w:rPr>
              <w:t>Hradená liečba sa môže indikovať ako monoterapia na liečbu dospelých pacientov s recidivujúcim alebo refraktérnym difúznym veľkobunkovým B-lymfómom (Diffuse Large B-Cell Lymphoma, DLBCL) vrátane vysokomalígneho B-lymfómu (High-grade B-cell Lymphoma, HGBL), ktorí už boli liečení dvomi alebo viacerými líniami systémovej liečby, a ktorí nie sú v čase indikovania liečby vhodní na CAR-T bunkovú liečbu (klinické, technologické alebo kapacitné dôvody) alebo ju už absolvovali.</w:t>
            </w:r>
          </w:p>
          <w:p w14:paraId="4937A7C3" w14:textId="77777777" w:rsidR="00C57ACA" w:rsidRPr="00FC3BA8" w:rsidRDefault="00C57ACA" w:rsidP="00C57ACA">
            <w:pPr>
              <w:jc w:val="both"/>
              <w:rPr>
                <w:rFonts w:ascii="Arial" w:hAnsi="Arial" w:cs="Arial"/>
                <w:bCs/>
                <w:sz w:val="20"/>
                <w:szCs w:val="20"/>
              </w:rPr>
            </w:pPr>
            <w:r w:rsidRPr="00FC3BA8">
              <w:rPr>
                <w:rFonts w:ascii="Arial" w:hAnsi="Arial" w:cs="Arial"/>
                <w:bCs/>
                <w:sz w:val="20"/>
                <w:szCs w:val="20"/>
              </w:rPr>
              <w:t>Podmienkou hradenej liečby je dobrý výkonnostný stav pacienta charakterizovaný na ECOG škále ako skóre 0-2.</w:t>
            </w:r>
          </w:p>
          <w:p w14:paraId="772BB4E9" w14:textId="77777777" w:rsidR="00C57ACA" w:rsidRDefault="00C57ACA" w:rsidP="00C57ACA">
            <w:pPr>
              <w:jc w:val="both"/>
              <w:rPr>
                <w:rFonts w:ascii="Arial" w:hAnsi="Arial" w:cs="Arial"/>
                <w:bCs/>
                <w:sz w:val="20"/>
                <w:szCs w:val="20"/>
              </w:rPr>
            </w:pPr>
            <w:r w:rsidRPr="00FC3BA8">
              <w:rPr>
                <w:rFonts w:ascii="Arial" w:hAnsi="Arial" w:cs="Arial"/>
                <w:bCs/>
                <w:sz w:val="20"/>
                <w:szCs w:val="20"/>
              </w:rPr>
              <w:t>Hradená liečba podlieha predchádzajúcemu súhlasu zdravotnej poisťovne.</w:t>
            </w:r>
          </w:p>
          <w:p w14:paraId="62C83D03" w14:textId="77777777" w:rsidR="00C57ACA" w:rsidRPr="00064B4C" w:rsidRDefault="00C57ACA" w:rsidP="00C57ACA">
            <w:pPr>
              <w:jc w:val="both"/>
              <w:rPr>
                <w:rFonts w:ascii="Arial" w:hAnsi="Arial" w:cs="Arial"/>
                <w:bCs/>
                <w:sz w:val="20"/>
                <w:szCs w:val="20"/>
              </w:rPr>
            </w:pPr>
          </w:p>
        </w:tc>
      </w:tr>
      <w:tr w:rsidR="00C57ACA" w:rsidRPr="0000591E" w14:paraId="4F4BA995" w14:textId="77777777" w:rsidTr="003F7925">
        <w:trPr>
          <w:gridAfter w:val="2"/>
          <w:wAfter w:w="154" w:type="dxa"/>
          <w:trHeight w:val="20"/>
        </w:trPr>
        <w:tc>
          <w:tcPr>
            <w:tcW w:w="1256" w:type="dxa"/>
            <w:tcBorders>
              <w:bottom w:val="single" w:sz="4" w:space="0" w:color="auto"/>
            </w:tcBorders>
            <w:noWrap/>
            <w:vAlign w:val="bottom"/>
          </w:tcPr>
          <w:p w14:paraId="47DF2778" w14:textId="7730B861" w:rsidR="00C57ACA" w:rsidRDefault="00C57ACA" w:rsidP="00C57ACA">
            <w:pPr>
              <w:jc w:val="both"/>
              <w:rPr>
                <w:rFonts w:ascii="Arial" w:hAnsi="Arial" w:cs="Arial"/>
                <w:b/>
                <w:bCs/>
                <w:sz w:val="20"/>
                <w:szCs w:val="20"/>
              </w:rPr>
            </w:pPr>
            <w:r w:rsidRPr="00586C1C">
              <w:rPr>
                <w:rFonts w:ascii="Arial" w:hAnsi="Arial" w:cs="Arial"/>
                <w:b/>
                <w:bCs/>
                <w:sz w:val="20"/>
                <w:szCs w:val="20"/>
              </w:rPr>
              <w:t>L01FX2</w:t>
            </w:r>
            <w:r>
              <w:rPr>
                <w:rFonts w:ascii="Arial" w:hAnsi="Arial" w:cs="Arial"/>
                <w:b/>
                <w:bCs/>
                <w:sz w:val="20"/>
                <w:szCs w:val="20"/>
              </w:rPr>
              <w:t>9</w:t>
            </w:r>
          </w:p>
        </w:tc>
        <w:tc>
          <w:tcPr>
            <w:tcW w:w="9452" w:type="dxa"/>
            <w:tcBorders>
              <w:bottom w:val="single" w:sz="4" w:space="0" w:color="auto"/>
            </w:tcBorders>
            <w:noWrap/>
            <w:vAlign w:val="bottom"/>
          </w:tcPr>
          <w:p w14:paraId="56FA133D" w14:textId="77777777" w:rsidR="00C57ACA" w:rsidRDefault="00C57ACA" w:rsidP="00C57ACA">
            <w:pPr>
              <w:jc w:val="both"/>
              <w:rPr>
                <w:rFonts w:ascii="Arial" w:hAnsi="Arial" w:cs="Arial"/>
                <w:b/>
                <w:bCs/>
                <w:sz w:val="20"/>
                <w:szCs w:val="20"/>
              </w:rPr>
            </w:pPr>
            <w:r w:rsidRPr="00144328">
              <w:rPr>
                <w:rFonts w:ascii="Arial" w:hAnsi="Arial" w:cs="Arial"/>
                <w:b/>
                <w:bCs/>
                <w:sz w:val="20"/>
                <w:szCs w:val="20"/>
              </w:rPr>
              <w:t>Talkvetamab</w:t>
            </w:r>
            <w:r>
              <w:rPr>
                <w:rFonts w:ascii="Arial" w:hAnsi="Arial" w:cs="Arial"/>
                <w:b/>
                <w:bCs/>
                <w:sz w:val="20"/>
                <w:szCs w:val="20"/>
              </w:rPr>
              <w:t xml:space="preserve"> </w:t>
            </w:r>
            <w:r w:rsidRPr="00144328">
              <w:rPr>
                <w:rFonts w:ascii="Arial" w:hAnsi="Arial" w:cs="Arial"/>
                <w:b/>
                <w:bCs/>
                <w:sz w:val="20"/>
                <w:szCs w:val="20"/>
              </w:rPr>
              <w:t>parent. 3 mg</w:t>
            </w:r>
          </w:p>
          <w:p w14:paraId="52C0F389" w14:textId="77777777" w:rsidR="00C57ACA" w:rsidRDefault="00C57ACA" w:rsidP="00C57ACA">
            <w:pPr>
              <w:jc w:val="both"/>
              <w:rPr>
                <w:rFonts w:ascii="Arial" w:hAnsi="Arial" w:cs="Arial"/>
                <w:b/>
                <w:bCs/>
                <w:sz w:val="20"/>
                <w:szCs w:val="20"/>
              </w:rPr>
            </w:pPr>
            <w:r w:rsidRPr="00144328">
              <w:rPr>
                <w:rFonts w:ascii="Arial" w:hAnsi="Arial" w:cs="Arial"/>
                <w:b/>
                <w:bCs/>
                <w:sz w:val="20"/>
                <w:szCs w:val="20"/>
              </w:rPr>
              <w:t>Talkvetamab</w:t>
            </w:r>
            <w:r>
              <w:rPr>
                <w:rFonts w:ascii="Arial" w:hAnsi="Arial" w:cs="Arial"/>
                <w:b/>
                <w:bCs/>
                <w:sz w:val="20"/>
                <w:szCs w:val="20"/>
              </w:rPr>
              <w:t xml:space="preserve"> </w:t>
            </w:r>
            <w:r w:rsidRPr="00144328">
              <w:rPr>
                <w:rFonts w:ascii="Arial" w:hAnsi="Arial" w:cs="Arial"/>
                <w:b/>
                <w:bCs/>
                <w:sz w:val="20"/>
                <w:szCs w:val="20"/>
              </w:rPr>
              <w:t>parent. 40 mg</w:t>
            </w:r>
          </w:p>
        </w:tc>
      </w:tr>
      <w:tr w:rsidR="00C57ACA" w:rsidRPr="0000591E" w14:paraId="61D719E7" w14:textId="77777777" w:rsidTr="003F7925">
        <w:trPr>
          <w:gridAfter w:val="2"/>
          <w:wAfter w:w="154" w:type="dxa"/>
          <w:trHeight w:val="20"/>
        </w:trPr>
        <w:tc>
          <w:tcPr>
            <w:tcW w:w="1256" w:type="dxa"/>
            <w:tcBorders>
              <w:top w:val="single" w:sz="4" w:space="0" w:color="auto"/>
            </w:tcBorders>
            <w:noWrap/>
            <w:vAlign w:val="bottom"/>
          </w:tcPr>
          <w:p w14:paraId="24B598AA" w14:textId="77777777" w:rsidR="00C57ACA"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65AE7BEF" w14:textId="77777777" w:rsidR="00C57ACA" w:rsidRPr="00144328" w:rsidRDefault="00C57ACA" w:rsidP="00C57ACA">
            <w:pPr>
              <w:jc w:val="both"/>
              <w:rPr>
                <w:rFonts w:ascii="Arial" w:hAnsi="Arial" w:cs="Arial"/>
                <w:bCs/>
                <w:sz w:val="20"/>
                <w:szCs w:val="20"/>
              </w:rPr>
            </w:pPr>
            <w:r w:rsidRPr="00144328">
              <w:rPr>
                <w:rFonts w:ascii="Arial" w:hAnsi="Arial" w:cs="Arial"/>
                <w:bCs/>
                <w:sz w:val="20"/>
                <w:szCs w:val="20"/>
              </w:rPr>
              <w:t>Hradená liečba sa môže indikovať v monoterapii na liečbu dospelých pacientov s relabujúcim a refraktérnym mnohopočetným myelómom, ktorí dostali najmenej 3 predchádzajúce liečby vrátane imunomodulátora, proteazómového inhibítora a protilátky proti CD38 a u ktorých došlo k progresii ochorenia počas užívania poslednej liečby. Podmienkou hradenej liečby je dobrý výkonnostný stav pacienta charakterizovaný na ECOG škále (Eastern Cooperative Oncology Group performance status) ako skóre 0 – 2.</w:t>
            </w:r>
          </w:p>
          <w:p w14:paraId="71D57948" w14:textId="77777777" w:rsidR="00C57ACA" w:rsidRPr="00144328" w:rsidRDefault="00C57ACA" w:rsidP="00C57ACA">
            <w:pPr>
              <w:jc w:val="both"/>
              <w:rPr>
                <w:rFonts w:ascii="Arial" w:hAnsi="Arial" w:cs="Arial"/>
                <w:bCs/>
                <w:sz w:val="20"/>
                <w:szCs w:val="20"/>
              </w:rPr>
            </w:pPr>
          </w:p>
          <w:p w14:paraId="259AA9DB" w14:textId="77777777" w:rsidR="00C57ACA" w:rsidRPr="00144328" w:rsidRDefault="00C57ACA" w:rsidP="00C57ACA">
            <w:pPr>
              <w:jc w:val="both"/>
              <w:rPr>
                <w:rFonts w:ascii="Arial" w:hAnsi="Arial" w:cs="Arial"/>
                <w:bCs/>
                <w:sz w:val="20"/>
                <w:szCs w:val="20"/>
              </w:rPr>
            </w:pPr>
            <w:r w:rsidRPr="00144328">
              <w:rPr>
                <w:rFonts w:ascii="Arial" w:hAnsi="Arial" w:cs="Arial"/>
                <w:bCs/>
                <w:sz w:val="20"/>
                <w:szCs w:val="20"/>
              </w:rPr>
              <w:t>Hradená liečba sa môže indikovať v Národnom onkologickom ústave Bratislava, na Klinike hematológie a transfúziológie Univerzitnej nemocnice Bratislava – nemocnica sv. Cyrila a Metoda, na Klinike hematológie a transfúziológie Jesseniovej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v Hematologickej ambulancii Fakultnej nemocnice Nitra.</w:t>
            </w:r>
          </w:p>
          <w:p w14:paraId="39730336" w14:textId="77777777" w:rsidR="00C57ACA" w:rsidRPr="00144328" w:rsidRDefault="00C57ACA" w:rsidP="00C57ACA">
            <w:pPr>
              <w:jc w:val="both"/>
              <w:rPr>
                <w:rFonts w:ascii="Arial" w:hAnsi="Arial" w:cs="Arial"/>
                <w:bCs/>
                <w:sz w:val="20"/>
                <w:szCs w:val="20"/>
              </w:rPr>
            </w:pPr>
          </w:p>
          <w:p w14:paraId="0C4F017E" w14:textId="77777777" w:rsidR="00C57ACA" w:rsidRDefault="00C57ACA" w:rsidP="00C57ACA">
            <w:pPr>
              <w:jc w:val="both"/>
              <w:rPr>
                <w:rFonts w:ascii="Arial" w:hAnsi="Arial" w:cs="Arial"/>
                <w:bCs/>
                <w:sz w:val="20"/>
                <w:szCs w:val="20"/>
              </w:rPr>
            </w:pPr>
            <w:r w:rsidRPr="00144328">
              <w:rPr>
                <w:rFonts w:ascii="Arial" w:hAnsi="Arial" w:cs="Arial"/>
                <w:bCs/>
                <w:sz w:val="20"/>
                <w:szCs w:val="20"/>
              </w:rPr>
              <w:t>Hradená liečba podlieha predchádzajúcemu súhlasu zdravotnej poisťovne.</w:t>
            </w:r>
          </w:p>
          <w:p w14:paraId="4DF8EE34" w14:textId="77777777" w:rsidR="00C57ACA" w:rsidRDefault="00C57ACA" w:rsidP="00C57ACA">
            <w:pPr>
              <w:jc w:val="both"/>
              <w:rPr>
                <w:rFonts w:ascii="Arial" w:hAnsi="Arial" w:cs="Arial"/>
                <w:b/>
                <w:bCs/>
                <w:sz w:val="20"/>
                <w:szCs w:val="20"/>
              </w:rPr>
            </w:pPr>
          </w:p>
        </w:tc>
      </w:tr>
      <w:tr w:rsidR="00C57ACA" w:rsidRPr="0000591E" w14:paraId="0E107C33" w14:textId="77777777" w:rsidTr="00204ED2">
        <w:trPr>
          <w:gridAfter w:val="2"/>
          <w:wAfter w:w="154" w:type="dxa"/>
          <w:trHeight w:val="20"/>
        </w:trPr>
        <w:tc>
          <w:tcPr>
            <w:tcW w:w="1256" w:type="dxa"/>
            <w:tcBorders>
              <w:bottom w:val="single" w:sz="4" w:space="0" w:color="auto"/>
            </w:tcBorders>
            <w:noWrap/>
            <w:vAlign w:val="bottom"/>
          </w:tcPr>
          <w:p w14:paraId="3D1CE450" w14:textId="63443E53"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L01XF03</w:t>
            </w:r>
          </w:p>
        </w:tc>
        <w:tc>
          <w:tcPr>
            <w:tcW w:w="9452" w:type="dxa"/>
            <w:tcBorders>
              <w:bottom w:val="single" w:sz="4" w:space="0" w:color="auto"/>
            </w:tcBorders>
          </w:tcPr>
          <w:p w14:paraId="186FA4C3" w14:textId="033EBC26" w:rsidR="00C57ACA" w:rsidRDefault="00C57ACA" w:rsidP="00C57ACA">
            <w:pPr>
              <w:jc w:val="both"/>
              <w:rPr>
                <w:rFonts w:ascii="Arial" w:hAnsi="Arial" w:cs="Arial"/>
                <w:b/>
                <w:bCs/>
                <w:sz w:val="20"/>
                <w:szCs w:val="20"/>
              </w:rPr>
            </w:pPr>
            <w:r w:rsidRPr="00204ED2">
              <w:rPr>
                <w:rFonts w:ascii="Arial" w:hAnsi="Arial" w:cs="Arial"/>
                <w:b/>
                <w:bCs/>
                <w:sz w:val="20"/>
                <w:szCs w:val="20"/>
              </w:rPr>
              <w:t>Bexarotén p.o. 75 mg</w:t>
            </w:r>
          </w:p>
        </w:tc>
      </w:tr>
      <w:tr w:rsidR="00C57ACA" w:rsidRPr="0000591E" w14:paraId="34FE02A7" w14:textId="77777777" w:rsidTr="00204ED2">
        <w:trPr>
          <w:gridAfter w:val="2"/>
          <w:wAfter w:w="154" w:type="dxa"/>
          <w:trHeight w:val="20"/>
        </w:trPr>
        <w:tc>
          <w:tcPr>
            <w:tcW w:w="1256" w:type="dxa"/>
            <w:tcBorders>
              <w:top w:val="single" w:sz="4" w:space="0" w:color="auto"/>
            </w:tcBorders>
            <w:noWrap/>
            <w:vAlign w:val="bottom"/>
          </w:tcPr>
          <w:p w14:paraId="7BA96F69"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3004E876"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u pacientov s pokročilým štádiom lymfómu T-buniek (CTCL), rezistentného voči najmenej jednej systémovej liečbe, len ak sú prítomné kožné prejavy. </w:t>
            </w:r>
          </w:p>
          <w:p w14:paraId="4756C59E"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Hradená liečba sa môže indikovať v Národnom onkologickom ústave, Bratislava a na klinike hematológie a transfuziológie Jesseniovej lekárskej fakulty Univerzity Komenského Martin, vo Fakultnej nemocnici s poliklinikou J. A. Reimana Prešov a vo Východoslovenskom onkologickom ústave Košice.</w:t>
            </w:r>
          </w:p>
          <w:p w14:paraId="66E81490"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Ak dôjde u pacienta k progresii ochorenia, ďalšia liečba nie je hradenou liečbou. </w:t>
            </w:r>
          </w:p>
          <w:p w14:paraId="411443BA" w14:textId="77777777" w:rsidR="00C57ACA" w:rsidRDefault="00C57ACA" w:rsidP="00C57ACA">
            <w:pPr>
              <w:jc w:val="both"/>
              <w:rPr>
                <w:rFonts w:ascii="Arial" w:hAnsi="Arial" w:cs="Arial"/>
                <w:bCs/>
                <w:sz w:val="20"/>
                <w:szCs w:val="20"/>
              </w:rPr>
            </w:pPr>
          </w:p>
          <w:p w14:paraId="470A108F" w14:textId="6577D431" w:rsidR="00C57ACA" w:rsidRDefault="00C57ACA" w:rsidP="00C57ACA">
            <w:pPr>
              <w:jc w:val="both"/>
              <w:rPr>
                <w:rFonts w:ascii="Arial" w:hAnsi="Arial" w:cs="Arial"/>
                <w:bCs/>
                <w:sz w:val="20"/>
                <w:szCs w:val="20"/>
              </w:rPr>
            </w:pPr>
            <w:r w:rsidRPr="00204ED2">
              <w:rPr>
                <w:rFonts w:ascii="Arial" w:hAnsi="Arial" w:cs="Arial"/>
                <w:bCs/>
                <w:sz w:val="20"/>
                <w:szCs w:val="20"/>
              </w:rPr>
              <w:t>Hradená liečba podlieha predchádzajúcemu súhlasu zdravotnej poisťovne.</w:t>
            </w:r>
          </w:p>
          <w:p w14:paraId="2E23F86C" w14:textId="28119EE9" w:rsidR="00C57ACA" w:rsidRPr="00204ED2" w:rsidRDefault="00C57ACA" w:rsidP="00C57ACA">
            <w:pPr>
              <w:jc w:val="both"/>
              <w:rPr>
                <w:rFonts w:ascii="Arial" w:hAnsi="Arial" w:cs="Arial"/>
                <w:bCs/>
                <w:sz w:val="20"/>
                <w:szCs w:val="20"/>
              </w:rPr>
            </w:pPr>
          </w:p>
        </w:tc>
      </w:tr>
      <w:tr w:rsidR="00C57ACA" w:rsidRPr="0000591E" w14:paraId="68E90060" w14:textId="77777777" w:rsidTr="00204ED2">
        <w:trPr>
          <w:gridAfter w:val="2"/>
          <w:wAfter w:w="154" w:type="dxa"/>
          <w:trHeight w:val="20"/>
        </w:trPr>
        <w:tc>
          <w:tcPr>
            <w:tcW w:w="1256" w:type="dxa"/>
            <w:tcBorders>
              <w:bottom w:val="single" w:sz="4" w:space="0" w:color="auto"/>
            </w:tcBorders>
            <w:noWrap/>
            <w:vAlign w:val="bottom"/>
          </w:tcPr>
          <w:p w14:paraId="6B5CBCF6" w14:textId="2996C471"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L01XG02</w:t>
            </w:r>
          </w:p>
        </w:tc>
        <w:tc>
          <w:tcPr>
            <w:tcW w:w="9452" w:type="dxa"/>
            <w:tcBorders>
              <w:bottom w:val="single" w:sz="4" w:space="0" w:color="auto"/>
            </w:tcBorders>
          </w:tcPr>
          <w:p w14:paraId="26F41F88" w14:textId="77777777" w:rsidR="00C57ACA" w:rsidRPr="00204ED2" w:rsidRDefault="00C57ACA" w:rsidP="00C57ACA">
            <w:pPr>
              <w:jc w:val="both"/>
              <w:rPr>
                <w:rFonts w:ascii="Arial" w:hAnsi="Arial" w:cs="Arial"/>
                <w:b/>
                <w:bCs/>
                <w:sz w:val="20"/>
                <w:szCs w:val="20"/>
              </w:rPr>
            </w:pPr>
            <w:r w:rsidRPr="00204ED2">
              <w:rPr>
                <w:rFonts w:ascii="Arial" w:hAnsi="Arial" w:cs="Arial"/>
                <w:b/>
                <w:bCs/>
                <w:sz w:val="20"/>
                <w:szCs w:val="20"/>
              </w:rPr>
              <w:t>Karfilzomib parent. 10 mg</w:t>
            </w:r>
          </w:p>
          <w:p w14:paraId="5FCA248C" w14:textId="7E6A7028" w:rsidR="00C57ACA" w:rsidRDefault="00C57ACA" w:rsidP="00C57ACA">
            <w:pPr>
              <w:jc w:val="both"/>
              <w:rPr>
                <w:rFonts w:ascii="Arial" w:hAnsi="Arial" w:cs="Arial"/>
                <w:b/>
                <w:bCs/>
                <w:sz w:val="20"/>
                <w:szCs w:val="20"/>
              </w:rPr>
            </w:pPr>
            <w:r w:rsidRPr="00204ED2">
              <w:rPr>
                <w:rFonts w:ascii="Arial" w:hAnsi="Arial" w:cs="Arial"/>
                <w:b/>
                <w:bCs/>
                <w:sz w:val="20"/>
                <w:szCs w:val="20"/>
              </w:rPr>
              <w:t>Karfilzomib parent. 30 mg</w:t>
            </w:r>
          </w:p>
        </w:tc>
      </w:tr>
      <w:tr w:rsidR="00C57ACA" w:rsidRPr="0000591E" w14:paraId="25742D0D" w14:textId="77777777" w:rsidTr="00204ED2">
        <w:trPr>
          <w:gridAfter w:val="2"/>
          <w:wAfter w:w="154" w:type="dxa"/>
          <w:trHeight w:val="20"/>
        </w:trPr>
        <w:tc>
          <w:tcPr>
            <w:tcW w:w="1256" w:type="dxa"/>
            <w:tcBorders>
              <w:top w:val="single" w:sz="4" w:space="0" w:color="auto"/>
            </w:tcBorders>
            <w:noWrap/>
            <w:vAlign w:val="bottom"/>
          </w:tcPr>
          <w:p w14:paraId="38760BCE"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72C62593"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Hradená liečba karfilzomibom v kombinácii s lenalidomidom a dexametazónom sa môže indikovať v druhej línii liečby u dospelých pacientov s mnohopočetným myelómom, ktorí už podstúpili a nie sú vhodní na opakovanú transplantáciu vlastných kmeňových buniek (ASCT), nie sú vhodní na liečbu bortezomibom, preukázali progresiu ochorenia a majú štandardné cytogenetické riziko definované neprítomnosťou niektorej z cytogenetických aberácií del(17p), t(4;14), t(14;16).</w:t>
            </w:r>
          </w:p>
          <w:p w14:paraId="369C65B9"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Podmienkou hradenej liečby je dobrý výkonnostný stav pacienta (Karnofského skóre 100- 60% alebo ECOG 0-2) a neprítomnosť pridružených rizík (infarkt myokardu za posledných 6 mesiacov, srdcové zlyhanie stupňa NYHA 3 alebo 4, chronické ochorenie obličiek stupňa ≥ 4, nekontrolovateľná hypertenzia pri kombinovanej antihypertenzívnej liečbe).</w:t>
            </w:r>
          </w:p>
          <w:p w14:paraId="28F744A6"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Podmienkou hradenia liečby je posúdenie vhodnosti liečby u novodiagnostikovaných pacientov na pracoviskách vykonávajúcich transplantácie.</w:t>
            </w:r>
          </w:p>
          <w:p w14:paraId="311150FF"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Hradená liečba sa môže indikovať v: Národný onkologický ústav, Bratislava, Klinika hematológie a transfúziológie Univerzitnej nemocnice Bratislava,</w:t>
            </w:r>
          </w:p>
          <w:p w14:paraId="005D256D"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Klinika hematológie a onkohematológie Univerzitnej nemocnice L. Pasteura Košice, Hematologické oddelenie Fakultnej nemocnice s poliklinikou F. D. Roosevelta Banská Bystrica, Klinika hematológie a transfúziológie Univerzitnej nemocnice Martin.</w:t>
            </w:r>
          </w:p>
          <w:p w14:paraId="10717176" w14:textId="77777777" w:rsidR="00C57ACA" w:rsidRPr="00204ED2" w:rsidRDefault="00C57ACA" w:rsidP="00C57ACA">
            <w:pPr>
              <w:jc w:val="both"/>
              <w:rPr>
                <w:rFonts w:ascii="Arial" w:hAnsi="Arial" w:cs="Arial"/>
                <w:bCs/>
                <w:sz w:val="20"/>
                <w:szCs w:val="20"/>
              </w:rPr>
            </w:pPr>
          </w:p>
          <w:p w14:paraId="718D4ECB" w14:textId="1C37334F" w:rsidR="00C57ACA" w:rsidRDefault="00C57ACA" w:rsidP="00C57ACA">
            <w:pPr>
              <w:jc w:val="both"/>
              <w:rPr>
                <w:rFonts w:ascii="Arial" w:hAnsi="Arial" w:cs="Arial"/>
                <w:bCs/>
                <w:sz w:val="20"/>
                <w:szCs w:val="20"/>
              </w:rPr>
            </w:pPr>
            <w:r w:rsidRPr="00204ED2">
              <w:rPr>
                <w:rFonts w:ascii="Arial" w:hAnsi="Arial" w:cs="Arial"/>
                <w:bCs/>
                <w:sz w:val="20"/>
                <w:szCs w:val="20"/>
              </w:rPr>
              <w:t>Hradená liečba podlieha predchádzajúcemu súhlasu zdravotnej poisťovne.</w:t>
            </w:r>
          </w:p>
          <w:p w14:paraId="23AFAC5D" w14:textId="3C9314AF" w:rsidR="00C57ACA" w:rsidRDefault="00C57ACA" w:rsidP="00C57ACA">
            <w:pPr>
              <w:jc w:val="both"/>
              <w:rPr>
                <w:rFonts w:ascii="Arial" w:hAnsi="Arial" w:cs="Arial"/>
                <w:b/>
                <w:bCs/>
                <w:sz w:val="20"/>
                <w:szCs w:val="20"/>
              </w:rPr>
            </w:pPr>
          </w:p>
        </w:tc>
      </w:tr>
      <w:tr w:rsidR="00C57ACA" w:rsidRPr="0000591E" w14:paraId="3805E5EF" w14:textId="77777777" w:rsidTr="00204ED2">
        <w:trPr>
          <w:gridAfter w:val="2"/>
          <w:wAfter w:w="154" w:type="dxa"/>
          <w:trHeight w:val="20"/>
        </w:trPr>
        <w:tc>
          <w:tcPr>
            <w:tcW w:w="1256" w:type="dxa"/>
            <w:tcBorders>
              <w:bottom w:val="single" w:sz="4" w:space="0" w:color="auto"/>
            </w:tcBorders>
            <w:noWrap/>
            <w:vAlign w:val="bottom"/>
          </w:tcPr>
          <w:p w14:paraId="4EB94767" w14:textId="7978558D"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L01XG03</w:t>
            </w:r>
          </w:p>
        </w:tc>
        <w:tc>
          <w:tcPr>
            <w:tcW w:w="9452" w:type="dxa"/>
            <w:tcBorders>
              <w:bottom w:val="single" w:sz="4" w:space="0" w:color="auto"/>
            </w:tcBorders>
          </w:tcPr>
          <w:p w14:paraId="1550C564" w14:textId="77777777" w:rsidR="00C57ACA" w:rsidRPr="00204ED2"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Ixazomib p.o. 2,3 mg</w:t>
            </w:r>
          </w:p>
          <w:p w14:paraId="56B14047" w14:textId="77777777" w:rsidR="00C57ACA" w:rsidRPr="00204ED2"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Ixazomib p.o. 3 mg</w:t>
            </w:r>
          </w:p>
          <w:p w14:paraId="34F50D24" w14:textId="68FBD169" w:rsidR="00C57ACA" w:rsidRPr="00204ED2" w:rsidRDefault="00C57ACA" w:rsidP="00C57ACA">
            <w:pPr>
              <w:jc w:val="both"/>
              <w:rPr>
                <w:rFonts w:ascii="Arial" w:hAnsi="Arial" w:cs="Arial"/>
                <w:bCs/>
                <w:sz w:val="20"/>
                <w:szCs w:val="20"/>
              </w:rPr>
            </w:pPr>
            <w:r w:rsidRPr="00204ED2">
              <w:rPr>
                <w:rFonts w:ascii="Arial" w:hAnsi="Arial" w:cs="Arial"/>
                <w:b/>
                <w:bCs/>
                <w:sz w:val="20"/>
                <w:szCs w:val="20"/>
                <w:lang w:eastAsia="cs-CZ"/>
              </w:rPr>
              <w:t>Ixazomib p.o. 4 mg</w:t>
            </w:r>
          </w:p>
        </w:tc>
      </w:tr>
      <w:tr w:rsidR="00C57ACA" w:rsidRPr="0000591E" w14:paraId="22C0486F" w14:textId="77777777" w:rsidTr="00204ED2">
        <w:trPr>
          <w:gridAfter w:val="2"/>
          <w:wAfter w:w="154" w:type="dxa"/>
          <w:trHeight w:val="20"/>
        </w:trPr>
        <w:tc>
          <w:tcPr>
            <w:tcW w:w="1256" w:type="dxa"/>
            <w:tcBorders>
              <w:top w:val="single" w:sz="4" w:space="0" w:color="auto"/>
            </w:tcBorders>
            <w:noWrap/>
            <w:vAlign w:val="bottom"/>
          </w:tcPr>
          <w:p w14:paraId="74AFDBC6"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2339D71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ixazomibom v kombinácii s lenalidomidom a dexametazónom sa môže indikovať u dospelých pacientov s mnohopočetným myelómom  </w:t>
            </w:r>
          </w:p>
          <w:p w14:paraId="0C56423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a) ktorí dostali aspoň jednu predchádzajúcu liečbu a majú potvrdenú vysokorizikovú cytogenetiku definovanú prítomnosťou niektorej z cytogenetických aberácií del(17p), t(4;14), t(14;16), </w:t>
            </w:r>
          </w:p>
          <w:p w14:paraId="64367ECF"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19ABB4B3"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b) v tretej alebo štvrtej línii liečby u pacientov, ktorí majú relabované a zároveň refraktérne ochorenie a nie sú vhodní na liečbu bortezomibom. </w:t>
            </w:r>
          </w:p>
          <w:p w14:paraId="6B400746"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1263F6E1"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Podmienkou hradenej liečby je dobrý výkonnostný stav pacienta - Karnofského skóre 100- 60% alebo ECOG 0-2. </w:t>
            </w:r>
          </w:p>
          <w:p w14:paraId="2472A5BA"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Podmienkou hradenia liečby je posúdenie vhodnosti liečby u novodiagnostikovaných pacientov na pracoviskách vykonávajúcich transplantácie. </w:t>
            </w:r>
          </w:p>
          <w:p w14:paraId="5D4C8A7D"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5C69C6E8"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v: </w:t>
            </w:r>
          </w:p>
          <w:p w14:paraId="6100A8E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p>
          <w:p w14:paraId="715C2145"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1F35E6AF" w14:textId="77777777" w:rsidR="00C57ACA" w:rsidRDefault="00C57ACA" w:rsidP="00C57ACA">
            <w:pPr>
              <w:jc w:val="both"/>
              <w:rPr>
                <w:rFonts w:ascii="Arial" w:hAnsi="Arial" w:cs="Arial"/>
                <w:bCs/>
                <w:sz w:val="20"/>
                <w:szCs w:val="20"/>
              </w:rPr>
            </w:pPr>
            <w:r w:rsidRPr="00204ED2">
              <w:rPr>
                <w:rFonts w:ascii="Arial" w:hAnsi="Arial" w:cs="Arial"/>
                <w:bCs/>
                <w:sz w:val="20"/>
                <w:szCs w:val="20"/>
              </w:rPr>
              <w:t>Hradená liečba podlieha predchádzajúcemu súhlasu zdravotnej poisťovne.</w:t>
            </w:r>
          </w:p>
          <w:p w14:paraId="198F1FB6" w14:textId="47122C2F" w:rsidR="00C57ACA" w:rsidRPr="00204ED2" w:rsidRDefault="00C57ACA" w:rsidP="00C57ACA">
            <w:pPr>
              <w:jc w:val="both"/>
              <w:rPr>
                <w:rFonts w:ascii="Arial" w:hAnsi="Arial" w:cs="Arial"/>
                <w:bCs/>
                <w:sz w:val="20"/>
                <w:szCs w:val="20"/>
              </w:rPr>
            </w:pPr>
          </w:p>
        </w:tc>
      </w:tr>
      <w:tr w:rsidR="00C57ACA" w:rsidRPr="0000591E" w14:paraId="4598CC68" w14:textId="77777777" w:rsidTr="00204ED2">
        <w:trPr>
          <w:gridAfter w:val="2"/>
          <w:wAfter w:w="154" w:type="dxa"/>
          <w:trHeight w:val="20"/>
        </w:trPr>
        <w:tc>
          <w:tcPr>
            <w:tcW w:w="1256" w:type="dxa"/>
            <w:tcBorders>
              <w:bottom w:val="single" w:sz="4" w:space="0" w:color="auto"/>
            </w:tcBorders>
            <w:noWrap/>
            <w:vAlign w:val="bottom"/>
          </w:tcPr>
          <w:p w14:paraId="52150F37" w14:textId="3F9B28DD"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L01XJ01</w:t>
            </w:r>
          </w:p>
        </w:tc>
        <w:tc>
          <w:tcPr>
            <w:tcW w:w="9452" w:type="dxa"/>
            <w:tcBorders>
              <w:bottom w:val="single" w:sz="4" w:space="0" w:color="auto"/>
            </w:tcBorders>
          </w:tcPr>
          <w:p w14:paraId="0CF59D1B" w14:textId="2959DFFA" w:rsidR="00C57ACA" w:rsidRPr="00204ED2" w:rsidRDefault="00C57ACA" w:rsidP="00C57ACA">
            <w:pPr>
              <w:jc w:val="both"/>
              <w:rPr>
                <w:rFonts w:ascii="Arial" w:hAnsi="Arial" w:cs="Arial"/>
                <w:b/>
                <w:bCs/>
                <w:sz w:val="20"/>
                <w:szCs w:val="20"/>
              </w:rPr>
            </w:pPr>
            <w:r w:rsidRPr="00204ED2">
              <w:rPr>
                <w:rFonts w:ascii="Arial" w:hAnsi="Arial" w:cs="Arial"/>
                <w:b/>
                <w:bCs/>
                <w:sz w:val="20"/>
                <w:szCs w:val="20"/>
              </w:rPr>
              <w:t>Vismodegib p.o. 150 mg</w:t>
            </w:r>
          </w:p>
        </w:tc>
      </w:tr>
      <w:tr w:rsidR="00C57ACA" w:rsidRPr="0000591E" w14:paraId="64FFB90B" w14:textId="77777777" w:rsidTr="00204ED2">
        <w:trPr>
          <w:gridAfter w:val="2"/>
          <w:wAfter w:w="154" w:type="dxa"/>
          <w:trHeight w:val="20"/>
        </w:trPr>
        <w:tc>
          <w:tcPr>
            <w:tcW w:w="1256" w:type="dxa"/>
            <w:tcBorders>
              <w:top w:val="single" w:sz="4" w:space="0" w:color="auto"/>
            </w:tcBorders>
            <w:noWrap/>
            <w:vAlign w:val="bottom"/>
          </w:tcPr>
          <w:p w14:paraId="50FCD93E"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6CD5F17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na liečbu dospelých pacientov: </w:t>
            </w:r>
          </w:p>
          <w:p w14:paraId="669CD9E9"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a) so symptomatickým metastatickým bazocelulárnym karcinómom </w:t>
            </w:r>
          </w:p>
          <w:p w14:paraId="2A60B9B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b) s lokálne pokročilým bazocelulárnym karcinómom nevhodným na chirurgickú liečbu alebo </w:t>
            </w:r>
          </w:p>
          <w:p w14:paraId="5BC1041B"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rádioterapiu. </w:t>
            </w:r>
          </w:p>
          <w:p w14:paraId="7D5BD235"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podlieha predchádzajúcemu súhlasu zdravotnej poisťovne. </w:t>
            </w:r>
          </w:p>
          <w:p w14:paraId="0F26F7DE" w14:textId="77777777" w:rsidR="00C57ACA" w:rsidRPr="00204ED2" w:rsidRDefault="00C57ACA" w:rsidP="00C57ACA">
            <w:pPr>
              <w:jc w:val="both"/>
              <w:rPr>
                <w:rFonts w:ascii="Arial" w:hAnsi="Arial" w:cs="Arial"/>
                <w:bCs/>
                <w:sz w:val="20"/>
                <w:szCs w:val="20"/>
              </w:rPr>
            </w:pPr>
          </w:p>
        </w:tc>
      </w:tr>
      <w:tr w:rsidR="00C57ACA" w:rsidRPr="0000591E" w14:paraId="58534C30" w14:textId="77777777" w:rsidTr="00204ED2">
        <w:trPr>
          <w:gridAfter w:val="2"/>
          <w:wAfter w:w="154" w:type="dxa"/>
          <w:trHeight w:val="20"/>
        </w:trPr>
        <w:tc>
          <w:tcPr>
            <w:tcW w:w="1256" w:type="dxa"/>
            <w:tcBorders>
              <w:bottom w:val="single" w:sz="4" w:space="0" w:color="auto"/>
            </w:tcBorders>
            <w:noWrap/>
            <w:vAlign w:val="bottom"/>
          </w:tcPr>
          <w:p w14:paraId="21D6A0CE" w14:textId="5DB8810C"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L01XK01</w:t>
            </w:r>
          </w:p>
        </w:tc>
        <w:tc>
          <w:tcPr>
            <w:tcW w:w="9452" w:type="dxa"/>
            <w:tcBorders>
              <w:bottom w:val="single" w:sz="4" w:space="0" w:color="auto"/>
            </w:tcBorders>
          </w:tcPr>
          <w:p w14:paraId="41E3B994" w14:textId="0D23CB09" w:rsidR="00C57ACA" w:rsidRPr="00204ED2" w:rsidRDefault="00C57ACA" w:rsidP="00C57ACA">
            <w:pPr>
              <w:jc w:val="both"/>
              <w:rPr>
                <w:rFonts w:ascii="Arial" w:hAnsi="Arial" w:cs="Arial"/>
                <w:b/>
                <w:bCs/>
                <w:sz w:val="20"/>
                <w:szCs w:val="20"/>
              </w:rPr>
            </w:pPr>
            <w:r w:rsidRPr="00204ED2">
              <w:rPr>
                <w:rFonts w:ascii="Arial" w:hAnsi="Arial" w:cs="Arial"/>
                <w:b/>
                <w:bCs/>
                <w:sz w:val="20"/>
                <w:szCs w:val="20"/>
              </w:rPr>
              <w:t>Olaparib p.o. 150 mg</w:t>
            </w:r>
          </w:p>
        </w:tc>
      </w:tr>
      <w:tr w:rsidR="00C57ACA" w:rsidRPr="0000591E" w14:paraId="37E92F4C" w14:textId="77777777" w:rsidTr="00850927">
        <w:trPr>
          <w:gridAfter w:val="2"/>
          <w:wAfter w:w="154" w:type="dxa"/>
          <w:trHeight w:val="20"/>
        </w:trPr>
        <w:tc>
          <w:tcPr>
            <w:tcW w:w="1256" w:type="dxa"/>
            <w:tcBorders>
              <w:top w:val="single" w:sz="4" w:space="0" w:color="auto"/>
            </w:tcBorders>
            <w:noWrap/>
            <w:vAlign w:val="bottom"/>
          </w:tcPr>
          <w:p w14:paraId="59032172"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4752C4B0" w14:textId="77777777" w:rsidR="00C57ACA" w:rsidRDefault="00C57ACA" w:rsidP="00C57ACA">
            <w:pPr>
              <w:jc w:val="both"/>
              <w:rPr>
                <w:rFonts w:ascii="Arial" w:hAnsi="Arial" w:cs="Arial"/>
                <w:bCs/>
                <w:sz w:val="20"/>
                <w:szCs w:val="20"/>
              </w:rPr>
            </w:pPr>
            <w:r w:rsidRPr="00204ED2">
              <w:rPr>
                <w:rFonts w:ascii="Arial" w:hAnsi="Arial" w:cs="Arial"/>
                <w:bCs/>
                <w:sz w:val="20"/>
                <w:szCs w:val="20"/>
              </w:rPr>
              <w:t>Hradená liečba sa môže indikovať</w:t>
            </w:r>
            <w:r>
              <w:rPr>
                <w:rFonts w:ascii="Arial" w:hAnsi="Arial" w:cs="Arial"/>
                <w:bCs/>
                <w:sz w:val="20"/>
                <w:szCs w:val="20"/>
              </w:rPr>
              <w:t>:</w:t>
            </w:r>
          </w:p>
          <w:p w14:paraId="16652D62" w14:textId="1F6B35AB" w:rsidR="00C57ACA" w:rsidRDefault="00C57ACA" w:rsidP="00C57ACA">
            <w:pPr>
              <w:jc w:val="both"/>
              <w:rPr>
                <w:rFonts w:ascii="Arial" w:hAnsi="Arial" w:cs="Arial"/>
                <w:bCs/>
                <w:sz w:val="20"/>
                <w:szCs w:val="20"/>
              </w:rPr>
            </w:pPr>
            <w:r>
              <w:rPr>
                <w:rFonts w:ascii="Arial" w:hAnsi="Arial" w:cs="Arial"/>
                <w:bCs/>
                <w:sz w:val="20"/>
                <w:szCs w:val="20"/>
              </w:rPr>
              <w:t>a)</w:t>
            </w:r>
            <w:r w:rsidRPr="00204ED2">
              <w:rPr>
                <w:rFonts w:ascii="Arial" w:hAnsi="Arial" w:cs="Arial"/>
                <w:bCs/>
                <w:sz w:val="20"/>
                <w:szCs w:val="20"/>
              </w:rPr>
              <w:t xml:space="preserve"> v udržiavacej liečbe dospelých pacientiek s pokročilým (štádium FIGO III, FIGO IV) high-grade epiteliálnym karcinómom vaječníkov, vajcovodu alebo primárne peritoneálnymi</w:t>
            </w:r>
            <w:r>
              <w:rPr>
                <w:rFonts w:ascii="Arial" w:hAnsi="Arial" w:cs="Arial"/>
                <w:bCs/>
                <w:sz w:val="20"/>
                <w:szCs w:val="20"/>
              </w:rPr>
              <w:t xml:space="preserve"> </w:t>
            </w:r>
            <w:r w:rsidRPr="00204ED2">
              <w:rPr>
                <w:rFonts w:ascii="Arial" w:hAnsi="Arial" w:cs="Arial"/>
                <w:bCs/>
                <w:sz w:val="20"/>
                <w:szCs w:val="20"/>
              </w:rPr>
              <w:t xml:space="preserve">karcinómom s preukázanou BRCA1 / 2 mutáciou, ktoré dosiahli kompletnú alebo čiastočnú odpoveď na prvolíniovú chemoterapiu režimom obsahujúcim platinu. Liečba olaparibom je hradená do progresie </w:t>
            </w:r>
            <w:r>
              <w:rPr>
                <w:rFonts w:ascii="Arial" w:hAnsi="Arial" w:cs="Arial"/>
                <w:bCs/>
                <w:sz w:val="20"/>
                <w:szCs w:val="20"/>
              </w:rPr>
              <w:t xml:space="preserve"> </w:t>
            </w:r>
            <w:r w:rsidRPr="00204ED2">
              <w:rPr>
                <w:rFonts w:ascii="Arial" w:hAnsi="Arial" w:cs="Arial"/>
                <w:bCs/>
                <w:sz w:val="20"/>
                <w:szCs w:val="20"/>
              </w:rPr>
              <w:t>ochorenia. Hradená liečba podlieha predchádzajúcemu súhlasu zdravotnej poisťovne.</w:t>
            </w:r>
          </w:p>
          <w:p w14:paraId="079801C3" w14:textId="77777777" w:rsidR="00C57ACA" w:rsidRDefault="00C57ACA" w:rsidP="00C57ACA">
            <w:pPr>
              <w:jc w:val="both"/>
              <w:rPr>
                <w:rFonts w:ascii="Arial" w:hAnsi="Arial" w:cs="Arial"/>
                <w:bCs/>
                <w:sz w:val="20"/>
                <w:szCs w:val="20"/>
              </w:rPr>
            </w:pPr>
          </w:p>
          <w:p w14:paraId="70BF40FA" w14:textId="77777777" w:rsidR="00C57ACA" w:rsidRPr="00365F73" w:rsidRDefault="00C57ACA" w:rsidP="00C57ACA">
            <w:pPr>
              <w:jc w:val="both"/>
              <w:rPr>
                <w:rFonts w:ascii="Arial" w:hAnsi="Arial" w:cs="Arial"/>
                <w:bCs/>
                <w:sz w:val="20"/>
                <w:szCs w:val="20"/>
              </w:rPr>
            </w:pPr>
            <w:r w:rsidRPr="00365F73">
              <w:rPr>
                <w:rFonts w:ascii="Arial" w:hAnsi="Arial" w:cs="Arial"/>
                <w:bCs/>
                <w:sz w:val="20"/>
                <w:szCs w:val="20"/>
              </w:rPr>
              <w:t>b) v monoterapii na adjuvantnú liečbu vysokorizikového karcinómu prsníka v skorom štádiu s germinatívnymi mutáciami BRCA1/2, HER2 negatívneho, HR negatívneho u dospelých pacientov, ktorí absolvovali operačný výkon a boli liečení neoadjuvantnou a/alebo adjuvantnou chemoterapiou, pričom vysokorizikové ochorenie je definované ako veľkosť nádoru, ktorá je väčšia alebo rovná 2 cm [≥ pT2N0] alebo postihnutie axilárnych lymfatických uzlín [pN+] alebo nedosiahnutie pCR po neoadjuvantnej terapii. Podmienkou hradenej liečby je dobrý výkonnostný stav pacienta s ECOG skóre 0 – 1. Liečba olaparibom je hradená po dobu 1 roka alebo do rekurencie ochorenia alebo do neakceptovateľnej toxicity, podľa toho, čo nastane skôr.</w:t>
            </w:r>
          </w:p>
          <w:p w14:paraId="69CCEE97" w14:textId="742C9EF8" w:rsidR="00C57ACA" w:rsidRDefault="00C57ACA" w:rsidP="00C57ACA">
            <w:pPr>
              <w:jc w:val="both"/>
              <w:rPr>
                <w:rFonts w:ascii="Arial" w:hAnsi="Arial" w:cs="Arial"/>
                <w:bCs/>
                <w:sz w:val="20"/>
                <w:szCs w:val="20"/>
              </w:rPr>
            </w:pPr>
            <w:r w:rsidRPr="00365F73">
              <w:rPr>
                <w:rFonts w:ascii="Arial" w:hAnsi="Arial" w:cs="Arial"/>
                <w:bCs/>
                <w:sz w:val="20"/>
                <w:szCs w:val="20"/>
              </w:rPr>
              <w:t>Hradená liečba podlieha predchádzajúcemu súhlasu zdravotnej poisťovne.</w:t>
            </w:r>
          </w:p>
          <w:p w14:paraId="65DAA15B" w14:textId="77777777" w:rsidR="00C57ACA" w:rsidRDefault="00C57ACA" w:rsidP="00C57ACA">
            <w:pPr>
              <w:jc w:val="both"/>
              <w:rPr>
                <w:rFonts w:ascii="Arial" w:hAnsi="Arial" w:cs="Arial"/>
                <w:bCs/>
                <w:sz w:val="20"/>
                <w:szCs w:val="20"/>
              </w:rPr>
            </w:pPr>
          </w:p>
          <w:p w14:paraId="422D37DC" w14:textId="77777777" w:rsidR="00C57ACA" w:rsidRPr="00365F73" w:rsidRDefault="00C57ACA" w:rsidP="00C57ACA">
            <w:pPr>
              <w:jc w:val="both"/>
              <w:rPr>
                <w:rFonts w:ascii="Arial" w:hAnsi="Arial" w:cs="Arial"/>
                <w:bCs/>
                <w:sz w:val="20"/>
                <w:szCs w:val="20"/>
              </w:rPr>
            </w:pPr>
            <w:r w:rsidRPr="00365F73">
              <w:rPr>
                <w:rFonts w:ascii="Arial" w:hAnsi="Arial" w:cs="Arial"/>
                <w:bCs/>
                <w:sz w:val="20"/>
                <w:szCs w:val="20"/>
              </w:rPr>
              <w:t>c) v monoterapii na liečbu neresekovateľného alebo metastatického karcinómu prsníka s germinatívnymi mutáciami BRCA1/2, HER2 negatívneho, u dospelých pacientov s výkonnostným stavom 0-1 podľa ECOG, ktorí neboli v minulosti liečení chemoterapiou pre neresekovateľné alebo metastázujúce ochorenie. Pacienti v (neo)adjuvantnom režime, ktorý predchádzal progresii do súčasného štádia, mali byť liečení antracyklínom a taxánom, ak takáto liečba bola pre pacientov vhodná. Pacienti s karcinómom prsníka pozitívnym na hormonálne receptory (HR) majú byť liečení najskôr endokrinnou liečbou v kombinácii s inhibítormi CDK4/6 alebo monoterapiou endokrinnou liečbou ak boli považovaní za nevhodných na kombinovanú liečbu. Liečba olaparibom je hradená do progresie ochorenia alebo do neakceptovateľnej toxicity, podľa toho, čo nastane skôr. </w:t>
            </w:r>
          </w:p>
          <w:p w14:paraId="63DB314B" w14:textId="5BC4C4AB" w:rsidR="00C57ACA" w:rsidRPr="00204ED2" w:rsidRDefault="00C57ACA" w:rsidP="00C57ACA">
            <w:pPr>
              <w:jc w:val="both"/>
              <w:rPr>
                <w:rFonts w:ascii="Arial" w:hAnsi="Arial" w:cs="Arial"/>
                <w:bCs/>
                <w:sz w:val="20"/>
                <w:szCs w:val="20"/>
              </w:rPr>
            </w:pPr>
            <w:r w:rsidRPr="00365F73">
              <w:rPr>
                <w:rFonts w:ascii="Arial" w:hAnsi="Arial" w:cs="Arial"/>
                <w:bCs/>
                <w:sz w:val="20"/>
                <w:szCs w:val="20"/>
              </w:rPr>
              <w:t>Hradená liečba podlieha predchádzajúcemu súhlasu zdravotnej poisťovne.</w:t>
            </w:r>
          </w:p>
          <w:p w14:paraId="6826E9EE" w14:textId="35DE39CC" w:rsidR="00C57ACA" w:rsidRPr="00204ED2" w:rsidRDefault="00C57ACA" w:rsidP="00C57ACA">
            <w:pPr>
              <w:jc w:val="both"/>
              <w:rPr>
                <w:rFonts w:ascii="Arial" w:hAnsi="Arial" w:cs="Arial"/>
                <w:bCs/>
                <w:sz w:val="20"/>
                <w:szCs w:val="20"/>
              </w:rPr>
            </w:pPr>
          </w:p>
        </w:tc>
      </w:tr>
      <w:tr w:rsidR="00C57ACA" w:rsidRPr="0000591E" w14:paraId="2C53FA7D" w14:textId="77777777" w:rsidTr="00850927">
        <w:trPr>
          <w:gridAfter w:val="2"/>
          <w:wAfter w:w="154" w:type="dxa"/>
          <w:trHeight w:val="20"/>
        </w:trPr>
        <w:tc>
          <w:tcPr>
            <w:tcW w:w="1256" w:type="dxa"/>
            <w:tcBorders>
              <w:bottom w:val="single" w:sz="4" w:space="0" w:color="auto"/>
            </w:tcBorders>
            <w:noWrap/>
            <w:vAlign w:val="bottom"/>
          </w:tcPr>
          <w:p w14:paraId="76E65B43" w14:textId="30E002EC" w:rsidR="00C57ACA" w:rsidRDefault="00C57ACA" w:rsidP="00C57ACA">
            <w:pPr>
              <w:jc w:val="both"/>
              <w:rPr>
                <w:rFonts w:ascii="Arial" w:hAnsi="Arial" w:cs="Arial"/>
                <w:b/>
                <w:bCs/>
                <w:sz w:val="20"/>
                <w:szCs w:val="20"/>
                <w:lang w:eastAsia="cs-CZ"/>
              </w:rPr>
            </w:pPr>
            <w:r w:rsidRPr="00850927">
              <w:rPr>
                <w:rFonts w:ascii="Arial" w:hAnsi="Arial" w:cs="Arial"/>
                <w:b/>
                <w:bCs/>
                <w:sz w:val="20"/>
                <w:szCs w:val="20"/>
                <w:lang w:eastAsia="cs-CZ"/>
              </w:rPr>
              <w:t>L01XK02</w:t>
            </w:r>
          </w:p>
        </w:tc>
        <w:tc>
          <w:tcPr>
            <w:tcW w:w="9452" w:type="dxa"/>
            <w:tcBorders>
              <w:bottom w:val="single" w:sz="4" w:space="0" w:color="auto"/>
            </w:tcBorders>
          </w:tcPr>
          <w:p w14:paraId="7E48077B" w14:textId="11599F28" w:rsidR="00C57ACA" w:rsidRPr="00850927" w:rsidRDefault="00C57ACA" w:rsidP="00C57ACA">
            <w:pPr>
              <w:jc w:val="both"/>
              <w:rPr>
                <w:rFonts w:ascii="Arial" w:hAnsi="Arial" w:cs="Arial"/>
                <w:b/>
                <w:bCs/>
                <w:sz w:val="20"/>
                <w:szCs w:val="20"/>
              </w:rPr>
            </w:pPr>
            <w:r w:rsidRPr="00850927">
              <w:rPr>
                <w:rFonts w:ascii="Arial" w:hAnsi="Arial" w:cs="Arial"/>
                <w:b/>
                <w:bCs/>
                <w:sz w:val="20"/>
                <w:szCs w:val="20"/>
              </w:rPr>
              <w:t>Niraparib p.o. 100 mg</w:t>
            </w:r>
          </w:p>
        </w:tc>
      </w:tr>
      <w:tr w:rsidR="00C57ACA" w:rsidRPr="0000591E" w14:paraId="3206B556" w14:textId="77777777" w:rsidTr="00D4574E">
        <w:trPr>
          <w:gridAfter w:val="2"/>
          <w:wAfter w:w="154" w:type="dxa"/>
          <w:trHeight w:val="2147"/>
        </w:trPr>
        <w:tc>
          <w:tcPr>
            <w:tcW w:w="1256" w:type="dxa"/>
            <w:tcBorders>
              <w:top w:val="single" w:sz="4" w:space="0" w:color="auto"/>
            </w:tcBorders>
            <w:noWrap/>
            <w:vAlign w:val="bottom"/>
          </w:tcPr>
          <w:p w14:paraId="3A7D7370"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5A21364A" w14:textId="77777777" w:rsidR="00C57ACA" w:rsidRPr="00850927" w:rsidRDefault="00C57ACA" w:rsidP="00C57ACA">
            <w:pPr>
              <w:jc w:val="both"/>
              <w:rPr>
                <w:rFonts w:ascii="Arial" w:hAnsi="Arial" w:cs="Arial"/>
                <w:bCs/>
                <w:sz w:val="20"/>
                <w:szCs w:val="20"/>
              </w:rPr>
            </w:pPr>
            <w:r w:rsidRPr="00850927">
              <w:rPr>
                <w:rFonts w:ascii="Arial" w:hAnsi="Arial" w:cs="Arial"/>
                <w:bCs/>
                <w:sz w:val="20"/>
                <w:szCs w:val="20"/>
              </w:rPr>
              <w:t>Hradená liečba sa môže indikovať v monoterapii na udržiavaciu liečbu dospelých pacientok s pokročilým epitelovým (FIGO štádiá III a IV) karcinómom vaječníka, vajíčkovodu alebo primárnym peritoneálnym karcinómom s vysokým stupňom malignity, u ktorých pretrváva odpoveď (úplná alebo čiastočná) po ukončení prvej línie chemoterapie na báze platiny.</w:t>
            </w:r>
          </w:p>
          <w:p w14:paraId="472CA726" w14:textId="77777777" w:rsidR="00C57ACA" w:rsidRPr="00850927" w:rsidRDefault="00C57ACA" w:rsidP="00C57ACA">
            <w:pPr>
              <w:jc w:val="both"/>
              <w:rPr>
                <w:rFonts w:ascii="Arial" w:hAnsi="Arial" w:cs="Arial"/>
                <w:bCs/>
                <w:sz w:val="20"/>
                <w:szCs w:val="20"/>
              </w:rPr>
            </w:pPr>
          </w:p>
          <w:p w14:paraId="171536B9" w14:textId="77777777" w:rsidR="00C57ACA" w:rsidRPr="00850927" w:rsidRDefault="00C57ACA" w:rsidP="00C57ACA">
            <w:pPr>
              <w:jc w:val="both"/>
              <w:rPr>
                <w:rFonts w:ascii="Arial" w:hAnsi="Arial" w:cs="Arial"/>
                <w:bCs/>
                <w:sz w:val="20"/>
                <w:szCs w:val="20"/>
              </w:rPr>
            </w:pPr>
            <w:r w:rsidRPr="00850927">
              <w:rPr>
                <w:rFonts w:ascii="Arial" w:hAnsi="Arial" w:cs="Arial"/>
                <w:bCs/>
                <w:sz w:val="20"/>
                <w:szCs w:val="20"/>
              </w:rPr>
              <w:t>Liečba niraparibom je hradená do progresie ochorenia.</w:t>
            </w:r>
          </w:p>
          <w:p w14:paraId="79C2676D" w14:textId="732A7B8D" w:rsidR="00C57ACA" w:rsidRPr="00204ED2" w:rsidRDefault="00C57ACA" w:rsidP="00C57ACA">
            <w:pPr>
              <w:jc w:val="both"/>
              <w:rPr>
                <w:rFonts w:ascii="Arial" w:hAnsi="Arial" w:cs="Arial"/>
                <w:bCs/>
                <w:sz w:val="20"/>
                <w:szCs w:val="20"/>
              </w:rPr>
            </w:pPr>
            <w:r w:rsidRPr="00850927">
              <w:rPr>
                <w:rFonts w:ascii="Arial" w:hAnsi="Arial" w:cs="Arial"/>
                <w:bCs/>
                <w:sz w:val="20"/>
                <w:szCs w:val="20"/>
              </w:rPr>
              <w:t>Hradená liečba podlieha predchádzajúcemu súhlasu zdravotnej poisťovne.</w:t>
            </w:r>
          </w:p>
        </w:tc>
      </w:tr>
      <w:tr w:rsidR="00C57ACA" w:rsidRPr="0000591E" w14:paraId="5812FE8F" w14:textId="77777777" w:rsidTr="004C78AF">
        <w:trPr>
          <w:gridAfter w:val="2"/>
          <w:wAfter w:w="154" w:type="dxa"/>
          <w:trHeight w:val="20"/>
        </w:trPr>
        <w:tc>
          <w:tcPr>
            <w:tcW w:w="1256" w:type="dxa"/>
            <w:tcBorders>
              <w:bottom w:val="single" w:sz="4" w:space="0" w:color="auto"/>
            </w:tcBorders>
            <w:noWrap/>
            <w:vAlign w:val="bottom"/>
          </w:tcPr>
          <w:p w14:paraId="62CECE87" w14:textId="60A595C9" w:rsidR="00C57ACA" w:rsidRPr="0000591E" w:rsidRDefault="00C57ACA" w:rsidP="00C57ACA">
            <w:pPr>
              <w:jc w:val="both"/>
              <w:rPr>
                <w:rFonts w:ascii="Arial" w:hAnsi="Arial" w:cs="Arial"/>
                <w:b/>
                <w:sz w:val="20"/>
                <w:szCs w:val="20"/>
                <w:lang w:eastAsia="cs-CZ"/>
              </w:rPr>
            </w:pPr>
            <w:r w:rsidRPr="004C78AF">
              <w:rPr>
                <w:rFonts w:ascii="Arial" w:hAnsi="Arial" w:cs="Arial"/>
                <w:b/>
                <w:bCs/>
                <w:sz w:val="20"/>
                <w:szCs w:val="20"/>
                <w:lang w:eastAsia="cs-CZ"/>
              </w:rPr>
              <w:t>L01XL03</w:t>
            </w:r>
          </w:p>
        </w:tc>
        <w:tc>
          <w:tcPr>
            <w:tcW w:w="9452" w:type="dxa"/>
            <w:tcBorders>
              <w:bottom w:val="single" w:sz="4" w:space="0" w:color="auto"/>
            </w:tcBorders>
            <w:noWrap/>
          </w:tcPr>
          <w:p w14:paraId="32D6088E" w14:textId="2C2B24E4" w:rsidR="00C57ACA" w:rsidRPr="0000591E" w:rsidRDefault="00C57ACA" w:rsidP="00C57ACA">
            <w:pPr>
              <w:jc w:val="both"/>
              <w:rPr>
                <w:rFonts w:ascii="Arial" w:hAnsi="Arial" w:cs="Arial"/>
                <w:b/>
                <w:sz w:val="20"/>
                <w:szCs w:val="20"/>
              </w:rPr>
            </w:pPr>
            <w:r w:rsidRPr="004C78AF">
              <w:rPr>
                <w:rFonts w:ascii="Arial" w:hAnsi="Arial" w:cs="Arial"/>
                <w:b/>
                <w:sz w:val="20"/>
                <w:szCs w:val="20"/>
              </w:rPr>
              <w:t>Axikabtagén ciloleucel parent.</w:t>
            </w:r>
          </w:p>
        </w:tc>
      </w:tr>
      <w:tr w:rsidR="00C57ACA" w:rsidRPr="0000591E" w14:paraId="076C3EBD" w14:textId="77777777" w:rsidTr="004C78AF">
        <w:trPr>
          <w:gridAfter w:val="2"/>
          <w:wAfter w:w="154" w:type="dxa"/>
          <w:trHeight w:val="20"/>
        </w:trPr>
        <w:tc>
          <w:tcPr>
            <w:tcW w:w="1256" w:type="dxa"/>
            <w:tcBorders>
              <w:top w:val="single" w:sz="4" w:space="0" w:color="auto"/>
            </w:tcBorders>
            <w:noWrap/>
            <w:vAlign w:val="bottom"/>
          </w:tcPr>
          <w:p w14:paraId="1D0EF093" w14:textId="77777777"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27079669"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môže byť indikovaná:</w:t>
            </w:r>
          </w:p>
          <w:p w14:paraId="69220AB1"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-dospelým pacientom s recidivujúcim alebo refraktérnym difúznym veľkobunkovým lymfómom B-pôvodu (DLBCL) alebo s primárnym mediastinálnym veľkobunkovým lymfómom Bpôvodu (PMBCL) po dvoch alebo viacerých líniách systémovej liečby, kde nie je dostupná iná efektívnejšia liečba.</w:t>
            </w:r>
          </w:p>
          <w:p w14:paraId="5A010C41"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-dospelým pacientom s difúznym veľkobunkovým lymfómom B pôvodu (DLBCL) alebo lymfómom B-pôvodu vysokého stupňa (HGBL), ktorý recidivuje do 12 mesiacov od ukončenia chemoimunoterapie prvej línie alebo je na ňu refraktérny. Pacienti sú podľa posúdenia ošetrujúceho lekára vhodní na absolvovanie ASCT.</w:t>
            </w:r>
          </w:p>
          <w:p w14:paraId="753FFF4A" w14:textId="77777777" w:rsidR="00C57ACA" w:rsidRPr="004C78AF" w:rsidRDefault="00C57ACA" w:rsidP="00C57ACA">
            <w:pPr>
              <w:jc w:val="both"/>
              <w:rPr>
                <w:rFonts w:ascii="Arial" w:hAnsi="Arial" w:cs="Arial"/>
                <w:sz w:val="20"/>
                <w:szCs w:val="20"/>
              </w:rPr>
            </w:pPr>
          </w:p>
          <w:p w14:paraId="3331A661"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podávať iba v kvalifikovanom pracovisku.</w:t>
            </w:r>
          </w:p>
          <w:p w14:paraId="6EC69132" w14:textId="77777777" w:rsidR="00C57ACA" w:rsidRDefault="00C57ACA" w:rsidP="00C57ACA">
            <w:pPr>
              <w:jc w:val="both"/>
              <w:rPr>
                <w:rFonts w:ascii="Arial" w:hAnsi="Arial" w:cs="Arial"/>
                <w:sz w:val="20"/>
                <w:szCs w:val="20"/>
              </w:rPr>
            </w:pPr>
            <w:r w:rsidRPr="004C78AF">
              <w:rPr>
                <w:rFonts w:ascii="Arial" w:hAnsi="Arial" w:cs="Arial"/>
                <w:sz w:val="20"/>
                <w:szCs w:val="20"/>
              </w:rPr>
              <w:t>Hradená liečba podlieha predchádzajúcemu súhlasu zdravotnej poisťovne.</w:t>
            </w:r>
          </w:p>
          <w:p w14:paraId="612FF238" w14:textId="5FF03D38" w:rsidR="00C57ACA" w:rsidRPr="004C78AF" w:rsidRDefault="00C57ACA" w:rsidP="00C57ACA">
            <w:pPr>
              <w:jc w:val="both"/>
              <w:rPr>
                <w:rFonts w:ascii="Arial" w:hAnsi="Arial" w:cs="Arial"/>
                <w:sz w:val="20"/>
                <w:szCs w:val="20"/>
              </w:rPr>
            </w:pPr>
          </w:p>
        </w:tc>
      </w:tr>
      <w:tr w:rsidR="00C57ACA" w:rsidRPr="0000591E" w14:paraId="00814480" w14:textId="77777777" w:rsidTr="004C78AF">
        <w:trPr>
          <w:gridAfter w:val="2"/>
          <w:wAfter w:w="154" w:type="dxa"/>
          <w:trHeight w:val="20"/>
        </w:trPr>
        <w:tc>
          <w:tcPr>
            <w:tcW w:w="1256" w:type="dxa"/>
            <w:tcBorders>
              <w:bottom w:val="single" w:sz="4" w:space="0" w:color="auto"/>
            </w:tcBorders>
            <w:noWrap/>
            <w:vAlign w:val="bottom"/>
          </w:tcPr>
          <w:p w14:paraId="2663D3F1" w14:textId="7D6C0D01" w:rsidR="00C57ACA" w:rsidRPr="0000591E" w:rsidRDefault="00C57ACA" w:rsidP="00C57ACA">
            <w:pPr>
              <w:jc w:val="both"/>
              <w:rPr>
                <w:rFonts w:ascii="Arial" w:hAnsi="Arial" w:cs="Arial"/>
                <w:b/>
                <w:sz w:val="20"/>
                <w:szCs w:val="20"/>
                <w:lang w:eastAsia="cs-CZ"/>
              </w:rPr>
            </w:pPr>
            <w:r w:rsidRPr="004C78AF">
              <w:rPr>
                <w:rFonts w:ascii="Arial" w:hAnsi="Arial" w:cs="Arial"/>
                <w:b/>
                <w:sz w:val="20"/>
                <w:szCs w:val="20"/>
                <w:lang w:eastAsia="cs-CZ"/>
              </w:rPr>
              <w:t>L01XL04</w:t>
            </w:r>
          </w:p>
        </w:tc>
        <w:tc>
          <w:tcPr>
            <w:tcW w:w="9452" w:type="dxa"/>
            <w:tcBorders>
              <w:bottom w:val="single" w:sz="4" w:space="0" w:color="auto"/>
            </w:tcBorders>
            <w:noWrap/>
          </w:tcPr>
          <w:p w14:paraId="5EC6824A" w14:textId="07A56D9C" w:rsidR="00C57ACA" w:rsidRPr="0000591E" w:rsidRDefault="00C57ACA" w:rsidP="00C57ACA">
            <w:pPr>
              <w:jc w:val="both"/>
              <w:rPr>
                <w:rFonts w:ascii="Arial" w:hAnsi="Arial" w:cs="Arial"/>
                <w:b/>
                <w:sz w:val="20"/>
                <w:szCs w:val="20"/>
              </w:rPr>
            </w:pPr>
            <w:r w:rsidRPr="004C78AF">
              <w:rPr>
                <w:rFonts w:ascii="Arial" w:hAnsi="Arial" w:cs="Arial"/>
                <w:b/>
                <w:sz w:val="20"/>
                <w:szCs w:val="20"/>
              </w:rPr>
              <w:t>Tisagenlekleucel parent.</w:t>
            </w:r>
          </w:p>
        </w:tc>
      </w:tr>
      <w:tr w:rsidR="00C57ACA" w:rsidRPr="0000591E" w14:paraId="37EB56E1" w14:textId="77777777" w:rsidTr="004C78AF">
        <w:trPr>
          <w:gridAfter w:val="2"/>
          <w:wAfter w:w="154" w:type="dxa"/>
          <w:trHeight w:val="20"/>
        </w:trPr>
        <w:tc>
          <w:tcPr>
            <w:tcW w:w="1256" w:type="dxa"/>
            <w:tcBorders>
              <w:top w:val="single" w:sz="4" w:space="0" w:color="auto"/>
            </w:tcBorders>
            <w:noWrap/>
            <w:vAlign w:val="bottom"/>
          </w:tcPr>
          <w:p w14:paraId="2EA732DF" w14:textId="77777777"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0A9E1EFF"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indikovať na liečbu</w:t>
            </w:r>
          </w:p>
          <w:p w14:paraId="6F17D79A"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a) pediatrických a mladých dospelých pacientov vo veku do 25 rokov vrátane, s B bunkovou akútnou</w:t>
            </w:r>
          </w:p>
          <w:p w14:paraId="00B72D47"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lymfoblastovou leukémiou (ALL), ktorá je refraktérna, v relapse po transplantácii, alebo v druhom alebo</w:t>
            </w:r>
          </w:p>
          <w:p w14:paraId="0E50B9DD"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neskoršom relapse.</w:t>
            </w:r>
          </w:p>
          <w:p w14:paraId="49F7082F"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podávať iba v kvalifikovanom pracovisku.</w:t>
            </w:r>
          </w:p>
          <w:p w14:paraId="2501E18F"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podlieha predchádzajúcemu súhlasu zdravotnej poisťovne.</w:t>
            </w:r>
          </w:p>
          <w:p w14:paraId="5436EB16"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b) dospelých pacientov s relabujúcim alebo refraktérnym difúznym veľkobunkovým lymfómom B buniek</w:t>
            </w:r>
          </w:p>
          <w:p w14:paraId="59E5976A"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(DLBCL) po dvoch alebo viacerých líniách systémovej liečby.</w:t>
            </w:r>
          </w:p>
          <w:p w14:paraId="57EE90FA" w14:textId="77777777" w:rsidR="00C57ACA" w:rsidRPr="004C78AF" w:rsidRDefault="00C57ACA" w:rsidP="00C57ACA">
            <w:pPr>
              <w:jc w:val="both"/>
              <w:rPr>
                <w:rFonts w:ascii="Arial" w:hAnsi="Arial" w:cs="Arial"/>
                <w:sz w:val="20"/>
                <w:szCs w:val="20"/>
              </w:rPr>
            </w:pPr>
          </w:p>
          <w:p w14:paraId="763CADFE"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podávať iba v kvalifikovanom pracovisku.</w:t>
            </w:r>
          </w:p>
          <w:p w14:paraId="58FB1762" w14:textId="77777777" w:rsidR="00C57ACA" w:rsidRDefault="00C57ACA" w:rsidP="00C57ACA">
            <w:pPr>
              <w:jc w:val="both"/>
              <w:rPr>
                <w:rFonts w:ascii="Arial" w:hAnsi="Arial" w:cs="Arial"/>
                <w:sz w:val="20"/>
                <w:szCs w:val="20"/>
              </w:rPr>
            </w:pPr>
            <w:r w:rsidRPr="004C78AF">
              <w:rPr>
                <w:rFonts w:ascii="Arial" w:hAnsi="Arial" w:cs="Arial"/>
                <w:sz w:val="20"/>
                <w:szCs w:val="20"/>
              </w:rPr>
              <w:t>Hradená liečba podlieha predchádzajúcemu súhlasu zdravotnej poisťovne.</w:t>
            </w:r>
          </w:p>
          <w:p w14:paraId="3B95AF93" w14:textId="77777777" w:rsidR="00C57ACA" w:rsidRDefault="00C57ACA" w:rsidP="00C57ACA">
            <w:pPr>
              <w:jc w:val="both"/>
              <w:rPr>
                <w:rFonts w:ascii="Arial" w:hAnsi="Arial" w:cs="Arial"/>
                <w:sz w:val="20"/>
                <w:szCs w:val="20"/>
              </w:rPr>
            </w:pPr>
          </w:p>
          <w:p w14:paraId="721FA69A" w14:textId="77777777" w:rsidR="00906D90" w:rsidRPr="00906D90" w:rsidRDefault="00906D90" w:rsidP="00906D90">
            <w:pPr>
              <w:jc w:val="both"/>
              <w:rPr>
                <w:rFonts w:ascii="Arial" w:hAnsi="Arial" w:cs="Arial"/>
                <w:sz w:val="20"/>
                <w:szCs w:val="20"/>
              </w:rPr>
            </w:pPr>
            <w:r w:rsidRPr="00906D90">
              <w:rPr>
                <w:rFonts w:ascii="Arial" w:hAnsi="Arial" w:cs="Arial"/>
                <w:sz w:val="20"/>
                <w:szCs w:val="20"/>
              </w:rPr>
              <w:t>c)  dospelých pacientov s relabujúcim alebo refraktérnym folikulárnym lymfómom (FL) po dvoch alebo viacerých líniách systémovej liečby.</w:t>
            </w:r>
          </w:p>
          <w:p w14:paraId="43474A2C" w14:textId="77777777" w:rsidR="00906D90" w:rsidRPr="00906D90" w:rsidRDefault="00906D90" w:rsidP="00906D90">
            <w:pPr>
              <w:jc w:val="both"/>
              <w:rPr>
                <w:rFonts w:ascii="Arial" w:hAnsi="Arial" w:cs="Arial"/>
                <w:sz w:val="20"/>
                <w:szCs w:val="20"/>
              </w:rPr>
            </w:pPr>
            <w:r w:rsidRPr="00906D90">
              <w:rPr>
                <w:rFonts w:ascii="Arial" w:hAnsi="Arial" w:cs="Arial"/>
                <w:sz w:val="20"/>
                <w:szCs w:val="20"/>
              </w:rPr>
              <w:t>Podmienkou hradenej liečby je dobrý výkonnostný stav pacienta charakterizovaný na ECOG škále (Eastern Cooperative Oncology Group performance status) ako skóre 0 – 1.</w:t>
            </w:r>
          </w:p>
          <w:p w14:paraId="0F89B32F" w14:textId="77777777" w:rsidR="00906D90" w:rsidRDefault="00906D90" w:rsidP="00906D90">
            <w:pPr>
              <w:jc w:val="both"/>
              <w:rPr>
                <w:rFonts w:ascii="Arial" w:hAnsi="Arial" w:cs="Arial"/>
                <w:sz w:val="20"/>
                <w:szCs w:val="20"/>
              </w:rPr>
            </w:pPr>
          </w:p>
          <w:p w14:paraId="20F546F0" w14:textId="39DDDD90" w:rsidR="00906D90" w:rsidRPr="00906D90" w:rsidRDefault="00906D90" w:rsidP="00906D90">
            <w:pPr>
              <w:jc w:val="both"/>
              <w:rPr>
                <w:rFonts w:ascii="Arial" w:hAnsi="Arial" w:cs="Arial"/>
                <w:sz w:val="20"/>
                <w:szCs w:val="20"/>
              </w:rPr>
            </w:pPr>
            <w:r w:rsidRPr="00906D90">
              <w:rPr>
                <w:rFonts w:ascii="Arial" w:hAnsi="Arial" w:cs="Arial"/>
                <w:sz w:val="20"/>
                <w:szCs w:val="20"/>
              </w:rPr>
              <w:t>Hradená liečba sa môže indikovať v Národnom onkologickom ústave Bratislava.</w:t>
            </w:r>
          </w:p>
          <w:p w14:paraId="6817D3EB" w14:textId="77777777" w:rsidR="00906D90" w:rsidRDefault="00906D90" w:rsidP="00906D90">
            <w:pPr>
              <w:jc w:val="both"/>
              <w:rPr>
                <w:rFonts w:ascii="Arial" w:hAnsi="Arial" w:cs="Arial"/>
                <w:sz w:val="20"/>
                <w:szCs w:val="20"/>
              </w:rPr>
            </w:pPr>
            <w:r w:rsidRPr="00906D90">
              <w:rPr>
                <w:rFonts w:ascii="Arial" w:hAnsi="Arial" w:cs="Arial"/>
                <w:sz w:val="20"/>
                <w:szCs w:val="20"/>
              </w:rPr>
              <w:t>Hradená liečba podlieha predchádzajúcemu súhlasu zdravotnej poisťovne.</w:t>
            </w:r>
          </w:p>
          <w:p w14:paraId="5F576C87" w14:textId="7CAF2D91" w:rsidR="00906D90" w:rsidRPr="004C78AF" w:rsidRDefault="00906D90" w:rsidP="00906D90">
            <w:pPr>
              <w:jc w:val="both"/>
              <w:rPr>
                <w:rFonts w:ascii="Arial" w:hAnsi="Arial" w:cs="Arial"/>
                <w:sz w:val="20"/>
                <w:szCs w:val="20"/>
              </w:rPr>
            </w:pPr>
          </w:p>
        </w:tc>
      </w:tr>
      <w:tr w:rsidR="00C57ACA" w:rsidRPr="0000591E" w14:paraId="2480EF38" w14:textId="77777777" w:rsidTr="003573E5">
        <w:trPr>
          <w:gridAfter w:val="2"/>
          <w:wAfter w:w="154" w:type="dxa"/>
          <w:trHeight w:val="20"/>
        </w:trPr>
        <w:tc>
          <w:tcPr>
            <w:tcW w:w="1256" w:type="dxa"/>
            <w:tcBorders>
              <w:bottom w:val="single" w:sz="4" w:space="0" w:color="auto"/>
            </w:tcBorders>
            <w:noWrap/>
            <w:vAlign w:val="bottom"/>
          </w:tcPr>
          <w:p w14:paraId="459498CB" w14:textId="33815E8A" w:rsidR="00C57ACA" w:rsidRPr="0000591E" w:rsidRDefault="00C57ACA" w:rsidP="00C57ACA">
            <w:pPr>
              <w:jc w:val="both"/>
              <w:rPr>
                <w:rFonts w:ascii="Arial" w:hAnsi="Arial" w:cs="Arial"/>
                <w:b/>
                <w:sz w:val="20"/>
                <w:szCs w:val="20"/>
                <w:lang w:eastAsia="cs-CZ"/>
              </w:rPr>
            </w:pPr>
            <w:r w:rsidRPr="003573E5">
              <w:rPr>
                <w:rFonts w:ascii="Arial" w:hAnsi="Arial" w:cs="Arial"/>
                <w:b/>
                <w:sz w:val="20"/>
                <w:szCs w:val="20"/>
                <w:lang w:eastAsia="cs-CZ"/>
              </w:rPr>
              <w:t>L01XL06</w:t>
            </w:r>
          </w:p>
        </w:tc>
        <w:tc>
          <w:tcPr>
            <w:tcW w:w="9452" w:type="dxa"/>
            <w:tcBorders>
              <w:bottom w:val="single" w:sz="4" w:space="0" w:color="auto"/>
            </w:tcBorders>
            <w:noWrap/>
          </w:tcPr>
          <w:p w14:paraId="70B68107" w14:textId="0F6127F8" w:rsidR="00C57ACA" w:rsidRPr="0000591E" w:rsidRDefault="00C57ACA" w:rsidP="00C57ACA">
            <w:pPr>
              <w:jc w:val="both"/>
              <w:rPr>
                <w:rFonts w:ascii="Arial" w:hAnsi="Arial" w:cs="Arial"/>
                <w:b/>
                <w:sz w:val="20"/>
                <w:szCs w:val="20"/>
              </w:rPr>
            </w:pPr>
            <w:r w:rsidRPr="003573E5">
              <w:rPr>
                <w:rFonts w:ascii="Arial" w:hAnsi="Arial" w:cs="Arial"/>
                <w:b/>
                <w:sz w:val="20"/>
                <w:szCs w:val="20"/>
              </w:rPr>
              <w:t>Brexukabtagén-autoleucel parent.</w:t>
            </w:r>
          </w:p>
        </w:tc>
      </w:tr>
      <w:tr w:rsidR="00C57ACA" w:rsidRPr="0000591E" w14:paraId="5E5ABF26" w14:textId="77777777" w:rsidTr="003573E5">
        <w:trPr>
          <w:gridAfter w:val="2"/>
          <w:wAfter w:w="154" w:type="dxa"/>
          <w:trHeight w:val="20"/>
        </w:trPr>
        <w:tc>
          <w:tcPr>
            <w:tcW w:w="1256" w:type="dxa"/>
            <w:tcBorders>
              <w:top w:val="single" w:sz="4" w:space="0" w:color="auto"/>
            </w:tcBorders>
            <w:noWrap/>
            <w:vAlign w:val="bottom"/>
          </w:tcPr>
          <w:p w14:paraId="09283211" w14:textId="77777777"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4EEC521E"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Hradená liečba sa môže indikovať u dospelých pacientov:</w:t>
            </w:r>
          </w:p>
          <w:p w14:paraId="5B1739AA"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s recidivujúcim alebo refraktérnym lymfómom z plášťových buniek (MCL), po dvoch alebo viacerých líniách systémovej liečby vrátane inhibítora Brutonovej tyrozínkinázy (BTK).</w:t>
            </w:r>
          </w:p>
          <w:p w14:paraId="250C16C3"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vo veku 26 rokov a starších s recidivujúcou alebo refraktérnou akútnou lymfoblastickou leukémiou (ALL) B-bunkových prekurzorov.</w:t>
            </w:r>
          </w:p>
          <w:p w14:paraId="5BD1EECF"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xml:space="preserve">Hradená liečba sa môže indikovať v certifikovanom pracovisku. </w:t>
            </w:r>
          </w:p>
          <w:p w14:paraId="1FC36F57"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U toho istého pacienta, je pre rovnakú indikáciu hradená len jedna liečba brexukabtagén-autoleucelom.</w:t>
            </w:r>
          </w:p>
          <w:p w14:paraId="279324EA" w14:textId="77777777" w:rsidR="00C57ACA" w:rsidRPr="003573E5" w:rsidRDefault="00C57ACA" w:rsidP="00C57ACA">
            <w:pPr>
              <w:jc w:val="both"/>
              <w:rPr>
                <w:rFonts w:ascii="Arial" w:hAnsi="Arial" w:cs="Arial"/>
                <w:sz w:val="20"/>
                <w:szCs w:val="20"/>
              </w:rPr>
            </w:pPr>
          </w:p>
          <w:p w14:paraId="6D671E9C" w14:textId="77777777" w:rsidR="00C57ACA" w:rsidRDefault="00C57ACA" w:rsidP="00C57ACA">
            <w:pPr>
              <w:jc w:val="both"/>
              <w:rPr>
                <w:rFonts w:ascii="Arial" w:hAnsi="Arial" w:cs="Arial"/>
                <w:sz w:val="20"/>
                <w:szCs w:val="20"/>
              </w:rPr>
            </w:pPr>
            <w:r w:rsidRPr="003573E5">
              <w:rPr>
                <w:rFonts w:ascii="Arial" w:hAnsi="Arial" w:cs="Arial"/>
                <w:sz w:val="20"/>
                <w:szCs w:val="20"/>
              </w:rPr>
              <w:t>Hradená liečba podlieha predchádzajúcemu súhlasu zdravotnej poisťovne.</w:t>
            </w:r>
          </w:p>
          <w:p w14:paraId="6615689A" w14:textId="15DA2917" w:rsidR="00C57ACA" w:rsidRPr="003573E5" w:rsidRDefault="00C57ACA" w:rsidP="00C57ACA">
            <w:pPr>
              <w:jc w:val="both"/>
              <w:rPr>
                <w:rFonts w:ascii="Arial" w:hAnsi="Arial" w:cs="Arial"/>
                <w:sz w:val="20"/>
                <w:szCs w:val="20"/>
              </w:rPr>
            </w:pPr>
          </w:p>
        </w:tc>
      </w:tr>
      <w:tr w:rsidR="00C57ACA" w:rsidRPr="0000591E" w14:paraId="5BD514EC" w14:textId="77777777" w:rsidTr="009C7884">
        <w:trPr>
          <w:gridAfter w:val="2"/>
          <w:wAfter w:w="154" w:type="dxa"/>
          <w:trHeight w:val="20"/>
        </w:trPr>
        <w:tc>
          <w:tcPr>
            <w:tcW w:w="1256" w:type="dxa"/>
            <w:tcBorders>
              <w:bottom w:val="single" w:sz="4" w:space="0" w:color="auto"/>
            </w:tcBorders>
            <w:noWrap/>
            <w:vAlign w:val="bottom"/>
          </w:tcPr>
          <w:p w14:paraId="7D62EEDC" w14:textId="10FF8431" w:rsidR="00C57ACA" w:rsidRPr="0000591E" w:rsidRDefault="00C57ACA" w:rsidP="00C57ACA">
            <w:pPr>
              <w:jc w:val="both"/>
              <w:rPr>
                <w:rFonts w:ascii="Arial" w:hAnsi="Arial" w:cs="Arial"/>
                <w:b/>
                <w:sz w:val="20"/>
                <w:szCs w:val="20"/>
                <w:lang w:eastAsia="cs-CZ"/>
              </w:rPr>
            </w:pPr>
            <w:r w:rsidRPr="0000591E">
              <w:rPr>
                <w:rFonts w:ascii="Arial" w:hAnsi="Arial" w:cs="Arial"/>
                <w:b/>
                <w:sz w:val="20"/>
                <w:szCs w:val="20"/>
                <w:lang w:eastAsia="cs-CZ"/>
              </w:rPr>
              <w:t>L01XX23</w:t>
            </w:r>
          </w:p>
        </w:tc>
        <w:tc>
          <w:tcPr>
            <w:tcW w:w="9452" w:type="dxa"/>
            <w:tcBorders>
              <w:bottom w:val="single" w:sz="4" w:space="0" w:color="auto"/>
            </w:tcBorders>
            <w:noWrap/>
          </w:tcPr>
          <w:p w14:paraId="57726D39" w14:textId="24BEF574" w:rsidR="00C57ACA" w:rsidRPr="0000591E" w:rsidRDefault="00C57ACA" w:rsidP="00C57ACA">
            <w:pPr>
              <w:jc w:val="both"/>
              <w:rPr>
                <w:rFonts w:ascii="Arial" w:hAnsi="Arial" w:cs="Arial"/>
                <w:b/>
                <w:sz w:val="20"/>
                <w:szCs w:val="20"/>
              </w:rPr>
            </w:pPr>
            <w:r w:rsidRPr="009C7884">
              <w:rPr>
                <w:rFonts w:ascii="Arial" w:hAnsi="Arial" w:cs="Arial"/>
                <w:b/>
                <w:sz w:val="20"/>
                <w:szCs w:val="20"/>
              </w:rPr>
              <w:t>Mitotan p.o 500 mg</w:t>
            </w:r>
          </w:p>
        </w:tc>
      </w:tr>
      <w:tr w:rsidR="00C57ACA" w:rsidRPr="0000591E" w14:paraId="493FE830" w14:textId="77777777" w:rsidTr="009C7884">
        <w:trPr>
          <w:gridAfter w:val="2"/>
          <w:wAfter w:w="154" w:type="dxa"/>
          <w:trHeight w:val="20"/>
        </w:trPr>
        <w:tc>
          <w:tcPr>
            <w:tcW w:w="1256" w:type="dxa"/>
            <w:tcBorders>
              <w:top w:val="single" w:sz="4" w:space="0" w:color="auto"/>
            </w:tcBorders>
            <w:noWrap/>
            <w:vAlign w:val="bottom"/>
          </w:tcPr>
          <w:p w14:paraId="0A7CD7FC" w14:textId="2DEEFE98"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559C681F" w14:textId="77777777" w:rsidR="00C57ACA" w:rsidRPr="009C7884" w:rsidRDefault="00C57ACA" w:rsidP="00C57ACA">
            <w:pPr>
              <w:rPr>
                <w:rFonts w:ascii="Arial" w:hAnsi="Arial" w:cs="Arial"/>
                <w:sz w:val="20"/>
                <w:szCs w:val="20"/>
              </w:rPr>
            </w:pPr>
            <w:r w:rsidRPr="009C7884">
              <w:rPr>
                <w:rFonts w:ascii="Arial" w:hAnsi="Arial" w:cs="Arial"/>
                <w:sz w:val="20"/>
                <w:szCs w:val="20"/>
              </w:rPr>
              <w:t xml:space="preserve">Hradená liečba sa môže indikovať pri metastazujúcom alebo recidivujúcom adenokarcinóme kôry nadobličky a po operácii ako adjuvantnú liečbu počas dvoch rokov alebo do progresie tohto ochorenia. </w:t>
            </w:r>
          </w:p>
          <w:p w14:paraId="72768E59" w14:textId="0F4FEDCE" w:rsidR="00C57ACA" w:rsidRPr="009C7884" w:rsidRDefault="00C57ACA" w:rsidP="00C57ACA">
            <w:pPr>
              <w:jc w:val="both"/>
              <w:rPr>
                <w:rFonts w:ascii="Arial" w:hAnsi="Arial" w:cs="Arial"/>
                <w:sz w:val="20"/>
                <w:szCs w:val="20"/>
              </w:rPr>
            </w:pPr>
          </w:p>
        </w:tc>
      </w:tr>
      <w:tr w:rsidR="00C57ACA" w:rsidRPr="0000591E" w14:paraId="58D4FB87" w14:textId="77777777" w:rsidTr="009C7884">
        <w:trPr>
          <w:gridAfter w:val="2"/>
          <w:wAfter w:w="154" w:type="dxa"/>
          <w:trHeight w:val="227"/>
        </w:trPr>
        <w:tc>
          <w:tcPr>
            <w:tcW w:w="1256" w:type="dxa"/>
            <w:tcBorders>
              <w:bottom w:val="single" w:sz="4" w:space="0" w:color="auto"/>
            </w:tcBorders>
            <w:noWrap/>
            <w:vAlign w:val="center"/>
          </w:tcPr>
          <w:p w14:paraId="5D471FB8" w14:textId="77777777" w:rsidR="00C57ACA" w:rsidRPr="0000591E" w:rsidRDefault="00C57ACA" w:rsidP="00C57ACA">
            <w:pPr>
              <w:rPr>
                <w:rFonts w:ascii="Arial" w:hAnsi="Arial" w:cs="Arial"/>
                <w:b/>
                <w:bCs/>
                <w:sz w:val="20"/>
                <w:szCs w:val="20"/>
              </w:rPr>
            </w:pPr>
            <w:r w:rsidRPr="0000591E">
              <w:rPr>
                <w:rFonts w:ascii="Arial" w:hAnsi="Arial" w:cs="Arial"/>
                <w:b/>
                <w:bCs/>
                <w:sz w:val="20"/>
                <w:szCs w:val="20"/>
              </w:rPr>
              <w:t>L01XX35</w:t>
            </w:r>
          </w:p>
        </w:tc>
        <w:tc>
          <w:tcPr>
            <w:tcW w:w="9452" w:type="dxa"/>
            <w:tcBorders>
              <w:bottom w:val="single" w:sz="4" w:space="0" w:color="auto"/>
            </w:tcBorders>
            <w:vAlign w:val="bottom"/>
          </w:tcPr>
          <w:p w14:paraId="0C98B142" w14:textId="77777777" w:rsidR="00C57ACA" w:rsidRPr="0000591E" w:rsidRDefault="00C57ACA" w:rsidP="00C57ACA">
            <w:pPr>
              <w:jc w:val="both"/>
              <w:rPr>
                <w:rFonts w:ascii="Arial" w:hAnsi="Arial" w:cs="Arial"/>
                <w:b/>
                <w:bCs/>
                <w:sz w:val="20"/>
                <w:szCs w:val="20"/>
              </w:rPr>
            </w:pPr>
            <w:r w:rsidRPr="0000591E">
              <w:rPr>
                <w:rFonts w:ascii="Arial" w:hAnsi="Arial" w:cs="Arial"/>
                <w:b/>
                <w:bCs/>
                <w:sz w:val="20"/>
                <w:szCs w:val="20"/>
              </w:rPr>
              <w:t xml:space="preserve">Anagrelid p.o. 0,5 mg </w:t>
            </w:r>
          </w:p>
        </w:tc>
      </w:tr>
      <w:tr w:rsidR="00C57ACA" w:rsidRPr="0000591E" w14:paraId="6B7577E7" w14:textId="77777777" w:rsidTr="003F7925">
        <w:trPr>
          <w:gridAfter w:val="2"/>
          <w:wAfter w:w="154" w:type="dxa"/>
          <w:trHeight w:val="227"/>
        </w:trPr>
        <w:tc>
          <w:tcPr>
            <w:tcW w:w="1256" w:type="dxa"/>
            <w:tcBorders>
              <w:top w:val="single" w:sz="4" w:space="0" w:color="auto"/>
            </w:tcBorders>
            <w:noWrap/>
            <w:vAlign w:val="center"/>
          </w:tcPr>
          <w:p w14:paraId="7DC25FFA" w14:textId="77777777" w:rsidR="00C57ACA" w:rsidRPr="0000591E" w:rsidRDefault="00C57ACA" w:rsidP="00C57ACA">
            <w:pPr>
              <w:rPr>
                <w:rFonts w:ascii="Arial" w:hAnsi="Arial" w:cs="Arial"/>
                <w:b/>
                <w:bCs/>
                <w:sz w:val="20"/>
                <w:szCs w:val="20"/>
              </w:rPr>
            </w:pPr>
          </w:p>
        </w:tc>
        <w:tc>
          <w:tcPr>
            <w:tcW w:w="9452" w:type="dxa"/>
            <w:tcBorders>
              <w:top w:val="single" w:sz="4" w:space="0" w:color="auto"/>
            </w:tcBorders>
          </w:tcPr>
          <w:p w14:paraId="24E8F647" w14:textId="77777777" w:rsidR="00C57ACA" w:rsidRDefault="00C57ACA" w:rsidP="00C57ACA">
            <w:pPr>
              <w:jc w:val="both"/>
              <w:rPr>
                <w:rFonts w:ascii="Arial" w:hAnsi="Arial" w:cs="Arial"/>
                <w:sz w:val="20"/>
                <w:szCs w:val="20"/>
              </w:rPr>
            </w:pPr>
            <w:r w:rsidRPr="0000591E">
              <w:rPr>
                <w:rFonts w:ascii="Arial" w:hAnsi="Arial" w:cs="Arial"/>
                <w:sz w:val="20"/>
                <w:szCs w:val="20"/>
              </w:rPr>
              <w:t>Hradená liečba sa môže indikovať u pacientov s esenciálnou trombocytémiou pri progredujúcom počte trombocytov (o 200 G/l za dva mesiace a viac), pri vysokom počte trombocytov (1 000 G/l a viac) a pri komplikáciách a klinických prejavoch v rámci prevencie komplikácie.</w:t>
            </w:r>
          </w:p>
          <w:p w14:paraId="183CD065" w14:textId="77777777" w:rsidR="00C57ACA" w:rsidRPr="0000591E" w:rsidRDefault="00C57ACA" w:rsidP="00C57ACA">
            <w:pPr>
              <w:jc w:val="both"/>
              <w:rPr>
                <w:rFonts w:ascii="Arial" w:hAnsi="Arial" w:cs="Arial"/>
                <w:sz w:val="20"/>
                <w:szCs w:val="20"/>
              </w:rPr>
            </w:pPr>
          </w:p>
          <w:p w14:paraId="70137AEB" w14:textId="77777777" w:rsidR="00C57ACA" w:rsidRDefault="00C57ACA" w:rsidP="00C57ACA">
            <w:pPr>
              <w:jc w:val="both"/>
              <w:rPr>
                <w:rFonts w:ascii="Arial" w:hAnsi="Arial" w:cs="Arial"/>
                <w:sz w:val="20"/>
                <w:szCs w:val="20"/>
              </w:rPr>
            </w:pPr>
            <w:r w:rsidRPr="0000591E">
              <w:rPr>
                <w:rFonts w:ascii="Arial" w:hAnsi="Arial" w:cs="Arial"/>
                <w:sz w:val="20"/>
                <w:szCs w:val="20"/>
              </w:rPr>
              <w:t xml:space="preserve">Hradená liečba sa môže indikovať na hematologickej klinike Univerzitnej nemocnice Bratislava Nemocnica sv. Cyrila a Metoda, na hematologickej klinike Univerzitnej nemocnice L. Pasteura Košice, na hematologickom oddelení Fakultnej nemocnice s poliklinikou F.D.Roosevelta Banská Bystrica, na klinike hematológie a transfuziológie Univerzitnej nemocnice Martin a na hematologickom oddelení Fakultnej nemocnice s poliklinikou J.A. Reimana Prešov. </w:t>
            </w:r>
          </w:p>
          <w:p w14:paraId="0AC3176E" w14:textId="77777777" w:rsidR="00C57ACA" w:rsidRDefault="00C57ACA" w:rsidP="00C57ACA">
            <w:pPr>
              <w:jc w:val="both"/>
              <w:rPr>
                <w:rFonts w:ascii="Arial" w:hAnsi="Arial" w:cs="Arial"/>
                <w:sz w:val="20"/>
                <w:szCs w:val="20"/>
              </w:rPr>
            </w:pPr>
            <w:r w:rsidRPr="0000591E">
              <w:rPr>
                <w:rFonts w:ascii="Arial" w:hAnsi="Arial" w:cs="Arial"/>
                <w:sz w:val="20"/>
                <w:szCs w:val="20"/>
              </w:rPr>
              <w:t>Ak sa pri dávke 5 mg denne nedosiahne odpoveď na liečbu, ďalšia liečba nie je hradenou liečbou.</w:t>
            </w:r>
          </w:p>
          <w:p w14:paraId="79667A79" w14:textId="77777777" w:rsidR="00C57ACA" w:rsidRPr="0000591E" w:rsidRDefault="00C57ACA" w:rsidP="00C57ACA">
            <w:pPr>
              <w:jc w:val="both"/>
              <w:rPr>
                <w:rFonts w:ascii="Arial" w:hAnsi="Arial" w:cs="Arial"/>
                <w:b/>
                <w:bCs/>
                <w:sz w:val="20"/>
                <w:szCs w:val="20"/>
              </w:rPr>
            </w:pPr>
          </w:p>
        </w:tc>
      </w:tr>
      <w:tr w:rsidR="00C57ACA" w:rsidRPr="0000591E" w14:paraId="6F347C4C" w14:textId="77777777" w:rsidTr="003F7925">
        <w:trPr>
          <w:gridAfter w:val="2"/>
          <w:wAfter w:w="154" w:type="dxa"/>
          <w:trHeight w:val="262"/>
        </w:trPr>
        <w:tc>
          <w:tcPr>
            <w:tcW w:w="1256" w:type="dxa"/>
            <w:tcBorders>
              <w:bottom w:val="single" w:sz="4" w:space="0" w:color="auto"/>
            </w:tcBorders>
            <w:noWrap/>
            <w:vAlign w:val="center"/>
          </w:tcPr>
          <w:p w14:paraId="1485D42E" w14:textId="77777777" w:rsidR="00C57ACA" w:rsidRDefault="00C57ACA" w:rsidP="00C57ACA">
            <w:pPr>
              <w:rPr>
                <w:rFonts w:ascii="Arial" w:hAnsi="Arial" w:cs="Arial"/>
                <w:b/>
                <w:bCs/>
                <w:sz w:val="20"/>
                <w:szCs w:val="20"/>
              </w:rPr>
            </w:pPr>
            <w:r>
              <w:rPr>
                <w:rFonts w:ascii="Arial" w:hAnsi="Arial" w:cs="Arial"/>
                <w:b/>
                <w:bCs/>
                <w:sz w:val="20"/>
                <w:szCs w:val="20"/>
              </w:rPr>
              <w:t>L01XX41</w:t>
            </w:r>
          </w:p>
        </w:tc>
        <w:tc>
          <w:tcPr>
            <w:tcW w:w="9452" w:type="dxa"/>
            <w:tcBorders>
              <w:bottom w:val="single" w:sz="4" w:space="0" w:color="auto"/>
            </w:tcBorders>
            <w:vAlign w:val="bottom"/>
          </w:tcPr>
          <w:p w14:paraId="6D29948B" w14:textId="77777777" w:rsidR="00C57ACA" w:rsidRPr="00104278" w:rsidRDefault="00C57ACA" w:rsidP="00C57ACA">
            <w:pPr>
              <w:jc w:val="both"/>
              <w:rPr>
                <w:rFonts w:ascii="Arial" w:hAnsi="Arial" w:cs="Arial"/>
                <w:b/>
                <w:sz w:val="20"/>
                <w:szCs w:val="20"/>
              </w:rPr>
            </w:pPr>
            <w:r>
              <w:rPr>
                <w:rFonts w:ascii="Arial" w:hAnsi="Arial" w:cs="Arial"/>
                <w:b/>
                <w:sz w:val="20"/>
                <w:szCs w:val="20"/>
              </w:rPr>
              <w:t>Eribulín parent. 0,44 mg/ml</w:t>
            </w:r>
          </w:p>
        </w:tc>
      </w:tr>
      <w:tr w:rsidR="00C57ACA" w:rsidRPr="0000591E" w14:paraId="6F09C6F8" w14:textId="77777777" w:rsidTr="003F7925">
        <w:trPr>
          <w:gridAfter w:val="2"/>
          <w:wAfter w:w="154" w:type="dxa"/>
          <w:trHeight w:val="262"/>
        </w:trPr>
        <w:tc>
          <w:tcPr>
            <w:tcW w:w="1256" w:type="dxa"/>
            <w:tcBorders>
              <w:bottom w:val="single" w:sz="4" w:space="0" w:color="auto"/>
            </w:tcBorders>
            <w:noWrap/>
            <w:vAlign w:val="center"/>
          </w:tcPr>
          <w:p w14:paraId="4B916DB7" w14:textId="77777777" w:rsidR="00C57ACA" w:rsidRDefault="00C57ACA" w:rsidP="00C57ACA">
            <w:pPr>
              <w:rPr>
                <w:rFonts w:ascii="Arial" w:hAnsi="Arial" w:cs="Arial"/>
                <w:b/>
                <w:bCs/>
                <w:sz w:val="20"/>
                <w:szCs w:val="20"/>
              </w:rPr>
            </w:pPr>
          </w:p>
        </w:tc>
        <w:tc>
          <w:tcPr>
            <w:tcW w:w="9452" w:type="dxa"/>
            <w:tcBorders>
              <w:bottom w:val="single" w:sz="4" w:space="0" w:color="auto"/>
            </w:tcBorders>
            <w:vAlign w:val="bottom"/>
          </w:tcPr>
          <w:p w14:paraId="252AD3EF" w14:textId="77777777" w:rsidR="00C57ACA" w:rsidRPr="005A6C4B" w:rsidRDefault="00C57ACA" w:rsidP="00C57ACA">
            <w:pPr>
              <w:jc w:val="both"/>
              <w:rPr>
                <w:rFonts w:ascii="Arial" w:hAnsi="Arial" w:cs="Arial"/>
                <w:color w:val="000000"/>
                <w:sz w:val="20"/>
                <w:szCs w:val="20"/>
                <w:lang w:eastAsia="en-US"/>
              </w:rPr>
            </w:pPr>
            <w:r w:rsidRPr="005A6C4B">
              <w:rPr>
                <w:rFonts w:ascii="Arial" w:hAnsi="Arial" w:cs="Arial"/>
                <w:color w:val="000000"/>
                <w:sz w:val="20"/>
                <w:szCs w:val="20"/>
                <w:lang w:eastAsia="en-US"/>
              </w:rPr>
              <w:t>Hradená liečba sa môže indikovať:</w:t>
            </w:r>
          </w:p>
          <w:p w14:paraId="7711321E" w14:textId="77777777" w:rsidR="00C57ACA" w:rsidRDefault="00C57ACA" w:rsidP="00C57ACA">
            <w:pPr>
              <w:jc w:val="both"/>
              <w:rPr>
                <w:rFonts w:ascii="Arial" w:hAnsi="Arial" w:cs="Arial"/>
                <w:color w:val="000000"/>
                <w:sz w:val="20"/>
                <w:szCs w:val="20"/>
                <w:lang w:eastAsia="en-US"/>
              </w:rPr>
            </w:pPr>
            <w:r w:rsidRPr="005A6C4B">
              <w:rPr>
                <w:rFonts w:ascii="Arial" w:hAnsi="Arial" w:cs="Arial"/>
                <w:color w:val="000000"/>
                <w:sz w:val="20"/>
                <w:szCs w:val="20"/>
                <w:lang w:eastAsia="en-US"/>
              </w:rPr>
              <w:t xml:space="preserve">a) dospelým pacientom s lokálne pokročilým alebo metastázujúcim karcinómom prsníka s progresiou  po predchádzajúcej liečbe v najmenej v dvoch chemoterapeutických režimoch, indikovaných  na pokročilé alebo metastatické ochorenie. </w:t>
            </w:r>
          </w:p>
          <w:p w14:paraId="69BC8EE0" w14:textId="77777777" w:rsidR="00C57ACA" w:rsidRDefault="00C57ACA" w:rsidP="00C57ACA">
            <w:pPr>
              <w:jc w:val="both"/>
              <w:rPr>
                <w:rFonts w:ascii="Arial" w:hAnsi="Arial" w:cs="Arial"/>
                <w:color w:val="000000"/>
                <w:sz w:val="20"/>
                <w:szCs w:val="20"/>
                <w:lang w:eastAsia="en-US"/>
              </w:rPr>
            </w:pPr>
            <w:r w:rsidRPr="005A6C4B">
              <w:rPr>
                <w:rFonts w:ascii="Arial" w:hAnsi="Arial" w:cs="Arial"/>
                <w:color w:val="000000"/>
                <w:sz w:val="20"/>
                <w:szCs w:val="20"/>
                <w:lang w:eastAsia="en-US"/>
              </w:rPr>
              <w:t xml:space="preserve">Predchádzajúca  liečba musí zahŕňať  antracyklín alebo taxán a kapecitabín, s výnimkou pacientov, u ktorých boli tieto terapie kontraindikované. </w:t>
            </w:r>
          </w:p>
          <w:p w14:paraId="01C20976" w14:textId="77777777" w:rsidR="00C57ACA" w:rsidRPr="005A6C4B" w:rsidRDefault="00C57ACA" w:rsidP="00C57ACA">
            <w:pPr>
              <w:jc w:val="both"/>
              <w:rPr>
                <w:rFonts w:ascii="Arial" w:hAnsi="Arial" w:cs="Arial"/>
                <w:color w:val="000000"/>
                <w:sz w:val="20"/>
                <w:szCs w:val="20"/>
                <w:lang w:eastAsia="en-US"/>
              </w:rPr>
            </w:pPr>
          </w:p>
          <w:p w14:paraId="0BF19E6E" w14:textId="77777777" w:rsidR="00C57ACA" w:rsidRDefault="00C57ACA" w:rsidP="00C57ACA">
            <w:pPr>
              <w:jc w:val="both"/>
              <w:rPr>
                <w:rFonts w:ascii="Arial" w:hAnsi="Arial" w:cs="Arial"/>
                <w:b/>
                <w:sz w:val="20"/>
                <w:szCs w:val="20"/>
              </w:rPr>
            </w:pPr>
            <w:r w:rsidRPr="005A6C4B">
              <w:rPr>
                <w:rFonts w:ascii="Arial" w:hAnsi="Arial" w:cs="Arial"/>
                <w:color w:val="000000"/>
                <w:sz w:val="20"/>
                <w:szCs w:val="20"/>
                <w:lang w:eastAsia="en-US"/>
              </w:rPr>
              <w:t>Hradená lieč</w:t>
            </w:r>
            <w:r>
              <w:rPr>
                <w:rFonts w:ascii="Arial" w:hAnsi="Arial" w:cs="Arial"/>
                <w:color w:val="000000"/>
                <w:sz w:val="20"/>
                <w:szCs w:val="20"/>
                <w:lang w:eastAsia="en-US"/>
              </w:rPr>
              <w:t>ba je indikovaná do progresie.</w:t>
            </w:r>
          </w:p>
          <w:p w14:paraId="4F579C08" w14:textId="458ACF46" w:rsidR="00C57ACA" w:rsidRPr="00104278" w:rsidRDefault="00C57ACA" w:rsidP="00C57ACA">
            <w:pPr>
              <w:jc w:val="both"/>
              <w:rPr>
                <w:rFonts w:ascii="Arial" w:hAnsi="Arial" w:cs="Arial"/>
                <w:b/>
                <w:sz w:val="20"/>
                <w:szCs w:val="20"/>
              </w:rPr>
            </w:pPr>
          </w:p>
        </w:tc>
      </w:tr>
      <w:tr w:rsidR="00C57ACA" w:rsidRPr="0000591E" w14:paraId="75238AC2" w14:textId="77777777" w:rsidTr="00542C99">
        <w:trPr>
          <w:gridAfter w:val="2"/>
          <w:wAfter w:w="154" w:type="dxa"/>
          <w:trHeight w:val="262"/>
        </w:trPr>
        <w:tc>
          <w:tcPr>
            <w:tcW w:w="1256" w:type="dxa"/>
            <w:tcBorders>
              <w:bottom w:val="single" w:sz="4" w:space="0" w:color="auto"/>
            </w:tcBorders>
            <w:noWrap/>
            <w:vAlign w:val="center"/>
          </w:tcPr>
          <w:p w14:paraId="17AACD9C" w14:textId="51A611B9" w:rsidR="00C57ACA" w:rsidRDefault="00C57ACA" w:rsidP="00C57ACA">
            <w:pPr>
              <w:rPr>
                <w:rFonts w:ascii="Arial" w:hAnsi="Arial" w:cs="Arial"/>
                <w:b/>
                <w:bCs/>
                <w:sz w:val="20"/>
                <w:szCs w:val="20"/>
              </w:rPr>
            </w:pPr>
            <w:r w:rsidRPr="0000591E">
              <w:rPr>
                <w:rFonts w:ascii="Arial" w:hAnsi="Arial" w:cs="Arial"/>
                <w:b/>
                <w:bCs/>
                <w:sz w:val="20"/>
                <w:szCs w:val="20"/>
              </w:rPr>
              <w:t>L01XX44</w:t>
            </w:r>
          </w:p>
        </w:tc>
        <w:tc>
          <w:tcPr>
            <w:tcW w:w="9452" w:type="dxa"/>
            <w:tcBorders>
              <w:bottom w:val="single" w:sz="4" w:space="0" w:color="auto"/>
            </w:tcBorders>
            <w:vAlign w:val="bottom"/>
          </w:tcPr>
          <w:p w14:paraId="2CF997DC" w14:textId="77777777" w:rsidR="00C57ACA" w:rsidRPr="00542C99"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Aflibercept parent. 100 mg</w:t>
            </w:r>
          </w:p>
          <w:p w14:paraId="0E9E976B" w14:textId="7E43912F" w:rsidR="00C57ACA" w:rsidRPr="00A05C11"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Aflibercept parent. 200 mg</w:t>
            </w:r>
          </w:p>
        </w:tc>
      </w:tr>
      <w:tr w:rsidR="00C57ACA" w:rsidRPr="0000591E" w14:paraId="4BC0C8C7" w14:textId="77777777" w:rsidTr="00542C99">
        <w:trPr>
          <w:gridAfter w:val="2"/>
          <w:wAfter w:w="154" w:type="dxa"/>
          <w:trHeight w:val="262"/>
        </w:trPr>
        <w:tc>
          <w:tcPr>
            <w:tcW w:w="1256" w:type="dxa"/>
            <w:tcBorders>
              <w:top w:val="single" w:sz="4" w:space="0" w:color="auto"/>
            </w:tcBorders>
            <w:noWrap/>
            <w:vAlign w:val="center"/>
          </w:tcPr>
          <w:p w14:paraId="159D021A"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62C248A5"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sa môže indikovať v kombinácii s chemoterapiou irinotekan/5-fluorouracil/kyselina folínová (FOLFIRI) u dospelých pacientov s metastatickým kolorektálnym karcinómom (mKRK), ktorý je rezistentný alebo progradoval po režime obsahujúcom oxaliplatinu ako 2. línia liečby.</w:t>
            </w:r>
          </w:p>
          <w:p w14:paraId="5269C1A0" w14:textId="77777777" w:rsidR="00C57ACA" w:rsidRPr="00542C99" w:rsidRDefault="00C57ACA" w:rsidP="00C57ACA">
            <w:pPr>
              <w:jc w:val="both"/>
              <w:rPr>
                <w:rFonts w:ascii="Arial" w:hAnsi="Arial" w:cs="Arial"/>
                <w:color w:val="000000"/>
                <w:sz w:val="20"/>
                <w:szCs w:val="20"/>
                <w:lang w:eastAsia="en-US"/>
              </w:rPr>
            </w:pPr>
          </w:p>
          <w:p w14:paraId="233E8F08" w14:textId="77777777" w:rsidR="00C57ACA"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podlieha predchádzajúcemu súhlasu zdravotnej poisťovne.</w:t>
            </w:r>
          </w:p>
          <w:p w14:paraId="43666F18" w14:textId="16DC79EF" w:rsidR="00C57ACA" w:rsidRPr="00542C99" w:rsidRDefault="00C57ACA" w:rsidP="00C57ACA">
            <w:pPr>
              <w:jc w:val="both"/>
              <w:rPr>
                <w:rFonts w:ascii="Arial" w:hAnsi="Arial" w:cs="Arial"/>
                <w:color w:val="000000"/>
                <w:sz w:val="20"/>
                <w:szCs w:val="20"/>
                <w:lang w:eastAsia="en-US"/>
              </w:rPr>
            </w:pPr>
          </w:p>
        </w:tc>
      </w:tr>
      <w:tr w:rsidR="00C57ACA" w:rsidRPr="0000591E" w14:paraId="593FE0A7" w14:textId="77777777" w:rsidTr="00542C99">
        <w:trPr>
          <w:gridAfter w:val="2"/>
          <w:wAfter w:w="154" w:type="dxa"/>
          <w:trHeight w:val="262"/>
        </w:trPr>
        <w:tc>
          <w:tcPr>
            <w:tcW w:w="1256" w:type="dxa"/>
            <w:tcBorders>
              <w:bottom w:val="single" w:sz="4" w:space="0" w:color="auto"/>
            </w:tcBorders>
            <w:noWrap/>
            <w:vAlign w:val="center"/>
          </w:tcPr>
          <w:p w14:paraId="562B68D2" w14:textId="7E118796" w:rsidR="00C57ACA" w:rsidRDefault="00C57ACA" w:rsidP="00C57ACA">
            <w:pPr>
              <w:rPr>
                <w:rFonts w:ascii="Arial" w:hAnsi="Arial" w:cs="Arial"/>
                <w:b/>
                <w:bCs/>
                <w:sz w:val="20"/>
                <w:szCs w:val="20"/>
              </w:rPr>
            </w:pPr>
            <w:r w:rsidRPr="00542C99">
              <w:rPr>
                <w:rFonts w:ascii="Arial" w:hAnsi="Arial" w:cs="Arial"/>
                <w:b/>
                <w:bCs/>
                <w:sz w:val="20"/>
                <w:szCs w:val="20"/>
              </w:rPr>
              <w:t>L01XX52</w:t>
            </w:r>
          </w:p>
        </w:tc>
        <w:tc>
          <w:tcPr>
            <w:tcW w:w="9452" w:type="dxa"/>
            <w:tcBorders>
              <w:bottom w:val="single" w:sz="4" w:space="0" w:color="auto"/>
            </w:tcBorders>
            <w:vAlign w:val="bottom"/>
          </w:tcPr>
          <w:p w14:paraId="01AD6A88" w14:textId="77777777" w:rsidR="00C57ACA" w:rsidRPr="00542C99"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Venetoklax p.o. 10 mg</w:t>
            </w:r>
          </w:p>
          <w:p w14:paraId="74DC8DD0" w14:textId="77777777" w:rsidR="00C57ACA" w:rsidRPr="00542C99"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Venetoklax p.o. 50 mg</w:t>
            </w:r>
          </w:p>
          <w:p w14:paraId="5A6113C2" w14:textId="4C395D6C" w:rsidR="00C57ACA" w:rsidRPr="00A05C11"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Venetoklax p.o. 100 mg</w:t>
            </w:r>
          </w:p>
        </w:tc>
      </w:tr>
      <w:tr w:rsidR="00C57ACA" w:rsidRPr="0000591E" w14:paraId="157B8A0F" w14:textId="77777777" w:rsidTr="00542C99">
        <w:trPr>
          <w:gridAfter w:val="2"/>
          <w:wAfter w:w="154" w:type="dxa"/>
          <w:trHeight w:val="262"/>
        </w:trPr>
        <w:tc>
          <w:tcPr>
            <w:tcW w:w="1256" w:type="dxa"/>
            <w:tcBorders>
              <w:top w:val="single" w:sz="4" w:space="0" w:color="auto"/>
            </w:tcBorders>
            <w:noWrap/>
            <w:vAlign w:val="center"/>
          </w:tcPr>
          <w:p w14:paraId="63385394"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35A22AAA"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 xml:space="preserve">Hradená liečba venclyxtom sa môže indikovať: </w:t>
            </w:r>
          </w:p>
          <w:p w14:paraId="294B985F"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1.</w:t>
            </w:r>
            <w:r w:rsidRPr="00542C99">
              <w:rPr>
                <w:rFonts w:ascii="Arial" w:hAnsi="Arial" w:cs="Arial"/>
                <w:color w:val="000000"/>
                <w:sz w:val="20"/>
                <w:szCs w:val="20"/>
                <w:lang w:eastAsia="en-US"/>
              </w:rPr>
              <w:tab/>
              <w:t>V monoterapii na liečbu chronickej lymfocytovej leukémie (CLL), pri ktorej je prítomná delécia 17p alebo mutácia TP53 u dospelých pacientov, u ktorých nie je vhodná alebo zlyhala liečba inhibítorom dráhy B-bunkového receptora.</w:t>
            </w:r>
          </w:p>
          <w:p w14:paraId="54213B78"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2.</w:t>
            </w:r>
            <w:r w:rsidRPr="00542C99">
              <w:rPr>
                <w:rFonts w:ascii="Arial" w:hAnsi="Arial" w:cs="Arial"/>
                <w:color w:val="000000"/>
                <w:sz w:val="20"/>
                <w:szCs w:val="20"/>
                <w:lang w:eastAsia="en-US"/>
              </w:rPr>
              <w:tab/>
              <w:t xml:space="preserve">V monoterapii  taktiež na liečbu CLL v neprítomnosti delécie 17p  alebo mutácieTP53 u dospelých pacientov, u ktorých zlyhala chemoterapia, ako aj liečba inhibítorom dráhy B-bunkového receptora.     </w:t>
            </w:r>
          </w:p>
          <w:p w14:paraId="19F344F6"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3.</w:t>
            </w:r>
            <w:r w:rsidRPr="00542C99">
              <w:rPr>
                <w:rFonts w:ascii="Arial" w:hAnsi="Arial" w:cs="Arial"/>
                <w:color w:val="000000"/>
                <w:sz w:val="20"/>
                <w:szCs w:val="20"/>
                <w:lang w:eastAsia="en-US"/>
              </w:rPr>
              <w:tab/>
              <w:t xml:space="preserve">V kombinácii s rituximabom u dospelých pacientov s relabujúcou alebo refraktérnou chronickou lymfocytovou leukémiou (CLL), vo výkonnostnom stave ECOG 0-2, s absolútnym počtom neutrofilov ≥ 0,75x109/l a s počtom krvných doštičiek ≥ 30x109/l </w:t>
            </w:r>
          </w:p>
          <w:p w14:paraId="24A94718"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a) ktorí sú refraktérni alebo u ktorých došlo k relapsu do 18 mesiacov od predchádzajúcej liečby alebo</w:t>
            </w:r>
          </w:p>
          <w:p w14:paraId="0D192044"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 xml:space="preserve">b) u pacientov s prítomnou mutáciou TP53 alebo del 17p.         </w:t>
            </w:r>
          </w:p>
          <w:p w14:paraId="17F77B31"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4.</w:t>
            </w:r>
            <w:r w:rsidRPr="00542C99">
              <w:rPr>
                <w:rFonts w:ascii="Arial" w:hAnsi="Arial" w:cs="Arial"/>
                <w:color w:val="000000"/>
                <w:sz w:val="20"/>
                <w:szCs w:val="20"/>
                <w:lang w:eastAsia="en-US"/>
              </w:rPr>
              <w:tab/>
              <w:t xml:space="preserve">v kombinácii s obinutuzumabom na liečbu dospelých pacientov s predtým neliečenou chronickou lymfocytovou leukémiou (CLL)      </w:t>
            </w:r>
          </w:p>
          <w:p w14:paraId="0C3DB9E8"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5.</w:t>
            </w:r>
            <w:r w:rsidRPr="00542C99">
              <w:rPr>
                <w:rFonts w:ascii="Arial" w:hAnsi="Arial" w:cs="Arial"/>
                <w:color w:val="000000"/>
                <w:sz w:val="20"/>
                <w:szCs w:val="20"/>
                <w:lang w:eastAsia="en-US"/>
              </w:rPr>
              <w:tab/>
              <w:t xml:space="preserve">v kombinácii s ibrutinibom s doposiaľ neliečenou chronickou lymfocytovou leukémiou (CLL)                     </w:t>
            </w:r>
          </w:p>
          <w:p w14:paraId="000E72C0" w14:textId="77777777" w:rsidR="00C57ACA" w:rsidRDefault="00C57ACA" w:rsidP="00C57ACA">
            <w:pPr>
              <w:jc w:val="both"/>
              <w:rPr>
                <w:rFonts w:ascii="Arial" w:hAnsi="Arial" w:cs="Arial"/>
                <w:color w:val="000000"/>
                <w:sz w:val="20"/>
                <w:szCs w:val="20"/>
                <w:lang w:eastAsia="en-US"/>
              </w:rPr>
            </w:pPr>
          </w:p>
          <w:p w14:paraId="3711A81D" w14:textId="73182348"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ambulancií Fakultnej nemocnice Nitra; Oddelení klinickej hematológie, Fakultnej nemocnice s poliklinikou J. A. Reimana Prešov.</w:t>
            </w:r>
          </w:p>
          <w:p w14:paraId="2680A466" w14:textId="77777777" w:rsidR="00C57ACA" w:rsidRDefault="00C57ACA" w:rsidP="00C57ACA">
            <w:pPr>
              <w:jc w:val="both"/>
              <w:rPr>
                <w:rFonts w:ascii="Arial" w:hAnsi="Arial" w:cs="Arial"/>
                <w:color w:val="000000"/>
                <w:sz w:val="20"/>
                <w:szCs w:val="20"/>
                <w:lang w:eastAsia="en-US"/>
              </w:rPr>
            </w:pPr>
          </w:p>
          <w:p w14:paraId="4B3C847A" w14:textId="7D4A4D33" w:rsidR="00C57ACA"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podlieha predchádzajúcemu súhlasu zdravotnej poisťovne.</w:t>
            </w:r>
          </w:p>
          <w:p w14:paraId="02EB3C78" w14:textId="03902087" w:rsidR="00C57ACA" w:rsidRPr="00542C99" w:rsidRDefault="00C57ACA" w:rsidP="00C57ACA">
            <w:pPr>
              <w:jc w:val="both"/>
              <w:rPr>
                <w:rFonts w:ascii="Arial" w:hAnsi="Arial" w:cs="Arial"/>
                <w:color w:val="000000"/>
                <w:sz w:val="20"/>
                <w:szCs w:val="20"/>
                <w:lang w:eastAsia="en-US"/>
              </w:rPr>
            </w:pPr>
          </w:p>
        </w:tc>
      </w:tr>
      <w:tr w:rsidR="00C57ACA" w:rsidRPr="0000591E" w14:paraId="3F4B4A73" w14:textId="77777777" w:rsidTr="00090A40">
        <w:trPr>
          <w:gridAfter w:val="2"/>
          <w:wAfter w:w="154" w:type="dxa"/>
          <w:trHeight w:val="262"/>
        </w:trPr>
        <w:tc>
          <w:tcPr>
            <w:tcW w:w="1256" w:type="dxa"/>
            <w:tcBorders>
              <w:bottom w:val="single" w:sz="4" w:space="0" w:color="auto"/>
            </w:tcBorders>
            <w:noWrap/>
            <w:vAlign w:val="center"/>
          </w:tcPr>
          <w:p w14:paraId="6C50CB0B" w14:textId="278274AF" w:rsidR="00C57ACA" w:rsidRDefault="00C57ACA" w:rsidP="00C57ACA">
            <w:pPr>
              <w:rPr>
                <w:rFonts w:ascii="Arial" w:hAnsi="Arial" w:cs="Arial"/>
                <w:b/>
                <w:bCs/>
                <w:sz w:val="20"/>
                <w:szCs w:val="20"/>
              </w:rPr>
            </w:pPr>
            <w:r>
              <w:rPr>
                <w:rFonts w:ascii="Arial" w:hAnsi="Arial" w:cs="Arial"/>
                <w:b/>
                <w:bCs/>
                <w:sz w:val="20"/>
                <w:szCs w:val="20"/>
              </w:rPr>
              <w:t>L01XX62</w:t>
            </w:r>
          </w:p>
        </w:tc>
        <w:tc>
          <w:tcPr>
            <w:tcW w:w="9452" w:type="dxa"/>
            <w:tcBorders>
              <w:bottom w:val="single" w:sz="4" w:space="0" w:color="auto"/>
            </w:tcBorders>
            <w:vAlign w:val="bottom"/>
          </w:tcPr>
          <w:p w14:paraId="728A50D1" w14:textId="68DF5ECB" w:rsidR="00C57ACA" w:rsidRPr="00A05C11" w:rsidRDefault="00C57ACA" w:rsidP="00C57ACA">
            <w:pPr>
              <w:jc w:val="both"/>
              <w:rPr>
                <w:rFonts w:ascii="Arial" w:hAnsi="Arial" w:cs="Arial"/>
                <w:b/>
                <w:color w:val="000000"/>
                <w:sz w:val="20"/>
                <w:szCs w:val="20"/>
                <w:lang w:eastAsia="en-US"/>
              </w:rPr>
            </w:pPr>
            <w:r w:rsidRPr="00090A40">
              <w:rPr>
                <w:rFonts w:ascii="Arial" w:hAnsi="Arial" w:cs="Arial"/>
                <w:b/>
                <w:color w:val="000000"/>
                <w:sz w:val="20"/>
                <w:szCs w:val="20"/>
                <w:lang w:eastAsia="en-US"/>
              </w:rPr>
              <w:t>Ivozidenib</w:t>
            </w:r>
            <w:r>
              <w:rPr>
                <w:rFonts w:ascii="Arial" w:hAnsi="Arial" w:cs="Arial"/>
                <w:b/>
                <w:color w:val="000000"/>
                <w:sz w:val="20"/>
                <w:szCs w:val="20"/>
                <w:lang w:eastAsia="en-US"/>
              </w:rPr>
              <w:t xml:space="preserve"> </w:t>
            </w:r>
            <w:r w:rsidRPr="00090A40">
              <w:rPr>
                <w:rFonts w:ascii="Arial" w:hAnsi="Arial" w:cs="Arial"/>
                <w:b/>
                <w:color w:val="000000"/>
                <w:sz w:val="20"/>
                <w:szCs w:val="20"/>
                <w:lang w:eastAsia="en-US"/>
              </w:rPr>
              <w:t xml:space="preserve">p.o. 250 mg </w:t>
            </w:r>
          </w:p>
        </w:tc>
      </w:tr>
      <w:tr w:rsidR="00C57ACA" w:rsidRPr="0000591E" w14:paraId="0E0D2A5D" w14:textId="77777777" w:rsidTr="00090A40">
        <w:trPr>
          <w:gridAfter w:val="2"/>
          <w:wAfter w:w="154" w:type="dxa"/>
          <w:trHeight w:val="262"/>
        </w:trPr>
        <w:tc>
          <w:tcPr>
            <w:tcW w:w="1256" w:type="dxa"/>
            <w:tcBorders>
              <w:top w:val="single" w:sz="4" w:space="0" w:color="auto"/>
            </w:tcBorders>
            <w:noWrap/>
            <w:vAlign w:val="center"/>
          </w:tcPr>
          <w:p w14:paraId="40965810"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28D65A73"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Hradená liečba sa môže indikovať v kombinácii s azacitidínom na liečbu dospelých pacientov s novodiagnostikovanou akútnou myeloblastovou leukémiou (AML) s mutáciou izocitrátdehydrogenázy-1 (IDH1) R132, ktorí nemôžu dostávať štandardnú indukčnú chemoterapiu. </w:t>
            </w:r>
          </w:p>
          <w:p w14:paraId="76104090" w14:textId="68203010"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Podmienkou hradenej liečby je dobrý výkonnostný stav pacienta charakterizovaný na ECOG škále (Eastern Cooperative Oncology Group performance status) ako skóre 0 – 2. Liečba nie je indikovaná u pacientov predliečených hypometylačnými látkami (napr. azacitidín).   </w:t>
            </w:r>
          </w:p>
          <w:p w14:paraId="6889D1AA"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Hradená liečba sa môže indikovať v Národnom onkologickom ústave Bratislava, na Klinike hematológie a transfuziológie Univerzitnej nemocnice Bratislava - nemocnica sv. Cyrila a Metoda, na Klinike hematológie a transfuziológie Jesseniovej lekárskej fakulty Univerzity Komenského Martin, na Hematologickej klinike Univerzitnej nemocnice L. Pasteura Košice, na Hematologickom oddelení Fakultnej nemocnice s poliklinikou F.D. Roosevelta, Banská Bystrica, vo Fakultnej nemocnici s poliklinikou J. A. Reimana Prešov a v Hematologickej ambulancii Fakultnej nemocnice Nitra.   </w:t>
            </w:r>
          </w:p>
          <w:p w14:paraId="0A3D629E"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 </w:t>
            </w:r>
          </w:p>
          <w:p w14:paraId="6FFD048A"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Hradená liečba podlieha predchádzajúcemu súhlasu zdravotnej poisťovne.</w:t>
            </w:r>
          </w:p>
          <w:p w14:paraId="62BD2A50" w14:textId="58A4045D"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 </w:t>
            </w:r>
          </w:p>
        </w:tc>
      </w:tr>
      <w:tr w:rsidR="00C57ACA" w:rsidRPr="0000591E" w14:paraId="4BFFA41F" w14:textId="77777777" w:rsidTr="00090A40">
        <w:trPr>
          <w:gridAfter w:val="2"/>
          <w:wAfter w:w="154" w:type="dxa"/>
          <w:trHeight w:val="262"/>
        </w:trPr>
        <w:tc>
          <w:tcPr>
            <w:tcW w:w="1256" w:type="dxa"/>
            <w:tcBorders>
              <w:bottom w:val="single" w:sz="4" w:space="0" w:color="auto"/>
            </w:tcBorders>
            <w:noWrap/>
            <w:vAlign w:val="center"/>
          </w:tcPr>
          <w:p w14:paraId="65231479" w14:textId="77777777" w:rsidR="00C57ACA" w:rsidRDefault="00C57ACA" w:rsidP="00C57ACA">
            <w:pPr>
              <w:rPr>
                <w:rFonts w:ascii="Arial" w:hAnsi="Arial" w:cs="Arial"/>
                <w:b/>
                <w:bCs/>
                <w:sz w:val="20"/>
                <w:szCs w:val="20"/>
              </w:rPr>
            </w:pPr>
            <w:r>
              <w:rPr>
                <w:rFonts w:ascii="Arial" w:hAnsi="Arial" w:cs="Arial"/>
                <w:b/>
                <w:bCs/>
                <w:sz w:val="20"/>
                <w:szCs w:val="20"/>
              </w:rPr>
              <w:t>L01XX73</w:t>
            </w:r>
          </w:p>
        </w:tc>
        <w:tc>
          <w:tcPr>
            <w:tcW w:w="9452" w:type="dxa"/>
            <w:tcBorders>
              <w:bottom w:val="single" w:sz="4" w:space="0" w:color="auto"/>
            </w:tcBorders>
            <w:vAlign w:val="bottom"/>
          </w:tcPr>
          <w:p w14:paraId="0DD553E1" w14:textId="77777777" w:rsidR="00C57ACA" w:rsidRPr="00A05C11" w:rsidRDefault="00C57ACA" w:rsidP="00C57ACA">
            <w:pPr>
              <w:jc w:val="both"/>
              <w:rPr>
                <w:rFonts w:ascii="Arial" w:hAnsi="Arial" w:cs="Arial"/>
                <w:b/>
                <w:color w:val="000000"/>
                <w:sz w:val="20"/>
                <w:szCs w:val="20"/>
                <w:lang w:eastAsia="en-US"/>
              </w:rPr>
            </w:pPr>
            <w:r w:rsidRPr="00A05C11">
              <w:rPr>
                <w:rFonts w:ascii="Arial" w:hAnsi="Arial" w:cs="Arial"/>
                <w:b/>
                <w:color w:val="000000"/>
                <w:sz w:val="20"/>
                <w:szCs w:val="20"/>
                <w:lang w:eastAsia="en-US"/>
              </w:rPr>
              <w:t>Sotorasib p.o. 120 mg</w:t>
            </w:r>
          </w:p>
        </w:tc>
      </w:tr>
      <w:tr w:rsidR="00C57ACA" w:rsidRPr="0000591E" w14:paraId="3A57DFCA" w14:textId="77777777" w:rsidTr="003F7925">
        <w:trPr>
          <w:gridAfter w:val="2"/>
          <w:wAfter w:w="154" w:type="dxa"/>
          <w:trHeight w:val="262"/>
        </w:trPr>
        <w:tc>
          <w:tcPr>
            <w:tcW w:w="1256" w:type="dxa"/>
            <w:tcBorders>
              <w:bottom w:val="single" w:sz="4" w:space="0" w:color="auto"/>
            </w:tcBorders>
            <w:noWrap/>
            <w:vAlign w:val="center"/>
          </w:tcPr>
          <w:p w14:paraId="29481ABF" w14:textId="77777777" w:rsidR="00C57ACA" w:rsidRDefault="00C57ACA" w:rsidP="00C57ACA">
            <w:pPr>
              <w:rPr>
                <w:rFonts w:ascii="Arial" w:hAnsi="Arial" w:cs="Arial"/>
                <w:b/>
                <w:bCs/>
                <w:sz w:val="20"/>
                <w:szCs w:val="20"/>
              </w:rPr>
            </w:pPr>
          </w:p>
        </w:tc>
        <w:tc>
          <w:tcPr>
            <w:tcW w:w="9452" w:type="dxa"/>
            <w:tcBorders>
              <w:bottom w:val="single" w:sz="4" w:space="0" w:color="auto"/>
            </w:tcBorders>
            <w:vAlign w:val="bottom"/>
          </w:tcPr>
          <w:p w14:paraId="4E36D0ED" w14:textId="77777777" w:rsidR="00C57ACA" w:rsidRPr="00A05C11" w:rsidRDefault="00C57ACA" w:rsidP="00C57ACA">
            <w:pPr>
              <w:autoSpaceDE w:val="0"/>
              <w:autoSpaceDN w:val="0"/>
              <w:adjustRightInd w:val="0"/>
              <w:spacing w:after="180" w:line="276" w:lineRule="auto"/>
              <w:rPr>
                <w:rFonts w:ascii="Verdana" w:hAnsi="Verdana"/>
                <w:color w:val="000000"/>
                <w:u w:color="000000"/>
              </w:rPr>
            </w:pPr>
            <w:r w:rsidRPr="00A05C11">
              <w:rPr>
                <w:rFonts w:ascii="Arial" w:hAnsi="Arial"/>
                <w:color w:val="000000"/>
                <w:sz w:val="20"/>
                <w:u w:color="000000"/>
              </w:rPr>
              <w:t xml:space="preserve">Hradená liečba sa môže indikovať ako monoterapia dospelým na liečbu pokročilého nemalobunkového karcinómu pľúc (NSCLC) s mutáciou KRAS G12C, u ktorých došlo k progresii po minimálne jednej predchádzajúcej línii systémovej liečby. </w:t>
            </w:r>
          </w:p>
          <w:p w14:paraId="27F9EF23" w14:textId="2B86A3CD" w:rsidR="00C57ACA" w:rsidRPr="009211C7" w:rsidRDefault="00C57ACA" w:rsidP="00C57ACA">
            <w:pPr>
              <w:autoSpaceDE w:val="0"/>
              <w:autoSpaceDN w:val="0"/>
              <w:adjustRightInd w:val="0"/>
              <w:spacing w:after="180" w:line="276" w:lineRule="auto"/>
              <w:rPr>
                <w:rFonts w:ascii="Arial" w:hAnsi="Arial"/>
                <w:color w:val="000000"/>
                <w:sz w:val="20"/>
                <w:u w:color="000000"/>
              </w:rPr>
            </w:pPr>
            <w:r w:rsidRPr="00A05C11">
              <w:rPr>
                <w:rFonts w:ascii="Arial" w:hAnsi="Arial"/>
                <w:color w:val="000000"/>
                <w:sz w:val="20"/>
                <w:u w:color="000000"/>
              </w:rPr>
              <w:t>Hradená liečba podlieha predchádzajúcemu súhlasu zdravotnej poisťovne.</w:t>
            </w:r>
          </w:p>
        </w:tc>
      </w:tr>
      <w:tr w:rsidR="00C57ACA" w:rsidRPr="0000591E" w14:paraId="72289589" w14:textId="77777777" w:rsidTr="003F7925">
        <w:trPr>
          <w:gridAfter w:val="2"/>
          <w:wAfter w:w="154" w:type="dxa"/>
          <w:trHeight w:val="262"/>
        </w:trPr>
        <w:tc>
          <w:tcPr>
            <w:tcW w:w="1256" w:type="dxa"/>
            <w:tcBorders>
              <w:bottom w:val="single" w:sz="4" w:space="0" w:color="auto"/>
            </w:tcBorders>
            <w:noWrap/>
            <w:vAlign w:val="center"/>
          </w:tcPr>
          <w:p w14:paraId="58312C90" w14:textId="77777777" w:rsidR="00C57ACA" w:rsidRDefault="00C57ACA" w:rsidP="00C57ACA">
            <w:pPr>
              <w:rPr>
                <w:rFonts w:ascii="Arial" w:hAnsi="Arial" w:cs="Arial"/>
                <w:b/>
                <w:bCs/>
                <w:sz w:val="20"/>
                <w:szCs w:val="20"/>
              </w:rPr>
            </w:pPr>
            <w:r>
              <w:rPr>
                <w:rFonts w:ascii="Arial" w:hAnsi="Arial" w:cs="Arial"/>
                <w:b/>
                <w:bCs/>
                <w:sz w:val="20"/>
                <w:szCs w:val="20"/>
              </w:rPr>
              <w:t>L01XX75</w:t>
            </w:r>
          </w:p>
        </w:tc>
        <w:tc>
          <w:tcPr>
            <w:tcW w:w="9452" w:type="dxa"/>
            <w:tcBorders>
              <w:bottom w:val="single" w:sz="4" w:space="0" w:color="auto"/>
            </w:tcBorders>
            <w:vAlign w:val="bottom"/>
          </w:tcPr>
          <w:p w14:paraId="71876487" w14:textId="77777777" w:rsidR="00C57ACA" w:rsidRPr="00104278" w:rsidRDefault="00C57ACA" w:rsidP="00C57ACA">
            <w:pPr>
              <w:jc w:val="both"/>
              <w:rPr>
                <w:rFonts w:ascii="Arial" w:hAnsi="Arial" w:cs="Arial"/>
                <w:b/>
                <w:sz w:val="20"/>
                <w:szCs w:val="20"/>
              </w:rPr>
            </w:pPr>
            <w:r w:rsidRPr="000D1D85">
              <w:rPr>
                <w:rFonts w:ascii="Arial" w:hAnsi="Arial" w:cs="Arial"/>
                <w:b/>
                <w:sz w:val="20"/>
                <w:szCs w:val="20"/>
              </w:rPr>
              <w:t>Tebentafusp</w:t>
            </w:r>
            <w:r>
              <w:rPr>
                <w:rFonts w:ascii="Arial" w:hAnsi="Arial" w:cs="Arial"/>
                <w:b/>
                <w:sz w:val="20"/>
                <w:szCs w:val="20"/>
              </w:rPr>
              <w:t xml:space="preserve"> parent. 0,5 ml</w:t>
            </w:r>
          </w:p>
        </w:tc>
      </w:tr>
      <w:tr w:rsidR="00C57ACA" w:rsidRPr="0000591E" w14:paraId="7D67F20A" w14:textId="77777777" w:rsidTr="008467BA">
        <w:trPr>
          <w:gridAfter w:val="2"/>
          <w:wAfter w:w="154" w:type="dxa"/>
          <w:trHeight w:val="262"/>
        </w:trPr>
        <w:tc>
          <w:tcPr>
            <w:tcW w:w="1256" w:type="dxa"/>
            <w:noWrap/>
            <w:vAlign w:val="center"/>
          </w:tcPr>
          <w:p w14:paraId="19FDAAC6" w14:textId="77777777" w:rsidR="00C57ACA" w:rsidRDefault="00C57ACA" w:rsidP="00C57ACA">
            <w:pPr>
              <w:rPr>
                <w:rFonts w:ascii="Arial" w:hAnsi="Arial" w:cs="Arial"/>
                <w:b/>
                <w:bCs/>
                <w:sz w:val="20"/>
                <w:szCs w:val="20"/>
              </w:rPr>
            </w:pPr>
          </w:p>
        </w:tc>
        <w:tc>
          <w:tcPr>
            <w:tcW w:w="9452" w:type="dxa"/>
            <w:vAlign w:val="bottom"/>
          </w:tcPr>
          <w:p w14:paraId="338D271A" w14:textId="77777777" w:rsidR="00C57ACA" w:rsidRDefault="00C57ACA" w:rsidP="00C57ACA">
            <w:pPr>
              <w:jc w:val="both"/>
              <w:rPr>
                <w:rFonts w:ascii="Arial" w:hAnsi="Arial" w:cs="Arial"/>
                <w:sz w:val="20"/>
                <w:szCs w:val="20"/>
              </w:rPr>
            </w:pPr>
            <w:r w:rsidRPr="000D1D85">
              <w:rPr>
                <w:rFonts w:ascii="Arial" w:hAnsi="Arial" w:cs="Arial"/>
                <w:sz w:val="20"/>
                <w:szCs w:val="20"/>
              </w:rPr>
              <w:t>Hradená liečba sa môže indikovať ako monoterapia na liečbu dospelých pacientov pozitívnych na ľudský le</w:t>
            </w:r>
            <w:r>
              <w:rPr>
                <w:rFonts w:ascii="Arial" w:hAnsi="Arial" w:cs="Arial"/>
                <w:sz w:val="20"/>
                <w:szCs w:val="20"/>
              </w:rPr>
              <w:t xml:space="preserve">ukocytový antigén (HLA)-A*02:01 </w:t>
            </w:r>
            <w:r w:rsidRPr="000D1D85">
              <w:rPr>
                <w:rFonts w:ascii="Arial" w:hAnsi="Arial" w:cs="Arial"/>
                <w:sz w:val="20"/>
                <w:szCs w:val="20"/>
              </w:rPr>
              <w:t>s neresekovateľným alebo metastatickým uveálnym melanómom.</w:t>
            </w:r>
            <w:r>
              <w:rPr>
                <w:rFonts w:ascii="Arial" w:hAnsi="Arial" w:cs="Arial"/>
                <w:sz w:val="20"/>
                <w:szCs w:val="20"/>
              </w:rPr>
              <w:t xml:space="preserve"> </w:t>
            </w:r>
            <w:r w:rsidRPr="000D1D85">
              <w:rPr>
                <w:rFonts w:ascii="Arial" w:hAnsi="Arial" w:cs="Arial"/>
                <w:sz w:val="20"/>
                <w:szCs w:val="20"/>
              </w:rPr>
              <w:t>Podmienkou hradenej liečby je dobrý výkonnostný stav pacienta charakterizovaný na ECOG škále (Eastern Cooperat</w:t>
            </w:r>
            <w:r>
              <w:rPr>
                <w:rFonts w:ascii="Arial" w:hAnsi="Arial" w:cs="Arial"/>
                <w:sz w:val="20"/>
                <w:szCs w:val="20"/>
              </w:rPr>
              <w:t xml:space="preserve">ive Oncology Group </w:t>
            </w:r>
            <w:r w:rsidRPr="000D1D85">
              <w:rPr>
                <w:rFonts w:ascii="Arial" w:hAnsi="Arial" w:cs="Arial"/>
                <w:sz w:val="20"/>
                <w:szCs w:val="20"/>
              </w:rPr>
              <w:t>performance status) ako skóre 0 - 1.</w:t>
            </w:r>
          </w:p>
          <w:p w14:paraId="4921DAA0" w14:textId="77777777" w:rsidR="00C57ACA" w:rsidRPr="000D1D85" w:rsidRDefault="00C57ACA" w:rsidP="00C57ACA">
            <w:pPr>
              <w:jc w:val="both"/>
              <w:rPr>
                <w:rFonts w:ascii="Arial" w:hAnsi="Arial" w:cs="Arial"/>
                <w:sz w:val="20"/>
                <w:szCs w:val="20"/>
              </w:rPr>
            </w:pPr>
          </w:p>
          <w:p w14:paraId="000B725C" w14:textId="77777777" w:rsidR="00C57ACA" w:rsidRDefault="00C57ACA" w:rsidP="00C57ACA">
            <w:pPr>
              <w:jc w:val="both"/>
              <w:rPr>
                <w:rFonts w:ascii="Arial" w:hAnsi="Arial" w:cs="Arial"/>
                <w:sz w:val="20"/>
                <w:szCs w:val="20"/>
              </w:rPr>
            </w:pPr>
            <w:r w:rsidRPr="000D1D85">
              <w:rPr>
                <w:rFonts w:ascii="Arial" w:hAnsi="Arial" w:cs="Arial"/>
                <w:sz w:val="20"/>
                <w:szCs w:val="20"/>
              </w:rPr>
              <w:t>Hradená liečba podlieha predchádzajúcemu súhlasu zdravotnej poisťovne.</w:t>
            </w:r>
          </w:p>
          <w:p w14:paraId="32CCFF39" w14:textId="4C3D9DB4" w:rsidR="00C57ACA" w:rsidRPr="000D1D85" w:rsidRDefault="00C57ACA" w:rsidP="00C57ACA">
            <w:pPr>
              <w:jc w:val="both"/>
              <w:rPr>
                <w:rFonts w:ascii="Arial" w:hAnsi="Arial" w:cs="Arial"/>
                <w:sz w:val="20"/>
                <w:szCs w:val="20"/>
              </w:rPr>
            </w:pPr>
          </w:p>
        </w:tc>
      </w:tr>
      <w:tr w:rsidR="00C57ACA" w:rsidRPr="0000591E" w14:paraId="228E6F93" w14:textId="77777777" w:rsidTr="008467BA">
        <w:trPr>
          <w:gridAfter w:val="2"/>
          <w:wAfter w:w="154" w:type="dxa"/>
          <w:trHeight w:val="20"/>
        </w:trPr>
        <w:tc>
          <w:tcPr>
            <w:tcW w:w="1256" w:type="dxa"/>
            <w:tcBorders>
              <w:bottom w:val="single" w:sz="4" w:space="0" w:color="auto"/>
            </w:tcBorders>
            <w:noWrap/>
            <w:vAlign w:val="center"/>
          </w:tcPr>
          <w:p w14:paraId="441107F8" w14:textId="4CF43E90" w:rsidR="00C57ACA" w:rsidRDefault="00C57ACA" w:rsidP="00C57ACA">
            <w:pPr>
              <w:rPr>
                <w:rFonts w:ascii="Arial" w:hAnsi="Arial" w:cs="Arial"/>
                <w:b/>
                <w:bCs/>
                <w:sz w:val="20"/>
                <w:szCs w:val="20"/>
              </w:rPr>
            </w:pPr>
            <w:r w:rsidRPr="008467BA">
              <w:rPr>
                <w:rFonts w:ascii="Arial" w:hAnsi="Arial" w:cs="Arial"/>
                <w:b/>
                <w:bCs/>
                <w:sz w:val="20"/>
                <w:szCs w:val="20"/>
              </w:rPr>
              <w:t>L01XY02</w:t>
            </w:r>
          </w:p>
        </w:tc>
        <w:tc>
          <w:tcPr>
            <w:tcW w:w="9452" w:type="dxa"/>
            <w:tcBorders>
              <w:bottom w:val="single" w:sz="4" w:space="0" w:color="auto"/>
            </w:tcBorders>
            <w:vAlign w:val="bottom"/>
          </w:tcPr>
          <w:p w14:paraId="370E4AE3" w14:textId="77777777" w:rsidR="00C57ACA" w:rsidRPr="008467BA" w:rsidRDefault="00C57ACA" w:rsidP="00C57ACA">
            <w:pPr>
              <w:jc w:val="both"/>
              <w:rPr>
                <w:rFonts w:ascii="Arial" w:hAnsi="Arial" w:cs="Arial"/>
                <w:b/>
                <w:sz w:val="20"/>
                <w:szCs w:val="20"/>
              </w:rPr>
            </w:pPr>
            <w:r w:rsidRPr="008467BA">
              <w:rPr>
                <w:rFonts w:ascii="Arial" w:hAnsi="Arial" w:cs="Arial"/>
                <w:b/>
                <w:sz w:val="20"/>
                <w:szCs w:val="20"/>
              </w:rPr>
              <w:t>Pertuzumab a trastuzumab s.c. 600 mg/600 mg</w:t>
            </w:r>
          </w:p>
          <w:p w14:paraId="5C6B7C5A" w14:textId="3A5BB06B" w:rsidR="00C57ACA" w:rsidRPr="00C86462" w:rsidRDefault="00C57ACA" w:rsidP="00C57ACA">
            <w:pPr>
              <w:jc w:val="both"/>
              <w:rPr>
                <w:rFonts w:ascii="Arial" w:hAnsi="Arial" w:cs="Arial"/>
                <w:b/>
                <w:sz w:val="20"/>
                <w:szCs w:val="20"/>
              </w:rPr>
            </w:pPr>
            <w:r w:rsidRPr="008467BA">
              <w:rPr>
                <w:rFonts w:ascii="Arial" w:hAnsi="Arial" w:cs="Arial"/>
                <w:b/>
                <w:sz w:val="20"/>
                <w:szCs w:val="20"/>
              </w:rPr>
              <w:t>Pertuzumab a trastuzumab s.c. 1200 mg/600 mg</w:t>
            </w:r>
          </w:p>
        </w:tc>
      </w:tr>
      <w:tr w:rsidR="00C57ACA" w:rsidRPr="0000591E" w14:paraId="3A38DAD0" w14:textId="77777777" w:rsidTr="008467BA">
        <w:trPr>
          <w:gridAfter w:val="2"/>
          <w:wAfter w:w="154" w:type="dxa"/>
          <w:trHeight w:val="20"/>
        </w:trPr>
        <w:tc>
          <w:tcPr>
            <w:tcW w:w="1256" w:type="dxa"/>
            <w:tcBorders>
              <w:top w:val="single" w:sz="4" w:space="0" w:color="auto"/>
            </w:tcBorders>
            <w:noWrap/>
            <w:vAlign w:val="center"/>
          </w:tcPr>
          <w:p w14:paraId="3994629D"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0E10D29C" w14:textId="77777777" w:rsidR="00C57ACA" w:rsidRPr="008467BA" w:rsidRDefault="00C57ACA" w:rsidP="00C57ACA">
            <w:pPr>
              <w:jc w:val="both"/>
              <w:rPr>
                <w:rFonts w:ascii="Arial" w:hAnsi="Arial" w:cs="Arial"/>
                <w:sz w:val="20"/>
                <w:szCs w:val="20"/>
              </w:rPr>
            </w:pPr>
            <w:r w:rsidRPr="008467BA">
              <w:rPr>
                <w:rFonts w:ascii="Arial" w:hAnsi="Arial" w:cs="Arial"/>
                <w:sz w:val="20"/>
                <w:szCs w:val="20"/>
              </w:rPr>
              <w:t>Hradená liečba sa môže indikovať v kombinácii</w:t>
            </w:r>
          </w:p>
          <w:p w14:paraId="366C6D22" w14:textId="77777777" w:rsidR="00C57ACA" w:rsidRPr="008467BA" w:rsidRDefault="00C57ACA" w:rsidP="00C57ACA">
            <w:pPr>
              <w:jc w:val="both"/>
              <w:rPr>
                <w:rFonts w:ascii="Arial" w:hAnsi="Arial" w:cs="Arial"/>
                <w:sz w:val="20"/>
                <w:szCs w:val="20"/>
              </w:rPr>
            </w:pPr>
            <w:r w:rsidRPr="008467BA">
              <w:rPr>
                <w:rFonts w:ascii="Arial" w:hAnsi="Arial" w:cs="Arial"/>
                <w:sz w:val="20"/>
                <w:szCs w:val="20"/>
              </w:rPr>
              <w:t>a) s chemoterapiou na neoadjuvantnú liečbu dospelých pacientov s HER2-pozitívnym, lokálne pokročilým, inflamatórnym alebo včasným karcinómom prsníka s vysokým rizikom recidívy,</w:t>
            </w:r>
          </w:p>
          <w:p w14:paraId="78A38F9C" w14:textId="77777777" w:rsidR="00C57ACA" w:rsidRPr="008467BA" w:rsidRDefault="00C57ACA" w:rsidP="00C57ACA">
            <w:pPr>
              <w:jc w:val="both"/>
              <w:rPr>
                <w:rFonts w:ascii="Arial" w:hAnsi="Arial" w:cs="Arial"/>
                <w:sz w:val="20"/>
                <w:szCs w:val="20"/>
              </w:rPr>
            </w:pPr>
            <w:r w:rsidRPr="008467BA">
              <w:rPr>
                <w:rFonts w:ascii="Arial" w:hAnsi="Arial" w:cs="Arial"/>
                <w:sz w:val="20"/>
                <w:szCs w:val="20"/>
              </w:rPr>
              <w:t>b) na adjuvantnú liečbu dospelých pacientov s HER2-pozitívnym včasným karcinómom prsníka s vysokým rizikom recidívy, ktorí dosiahli kompletnú patologickú odpoveď po predchádzajúcej HER2 cielenej neoadjuvantnej liečbe, ktorá musí zahŕňať liečbu pertuzumabom a trastuzumabom v kombinácii s chemoterapiou, a ktorí mali v čase zahájenia neoajuvantnej liečby postihnuté lymfatické uzliny, alebo sú ER negatívni,</w:t>
            </w:r>
          </w:p>
          <w:p w14:paraId="35C940D8" w14:textId="7C11D9E8" w:rsidR="00C57ACA" w:rsidRDefault="00C57ACA" w:rsidP="00C57ACA">
            <w:pPr>
              <w:jc w:val="both"/>
              <w:rPr>
                <w:rFonts w:ascii="Arial" w:hAnsi="Arial" w:cs="Arial"/>
                <w:sz w:val="20"/>
                <w:szCs w:val="20"/>
              </w:rPr>
            </w:pPr>
            <w:r w:rsidRPr="008467BA">
              <w:rPr>
                <w:rFonts w:ascii="Arial" w:hAnsi="Arial" w:cs="Arial"/>
                <w:sz w:val="20"/>
                <w:szCs w:val="20"/>
              </w:rPr>
              <w:t>c) s docetaxelom pri metastatickom karcinóme prsníka s nadmernou expresiou receptora HER2 stupeň 3+ podľa imunohistochemického vyšetrenia (štandardný Hercept-test) alebo HER2 stupeň 2+ s potvrdením amplifikácie HER2 génu jednou z metód in situ hybridizácie v prvej línii liečby.</w:t>
            </w:r>
          </w:p>
          <w:p w14:paraId="53E185B4" w14:textId="77777777" w:rsidR="00C57ACA" w:rsidRPr="008467BA" w:rsidRDefault="00C57ACA" w:rsidP="00C57ACA">
            <w:pPr>
              <w:jc w:val="both"/>
              <w:rPr>
                <w:rFonts w:ascii="Arial" w:hAnsi="Arial" w:cs="Arial"/>
                <w:sz w:val="20"/>
                <w:szCs w:val="20"/>
              </w:rPr>
            </w:pPr>
          </w:p>
          <w:p w14:paraId="51B338C1" w14:textId="77777777" w:rsidR="00C57ACA" w:rsidRDefault="00C57ACA" w:rsidP="00C57ACA">
            <w:pPr>
              <w:jc w:val="both"/>
              <w:rPr>
                <w:rFonts w:ascii="Arial" w:hAnsi="Arial" w:cs="Arial"/>
                <w:sz w:val="20"/>
                <w:szCs w:val="20"/>
              </w:rPr>
            </w:pPr>
            <w:r w:rsidRPr="008467BA">
              <w:rPr>
                <w:rFonts w:ascii="Arial" w:hAnsi="Arial" w:cs="Arial"/>
                <w:sz w:val="20"/>
                <w:szCs w:val="20"/>
              </w:rPr>
              <w:t>Hradená liečba podlieha predchádzajúcemu súhlasu zdravotnej poisťovne.</w:t>
            </w:r>
          </w:p>
          <w:p w14:paraId="0C97E500" w14:textId="18FD8A66" w:rsidR="00C57ACA" w:rsidRPr="008467BA" w:rsidRDefault="00C57ACA" w:rsidP="00C57ACA">
            <w:pPr>
              <w:jc w:val="both"/>
              <w:rPr>
                <w:rFonts w:ascii="Arial" w:hAnsi="Arial" w:cs="Arial"/>
                <w:sz w:val="20"/>
                <w:szCs w:val="20"/>
              </w:rPr>
            </w:pPr>
          </w:p>
        </w:tc>
      </w:tr>
      <w:tr w:rsidR="00C57ACA" w:rsidRPr="0000591E" w14:paraId="49FD6203" w14:textId="77777777" w:rsidTr="00094AA0">
        <w:trPr>
          <w:gridAfter w:val="2"/>
          <w:wAfter w:w="154" w:type="dxa"/>
          <w:trHeight w:val="20"/>
        </w:trPr>
        <w:tc>
          <w:tcPr>
            <w:tcW w:w="1256" w:type="dxa"/>
            <w:tcBorders>
              <w:bottom w:val="single" w:sz="4" w:space="0" w:color="auto"/>
            </w:tcBorders>
            <w:noWrap/>
            <w:vAlign w:val="center"/>
          </w:tcPr>
          <w:p w14:paraId="3C7328CE" w14:textId="4AEA8BBC" w:rsidR="00C57ACA" w:rsidRDefault="00C57ACA" w:rsidP="00C57ACA">
            <w:pPr>
              <w:rPr>
                <w:rFonts w:ascii="Arial" w:hAnsi="Arial" w:cs="Arial"/>
                <w:b/>
                <w:bCs/>
                <w:sz w:val="20"/>
                <w:szCs w:val="20"/>
              </w:rPr>
            </w:pPr>
            <w:r w:rsidRPr="00094AA0">
              <w:rPr>
                <w:rFonts w:ascii="Arial" w:hAnsi="Arial" w:cs="Arial"/>
                <w:b/>
                <w:bCs/>
                <w:sz w:val="20"/>
                <w:szCs w:val="20"/>
              </w:rPr>
              <w:t>L02AE02</w:t>
            </w:r>
          </w:p>
        </w:tc>
        <w:tc>
          <w:tcPr>
            <w:tcW w:w="9452" w:type="dxa"/>
            <w:tcBorders>
              <w:bottom w:val="single" w:sz="4" w:space="0" w:color="auto"/>
            </w:tcBorders>
            <w:vAlign w:val="bottom"/>
          </w:tcPr>
          <w:p w14:paraId="4E43A56D" w14:textId="77777777" w:rsidR="00C57ACA" w:rsidRPr="00094AA0" w:rsidRDefault="00C57ACA" w:rsidP="00C57ACA">
            <w:pPr>
              <w:jc w:val="both"/>
              <w:rPr>
                <w:rFonts w:ascii="Arial" w:hAnsi="Arial" w:cs="Arial"/>
                <w:b/>
                <w:bCs/>
                <w:sz w:val="20"/>
                <w:szCs w:val="20"/>
              </w:rPr>
            </w:pPr>
            <w:r w:rsidRPr="00094AA0">
              <w:rPr>
                <w:rFonts w:ascii="Arial" w:hAnsi="Arial" w:cs="Arial"/>
                <w:b/>
                <w:bCs/>
                <w:sz w:val="20"/>
                <w:szCs w:val="20"/>
              </w:rPr>
              <w:t xml:space="preserve">Leuprorelin parent. 7,5 mg plv. iol., </w:t>
            </w:r>
          </w:p>
          <w:p w14:paraId="142E3618" w14:textId="77777777" w:rsidR="00C57ACA" w:rsidRPr="00094AA0" w:rsidRDefault="00C57ACA" w:rsidP="00C57ACA">
            <w:pPr>
              <w:jc w:val="both"/>
              <w:rPr>
                <w:rFonts w:ascii="Arial" w:hAnsi="Arial" w:cs="Arial"/>
                <w:b/>
                <w:bCs/>
                <w:sz w:val="20"/>
                <w:szCs w:val="20"/>
              </w:rPr>
            </w:pPr>
            <w:r w:rsidRPr="00094AA0">
              <w:rPr>
                <w:rFonts w:ascii="Arial" w:hAnsi="Arial" w:cs="Arial"/>
                <w:b/>
                <w:bCs/>
                <w:sz w:val="20"/>
                <w:szCs w:val="20"/>
              </w:rPr>
              <w:t>Leuprorelin parent. 22,5 mg plv. iol.,</w:t>
            </w:r>
          </w:p>
          <w:p w14:paraId="28F13EA7" w14:textId="4BDDF4FC" w:rsidR="00C57ACA" w:rsidRPr="0000591E" w:rsidRDefault="00C57ACA" w:rsidP="00C57ACA">
            <w:pPr>
              <w:jc w:val="both"/>
              <w:rPr>
                <w:rFonts w:ascii="Arial" w:hAnsi="Arial" w:cs="Arial"/>
                <w:b/>
                <w:bCs/>
                <w:sz w:val="20"/>
                <w:szCs w:val="20"/>
              </w:rPr>
            </w:pPr>
            <w:r w:rsidRPr="00094AA0">
              <w:rPr>
                <w:rFonts w:ascii="Arial" w:hAnsi="Arial" w:cs="Arial"/>
                <w:b/>
                <w:bCs/>
                <w:sz w:val="20"/>
                <w:szCs w:val="20"/>
              </w:rPr>
              <w:t>Leuprorelin parent. 45 mg plv. iol.</w:t>
            </w:r>
          </w:p>
        </w:tc>
      </w:tr>
      <w:tr w:rsidR="00C57ACA" w:rsidRPr="0000591E" w14:paraId="29D8CAEE" w14:textId="77777777" w:rsidTr="00094AA0">
        <w:trPr>
          <w:gridAfter w:val="2"/>
          <w:wAfter w:w="154" w:type="dxa"/>
          <w:trHeight w:val="20"/>
        </w:trPr>
        <w:tc>
          <w:tcPr>
            <w:tcW w:w="1256" w:type="dxa"/>
            <w:tcBorders>
              <w:top w:val="single" w:sz="4" w:space="0" w:color="auto"/>
            </w:tcBorders>
            <w:noWrap/>
            <w:vAlign w:val="center"/>
          </w:tcPr>
          <w:p w14:paraId="0E81ECC6"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77C318DC" w14:textId="77777777" w:rsidR="00C57ACA" w:rsidRPr="00094AA0" w:rsidRDefault="00C57ACA" w:rsidP="00C57ACA">
            <w:pPr>
              <w:jc w:val="both"/>
              <w:rPr>
                <w:rFonts w:ascii="Arial" w:hAnsi="Arial" w:cs="Arial"/>
                <w:bCs/>
                <w:sz w:val="20"/>
                <w:szCs w:val="20"/>
              </w:rPr>
            </w:pPr>
            <w:r w:rsidRPr="00094AA0">
              <w:rPr>
                <w:rFonts w:ascii="Arial" w:hAnsi="Arial" w:cs="Arial"/>
                <w:bCs/>
                <w:sz w:val="20"/>
                <w:szCs w:val="20"/>
              </w:rPr>
              <w:t>Hradená liečba sa môže indikovať u</w:t>
            </w:r>
          </w:p>
          <w:p w14:paraId="129DB9F1" w14:textId="1542BD0C" w:rsidR="00C57ACA" w:rsidRPr="00094AA0" w:rsidRDefault="00C57ACA" w:rsidP="00C57ACA">
            <w:pPr>
              <w:jc w:val="both"/>
              <w:rPr>
                <w:rFonts w:ascii="Arial" w:hAnsi="Arial" w:cs="Arial"/>
                <w:bCs/>
                <w:sz w:val="20"/>
                <w:szCs w:val="20"/>
              </w:rPr>
            </w:pPr>
            <w:r w:rsidRPr="00094AA0">
              <w:rPr>
                <w:rFonts w:ascii="Arial" w:hAnsi="Arial" w:cs="Arial"/>
                <w:bCs/>
                <w:sz w:val="20"/>
                <w:szCs w:val="20"/>
              </w:rPr>
              <w:t>a)</w:t>
            </w:r>
            <w:r w:rsidRPr="00094AA0">
              <w:rPr>
                <w:rFonts w:ascii="Arial" w:hAnsi="Arial" w:cs="Arial"/>
                <w:bCs/>
                <w:sz w:val="20"/>
                <w:szCs w:val="20"/>
              </w:rPr>
              <w:tab/>
              <w:t>dospelých mužov s pokročilým karcinómom prostaty (lokálne pokročilým, metastatickým alebo recidivujúcim po kuratívnej liečbe),</w:t>
            </w:r>
          </w:p>
          <w:p w14:paraId="4F88EA1D" w14:textId="77777777" w:rsidR="00C57ACA" w:rsidRDefault="00C57ACA" w:rsidP="00C57ACA">
            <w:pPr>
              <w:jc w:val="both"/>
              <w:rPr>
                <w:rFonts w:ascii="Arial" w:hAnsi="Arial" w:cs="Arial"/>
                <w:bCs/>
                <w:sz w:val="20"/>
                <w:szCs w:val="20"/>
              </w:rPr>
            </w:pPr>
            <w:r w:rsidRPr="00094AA0">
              <w:rPr>
                <w:rFonts w:ascii="Arial" w:hAnsi="Arial" w:cs="Arial"/>
                <w:bCs/>
                <w:sz w:val="20"/>
                <w:szCs w:val="20"/>
              </w:rPr>
              <w:t>b)</w:t>
            </w:r>
            <w:r w:rsidRPr="00094AA0">
              <w:rPr>
                <w:rFonts w:ascii="Arial" w:hAnsi="Arial" w:cs="Arial"/>
                <w:bCs/>
                <w:sz w:val="20"/>
                <w:szCs w:val="20"/>
              </w:rPr>
              <w:tab/>
              <w:t>pacientov s lokalizovaným, nizkodiferencovaným karcinómom prostaty v kombinácii s rádioterapiou; maximálna dĺžka hradenej liečby je tri roky.</w:t>
            </w:r>
          </w:p>
          <w:p w14:paraId="29652F6A" w14:textId="420B88B9" w:rsidR="00C57ACA" w:rsidRPr="00094AA0" w:rsidRDefault="00C57ACA" w:rsidP="00C57ACA">
            <w:pPr>
              <w:jc w:val="both"/>
              <w:rPr>
                <w:rFonts w:ascii="Arial" w:hAnsi="Arial" w:cs="Arial"/>
                <w:bCs/>
                <w:sz w:val="20"/>
                <w:szCs w:val="20"/>
              </w:rPr>
            </w:pPr>
          </w:p>
        </w:tc>
      </w:tr>
      <w:tr w:rsidR="00C57ACA" w:rsidRPr="0000591E" w14:paraId="7ED13F3F" w14:textId="77777777" w:rsidTr="003F7925">
        <w:trPr>
          <w:gridAfter w:val="2"/>
          <w:wAfter w:w="154" w:type="dxa"/>
          <w:trHeight w:val="20"/>
        </w:trPr>
        <w:tc>
          <w:tcPr>
            <w:tcW w:w="1256" w:type="dxa"/>
            <w:tcBorders>
              <w:bottom w:val="single" w:sz="4" w:space="0" w:color="auto"/>
            </w:tcBorders>
            <w:noWrap/>
            <w:vAlign w:val="bottom"/>
          </w:tcPr>
          <w:p w14:paraId="3620D638"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L02AE04</w:t>
            </w:r>
          </w:p>
        </w:tc>
        <w:tc>
          <w:tcPr>
            <w:tcW w:w="9452" w:type="dxa"/>
            <w:tcBorders>
              <w:bottom w:val="single" w:sz="4" w:space="0" w:color="auto"/>
            </w:tcBorders>
            <w:vAlign w:val="bottom"/>
          </w:tcPr>
          <w:p w14:paraId="24C6EF26" w14:textId="77777777" w:rsidR="00C57ACA" w:rsidRPr="00265745" w:rsidRDefault="00C57ACA" w:rsidP="00C57ACA">
            <w:pPr>
              <w:jc w:val="both"/>
              <w:rPr>
                <w:rFonts w:ascii="Arial" w:hAnsi="Arial" w:cs="Arial"/>
                <w:b/>
                <w:sz w:val="20"/>
                <w:szCs w:val="20"/>
              </w:rPr>
            </w:pPr>
            <w:r w:rsidRPr="00265745">
              <w:rPr>
                <w:rFonts w:ascii="Arial" w:hAnsi="Arial" w:cs="Arial"/>
                <w:b/>
                <w:sz w:val="20"/>
                <w:szCs w:val="20"/>
              </w:rPr>
              <w:t>Triptorelín parent. 3,75 mg</w:t>
            </w:r>
          </w:p>
        </w:tc>
      </w:tr>
      <w:tr w:rsidR="00C57ACA" w:rsidRPr="0000591E" w14:paraId="31A3F3BD" w14:textId="77777777" w:rsidTr="00AC67FC">
        <w:trPr>
          <w:gridAfter w:val="2"/>
          <w:wAfter w:w="154" w:type="dxa"/>
          <w:trHeight w:val="20"/>
        </w:trPr>
        <w:tc>
          <w:tcPr>
            <w:tcW w:w="1256" w:type="dxa"/>
            <w:tcBorders>
              <w:top w:val="single" w:sz="4" w:space="0" w:color="auto"/>
            </w:tcBorders>
            <w:noWrap/>
            <w:vAlign w:val="bottom"/>
          </w:tcPr>
          <w:p w14:paraId="3C7447CD"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53F35D50"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Hradená liečba sa môže indikovať pri </w:t>
            </w:r>
          </w:p>
          <w:p w14:paraId="3A4F97BC"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a) karcinóme prostaty, </w:t>
            </w:r>
          </w:p>
          <w:p w14:paraId="1A7CE0B0"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b) endometrióze a myomatóze, </w:t>
            </w:r>
          </w:p>
          <w:p w14:paraId="43C48E2A"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c) asistovanej reprodukcii, IVF a ET metodike, </w:t>
            </w:r>
          </w:p>
          <w:p w14:paraId="668EAD02"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d) centrálnej predčasnej puberte (pubertas praecox).  </w:t>
            </w:r>
          </w:p>
          <w:p w14:paraId="0A901812"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 </w:t>
            </w:r>
          </w:p>
          <w:p w14:paraId="54F8250F" w14:textId="77777777" w:rsidR="00C57ACA" w:rsidRDefault="00C57ACA" w:rsidP="00C57ACA">
            <w:pPr>
              <w:jc w:val="both"/>
              <w:rPr>
                <w:rFonts w:ascii="Arial" w:hAnsi="Arial" w:cs="Arial"/>
                <w:sz w:val="20"/>
                <w:szCs w:val="20"/>
              </w:rPr>
            </w:pPr>
            <w:r w:rsidRPr="00265745">
              <w:rPr>
                <w:rFonts w:ascii="Arial" w:hAnsi="Arial" w:cs="Arial"/>
                <w:sz w:val="20"/>
                <w:szCs w:val="20"/>
              </w:rPr>
              <w:t>U pacientov do dovŕšenia 18. roku veku je táto liečba plne hradená.</w:t>
            </w:r>
          </w:p>
          <w:p w14:paraId="6451558D" w14:textId="77777777" w:rsidR="00C57ACA" w:rsidRDefault="00C57ACA" w:rsidP="00C57ACA">
            <w:pPr>
              <w:jc w:val="both"/>
              <w:rPr>
                <w:rFonts w:ascii="Arial" w:hAnsi="Arial" w:cs="Arial"/>
                <w:b/>
                <w:sz w:val="20"/>
                <w:szCs w:val="20"/>
              </w:rPr>
            </w:pPr>
          </w:p>
          <w:p w14:paraId="3D43181B" w14:textId="77777777" w:rsidR="00C57ACA" w:rsidRDefault="00C57ACA" w:rsidP="00C57ACA">
            <w:pPr>
              <w:jc w:val="both"/>
              <w:rPr>
                <w:rFonts w:ascii="Arial" w:hAnsi="Arial" w:cs="Arial"/>
                <w:b/>
                <w:sz w:val="20"/>
                <w:szCs w:val="20"/>
              </w:rPr>
            </w:pPr>
          </w:p>
          <w:p w14:paraId="4EB284F8" w14:textId="77777777" w:rsidR="00C57ACA" w:rsidRPr="00265745" w:rsidRDefault="00C57ACA" w:rsidP="00C57ACA">
            <w:pPr>
              <w:jc w:val="both"/>
              <w:rPr>
                <w:rFonts w:ascii="Arial" w:hAnsi="Arial" w:cs="Arial"/>
                <w:b/>
                <w:sz w:val="20"/>
                <w:szCs w:val="20"/>
              </w:rPr>
            </w:pPr>
          </w:p>
        </w:tc>
      </w:tr>
      <w:tr w:rsidR="00C57ACA" w:rsidRPr="0000591E" w14:paraId="3D5F3FFD" w14:textId="77777777" w:rsidTr="00AC67FC">
        <w:trPr>
          <w:gridAfter w:val="2"/>
          <w:wAfter w:w="154" w:type="dxa"/>
          <w:trHeight w:val="20"/>
        </w:trPr>
        <w:tc>
          <w:tcPr>
            <w:tcW w:w="1256" w:type="dxa"/>
            <w:tcBorders>
              <w:bottom w:val="single" w:sz="4" w:space="0" w:color="auto"/>
            </w:tcBorders>
            <w:noWrap/>
            <w:vAlign w:val="bottom"/>
          </w:tcPr>
          <w:p w14:paraId="79CA64BC" w14:textId="77777777" w:rsidR="00C57ACA" w:rsidRDefault="00C57ACA" w:rsidP="00C57ACA">
            <w:pPr>
              <w:jc w:val="both"/>
              <w:rPr>
                <w:rFonts w:ascii="Arial" w:hAnsi="Arial" w:cs="Arial"/>
                <w:b/>
                <w:bCs/>
                <w:sz w:val="20"/>
                <w:szCs w:val="20"/>
              </w:rPr>
            </w:pPr>
            <w:r>
              <w:rPr>
                <w:rFonts w:ascii="Arial" w:hAnsi="Arial" w:cs="Arial"/>
                <w:b/>
                <w:bCs/>
                <w:sz w:val="20"/>
                <w:szCs w:val="20"/>
              </w:rPr>
              <w:t>L02AE04</w:t>
            </w:r>
          </w:p>
        </w:tc>
        <w:tc>
          <w:tcPr>
            <w:tcW w:w="9452" w:type="dxa"/>
            <w:tcBorders>
              <w:bottom w:val="single" w:sz="4" w:space="0" w:color="auto"/>
            </w:tcBorders>
            <w:vAlign w:val="bottom"/>
          </w:tcPr>
          <w:p w14:paraId="648780A6" w14:textId="77777777" w:rsidR="00C57ACA" w:rsidRPr="00265745" w:rsidRDefault="00C57ACA" w:rsidP="00C57ACA">
            <w:pPr>
              <w:jc w:val="both"/>
              <w:rPr>
                <w:rFonts w:ascii="Arial" w:hAnsi="Arial" w:cs="Arial"/>
                <w:sz w:val="20"/>
                <w:szCs w:val="20"/>
              </w:rPr>
            </w:pPr>
            <w:r w:rsidRPr="00265745">
              <w:rPr>
                <w:rFonts w:ascii="Arial" w:hAnsi="Arial" w:cs="Arial"/>
                <w:b/>
                <w:sz w:val="20"/>
                <w:szCs w:val="20"/>
              </w:rPr>
              <w:t>Triptorelín parent. 11,25 mg</w:t>
            </w:r>
          </w:p>
        </w:tc>
      </w:tr>
      <w:tr w:rsidR="00C57ACA" w:rsidRPr="0000591E" w14:paraId="7572FDD2" w14:textId="77777777" w:rsidTr="00AC67FC">
        <w:trPr>
          <w:gridAfter w:val="2"/>
          <w:wAfter w:w="154" w:type="dxa"/>
          <w:trHeight w:val="20"/>
        </w:trPr>
        <w:tc>
          <w:tcPr>
            <w:tcW w:w="1256" w:type="dxa"/>
            <w:tcBorders>
              <w:top w:val="single" w:sz="4" w:space="0" w:color="auto"/>
            </w:tcBorders>
            <w:noWrap/>
            <w:vAlign w:val="bottom"/>
          </w:tcPr>
          <w:p w14:paraId="0A26A508"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0795C866"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Hradená liečba sa môže indikovať pri </w:t>
            </w:r>
          </w:p>
          <w:p w14:paraId="1835B624"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a) karcinóme prostaty, </w:t>
            </w:r>
          </w:p>
          <w:p w14:paraId="5F9948AF"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b) endometrióze, </w:t>
            </w:r>
          </w:p>
          <w:p w14:paraId="168657F7"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c) centrálnej predčasnej puberte (pubertas praecox).  </w:t>
            </w:r>
          </w:p>
          <w:p w14:paraId="3AE951E8"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 </w:t>
            </w:r>
          </w:p>
          <w:p w14:paraId="23F80D72" w14:textId="77777777" w:rsidR="00C57ACA" w:rsidRDefault="00C57ACA" w:rsidP="00C57ACA">
            <w:pPr>
              <w:jc w:val="both"/>
              <w:rPr>
                <w:rFonts w:ascii="Arial" w:hAnsi="Arial" w:cs="Arial"/>
                <w:sz w:val="20"/>
                <w:szCs w:val="20"/>
              </w:rPr>
            </w:pPr>
            <w:r w:rsidRPr="00265745">
              <w:rPr>
                <w:rFonts w:ascii="Arial" w:hAnsi="Arial" w:cs="Arial"/>
                <w:sz w:val="20"/>
                <w:szCs w:val="20"/>
              </w:rPr>
              <w:t>U pacientov do dovŕšenia 18. roku veku je táto liečba plne hradená.</w:t>
            </w:r>
          </w:p>
          <w:p w14:paraId="7E2891EC" w14:textId="77777777" w:rsidR="00C57ACA" w:rsidRPr="00265745" w:rsidRDefault="00C57ACA" w:rsidP="00C57ACA">
            <w:pPr>
              <w:jc w:val="both"/>
              <w:rPr>
                <w:rFonts w:ascii="Arial" w:hAnsi="Arial" w:cs="Arial"/>
                <w:sz w:val="20"/>
                <w:szCs w:val="20"/>
              </w:rPr>
            </w:pPr>
          </w:p>
        </w:tc>
      </w:tr>
      <w:tr w:rsidR="00C57ACA" w:rsidRPr="0000591E" w14:paraId="049FFEAE" w14:textId="77777777" w:rsidTr="003F7925">
        <w:trPr>
          <w:gridAfter w:val="2"/>
          <w:wAfter w:w="154" w:type="dxa"/>
          <w:trHeight w:val="20"/>
        </w:trPr>
        <w:tc>
          <w:tcPr>
            <w:tcW w:w="1256" w:type="dxa"/>
            <w:tcBorders>
              <w:bottom w:val="single" w:sz="4" w:space="0" w:color="auto"/>
            </w:tcBorders>
            <w:noWrap/>
            <w:vAlign w:val="bottom"/>
          </w:tcPr>
          <w:p w14:paraId="5780617E" w14:textId="77777777" w:rsidR="00C57ACA" w:rsidRPr="0000591E" w:rsidRDefault="00C57ACA" w:rsidP="00C57ACA">
            <w:pPr>
              <w:jc w:val="both"/>
              <w:rPr>
                <w:rFonts w:ascii="Arial" w:hAnsi="Arial" w:cs="Arial"/>
                <w:b/>
                <w:bCs/>
                <w:sz w:val="20"/>
                <w:szCs w:val="20"/>
                <w:lang w:eastAsia="cs-CZ"/>
              </w:rPr>
            </w:pPr>
            <w:r w:rsidRPr="0000591E">
              <w:rPr>
                <w:rFonts w:ascii="Arial" w:hAnsi="Arial" w:cs="Arial"/>
                <w:b/>
                <w:bCs/>
                <w:sz w:val="20"/>
                <w:szCs w:val="20"/>
              </w:rPr>
              <w:t>L02BA03</w:t>
            </w:r>
          </w:p>
        </w:tc>
        <w:tc>
          <w:tcPr>
            <w:tcW w:w="9452" w:type="dxa"/>
            <w:tcBorders>
              <w:bottom w:val="single" w:sz="4" w:space="0" w:color="auto"/>
            </w:tcBorders>
            <w:noWrap/>
            <w:vAlign w:val="bottom"/>
          </w:tcPr>
          <w:p w14:paraId="7328F084" w14:textId="77777777" w:rsidR="00C57ACA" w:rsidRPr="0000591E" w:rsidRDefault="00C57ACA" w:rsidP="00C57ACA">
            <w:pPr>
              <w:jc w:val="both"/>
              <w:rPr>
                <w:rFonts w:ascii="Arial" w:hAnsi="Arial" w:cs="Arial"/>
                <w:b/>
                <w:bCs/>
                <w:sz w:val="20"/>
                <w:szCs w:val="20"/>
                <w:lang w:eastAsia="cs-CZ"/>
              </w:rPr>
            </w:pPr>
            <w:r w:rsidRPr="0000591E">
              <w:rPr>
                <w:rFonts w:ascii="Arial" w:hAnsi="Arial" w:cs="Arial"/>
                <w:b/>
                <w:bCs/>
                <w:sz w:val="20"/>
                <w:szCs w:val="20"/>
              </w:rPr>
              <w:t>Fulvestrant parent.</w:t>
            </w:r>
            <w:r>
              <w:rPr>
                <w:rFonts w:ascii="Arial" w:hAnsi="Arial" w:cs="Arial"/>
                <w:b/>
                <w:bCs/>
                <w:sz w:val="20"/>
                <w:szCs w:val="20"/>
              </w:rPr>
              <w:t xml:space="preserve"> 250 mg</w:t>
            </w:r>
          </w:p>
        </w:tc>
      </w:tr>
      <w:tr w:rsidR="00C57ACA" w:rsidRPr="0000591E" w14:paraId="2F14EAAC" w14:textId="77777777" w:rsidTr="003F7925">
        <w:trPr>
          <w:gridAfter w:val="2"/>
          <w:wAfter w:w="154" w:type="dxa"/>
          <w:trHeight w:val="20"/>
        </w:trPr>
        <w:tc>
          <w:tcPr>
            <w:tcW w:w="1256" w:type="dxa"/>
            <w:tcBorders>
              <w:top w:val="single" w:sz="4" w:space="0" w:color="auto"/>
            </w:tcBorders>
            <w:noWrap/>
            <w:vAlign w:val="bottom"/>
          </w:tcPr>
          <w:p w14:paraId="08F9FD1B" w14:textId="77777777" w:rsidR="00C57ACA" w:rsidRPr="0000591E" w:rsidRDefault="00C57ACA" w:rsidP="00C57ACA">
            <w:pPr>
              <w:jc w:val="both"/>
              <w:rPr>
                <w:rFonts w:ascii="Arial" w:hAnsi="Arial" w:cs="Arial"/>
                <w:sz w:val="20"/>
                <w:szCs w:val="20"/>
                <w:lang w:eastAsia="cs-CZ"/>
              </w:rPr>
            </w:pPr>
          </w:p>
        </w:tc>
        <w:tc>
          <w:tcPr>
            <w:tcW w:w="9452" w:type="dxa"/>
            <w:tcBorders>
              <w:top w:val="single" w:sz="4" w:space="0" w:color="auto"/>
            </w:tcBorders>
            <w:noWrap/>
          </w:tcPr>
          <w:p w14:paraId="796FA882" w14:textId="77777777" w:rsidR="00C57ACA" w:rsidRPr="0000591E" w:rsidRDefault="00C57ACA" w:rsidP="00C57ACA">
            <w:pPr>
              <w:rPr>
                <w:rFonts w:ascii="Arial" w:hAnsi="Arial" w:cs="Arial"/>
                <w:sz w:val="20"/>
                <w:szCs w:val="20"/>
              </w:rPr>
            </w:pPr>
            <w:r w:rsidRPr="0000591E">
              <w:rPr>
                <w:rFonts w:ascii="Arial" w:hAnsi="Arial" w:cs="Arial"/>
                <w:sz w:val="20"/>
                <w:szCs w:val="20"/>
              </w:rPr>
              <w:t>Hradená liečba sa môže indikovať u postmenopauzálnych žien s lokálne pokročilým alebo metastatickým karcinómom prsníka s preukázanou pozitivitou estrogénových receptorov</w:t>
            </w:r>
          </w:p>
          <w:p w14:paraId="4BA069CE"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a) pri relapse alebo progresii ochorenia po predchádzajúcej liečbe antiestrogénmi a inhibítorom </w:t>
            </w:r>
          </w:p>
          <w:p w14:paraId="6407D0EF"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aromatázy,</w:t>
            </w:r>
          </w:p>
          <w:p w14:paraId="1AE75D82"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b) po zlyhaní predchádzajúcej liečby nesteriodným inhibítorom aromatázy u pacientok s   </w:t>
            </w:r>
          </w:p>
          <w:p w14:paraId="38FB014B"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viscerálnymi metastázami,</w:t>
            </w:r>
          </w:p>
          <w:p w14:paraId="106D7583"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c) po predchádzajúcej liečbe inhibítorom aromatázy s kontraindikáciou alebo intoleranciou </w:t>
            </w:r>
          </w:p>
          <w:p w14:paraId="5241DF35" w14:textId="77777777" w:rsidR="00C57ACA" w:rsidRPr="0000591E" w:rsidRDefault="00C57ACA" w:rsidP="00C57ACA">
            <w:pPr>
              <w:ind w:left="360"/>
              <w:rPr>
                <w:rFonts w:ascii="Arial" w:hAnsi="Arial" w:cs="Arial"/>
                <w:strike/>
                <w:sz w:val="20"/>
                <w:szCs w:val="20"/>
              </w:rPr>
            </w:pPr>
            <w:r w:rsidRPr="0000591E">
              <w:rPr>
                <w:rFonts w:ascii="Arial" w:hAnsi="Arial" w:cs="Arial"/>
                <w:sz w:val="20"/>
                <w:szCs w:val="20"/>
              </w:rPr>
              <w:t xml:space="preserve">      tamoxifénu.</w:t>
            </w:r>
            <w:r w:rsidRPr="0000591E">
              <w:rPr>
                <w:rFonts w:ascii="Arial" w:hAnsi="Arial" w:cs="Arial"/>
                <w:b/>
                <w:bCs/>
                <w:sz w:val="20"/>
                <w:szCs w:val="20"/>
              </w:rPr>
              <w:t xml:space="preserve"> </w:t>
            </w:r>
            <w:r w:rsidRPr="0000591E">
              <w:rPr>
                <w:rFonts w:ascii="Arial" w:hAnsi="Arial" w:cs="Arial"/>
                <w:sz w:val="20"/>
                <w:szCs w:val="20"/>
              </w:rPr>
              <w:t xml:space="preserve"> </w:t>
            </w:r>
          </w:p>
          <w:p w14:paraId="1FCDA3E2" w14:textId="65206B6C" w:rsidR="00C57ACA" w:rsidRPr="00AC67FC" w:rsidRDefault="00C57ACA" w:rsidP="00C57ACA">
            <w:pPr>
              <w:rPr>
                <w:rFonts w:ascii="Arial" w:hAnsi="Arial" w:cs="Arial"/>
                <w:sz w:val="20"/>
                <w:szCs w:val="20"/>
              </w:rPr>
            </w:pPr>
            <w:r w:rsidRPr="0000591E">
              <w:rPr>
                <w:rFonts w:ascii="Arial" w:hAnsi="Arial" w:cs="Arial"/>
                <w:b/>
                <w:bCs/>
                <w:sz w:val="20"/>
                <w:szCs w:val="20"/>
              </w:rPr>
              <w:t xml:space="preserve"> </w:t>
            </w:r>
            <w:r w:rsidRPr="0000591E">
              <w:rPr>
                <w:rFonts w:ascii="Arial" w:hAnsi="Arial" w:cs="Arial"/>
                <w:sz w:val="20"/>
                <w:szCs w:val="20"/>
              </w:rPr>
              <w:t xml:space="preserve"> </w:t>
            </w:r>
          </w:p>
        </w:tc>
      </w:tr>
      <w:tr w:rsidR="00C57ACA" w:rsidRPr="0000591E" w14:paraId="1CE752C0" w14:textId="77777777" w:rsidTr="003F7925">
        <w:trPr>
          <w:gridAfter w:val="2"/>
          <w:wAfter w:w="154" w:type="dxa"/>
          <w:trHeight w:val="20"/>
        </w:trPr>
        <w:tc>
          <w:tcPr>
            <w:tcW w:w="1256" w:type="dxa"/>
            <w:tcBorders>
              <w:bottom w:val="single" w:sz="4" w:space="0" w:color="auto"/>
            </w:tcBorders>
            <w:noWrap/>
            <w:vAlign w:val="bottom"/>
          </w:tcPr>
          <w:p w14:paraId="507B8C98"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L02BB04</w:t>
            </w:r>
          </w:p>
        </w:tc>
        <w:tc>
          <w:tcPr>
            <w:tcW w:w="9452" w:type="dxa"/>
            <w:tcBorders>
              <w:bottom w:val="single" w:sz="4" w:space="0" w:color="auto"/>
            </w:tcBorders>
          </w:tcPr>
          <w:p w14:paraId="2ECD8154" w14:textId="77777777" w:rsidR="00C57ACA" w:rsidRPr="0000591E" w:rsidRDefault="00C57ACA" w:rsidP="00C57ACA">
            <w:pPr>
              <w:jc w:val="both"/>
              <w:rPr>
                <w:rFonts w:ascii="Arial" w:hAnsi="Arial" w:cs="Arial"/>
                <w:b/>
                <w:bCs/>
                <w:sz w:val="20"/>
                <w:szCs w:val="20"/>
              </w:rPr>
            </w:pPr>
            <w:r w:rsidRPr="00012F53">
              <w:rPr>
                <w:rFonts w:ascii="Arial" w:hAnsi="Arial" w:cs="Arial"/>
                <w:b/>
                <w:bCs/>
                <w:sz w:val="20"/>
                <w:szCs w:val="20"/>
              </w:rPr>
              <w:t>Enzalutamid p.o. 40 mg</w:t>
            </w:r>
            <w:r w:rsidRPr="0000591E">
              <w:rPr>
                <w:rFonts w:ascii="Arial" w:hAnsi="Arial" w:cs="Arial"/>
                <w:b/>
                <w:bCs/>
                <w:sz w:val="20"/>
                <w:szCs w:val="20"/>
              </w:rPr>
              <w:t xml:space="preserve"> </w:t>
            </w:r>
          </w:p>
        </w:tc>
      </w:tr>
      <w:tr w:rsidR="00C57ACA" w:rsidRPr="0000591E" w14:paraId="4192DC34" w14:textId="77777777" w:rsidTr="003F7925">
        <w:trPr>
          <w:gridAfter w:val="2"/>
          <w:wAfter w:w="154" w:type="dxa"/>
          <w:trHeight w:val="20"/>
        </w:trPr>
        <w:tc>
          <w:tcPr>
            <w:tcW w:w="1256" w:type="dxa"/>
            <w:noWrap/>
            <w:vAlign w:val="bottom"/>
          </w:tcPr>
          <w:p w14:paraId="715E646B" w14:textId="77777777" w:rsidR="00C57ACA" w:rsidRPr="0000591E" w:rsidRDefault="00C57ACA" w:rsidP="00C57ACA">
            <w:pPr>
              <w:jc w:val="both"/>
              <w:rPr>
                <w:rFonts w:ascii="Arial" w:hAnsi="Arial" w:cs="Arial"/>
                <w:b/>
                <w:bCs/>
                <w:sz w:val="20"/>
                <w:szCs w:val="20"/>
              </w:rPr>
            </w:pPr>
          </w:p>
        </w:tc>
        <w:tc>
          <w:tcPr>
            <w:tcW w:w="9452" w:type="dxa"/>
          </w:tcPr>
          <w:p w14:paraId="4D3F4073" w14:textId="77777777" w:rsidR="00C57ACA" w:rsidRDefault="00C57ACA" w:rsidP="00C57ACA">
            <w:pPr>
              <w:jc w:val="both"/>
              <w:rPr>
                <w:rFonts w:ascii="Arial" w:hAnsi="Arial" w:cs="Arial"/>
                <w:sz w:val="20"/>
                <w:szCs w:val="20"/>
              </w:rPr>
            </w:pPr>
            <w:r w:rsidRPr="00FD5030">
              <w:rPr>
                <w:rFonts w:ascii="Arial" w:hAnsi="Arial" w:cs="Arial"/>
                <w:sz w:val="20"/>
                <w:szCs w:val="20"/>
              </w:rPr>
              <w:t xml:space="preserve">Hradená liečba sa môže indikovať na </w:t>
            </w:r>
          </w:p>
          <w:p w14:paraId="0769856F" w14:textId="77777777" w:rsidR="00C57ACA" w:rsidRDefault="00C57ACA" w:rsidP="00C57ACA">
            <w:pPr>
              <w:jc w:val="both"/>
              <w:rPr>
                <w:rFonts w:ascii="Arial" w:hAnsi="Arial" w:cs="Arial"/>
                <w:sz w:val="20"/>
                <w:szCs w:val="20"/>
              </w:rPr>
            </w:pPr>
            <w:r>
              <w:rPr>
                <w:rFonts w:ascii="Arial" w:hAnsi="Arial" w:cs="Arial"/>
                <w:sz w:val="20"/>
                <w:szCs w:val="20"/>
              </w:rPr>
              <w:t>-</w:t>
            </w:r>
            <w:r w:rsidRPr="008D3239">
              <w:rPr>
                <w:rFonts w:ascii="Arial" w:hAnsi="Arial" w:cs="Arial"/>
                <w:sz w:val="20"/>
                <w:szCs w:val="20"/>
              </w:rPr>
              <w:t xml:space="preserve"> na liečbu metastázujúceho karcinómu prostaty reziste</w:t>
            </w:r>
            <w:r>
              <w:rPr>
                <w:rFonts w:ascii="Arial" w:hAnsi="Arial" w:cs="Arial"/>
                <w:sz w:val="20"/>
                <w:szCs w:val="20"/>
              </w:rPr>
              <w:t xml:space="preserve">ntného na kastráciu u dospelých </w:t>
            </w:r>
            <w:r w:rsidRPr="008D3239">
              <w:rPr>
                <w:rFonts w:ascii="Arial" w:hAnsi="Arial" w:cs="Arial"/>
                <w:sz w:val="20"/>
                <w:szCs w:val="20"/>
              </w:rPr>
              <w:t>mužov, ktorí sú asymptomatickí alebo mierne symptomatickí po zlyhaní androgénnej</w:t>
            </w:r>
            <w:r>
              <w:rPr>
                <w:rFonts w:ascii="Arial" w:hAnsi="Arial" w:cs="Arial"/>
                <w:sz w:val="20"/>
                <w:szCs w:val="20"/>
              </w:rPr>
              <w:t xml:space="preserve"> deprivačnej liečby a u ktorých </w:t>
            </w:r>
            <w:r w:rsidRPr="008D3239">
              <w:rPr>
                <w:rFonts w:ascii="Arial" w:hAnsi="Arial" w:cs="Arial"/>
                <w:sz w:val="20"/>
                <w:szCs w:val="20"/>
              </w:rPr>
              <w:t>doposiaľ nie je klinicky indikovaná chemoterapia. Liečba</w:t>
            </w:r>
            <w:r>
              <w:rPr>
                <w:rFonts w:ascii="Arial" w:hAnsi="Arial" w:cs="Arial"/>
                <w:sz w:val="20"/>
                <w:szCs w:val="20"/>
              </w:rPr>
              <w:t xml:space="preserve"> </w:t>
            </w:r>
            <w:r w:rsidRPr="008D3239">
              <w:rPr>
                <w:rFonts w:ascii="Arial" w:hAnsi="Arial" w:cs="Arial"/>
                <w:sz w:val="20"/>
                <w:szCs w:val="20"/>
              </w:rPr>
              <w:t>je hradená do času, kedy dôjde ku klinickej progresii ochorenia.</w:t>
            </w:r>
          </w:p>
          <w:p w14:paraId="7630A167" w14:textId="77777777" w:rsidR="00C57ACA" w:rsidRDefault="00C57ACA" w:rsidP="00C57ACA">
            <w:pPr>
              <w:jc w:val="both"/>
              <w:rPr>
                <w:rFonts w:ascii="Arial" w:hAnsi="Arial" w:cs="Arial"/>
                <w:sz w:val="20"/>
                <w:szCs w:val="20"/>
              </w:rPr>
            </w:pPr>
          </w:p>
          <w:p w14:paraId="7D5214D9" w14:textId="62B4B400" w:rsidR="00C57ACA" w:rsidRDefault="00C57ACA" w:rsidP="00C57ACA">
            <w:pPr>
              <w:jc w:val="both"/>
              <w:rPr>
                <w:rFonts w:ascii="Arial" w:hAnsi="Arial" w:cs="Arial"/>
                <w:sz w:val="20"/>
                <w:szCs w:val="20"/>
              </w:rPr>
            </w:pPr>
            <w:r>
              <w:rPr>
                <w:rFonts w:ascii="Arial" w:hAnsi="Arial" w:cs="Arial"/>
                <w:sz w:val="20"/>
                <w:szCs w:val="20"/>
              </w:rPr>
              <w:t>-</w:t>
            </w:r>
            <w:r w:rsidRPr="00FD5030">
              <w:rPr>
                <w:rFonts w:ascii="Arial" w:hAnsi="Arial" w:cs="Arial"/>
                <w:sz w:val="20"/>
                <w:szCs w:val="20"/>
              </w:rPr>
              <w:t xml:space="preserve"> liečbu dospelých pacientov s nemetastatickým karcinómom prostaty rezistentným na kastráciu (nmCRPC, non-metastatic castration resistant prostate cancer) v kombinácii s androgénnou deprivačnou liečbou (ADT, Androgen deprivation therapy), u ktorých je vysoké riziko vzniku metastatického ochorenia, s PSADT ≤ 10 mesiacov. Liečba je hradená do času, kedy dôjde k rádiografickej progresii ochorenia alebo do rozvoja neprijateľnej toxicity, </w:t>
            </w:r>
          </w:p>
          <w:p w14:paraId="7937172E" w14:textId="77777777" w:rsidR="00C57ACA" w:rsidRDefault="00C57ACA" w:rsidP="00C57ACA">
            <w:pPr>
              <w:jc w:val="both"/>
              <w:rPr>
                <w:rFonts w:ascii="Arial" w:hAnsi="Arial" w:cs="Arial"/>
                <w:sz w:val="20"/>
                <w:szCs w:val="20"/>
              </w:rPr>
            </w:pPr>
          </w:p>
          <w:p w14:paraId="50F6D6BF" w14:textId="131DCC66" w:rsidR="00C57ACA" w:rsidRDefault="00C57ACA" w:rsidP="00C57ACA">
            <w:pPr>
              <w:jc w:val="both"/>
              <w:rPr>
                <w:rFonts w:ascii="Arial" w:hAnsi="Arial" w:cs="Arial"/>
                <w:sz w:val="20"/>
                <w:szCs w:val="20"/>
              </w:rPr>
            </w:pPr>
            <w:r>
              <w:rPr>
                <w:rFonts w:ascii="Arial" w:hAnsi="Arial" w:cs="Arial"/>
                <w:sz w:val="20"/>
                <w:szCs w:val="20"/>
              </w:rPr>
              <w:t>-</w:t>
            </w:r>
            <w:r w:rsidRPr="00FD5030">
              <w:rPr>
                <w:rFonts w:ascii="Arial" w:hAnsi="Arial" w:cs="Arial"/>
                <w:sz w:val="20"/>
                <w:szCs w:val="20"/>
              </w:rPr>
              <w:t xml:space="preserve"> liečbu dospelých mužov s metastatickým, hormonálne citlivým karcinómom prostaty (mHSPC) v kombinácii s androgénnou deprivačnou terapiou. Liečba je hradená do času, kedy dôjde ku klinickej progresii ochorenia, </w:t>
            </w:r>
          </w:p>
          <w:p w14:paraId="2899386D" w14:textId="77777777" w:rsidR="00C57ACA" w:rsidRDefault="00C57ACA" w:rsidP="00C57ACA">
            <w:pPr>
              <w:jc w:val="both"/>
              <w:rPr>
                <w:rFonts w:ascii="Arial" w:hAnsi="Arial" w:cs="Arial"/>
                <w:sz w:val="20"/>
                <w:szCs w:val="20"/>
              </w:rPr>
            </w:pPr>
          </w:p>
          <w:p w14:paraId="19167BAD" w14:textId="77777777" w:rsidR="00C57ACA" w:rsidRDefault="00C57ACA" w:rsidP="00C57ACA">
            <w:pPr>
              <w:jc w:val="both"/>
              <w:rPr>
                <w:rFonts w:ascii="Arial" w:hAnsi="Arial" w:cs="Arial"/>
                <w:sz w:val="20"/>
                <w:szCs w:val="20"/>
              </w:rPr>
            </w:pPr>
            <w:r>
              <w:rPr>
                <w:rFonts w:ascii="Arial" w:hAnsi="Arial" w:cs="Arial"/>
                <w:sz w:val="20"/>
                <w:szCs w:val="20"/>
              </w:rPr>
              <w:t>-</w:t>
            </w:r>
            <w:r w:rsidRPr="00FD5030">
              <w:rPr>
                <w:rFonts w:ascii="Arial" w:hAnsi="Arial" w:cs="Arial"/>
                <w:sz w:val="20"/>
                <w:szCs w:val="20"/>
              </w:rPr>
              <w:t xml:space="preserve"> liečbu dospelých mužov s metastázujúcim CRPC, u ktorých došlo k progresii ochorenia počas liečby alebo po liečbe docetaxelom. Liečba je hradená do času, kedy dôjde ku klinickej progresii ochorenia. </w:t>
            </w:r>
          </w:p>
          <w:p w14:paraId="0E9359AB" w14:textId="77777777" w:rsidR="00C57ACA" w:rsidRDefault="00C57ACA" w:rsidP="00C57ACA">
            <w:pPr>
              <w:jc w:val="both"/>
              <w:rPr>
                <w:rFonts w:ascii="Arial" w:hAnsi="Arial" w:cs="Arial"/>
                <w:sz w:val="20"/>
                <w:szCs w:val="20"/>
              </w:rPr>
            </w:pPr>
          </w:p>
          <w:p w14:paraId="45E3A2FA" w14:textId="77777777" w:rsidR="00C57ACA" w:rsidRPr="00FD5030" w:rsidRDefault="00C57ACA" w:rsidP="00C57ACA">
            <w:pPr>
              <w:jc w:val="both"/>
              <w:rPr>
                <w:rFonts w:ascii="Arial" w:hAnsi="Arial" w:cs="Arial"/>
                <w:sz w:val="20"/>
                <w:szCs w:val="20"/>
              </w:rPr>
            </w:pPr>
            <w:r w:rsidRPr="00FD5030">
              <w:rPr>
                <w:rFonts w:ascii="Arial" w:hAnsi="Arial" w:cs="Arial"/>
                <w:sz w:val="20"/>
                <w:szCs w:val="20"/>
              </w:rPr>
              <w:t>Hradená liečba podlieha predchádzajúcemu súhlasu zdravotnej poisťovne.</w:t>
            </w:r>
          </w:p>
          <w:p w14:paraId="48F030F4" w14:textId="77777777" w:rsidR="00C57ACA" w:rsidRPr="0000591E" w:rsidRDefault="00C57ACA" w:rsidP="00C57ACA">
            <w:pPr>
              <w:jc w:val="both"/>
              <w:rPr>
                <w:rFonts w:ascii="Arial" w:hAnsi="Arial" w:cs="Arial"/>
                <w:b/>
                <w:bCs/>
                <w:sz w:val="20"/>
                <w:szCs w:val="20"/>
              </w:rPr>
            </w:pPr>
          </w:p>
        </w:tc>
      </w:tr>
      <w:tr w:rsidR="00C57ACA" w:rsidRPr="00C506F6" w14:paraId="6C73839A" w14:textId="77777777" w:rsidTr="003F7925">
        <w:trPr>
          <w:gridAfter w:val="2"/>
          <w:wAfter w:w="154" w:type="dxa"/>
          <w:trHeight w:val="20"/>
        </w:trPr>
        <w:tc>
          <w:tcPr>
            <w:tcW w:w="1256" w:type="dxa"/>
            <w:tcBorders>
              <w:bottom w:val="single" w:sz="4" w:space="0" w:color="auto"/>
            </w:tcBorders>
            <w:noWrap/>
            <w:vAlign w:val="bottom"/>
          </w:tcPr>
          <w:p w14:paraId="3A168F62" w14:textId="77777777" w:rsidR="00C57ACA" w:rsidRPr="00C506F6" w:rsidRDefault="00C57ACA" w:rsidP="00C57ACA">
            <w:pPr>
              <w:jc w:val="both"/>
              <w:rPr>
                <w:rFonts w:ascii="Arial" w:hAnsi="Arial" w:cs="Arial"/>
                <w:b/>
                <w:bCs/>
                <w:sz w:val="20"/>
                <w:szCs w:val="20"/>
              </w:rPr>
            </w:pPr>
            <w:r w:rsidRPr="00C506F6">
              <w:rPr>
                <w:rFonts w:ascii="Arial" w:hAnsi="Arial" w:cs="Arial"/>
                <w:b/>
                <w:bCs/>
                <w:sz w:val="20"/>
                <w:szCs w:val="20"/>
              </w:rPr>
              <w:t>L02BB05</w:t>
            </w:r>
          </w:p>
        </w:tc>
        <w:tc>
          <w:tcPr>
            <w:tcW w:w="9452" w:type="dxa"/>
            <w:tcBorders>
              <w:bottom w:val="single" w:sz="4" w:space="0" w:color="auto"/>
            </w:tcBorders>
          </w:tcPr>
          <w:p w14:paraId="0E8769F0" w14:textId="77777777" w:rsidR="00C57ACA" w:rsidRDefault="00C57ACA" w:rsidP="00C57ACA">
            <w:pPr>
              <w:jc w:val="both"/>
              <w:rPr>
                <w:rFonts w:ascii="Arial" w:hAnsi="Arial" w:cs="Arial"/>
                <w:b/>
                <w:bCs/>
                <w:sz w:val="20"/>
                <w:szCs w:val="20"/>
              </w:rPr>
            </w:pPr>
            <w:r w:rsidRPr="00C506F6">
              <w:rPr>
                <w:rFonts w:ascii="Arial" w:hAnsi="Arial" w:cs="Arial"/>
                <w:b/>
                <w:bCs/>
                <w:sz w:val="20"/>
                <w:szCs w:val="20"/>
              </w:rPr>
              <w:t>Apalutamid p.o. 60 mg</w:t>
            </w:r>
          </w:p>
          <w:p w14:paraId="7BF7CCAA" w14:textId="77777777" w:rsidR="00C57ACA" w:rsidRPr="00C506F6" w:rsidRDefault="00C57ACA" w:rsidP="00C57ACA">
            <w:pPr>
              <w:jc w:val="both"/>
              <w:rPr>
                <w:rFonts w:ascii="Arial" w:hAnsi="Arial" w:cs="Arial"/>
                <w:bCs/>
                <w:sz w:val="20"/>
                <w:szCs w:val="20"/>
                <w:lang w:val="cs-CZ"/>
              </w:rPr>
            </w:pPr>
            <w:r>
              <w:rPr>
                <w:rFonts w:ascii="Arial" w:hAnsi="Arial" w:cs="Arial"/>
                <w:b/>
                <w:bCs/>
                <w:sz w:val="20"/>
                <w:szCs w:val="20"/>
              </w:rPr>
              <w:t>Apalutamid p.o. 240 mg</w:t>
            </w:r>
          </w:p>
        </w:tc>
      </w:tr>
      <w:tr w:rsidR="00C57ACA" w:rsidRPr="0000591E" w14:paraId="63578067" w14:textId="77777777" w:rsidTr="003F7925">
        <w:trPr>
          <w:gridAfter w:val="2"/>
          <w:wAfter w:w="154" w:type="dxa"/>
          <w:trHeight w:val="20"/>
        </w:trPr>
        <w:tc>
          <w:tcPr>
            <w:tcW w:w="1256" w:type="dxa"/>
            <w:tcBorders>
              <w:top w:val="single" w:sz="4" w:space="0" w:color="auto"/>
            </w:tcBorders>
            <w:noWrap/>
            <w:vAlign w:val="bottom"/>
          </w:tcPr>
          <w:p w14:paraId="268C8FE0"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tcPr>
          <w:p w14:paraId="7978519F" w14:textId="77777777" w:rsidR="00C57ACA" w:rsidRDefault="00C57ACA" w:rsidP="00C57ACA">
            <w:pPr>
              <w:jc w:val="both"/>
              <w:rPr>
                <w:rFonts w:ascii="Arial" w:hAnsi="Arial" w:cs="Arial"/>
                <w:sz w:val="20"/>
                <w:szCs w:val="20"/>
              </w:rPr>
            </w:pPr>
            <w:r w:rsidRPr="0071161D">
              <w:rPr>
                <w:rFonts w:ascii="Arial" w:hAnsi="Arial" w:cs="Arial"/>
                <w:sz w:val="20"/>
                <w:szCs w:val="20"/>
              </w:rPr>
              <w:t xml:space="preserve">Hradená liečba sa môže indikovať: </w:t>
            </w:r>
          </w:p>
          <w:p w14:paraId="17E04B62" w14:textId="77777777" w:rsidR="00C57ACA" w:rsidRDefault="00C57ACA" w:rsidP="00C57ACA">
            <w:pPr>
              <w:jc w:val="both"/>
              <w:rPr>
                <w:rFonts w:ascii="Arial" w:hAnsi="Arial" w:cs="Arial"/>
                <w:sz w:val="20"/>
                <w:szCs w:val="20"/>
              </w:rPr>
            </w:pPr>
            <w:r w:rsidRPr="0071161D">
              <w:rPr>
                <w:rFonts w:ascii="Arial" w:hAnsi="Arial" w:cs="Arial"/>
                <w:sz w:val="20"/>
                <w:szCs w:val="20"/>
              </w:rPr>
              <w:t>a) na liečbu nemetastatického karcinómu prostaty rezistentného na kastráciu (nmCRPC, non-metastatic castration resistant prostate cancer) v kombinácii s androgénnou deprivačnou liečbou (ADT, androgen deprivation therapy) u dospelých mužov, u ktorých je vysoké riziko vzniku metastatického ochorenia, s PSADT ≤ 10 mesiacov. Liečba je hradená do času, kedy dôjde k rádiografickej progresii ochorenia alebo do rozvoja neprijateľnej toxicity.</w:t>
            </w:r>
          </w:p>
          <w:p w14:paraId="12B8A394" w14:textId="77777777" w:rsidR="00C57ACA" w:rsidRDefault="00C57ACA" w:rsidP="00C57ACA">
            <w:pPr>
              <w:jc w:val="both"/>
              <w:rPr>
                <w:rFonts w:ascii="Arial" w:hAnsi="Arial" w:cs="Arial"/>
                <w:sz w:val="20"/>
                <w:szCs w:val="20"/>
              </w:rPr>
            </w:pPr>
            <w:r w:rsidRPr="0071161D">
              <w:rPr>
                <w:rFonts w:ascii="Arial" w:hAnsi="Arial" w:cs="Arial"/>
                <w:sz w:val="20"/>
                <w:szCs w:val="20"/>
              </w:rPr>
              <w:t xml:space="preserve"> b) na liečbu metastatického, hormonálne citlivého karcinómu prostaty (mHSPC, metastatic hormone sensitive prostate cancer) v kombinácii s ADT u dospelých mužov.Liečba je hradená do času, kedy dôjde ku klinickej progresii ochorenia</w:t>
            </w:r>
            <w:r>
              <w:rPr>
                <w:rFonts w:ascii="Arial" w:hAnsi="Arial" w:cs="Arial"/>
                <w:sz w:val="20"/>
                <w:szCs w:val="20"/>
              </w:rPr>
              <w:t>.</w:t>
            </w:r>
          </w:p>
          <w:p w14:paraId="5068285A" w14:textId="77777777" w:rsidR="00C57ACA" w:rsidRDefault="00C57ACA" w:rsidP="00C57ACA">
            <w:pPr>
              <w:jc w:val="both"/>
              <w:rPr>
                <w:rFonts w:ascii="Arial" w:hAnsi="Arial" w:cs="Arial"/>
                <w:sz w:val="20"/>
                <w:szCs w:val="20"/>
              </w:rPr>
            </w:pPr>
          </w:p>
          <w:p w14:paraId="46E0D864" w14:textId="77777777" w:rsidR="00C57ACA" w:rsidRDefault="00C57ACA" w:rsidP="00C57ACA">
            <w:pPr>
              <w:jc w:val="both"/>
              <w:rPr>
                <w:rFonts w:ascii="Arial" w:hAnsi="Arial" w:cs="Arial"/>
                <w:sz w:val="20"/>
                <w:szCs w:val="20"/>
              </w:rPr>
            </w:pPr>
            <w:r w:rsidRPr="0071161D">
              <w:rPr>
                <w:rFonts w:ascii="Arial" w:hAnsi="Arial" w:cs="Arial"/>
                <w:sz w:val="20"/>
                <w:szCs w:val="20"/>
              </w:rPr>
              <w:t>Hradená liečba podlieha predchádzajúcemu súhlasu zdravotnej poisťovne.</w:t>
            </w:r>
          </w:p>
          <w:p w14:paraId="3ADA4A0C" w14:textId="77777777" w:rsidR="00C57ACA" w:rsidRPr="0071161D" w:rsidRDefault="00C57ACA" w:rsidP="00C57ACA">
            <w:pPr>
              <w:jc w:val="both"/>
              <w:rPr>
                <w:rFonts w:ascii="Arial" w:hAnsi="Arial" w:cs="Arial"/>
                <w:sz w:val="20"/>
                <w:szCs w:val="20"/>
              </w:rPr>
            </w:pPr>
          </w:p>
        </w:tc>
      </w:tr>
      <w:tr w:rsidR="00C57ACA" w:rsidRPr="0000591E" w14:paraId="641C9508" w14:textId="77777777" w:rsidTr="00673760">
        <w:trPr>
          <w:gridAfter w:val="2"/>
          <w:wAfter w:w="154" w:type="dxa"/>
          <w:trHeight w:val="20"/>
        </w:trPr>
        <w:tc>
          <w:tcPr>
            <w:tcW w:w="1256" w:type="dxa"/>
            <w:tcBorders>
              <w:bottom w:val="single" w:sz="4" w:space="0" w:color="auto"/>
            </w:tcBorders>
            <w:noWrap/>
            <w:vAlign w:val="bottom"/>
          </w:tcPr>
          <w:p w14:paraId="291F86F6" w14:textId="77777777" w:rsidR="00C57ACA" w:rsidRPr="0000591E" w:rsidRDefault="00C57ACA" w:rsidP="00C57ACA">
            <w:pPr>
              <w:rPr>
                <w:rFonts w:ascii="Arial" w:hAnsi="Arial" w:cs="Arial"/>
                <w:b/>
                <w:bCs/>
                <w:sz w:val="20"/>
                <w:szCs w:val="20"/>
              </w:rPr>
            </w:pPr>
            <w:r>
              <w:rPr>
                <w:rFonts w:ascii="Arial" w:hAnsi="Arial" w:cs="Arial"/>
                <w:b/>
                <w:bCs/>
                <w:sz w:val="20"/>
                <w:szCs w:val="20"/>
              </w:rPr>
              <w:t>L02BB06</w:t>
            </w:r>
          </w:p>
        </w:tc>
        <w:tc>
          <w:tcPr>
            <w:tcW w:w="9452" w:type="dxa"/>
            <w:tcBorders>
              <w:bottom w:val="single" w:sz="4" w:space="0" w:color="auto"/>
            </w:tcBorders>
            <w:noWrap/>
          </w:tcPr>
          <w:p w14:paraId="39895206" w14:textId="77777777" w:rsidR="00C57ACA" w:rsidRPr="0000591E" w:rsidRDefault="00C57ACA" w:rsidP="00C57ACA">
            <w:pPr>
              <w:pStyle w:val="Zkladntext"/>
              <w:rPr>
                <w:b/>
                <w:lang w:val="sk-SK"/>
              </w:rPr>
            </w:pPr>
            <w:r w:rsidRPr="004352E3">
              <w:rPr>
                <w:b/>
                <w:lang w:val="sk-SK"/>
              </w:rPr>
              <w:t>Darolutamid p.o. 300 mg</w:t>
            </w:r>
          </w:p>
        </w:tc>
      </w:tr>
      <w:tr w:rsidR="00C57ACA" w:rsidRPr="0000591E" w14:paraId="5A1A170D" w14:textId="77777777" w:rsidTr="00673760">
        <w:trPr>
          <w:gridAfter w:val="2"/>
          <w:wAfter w:w="154" w:type="dxa"/>
          <w:trHeight w:val="20"/>
        </w:trPr>
        <w:tc>
          <w:tcPr>
            <w:tcW w:w="1256" w:type="dxa"/>
            <w:tcBorders>
              <w:top w:val="single" w:sz="4" w:space="0" w:color="auto"/>
            </w:tcBorders>
            <w:noWrap/>
            <w:vAlign w:val="bottom"/>
          </w:tcPr>
          <w:p w14:paraId="378E407A" w14:textId="77777777" w:rsidR="00C57ACA" w:rsidRPr="0000591E" w:rsidRDefault="00C57ACA" w:rsidP="00C57ACA">
            <w:pPr>
              <w:rPr>
                <w:rFonts w:ascii="Arial" w:hAnsi="Arial" w:cs="Arial"/>
                <w:b/>
                <w:bCs/>
                <w:sz w:val="20"/>
                <w:szCs w:val="20"/>
              </w:rPr>
            </w:pPr>
          </w:p>
        </w:tc>
        <w:tc>
          <w:tcPr>
            <w:tcW w:w="9452" w:type="dxa"/>
            <w:tcBorders>
              <w:top w:val="single" w:sz="4" w:space="0" w:color="auto"/>
            </w:tcBorders>
            <w:noWrap/>
          </w:tcPr>
          <w:p w14:paraId="674C69BA"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Hradená liečba sa môže indikovať:</w:t>
            </w:r>
          </w:p>
          <w:p w14:paraId="7980E380"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 xml:space="preserve">- na liečbu nemetastatického karcinómu prostaty rezistentného na kastráciu (nmCRPC, non-metastatic castration resistant prostate cancer) v kombinácii s androgénnou deprivačnou liečbou (ADT, androgen deprivation therapy) u dospelých mužov, u ktorých je vysoké riziko vzniku metastatického ochorenia, s PSADT ≤ 10 mesiacov. </w:t>
            </w:r>
          </w:p>
          <w:p w14:paraId="2841D308"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Liečba je hradená do času, kedy dôjde k rádiografickej progresii ochorenia alebo do rozvoja neprijateľnej toxicity.</w:t>
            </w:r>
          </w:p>
          <w:p w14:paraId="0049A92F" w14:textId="77777777" w:rsidR="00C57ACA" w:rsidRPr="0084206C" w:rsidRDefault="00C57ACA" w:rsidP="00C57ACA">
            <w:pPr>
              <w:jc w:val="both"/>
              <w:rPr>
                <w:rFonts w:ascii="Arial" w:hAnsi="Arial" w:cs="Arial"/>
                <w:sz w:val="20"/>
                <w:szCs w:val="20"/>
              </w:rPr>
            </w:pPr>
          </w:p>
          <w:p w14:paraId="24EC2A4C"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 xml:space="preserve">- na liečbu metastatického, hormonálne citlivého karcinómu prostaty (mHSPC, metastatic hormone sensitive prostate cancer) v kombinácii s ADT a docetaxelom u dospelých mužov. </w:t>
            </w:r>
          </w:p>
          <w:p w14:paraId="131F5E42" w14:textId="77777777" w:rsidR="00C57ACA" w:rsidRPr="0084206C" w:rsidRDefault="00C57ACA" w:rsidP="00C57ACA">
            <w:pPr>
              <w:jc w:val="both"/>
              <w:rPr>
                <w:rFonts w:ascii="Arial" w:hAnsi="Arial" w:cs="Arial"/>
                <w:sz w:val="20"/>
                <w:szCs w:val="20"/>
              </w:rPr>
            </w:pPr>
          </w:p>
          <w:p w14:paraId="356FD821"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Liečba je hradená do času, kedy dôjde ku klinickej progresii ochorenia.</w:t>
            </w:r>
          </w:p>
          <w:p w14:paraId="1EC32EC6"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Hradená liečba podlieha predchádzajúcemu súhlasu zdravotnej poisťovne.</w:t>
            </w:r>
          </w:p>
          <w:p w14:paraId="40E63207" w14:textId="77777777" w:rsidR="00C57ACA" w:rsidRPr="0000591E" w:rsidRDefault="00C57ACA" w:rsidP="00C57ACA">
            <w:pPr>
              <w:pStyle w:val="Zkladntext"/>
              <w:jc w:val="both"/>
              <w:rPr>
                <w:lang w:val="sk-SK"/>
              </w:rPr>
            </w:pPr>
          </w:p>
        </w:tc>
      </w:tr>
      <w:tr w:rsidR="00C57ACA" w:rsidRPr="0000591E" w14:paraId="0F5E03AE" w14:textId="77777777" w:rsidTr="00673760">
        <w:trPr>
          <w:gridAfter w:val="1"/>
          <w:wAfter w:w="109" w:type="dxa"/>
          <w:trHeight w:val="20"/>
        </w:trPr>
        <w:tc>
          <w:tcPr>
            <w:tcW w:w="1256" w:type="dxa"/>
            <w:tcBorders>
              <w:bottom w:val="single" w:sz="4" w:space="0" w:color="auto"/>
            </w:tcBorders>
            <w:noWrap/>
            <w:vAlign w:val="bottom"/>
          </w:tcPr>
          <w:p w14:paraId="0E7AAFE9" w14:textId="5A2C9D2C" w:rsidR="00C57ACA" w:rsidRPr="00CA5EFC" w:rsidRDefault="00C57ACA" w:rsidP="00C57ACA">
            <w:pPr>
              <w:rPr>
                <w:rFonts w:ascii="Arial" w:hAnsi="Arial" w:cs="Arial"/>
                <w:b/>
                <w:bCs/>
                <w:sz w:val="20"/>
                <w:szCs w:val="20"/>
              </w:rPr>
            </w:pPr>
            <w:r w:rsidRPr="00673760">
              <w:rPr>
                <w:rFonts w:ascii="Arial" w:hAnsi="Arial" w:cs="Arial"/>
                <w:b/>
                <w:bCs/>
                <w:sz w:val="20"/>
                <w:szCs w:val="20"/>
              </w:rPr>
              <w:t>L02BX02</w:t>
            </w:r>
          </w:p>
        </w:tc>
        <w:tc>
          <w:tcPr>
            <w:tcW w:w="9497" w:type="dxa"/>
            <w:gridSpan w:val="2"/>
            <w:tcBorders>
              <w:bottom w:val="single" w:sz="4" w:space="0" w:color="auto"/>
            </w:tcBorders>
            <w:noWrap/>
          </w:tcPr>
          <w:p w14:paraId="141E22F1" w14:textId="77777777" w:rsidR="00C57ACA" w:rsidRPr="00673760" w:rsidRDefault="00C57ACA" w:rsidP="00C57ACA">
            <w:pPr>
              <w:pStyle w:val="Zkladntext"/>
              <w:rPr>
                <w:b/>
                <w:lang w:val="sk-SK"/>
              </w:rPr>
            </w:pPr>
            <w:r w:rsidRPr="00673760">
              <w:rPr>
                <w:b/>
                <w:lang w:val="sk-SK"/>
              </w:rPr>
              <w:t>Degarelix parent. 80mg</w:t>
            </w:r>
          </w:p>
          <w:p w14:paraId="13BB3146" w14:textId="632F221C" w:rsidR="00C57ACA" w:rsidRPr="00CA5EFC" w:rsidRDefault="00C57ACA" w:rsidP="00C57ACA">
            <w:pPr>
              <w:pStyle w:val="Zkladntext"/>
              <w:rPr>
                <w:b/>
                <w:lang w:val="sk-SK"/>
              </w:rPr>
            </w:pPr>
            <w:r w:rsidRPr="00673760">
              <w:rPr>
                <w:b/>
                <w:lang w:val="sk-SK"/>
              </w:rPr>
              <w:t>Degarelix parent. 120 mg</w:t>
            </w:r>
          </w:p>
        </w:tc>
      </w:tr>
      <w:tr w:rsidR="00C57ACA" w:rsidRPr="0000591E" w14:paraId="69959E07" w14:textId="77777777" w:rsidTr="00673760">
        <w:trPr>
          <w:gridAfter w:val="1"/>
          <w:wAfter w:w="109" w:type="dxa"/>
          <w:trHeight w:val="20"/>
        </w:trPr>
        <w:tc>
          <w:tcPr>
            <w:tcW w:w="1256" w:type="dxa"/>
            <w:tcBorders>
              <w:top w:val="single" w:sz="4" w:space="0" w:color="auto"/>
            </w:tcBorders>
            <w:noWrap/>
            <w:vAlign w:val="bottom"/>
          </w:tcPr>
          <w:p w14:paraId="15CCAB23" w14:textId="77777777" w:rsidR="00C57ACA" w:rsidRPr="00CA5EFC" w:rsidRDefault="00C57ACA" w:rsidP="00C57ACA">
            <w:pPr>
              <w:rPr>
                <w:rFonts w:ascii="Arial" w:hAnsi="Arial" w:cs="Arial"/>
                <w:b/>
                <w:bCs/>
                <w:sz w:val="20"/>
                <w:szCs w:val="20"/>
              </w:rPr>
            </w:pPr>
          </w:p>
        </w:tc>
        <w:tc>
          <w:tcPr>
            <w:tcW w:w="9497" w:type="dxa"/>
            <w:gridSpan w:val="2"/>
            <w:tcBorders>
              <w:top w:val="single" w:sz="4" w:space="0" w:color="auto"/>
            </w:tcBorders>
            <w:noWrap/>
          </w:tcPr>
          <w:p w14:paraId="1EB45923" w14:textId="77777777" w:rsidR="00C57ACA" w:rsidRPr="00673760" w:rsidRDefault="00C57ACA" w:rsidP="00C57ACA">
            <w:pPr>
              <w:pStyle w:val="Zkladntext"/>
              <w:rPr>
                <w:lang w:val="sk-SK"/>
              </w:rPr>
            </w:pPr>
            <w:r w:rsidRPr="00673760">
              <w:rPr>
                <w:lang w:val="sk-SK"/>
              </w:rPr>
              <w:t>Hradená liečba sa môže indikovať u</w:t>
            </w:r>
          </w:p>
          <w:p w14:paraId="07CC43AC" w14:textId="77777777" w:rsidR="00C57ACA" w:rsidRPr="00673760" w:rsidRDefault="00C57ACA" w:rsidP="00C57ACA">
            <w:pPr>
              <w:pStyle w:val="Zkladntext"/>
              <w:rPr>
                <w:lang w:val="sk-SK"/>
              </w:rPr>
            </w:pPr>
            <w:r w:rsidRPr="00673760">
              <w:rPr>
                <w:lang w:val="sk-SK"/>
              </w:rPr>
              <w:t>a)</w:t>
            </w:r>
            <w:r w:rsidRPr="00673760">
              <w:rPr>
                <w:lang w:val="sk-SK"/>
              </w:rPr>
              <w:tab/>
              <w:t>dospelých mužov s pokročilým karcinómom prostaty (lokálne pokročilým, metastatickým alebo recidivujúcim po kuratívnej liečbe),</w:t>
            </w:r>
          </w:p>
          <w:p w14:paraId="424CDA8D" w14:textId="77777777" w:rsidR="00C57ACA" w:rsidRPr="00673760" w:rsidRDefault="00C57ACA" w:rsidP="00C57ACA">
            <w:pPr>
              <w:pStyle w:val="Zkladntext"/>
              <w:rPr>
                <w:lang w:val="sk-SK"/>
              </w:rPr>
            </w:pPr>
            <w:r w:rsidRPr="00673760">
              <w:rPr>
                <w:lang w:val="sk-SK"/>
              </w:rPr>
              <w:t>b)</w:t>
            </w:r>
            <w:r w:rsidRPr="00673760">
              <w:rPr>
                <w:lang w:val="sk-SK"/>
              </w:rPr>
              <w:tab/>
              <w:t>pacientov s lokalizovaným, nízkodiferencovaným karcinómom prostaty v kombinácii s rádioterapiou; maximálna dĺžka hradenej liečby je tri roky.</w:t>
            </w:r>
          </w:p>
          <w:p w14:paraId="67CE1F5A" w14:textId="4787C6B6" w:rsidR="00C57ACA" w:rsidRPr="00673760" w:rsidRDefault="00C57ACA" w:rsidP="00C57ACA">
            <w:pPr>
              <w:pStyle w:val="Zkladntext"/>
              <w:rPr>
                <w:lang w:val="sk-SK"/>
              </w:rPr>
            </w:pPr>
          </w:p>
        </w:tc>
      </w:tr>
      <w:tr w:rsidR="00C57ACA" w:rsidRPr="0000591E" w14:paraId="0A4DFA46" w14:textId="77777777" w:rsidTr="009211C7">
        <w:trPr>
          <w:gridAfter w:val="1"/>
          <w:wAfter w:w="109" w:type="dxa"/>
          <w:trHeight w:val="20"/>
        </w:trPr>
        <w:tc>
          <w:tcPr>
            <w:tcW w:w="1256" w:type="dxa"/>
            <w:tcBorders>
              <w:bottom w:val="single" w:sz="4" w:space="0" w:color="auto"/>
            </w:tcBorders>
            <w:noWrap/>
            <w:vAlign w:val="bottom"/>
          </w:tcPr>
          <w:p w14:paraId="55B6F0DB" w14:textId="77777777" w:rsidR="00C57ACA" w:rsidRPr="0000591E" w:rsidRDefault="00C57ACA" w:rsidP="00C57ACA">
            <w:pPr>
              <w:rPr>
                <w:rFonts w:ascii="Arial" w:hAnsi="Arial" w:cs="Arial"/>
                <w:b/>
                <w:bCs/>
                <w:sz w:val="20"/>
                <w:szCs w:val="20"/>
              </w:rPr>
            </w:pPr>
            <w:r w:rsidRPr="0000591E">
              <w:rPr>
                <w:rFonts w:ascii="Arial" w:hAnsi="Arial" w:cs="Arial"/>
                <w:b/>
                <w:bCs/>
                <w:sz w:val="20"/>
                <w:szCs w:val="20"/>
              </w:rPr>
              <w:t>L02BX03</w:t>
            </w:r>
          </w:p>
        </w:tc>
        <w:tc>
          <w:tcPr>
            <w:tcW w:w="9497" w:type="dxa"/>
            <w:gridSpan w:val="2"/>
            <w:tcBorders>
              <w:bottom w:val="single" w:sz="4" w:space="0" w:color="auto"/>
            </w:tcBorders>
            <w:noWrap/>
          </w:tcPr>
          <w:p w14:paraId="6642DD7E" w14:textId="77777777" w:rsidR="00C57ACA" w:rsidRDefault="00C57ACA" w:rsidP="00C57ACA">
            <w:pPr>
              <w:pStyle w:val="Zkladntext"/>
              <w:rPr>
                <w:b/>
                <w:lang w:val="sk-SK"/>
              </w:rPr>
            </w:pPr>
            <w:r>
              <w:rPr>
                <w:b/>
                <w:lang w:val="sk-SK"/>
              </w:rPr>
              <w:t>Abiraterón p.o. 1000</w:t>
            </w:r>
            <w:r w:rsidRPr="0000591E">
              <w:rPr>
                <w:b/>
                <w:lang w:val="sk-SK"/>
              </w:rPr>
              <w:t xml:space="preserve"> mg</w:t>
            </w:r>
          </w:p>
          <w:p w14:paraId="2E38261B" w14:textId="77777777" w:rsidR="00C57ACA" w:rsidRDefault="00C57ACA" w:rsidP="00C57ACA">
            <w:pPr>
              <w:pStyle w:val="Zkladntext"/>
              <w:rPr>
                <w:b/>
                <w:lang w:val="sk-SK"/>
              </w:rPr>
            </w:pPr>
            <w:r>
              <w:rPr>
                <w:b/>
                <w:lang w:val="sk-SK"/>
              </w:rPr>
              <w:t>Abiraterón p.o. 500 mg</w:t>
            </w:r>
          </w:p>
          <w:p w14:paraId="3B1AB2E6" w14:textId="77777777" w:rsidR="00C57ACA" w:rsidRPr="000C0099" w:rsidRDefault="00C57ACA" w:rsidP="00C57ACA">
            <w:pPr>
              <w:pStyle w:val="Zkladntext"/>
              <w:rPr>
                <w:b/>
                <w:lang w:val="sk-SK"/>
              </w:rPr>
            </w:pPr>
            <w:r>
              <w:rPr>
                <w:b/>
                <w:lang w:val="sk-SK"/>
              </w:rPr>
              <w:t>Abiraterón p.o. 250</w:t>
            </w:r>
            <w:r w:rsidRPr="0000591E">
              <w:rPr>
                <w:b/>
                <w:lang w:val="sk-SK"/>
              </w:rPr>
              <w:t xml:space="preserve"> mg</w:t>
            </w:r>
          </w:p>
        </w:tc>
      </w:tr>
      <w:tr w:rsidR="00C57ACA" w:rsidRPr="0000591E" w14:paraId="33FCAFBB" w14:textId="77777777" w:rsidTr="009211C7">
        <w:trPr>
          <w:gridAfter w:val="1"/>
          <w:wAfter w:w="109" w:type="dxa"/>
          <w:trHeight w:val="20"/>
        </w:trPr>
        <w:tc>
          <w:tcPr>
            <w:tcW w:w="1256" w:type="dxa"/>
            <w:tcBorders>
              <w:top w:val="single" w:sz="4" w:space="0" w:color="auto"/>
            </w:tcBorders>
            <w:noWrap/>
            <w:vAlign w:val="bottom"/>
          </w:tcPr>
          <w:p w14:paraId="6C87054D" w14:textId="77777777" w:rsidR="00C57ACA" w:rsidRPr="0000591E" w:rsidRDefault="00C57ACA" w:rsidP="00C57ACA">
            <w:pPr>
              <w:rPr>
                <w:rFonts w:ascii="Arial" w:hAnsi="Arial" w:cs="Arial"/>
                <w:b/>
                <w:sz w:val="20"/>
                <w:szCs w:val="20"/>
              </w:rPr>
            </w:pPr>
          </w:p>
        </w:tc>
        <w:tc>
          <w:tcPr>
            <w:tcW w:w="9497" w:type="dxa"/>
            <w:gridSpan w:val="2"/>
            <w:tcBorders>
              <w:top w:val="single" w:sz="4" w:space="0" w:color="auto"/>
            </w:tcBorders>
            <w:noWrap/>
          </w:tcPr>
          <w:p w14:paraId="12E34BD1"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sidRPr="002C6261">
              <w:rPr>
                <w:rFonts w:ascii="Arial" w:hAnsi="Arial" w:cs="Arial"/>
                <w:color w:val="000000"/>
                <w:sz w:val="20"/>
                <w:szCs w:val="20"/>
              </w:rPr>
              <w:t xml:space="preserve">Hradená liečba sa môže indikovať v kombinácii spolu s prednizónom alebo prednizolónom </w:t>
            </w:r>
          </w:p>
          <w:p w14:paraId="1DDD505D" w14:textId="77777777" w:rsidR="00C57ACA" w:rsidRDefault="00C57ACA" w:rsidP="00C57ACA">
            <w:pPr>
              <w:widowControl w:val="0"/>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a) </w:t>
            </w:r>
            <w:r w:rsidRPr="002C6261">
              <w:rPr>
                <w:rFonts w:ascii="Arial" w:hAnsi="Arial" w:cs="Arial"/>
                <w:color w:val="000000"/>
                <w:sz w:val="20"/>
                <w:szCs w:val="20"/>
              </w:rPr>
              <w:t xml:space="preserve">na liečbu metastázujúceho karcinómu prostaty rezistentného na kastráciu u dospelých mužov, ktorí sú asymptomatickí alebo mierne symptomatickí po zlyhaní androgénnej deprivačnej liečby a u ktorých doposiaľ nie je klinicky indikovaná chemoterapia. </w:t>
            </w:r>
          </w:p>
          <w:p w14:paraId="4E60C5B1" w14:textId="77777777" w:rsidR="00C57ACA" w:rsidRDefault="00C57ACA" w:rsidP="00C57ACA">
            <w:pPr>
              <w:widowControl w:val="0"/>
              <w:autoSpaceDE w:val="0"/>
              <w:autoSpaceDN w:val="0"/>
              <w:adjustRightInd w:val="0"/>
              <w:jc w:val="both"/>
              <w:rPr>
                <w:rFonts w:ascii="Arial" w:hAnsi="Arial" w:cs="Arial"/>
                <w:color w:val="000000"/>
                <w:sz w:val="20"/>
                <w:szCs w:val="20"/>
              </w:rPr>
            </w:pPr>
          </w:p>
          <w:p w14:paraId="718D0332"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sidRPr="002C6261">
              <w:rPr>
                <w:rFonts w:ascii="Arial" w:hAnsi="Arial" w:cs="Arial"/>
                <w:color w:val="000000"/>
                <w:sz w:val="20"/>
                <w:szCs w:val="20"/>
              </w:rPr>
              <w:t xml:space="preserve">Liečba je hradená do času, kedy dôjde ku klinickej progresii ochorenia. </w:t>
            </w:r>
          </w:p>
          <w:p w14:paraId="49C08495"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p>
          <w:p w14:paraId="79AB25DC"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b) </w:t>
            </w:r>
            <w:r w:rsidRPr="002C6261">
              <w:rPr>
                <w:rFonts w:ascii="Arial" w:hAnsi="Arial" w:cs="Arial"/>
                <w:color w:val="000000"/>
                <w:sz w:val="20"/>
                <w:szCs w:val="20"/>
              </w:rPr>
              <w:t>na liečbu novodiagnostikovaného vysoko rizikového metastázujúceho, hormonálne citlivého karcinómu prostaty (mHSPC, metastatic hormone sensitive prostate cancer)</w:t>
            </w:r>
          </w:p>
          <w:p w14:paraId="35D8720B"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sidRPr="002C6261">
              <w:rPr>
                <w:rFonts w:ascii="Arial" w:hAnsi="Arial" w:cs="Arial"/>
                <w:color w:val="000000"/>
                <w:sz w:val="20"/>
                <w:szCs w:val="20"/>
              </w:rPr>
              <w:t xml:space="preserve">u dospelých mužov v kombinácii s androgénovou deprivačnou liečbou, kde vysoko rizikový pacient spĺňa aspoň dva z troch nasledujúcich príznakov vysokého rizika: Gleason skóre ≥ 8; počet kostných lézií ≥ 3; prítomnosť viscerálnych metastáz. Liečba je hradená do času, kedy dôjde ku klinickej progresii ochorenia. </w:t>
            </w:r>
          </w:p>
          <w:p w14:paraId="4B9BD30E" w14:textId="77777777" w:rsidR="00C57ACA" w:rsidRPr="00C374C0" w:rsidRDefault="00C57ACA" w:rsidP="00C57ACA">
            <w:pPr>
              <w:jc w:val="both"/>
              <w:rPr>
                <w:b/>
              </w:rPr>
            </w:pPr>
          </w:p>
        </w:tc>
      </w:tr>
    </w:tbl>
    <w:tbl>
      <w:tblPr>
        <w:tblStyle w:val="Mriekatabukysvetl"/>
        <w:tblW w:w="10632" w:type="dxa"/>
        <w:tblInd w:w="-856" w:type="dxa"/>
        <w:tblLook w:val="0000" w:firstRow="0" w:lastRow="0" w:firstColumn="0" w:lastColumn="0" w:noHBand="0" w:noVBand="0"/>
      </w:tblPr>
      <w:tblGrid>
        <w:gridCol w:w="1277"/>
        <w:gridCol w:w="9355"/>
      </w:tblGrid>
      <w:tr w:rsidR="00806651" w:rsidRPr="0000591E" w14:paraId="17976F23" w14:textId="77777777" w:rsidTr="00670FEC">
        <w:trPr>
          <w:trHeight w:val="20"/>
        </w:trPr>
        <w:tc>
          <w:tcPr>
            <w:tcW w:w="1277" w:type="dxa"/>
            <w:tcBorders>
              <w:bottom w:val="single" w:sz="4" w:space="0" w:color="auto"/>
            </w:tcBorders>
            <w:noWrap/>
          </w:tcPr>
          <w:p w14:paraId="60A44571" w14:textId="77777777" w:rsidR="00E95DCA" w:rsidRDefault="00E95DCA" w:rsidP="00806651">
            <w:pPr>
              <w:jc w:val="both"/>
              <w:rPr>
                <w:rFonts w:ascii="Arial" w:hAnsi="Arial" w:cs="Arial"/>
                <w:b/>
                <w:bCs/>
                <w:sz w:val="20"/>
                <w:szCs w:val="20"/>
              </w:rPr>
            </w:pPr>
          </w:p>
          <w:p w14:paraId="77AABF23" w14:textId="00127F24"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L03AA02</w:t>
            </w:r>
          </w:p>
        </w:tc>
        <w:tc>
          <w:tcPr>
            <w:tcW w:w="9355" w:type="dxa"/>
            <w:tcBorders>
              <w:bottom w:val="single" w:sz="4" w:space="0" w:color="auto"/>
            </w:tcBorders>
          </w:tcPr>
          <w:p w14:paraId="6C73903B" w14:textId="77777777" w:rsidR="00806651" w:rsidRDefault="00806651" w:rsidP="00806651">
            <w:pPr>
              <w:jc w:val="both"/>
              <w:rPr>
                <w:rFonts w:ascii="Arial" w:hAnsi="Arial" w:cs="Arial"/>
                <w:b/>
                <w:bCs/>
                <w:sz w:val="20"/>
                <w:szCs w:val="20"/>
              </w:rPr>
            </w:pPr>
            <w:r w:rsidRPr="0000591E">
              <w:rPr>
                <w:rFonts w:ascii="Arial" w:hAnsi="Arial" w:cs="Arial"/>
                <w:b/>
                <w:bCs/>
                <w:sz w:val="20"/>
                <w:szCs w:val="20"/>
              </w:rPr>
              <w:t xml:space="preserve">Filgrastim parent. </w:t>
            </w:r>
            <w:r>
              <w:rPr>
                <w:rFonts w:ascii="Arial" w:hAnsi="Arial" w:cs="Arial"/>
                <w:b/>
                <w:bCs/>
                <w:sz w:val="20"/>
                <w:szCs w:val="20"/>
              </w:rPr>
              <w:t>300 mcg</w:t>
            </w:r>
          </w:p>
          <w:p w14:paraId="287124A4"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 xml:space="preserve">Filgrastim parent. </w:t>
            </w:r>
            <w:r>
              <w:rPr>
                <w:rFonts w:ascii="Arial" w:hAnsi="Arial" w:cs="Arial"/>
                <w:b/>
                <w:bCs/>
                <w:sz w:val="20"/>
                <w:szCs w:val="20"/>
              </w:rPr>
              <w:t>480 mcg</w:t>
            </w:r>
          </w:p>
        </w:tc>
      </w:tr>
      <w:tr w:rsidR="00806651" w:rsidRPr="0000591E" w14:paraId="30187171" w14:textId="77777777" w:rsidTr="00670FEC">
        <w:trPr>
          <w:trHeight w:val="20"/>
        </w:trPr>
        <w:tc>
          <w:tcPr>
            <w:tcW w:w="1277" w:type="dxa"/>
            <w:tcBorders>
              <w:top w:val="single" w:sz="4" w:space="0" w:color="auto"/>
              <w:bottom w:val="single" w:sz="4" w:space="0" w:color="BFBFBF" w:themeColor="background1" w:themeShade="BF"/>
            </w:tcBorders>
            <w:noWrap/>
          </w:tcPr>
          <w:p w14:paraId="278F571A" w14:textId="77777777" w:rsidR="00806651" w:rsidRPr="0000591E" w:rsidRDefault="00806651" w:rsidP="00806651">
            <w:pPr>
              <w:jc w:val="both"/>
              <w:rPr>
                <w:rFonts w:ascii="Arial" w:hAnsi="Arial" w:cs="Arial"/>
                <w:sz w:val="20"/>
                <w:szCs w:val="20"/>
                <w:lang w:eastAsia="cs-CZ"/>
              </w:rPr>
            </w:pPr>
          </w:p>
          <w:p w14:paraId="410D3B90" w14:textId="77777777" w:rsidR="00806651" w:rsidRPr="0000591E" w:rsidRDefault="00806651" w:rsidP="00806651">
            <w:pPr>
              <w:jc w:val="both"/>
              <w:rPr>
                <w:rFonts w:ascii="Arial" w:hAnsi="Arial" w:cs="Arial"/>
                <w:sz w:val="20"/>
                <w:szCs w:val="20"/>
                <w:lang w:eastAsia="cs-CZ"/>
              </w:rPr>
            </w:pPr>
          </w:p>
          <w:p w14:paraId="33B2E937" w14:textId="77777777" w:rsidR="00806651" w:rsidRPr="0000591E" w:rsidRDefault="00806651" w:rsidP="00806651">
            <w:pPr>
              <w:jc w:val="both"/>
              <w:rPr>
                <w:rFonts w:ascii="Arial" w:hAnsi="Arial" w:cs="Arial"/>
                <w:sz w:val="20"/>
                <w:szCs w:val="20"/>
                <w:lang w:eastAsia="cs-CZ"/>
              </w:rPr>
            </w:pPr>
          </w:p>
          <w:p w14:paraId="71A9BE04" w14:textId="77777777" w:rsidR="00806651" w:rsidRPr="0000591E" w:rsidRDefault="00806651" w:rsidP="00806651">
            <w:pPr>
              <w:jc w:val="both"/>
              <w:rPr>
                <w:rFonts w:ascii="Arial" w:hAnsi="Arial" w:cs="Arial"/>
                <w:sz w:val="20"/>
                <w:szCs w:val="20"/>
                <w:lang w:eastAsia="cs-CZ"/>
              </w:rPr>
            </w:pPr>
          </w:p>
          <w:p w14:paraId="17EB93E5"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3957628" w14:textId="77777777" w:rsidR="00806651" w:rsidRPr="0000591E" w:rsidRDefault="00806651" w:rsidP="00806651">
            <w:pPr>
              <w:rPr>
                <w:rFonts w:ascii="Arial" w:hAnsi="Arial" w:cs="Arial"/>
                <w:sz w:val="20"/>
                <w:szCs w:val="20"/>
              </w:rPr>
            </w:pPr>
            <w:r w:rsidRPr="0000591E">
              <w:rPr>
                <w:rFonts w:ascii="Arial" w:hAnsi="Arial" w:cs="Arial"/>
                <w:sz w:val="20"/>
                <w:szCs w:val="20"/>
              </w:rPr>
              <w:t>Hradená liečba sa môže indikovať pri</w:t>
            </w:r>
          </w:p>
          <w:p w14:paraId="57E2BEB0" w14:textId="77777777" w:rsidR="00806651" w:rsidRPr="0000591E" w:rsidRDefault="00806651">
            <w:pPr>
              <w:numPr>
                <w:ilvl w:val="0"/>
                <w:numId w:val="27"/>
              </w:numPr>
              <w:jc w:val="both"/>
              <w:rPr>
                <w:rFonts w:ascii="Arial" w:hAnsi="Arial" w:cs="Arial"/>
                <w:sz w:val="20"/>
                <w:szCs w:val="20"/>
              </w:rPr>
            </w:pPr>
            <w:r w:rsidRPr="0000591E">
              <w:rPr>
                <w:rFonts w:ascii="Arial" w:hAnsi="Arial" w:cs="Arial"/>
                <w:sz w:val="20"/>
                <w:szCs w:val="20"/>
              </w:rPr>
              <w:t>zbere kmeňových buniek na ich transplantáciu a vysokodávkovanú chemoterapiu,</w:t>
            </w:r>
          </w:p>
          <w:p w14:paraId="30BA3DD4" w14:textId="77777777" w:rsidR="00806651" w:rsidRPr="0000591E" w:rsidRDefault="00806651">
            <w:pPr>
              <w:numPr>
                <w:ilvl w:val="0"/>
                <w:numId w:val="27"/>
              </w:numPr>
              <w:jc w:val="both"/>
              <w:rPr>
                <w:rFonts w:ascii="Arial" w:hAnsi="Arial" w:cs="Arial"/>
                <w:sz w:val="20"/>
                <w:szCs w:val="20"/>
              </w:rPr>
            </w:pPr>
            <w:r w:rsidRPr="0000591E">
              <w:rPr>
                <w:rFonts w:ascii="Arial" w:hAnsi="Arial" w:cs="Arial"/>
                <w:sz w:val="20"/>
                <w:szCs w:val="20"/>
              </w:rPr>
              <w:t>neutropenickej život ohrozujúcej infekcii po predchádzajúcom cykle chemoterapie pri nádoroch vyliečiteľných chemoterapiou (akútna lymfoblastická a myeloblastická leukémia, nehodgkinovské lymfómy vysokého a stredného stupňa malignity, Hodgkinov lymfóm, karcinóm ovária a karcinóm prsníka v adjuvantnej denznej liečbe, testikulárne nádory, Ewingov sarkóm a osteogénny sarkóm pri vysokodávkovanej adjuvantnej liečbe),</w:t>
            </w:r>
          </w:p>
          <w:p w14:paraId="73E2CA53" w14:textId="77777777" w:rsidR="00806651" w:rsidRPr="0000591E" w:rsidRDefault="00806651">
            <w:pPr>
              <w:numPr>
                <w:ilvl w:val="0"/>
                <w:numId w:val="27"/>
              </w:numPr>
              <w:jc w:val="both"/>
              <w:rPr>
                <w:rFonts w:ascii="Arial" w:hAnsi="Arial" w:cs="Arial"/>
                <w:sz w:val="20"/>
                <w:szCs w:val="20"/>
              </w:rPr>
            </w:pPr>
            <w:r w:rsidRPr="0000591E">
              <w:rPr>
                <w:rFonts w:ascii="Arial" w:hAnsi="Arial" w:cs="Arial"/>
                <w:sz w:val="20"/>
                <w:szCs w:val="20"/>
              </w:rPr>
              <w:t>neutropenickej život ohrozujúcej infekcii (sepsa, pneumónia, pozitívna hemokultúra), ak do 48 hodín po antibiotickej liečbe nedôjde k ústupu alebo zlepšeniu infekcie,</w:t>
            </w:r>
          </w:p>
          <w:p w14:paraId="5E78C9F6" w14:textId="77777777" w:rsidR="00806651" w:rsidRPr="0000591E" w:rsidRDefault="00806651">
            <w:pPr>
              <w:numPr>
                <w:ilvl w:val="0"/>
                <w:numId w:val="27"/>
              </w:numPr>
              <w:jc w:val="both"/>
              <w:rPr>
                <w:rFonts w:ascii="Arial" w:hAnsi="Arial" w:cs="Arial"/>
                <w:sz w:val="20"/>
                <w:szCs w:val="20"/>
              </w:rPr>
            </w:pPr>
            <w:r w:rsidRPr="0000591E">
              <w:rPr>
                <w:rFonts w:ascii="Arial" w:hAnsi="Arial" w:cs="Arial"/>
                <w:sz w:val="20"/>
                <w:szCs w:val="20"/>
              </w:rPr>
              <w:t xml:space="preserve">akútnej lymfoblastickej leukémii, akútnej myeloblastickej leukémii, Hodgkinovom lymfóme, agresívnom non-Hodgkinovom lymfóme, testikulárnom nádore, karcinóme prsníka, nemalobunkovom karcinóme pľúc, osteogénnom sarkóme, Ewingovom </w:t>
            </w:r>
            <w:r w:rsidRPr="0000591E">
              <w:rPr>
                <w:rFonts w:ascii="Arial" w:hAnsi="Arial" w:cs="Arial"/>
                <w:spacing w:val="-1"/>
                <w:sz w:val="20"/>
                <w:szCs w:val="20"/>
              </w:rPr>
              <w:t xml:space="preserve">sarkóme a sarkóme mäkkého tkaniva na skrátenie doby trvania neutropénie a výskytu </w:t>
            </w:r>
            <w:r w:rsidRPr="0000591E">
              <w:rPr>
                <w:rFonts w:ascii="Arial" w:hAnsi="Arial" w:cs="Arial"/>
                <w:sz w:val="20"/>
                <w:szCs w:val="20"/>
              </w:rPr>
              <w:t>febrilnej neutropénie.</w:t>
            </w:r>
          </w:p>
          <w:p w14:paraId="5AE8CD4A" w14:textId="77777777" w:rsidR="00806651" w:rsidRPr="0000591E" w:rsidRDefault="00806651" w:rsidP="00806651">
            <w:pPr>
              <w:ind w:left="360"/>
              <w:jc w:val="both"/>
              <w:rPr>
                <w:rFonts w:ascii="Arial" w:hAnsi="Arial" w:cs="Arial"/>
                <w:sz w:val="20"/>
                <w:szCs w:val="20"/>
              </w:rPr>
            </w:pPr>
          </w:p>
        </w:tc>
      </w:tr>
      <w:tr w:rsidR="00806651" w:rsidRPr="0000591E" w14:paraId="7C6F1918" w14:textId="77777777" w:rsidTr="00670FEC">
        <w:trPr>
          <w:trHeight w:val="20"/>
        </w:trPr>
        <w:tc>
          <w:tcPr>
            <w:tcW w:w="1277" w:type="dxa"/>
            <w:tcBorders>
              <w:bottom w:val="single" w:sz="4" w:space="0" w:color="auto"/>
            </w:tcBorders>
            <w:noWrap/>
          </w:tcPr>
          <w:p w14:paraId="34C4C28F"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L03AA13</w:t>
            </w:r>
          </w:p>
        </w:tc>
        <w:tc>
          <w:tcPr>
            <w:tcW w:w="9355" w:type="dxa"/>
            <w:tcBorders>
              <w:bottom w:val="single" w:sz="4" w:space="0" w:color="auto"/>
            </w:tcBorders>
          </w:tcPr>
          <w:p w14:paraId="7B68BEDD"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 xml:space="preserve">Pegfilgrastím parent. </w:t>
            </w:r>
            <w:r w:rsidR="00050EB2">
              <w:rPr>
                <w:rFonts w:ascii="Arial" w:hAnsi="Arial" w:cs="Arial"/>
                <w:b/>
                <w:bCs/>
                <w:sz w:val="20"/>
                <w:szCs w:val="20"/>
              </w:rPr>
              <w:t>6 mg</w:t>
            </w:r>
          </w:p>
        </w:tc>
      </w:tr>
      <w:tr w:rsidR="00806651" w:rsidRPr="0000591E" w14:paraId="717BB838" w14:textId="77777777" w:rsidTr="00670FEC">
        <w:trPr>
          <w:trHeight w:val="20"/>
        </w:trPr>
        <w:tc>
          <w:tcPr>
            <w:tcW w:w="1277" w:type="dxa"/>
            <w:tcBorders>
              <w:top w:val="single" w:sz="4" w:space="0" w:color="auto"/>
              <w:bottom w:val="single" w:sz="4" w:space="0" w:color="BFBFBF" w:themeColor="background1" w:themeShade="BF"/>
            </w:tcBorders>
            <w:noWrap/>
          </w:tcPr>
          <w:p w14:paraId="4D22B4D0" w14:textId="77777777" w:rsidR="00806651" w:rsidRPr="0000591E" w:rsidRDefault="00806651" w:rsidP="00806651">
            <w:pPr>
              <w:jc w:val="both"/>
              <w:rPr>
                <w:rFonts w:ascii="Arial" w:hAnsi="Arial" w:cs="Arial"/>
                <w:sz w:val="20"/>
                <w:szCs w:val="20"/>
                <w:lang w:eastAsia="cs-CZ"/>
              </w:rPr>
            </w:pPr>
          </w:p>
          <w:p w14:paraId="477F7C95" w14:textId="77777777" w:rsidR="00806651" w:rsidRPr="0000591E" w:rsidRDefault="00806651" w:rsidP="00806651">
            <w:pPr>
              <w:jc w:val="both"/>
              <w:rPr>
                <w:rFonts w:ascii="Arial" w:hAnsi="Arial" w:cs="Arial"/>
                <w:sz w:val="20"/>
                <w:szCs w:val="20"/>
                <w:lang w:eastAsia="cs-CZ"/>
              </w:rPr>
            </w:pPr>
          </w:p>
          <w:p w14:paraId="00DB44FD" w14:textId="77777777" w:rsidR="00806651" w:rsidRPr="0000591E" w:rsidRDefault="00806651" w:rsidP="00806651">
            <w:pPr>
              <w:jc w:val="both"/>
              <w:rPr>
                <w:rFonts w:ascii="Arial" w:hAnsi="Arial" w:cs="Arial"/>
                <w:sz w:val="20"/>
                <w:szCs w:val="20"/>
                <w:lang w:eastAsia="cs-CZ"/>
              </w:rPr>
            </w:pPr>
          </w:p>
          <w:p w14:paraId="76F23DC0" w14:textId="77777777" w:rsidR="00806651" w:rsidRPr="0000591E" w:rsidRDefault="00806651" w:rsidP="00806651">
            <w:pPr>
              <w:jc w:val="both"/>
              <w:rPr>
                <w:rFonts w:ascii="Arial" w:hAnsi="Arial" w:cs="Arial"/>
                <w:sz w:val="20"/>
                <w:szCs w:val="20"/>
                <w:lang w:eastAsia="cs-CZ"/>
              </w:rPr>
            </w:pPr>
          </w:p>
          <w:p w14:paraId="4637F685" w14:textId="77777777" w:rsidR="00806651" w:rsidRPr="0000591E" w:rsidRDefault="00806651" w:rsidP="00806651">
            <w:pPr>
              <w:jc w:val="both"/>
              <w:rPr>
                <w:rFonts w:ascii="Arial" w:hAnsi="Arial" w:cs="Arial"/>
                <w:sz w:val="20"/>
                <w:szCs w:val="20"/>
                <w:lang w:eastAsia="cs-CZ"/>
              </w:rPr>
            </w:pPr>
          </w:p>
          <w:p w14:paraId="6BF936CA"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2B7C17E" w14:textId="77777777" w:rsidR="00806651" w:rsidRPr="0000591E" w:rsidRDefault="00806651" w:rsidP="00806651">
            <w:pPr>
              <w:ind w:left="11"/>
              <w:rPr>
                <w:rFonts w:ascii="Arial" w:hAnsi="Arial" w:cs="Arial"/>
                <w:sz w:val="20"/>
                <w:szCs w:val="20"/>
              </w:rPr>
            </w:pPr>
            <w:r w:rsidRPr="0000591E">
              <w:rPr>
                <w:rFonts w:ascii="Arial" w:hAnsi="Arial" w:cs="Arial"/>
                <w:sz w:val="20"/>
                <w:szCs w:val="20"/>
              </w:rPr>
              <w:t>Hradená liečba sa môže indikovať pri</w:t>
            </w:r>
          </w:p>
          <w:p w14:paraId="6E86DE01" w14:textId="77777777" w:rsidR="00806651" w:rsidRPr="0000591E" w:rsidRDefault="00806651">
            <w:pPr>
              <w:numPr>
                <w:ilvl w:val="0"/>
                <w:numId w:val="28"/>
              </w:numPr>
              <w:jc w:val="both"/>
              <w:rPr>
                <w:rFonts w:ascii="Arial" w:hAnsi="Arial" w:cs="Arial"/>
                <w:sz w:val="20"/>
                <w:szCs w:val="20"/>
              </w:rPr>
            </w:pPr>
            <w:r w:rsidRPr="0000591E">
              <w:rPr>
                <w:rFonts w:ascii="Arial" w:hAnsi="Arial" w:cs="Arial"/>
                <w:sz w:val="20"/>
                <w:szCs w:val="20"/>
              </w:rPr>
              <w:t>neutropenickej život ohrozujúcej infekcii po predchádzajúcom cykle chemoterapie pri nádoroch vyliečiteľných chemoterapiou (akútna lymfoblastická leukémia, nehodgkinovské lymfómy vysokého a stredného stupňa malignity, testikulárne nádory, Ewingov sarkóm a osteogénny sarkóm pri vysokodávkovanej adjuvantnej liečbe),</w:t>
            </w:r>
          </w:p>
          <w:p w14:paraId="46FFC765" w14:textId="77777777" w:rsidR="00806651" w:rsidRPr="0000591E" w:rsidRDefault="00806651">
            <w:pPr>
              <w:numPr>
                <w:ilvl w:val="0"/>
                <w:numId w:val="28"/>
              </w:numPr>
              <w:jc w:val="both"/>
              <w:rPr>
                <w:rFonts w:ascii="Arial" w:hAnsi="Arial" w:cs="Arial"/>
                <w:sz w:val="20"/>
                <w:szCs w:val="20"/>
              </w:rPr>
            </w:pPr>
            <w:r w:rsidRPr="0000591E">
              <w:rPr>
                <w:rFonts w:ascii="Arial" w:hAnsi="Arial" w:cs="Arial"/>
                <w:sz w:val="20"/>
                <w:szCs w:val="20"/>
              </w:rPr>
              <w:t>neutropenickej život ohrozujúcej infekcii (sepsa, pneumónia, pozitívna hemokultúra), ak do 48 hodín po antibiotickej liečbe nedôjde k ústupu alebo zlepšeniu infekcie,</w:t>
            </w:r>
          </w:p>
          <w:p w14:paraId="5D91516B" w14:textId="77777777" w:rsidR="00806651" w:rsidRPr="0000591E" w:rsidRDefault="00806651">
            <w:pPr>
              <w:numPr>
                <w:ilvl w:val="0"/>
                <w:numId w:val="28"/>
              </w:numPr>
              <w:jc w:val="both"/>
              <w:rPr>
                <w:rFonts w:ascii="Arial" w:hAnsi="Arial" w:cs="Arial"/>
                <w:sz w:val="20"/>
                <w:szCs w:val="20"/>
              </w:rPr>
            </w:pPr>
            <w:r w:rsidRPr="0000591E">
              <w:rPr>
                <w:rFonts w:ascii="Arial" w:hAnsi="Arial" w:cs="Arial"/>
                <w:sz w:val="20"/>
                <w:szCs w:val="20"/>
              </w:rPr>
              <w:t>akútnej lymfoblastickej leukémii, akútnej myeloblastickej leukémii, Hodgkinovom lymfóme, agresívnom non-Hodgkinovom lymfóme, testikulárnom nádore, karcinóme prsníka, nemalobunkovom a malobunkovom karcinóme pľúc, osteogénnom sarkóme, Ewingovom sarkóme a sarkóme mäkkého tkaniva, karcinóme žalúdka, karcinóme hlavy a krku a ovariálnom karcinóme na skrátenie doby trvania neutropénie a výskytu febrilnej neutropénie.</w:t>
            </w:r>
          </w:p>
          <w:p w14:paraId="2AED6D02" w14:textId="77777777" w:rsidR="00806651" w:rsidRPr="0000591E" w:rsidRDefault="00806651" w:rsidP="00806651">
            <w:pPr>
              <w:jc w:val="both"/>
              <w:rPr>
                <w:rFonts w:ascii="Arial" w:hAnsi="Arial" w:cs="Arial"/>
                <w:sz w:val="20"/>
                <w:szCs w:val="20"/>
              </w:rPr>
            </w:pPr>
          </w:p>
        </w:tc>
      </w:tr>
      <w:tr w:rsidR="00806651" w:rsidRPr="0000591E" w14:paraId="288D8D90" w14:textId="77777777" w:rsidTr="00670FEC">
        <w:trPr>
          <w:trHeight w:val="20"/>
        </w:trPr>
        <w:tc>
          <w:tcPr>
            <w:tcW w:w="1277" w:type="dxa"/>
            <w:tcBorders>
              <w:bottom w:val="single" w:sz="4" w:space="0" w:color="auto"/>
            </w:tcBorders>
            <w:noWrap/>
          </w:tcPr>
          <w:p w14:paraId="32573C06"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L03AA1</w:t>
            </w:r>
            <w:r>
              <w:rPr>
                <w:rFonts w:ascii="Arial" w:hAnsi="Arial" w:cs="Arial"/>
                <w:b/>
                <w:bCs/>
                <w:sz w:val="20"/>
                <w:szCs w:val="20"/>
              </w:rPr>
              <w:t>4</w:t>
            </w:r>
          </w:p>
        </w:tc>
        <w:tc>
          <w:tcPr>
            <w:tcW w:w="9355" w:type="dxa"/>
            <w:tcBorders>
              <w:bottom w:val="single" w:sz="4" w:space="0" w:color="auto"/>
            </w:tcBorders>
          </w:tcPr>
          <w:p w14:paraId="57A6796F" w14:textId="77777777" w:rsidR="00806651" w:rsidRPr="0000591E" w:rsidRDefault="00806651" w:rsidP="00806651">
            <w:pPr>
              <w:jc w:val="both"/>
              <w:rPr>
                <w:rFonts w:ascii="Arial" w:hAnsi="Arial" w:cs="Arial"/>
                <w:b/>
                <w:bCs/>
                <w:sz w:val="20"/>
                <w:szCs w:val="20"/>
                <w:lang w:eastAsia="cs-CZ"/>
              </w:rPr>
            </w:pPr>
            <w:r w:rsidRPr="003C7DAA">
              <w:rPr>
                <w:rFonts w:ascii="Arial" w:hAnsi="Arial" w:cs="Arial"/>
                <w:b/>
                <w:bCs/>
                <w:sz w:val="20"/>
                <w:szCs w:val="20"/>
              </w:rPr>
              <w:t>Lipegfilgrastim s.c. 6 mg</w:t>
            </w:r>
            <w:r w:rsidRPr="0000591E">
              <w:rPr>
                <w:rFonts w:ascii="Arial" w:hAnsi="Arial" w:cs="Arial"/>
                <w:b/>
                <w:bCs/>
                <w:sz w:val="20"/>
                <w:szCs w:val="20"/>
              </w:rPr>
              <w:t xml:space="preserve"> </w:t>
            </w:r>
          </w:p>
        </w:tc>
      </w:tr>
      <w:tr w:rsidR="00806651" w:rsidRPr="0000591E" w14:paraId="3B2096B5" w14:textId="77777777" w:rsidTr="00670FEC">
        <w:trPr>
          <w:trHeight w:val="20"/>
        </w:trPr>
        <w:tc>
          <w:tcPr>
            <w:tcW w:w="1277" w:type="dxa"/>
            <w:tcBorders>
              <w:top w:val="single" w:sz="4" w:space="0" w:color="auto"/>
              <w:bottom w:val="single" w:sz="4" w:space="0" w:color="BFBFBF" w:themeColor="background1" w:themeShade="BF"/>
            </w:tcBorders>
            <w:noWrap/>
          </w:tcPr>
          <w:p w14:paraId="597C98EA" w14:textId="77777777" w:rsidR="00806651" w:rsidRPr="0000591E" w:rsidRDefault="00806651" w:rsidP="00806651">
            <w:pPr>
              <w:jc w:val="both"/>
              <w:rPr>
                <w:rFonts w:ascii="Arial" w:hAnsi="Arial" w:cs="Arial"/>
                <w:sz w:val="20"/>
                <w:szCs w:val="20"/>
                <w:lang w:eastAsia="cs-CZ"/>
              </w:rPr>
            </w:pPr>
          </w:p>
          <w:p w14:paraId="1C032D6A" w14:textId="77777777" w:rsidR="00806651" w:rsidRPr="0000591E" w:rsidRDefault="00806651" w:rsidP="00806651">
            <w:pPr>
              <w:jc w:val="both"/>
              <w:rPr>
                <w:rFonts w:ascii="Arial" w:hAnsi="Arial" w:cs="Arial"/>
                <w:sz w:val="20"/>
                <w:szCs w:val="20"/>
                <w:lang w:eastAsia="cs-CZ"/>
              </w:rPr>
            </w:pPr>
          </w:p>
          <w:p w14:paraId="40F1FE45" w14:textId="77777777" w:rsidR="00806651" w:rsidRPr="0000591E" w:rsidRDefault="00806651" w:rsidP="00806651">
            <w:pPr>
              <w:jc w:val="both"/>
              <w:rPr>
                <w:rFonts w:ascii="Arial" w:hAnsi="Arial" w:cs="Arial"/>
                <w:sz w:val="20"/>
                <w:szCs w:val="20"/>
                <w:lang w:eastAsia="cs-CZ"/>
              </w:rPr>
            </w:pPr>
          </w:p>
          <w:p w14:paraId="1EB470D7" w14:textId="77777777" w:rsidR="00806651" w:rsidRPr="0000591E" w:rsidRDefault="00806651" w:rsidP="00806651">
            <w:pPr>
              <w:jc w:val="both"/>
              <w:rPr>
                <w:rFonts w:ascii="Arial" w:hAnsi="Arial" w:cs="Arial"/>
                <w:sz w:val="20"/>
                <w:szCs w:val="20"/>
                <w:lang w:eastAsia="cs-CZ"/>
              </w:rPr>
            </w:pPr>
          </w:p>
          <w:p w14:paraId="0B599E6F" w14:textId="77777777" w:rsidR="00806651" w:rsidRPr="0000591E" w:rsidRDefault="00806651" w:rsidP="00806651">
            <w:pPr>
              <w:jc w:val="both"/>
              <w:rPr>
                <w:rFonts w:ascii="Arial" w:hAnsi="Arial" w:cs="Arial"/>
                <w:sz w:val="20"/>
                <w:szCs w:val="20"/>
                <w:lang w:eastAsia="cs-CZ"/>
              </w:rPr>
            </w:pPr>
          </w:p>
          <w:p w14:paraId="081FAFE4"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2AB6DB5" w14:textId="77777777" w:rsidR="00806651" w:rsidRPr="003C7DAA" w:rsidRDefault="00806651" w:rsidP="00806651">
            <w:pPr>
              <w:ind w:left="11"/>
              <w:rPr>
                <w:rFonts w:ascii="Arial" w:hAnsi="Arial" w:cs="Arial"/>
                <w:sz w:val="20"/>
                <w:szCs w:val="20"/>
              </w:rPr>
            </w:pPr>
            <w:r w:rsidRPr="003C7DAA">
              <w:rPr>
                <w:rFonts w:ascii="Arial" w:hAnsi="Arial" w:cs="Arial"/>
                <w:sz w:val="20"/>
                <w:szCs w:val="20"/>
              </w:rPr>
              <w:t>Hradená liečba sa môže indikovať pri</w:t>
            </w:r>
          </w:p>
          <w:p w14:paraId="459C9537" w14:textId="77777777" w:rsidR="00806651" w:rsidRDefault="00806651">
            <w:pPr>
              <w:numPr>
                <w:ilvl w:val="0"/>
                <w:numId w:val="81"/>
              </w:numPr>
              <w:jc w:val="both"/>
              <w:rPr>
                <w:rFonts w:ascii="Arial" w:hAnsi="Arial" w:cs="Arial"/>
                <w:sz w:val="20"/>
                <w:szCs w:val="20"/>
              </w:rPr>
            </w:pPr>
            <w:r w:rsidRPr="003C7DAA">
              <w:rPr>
                <w:rFonts w:ascii="Arial" w:hAnsi="Arial" w:cs="Arial"/>
                <w:sz w:val="20"/>
                <w:szCs w:val="20"/>
              </w:rPr>
              <w:t>neutropenickej život ohrozujúcej infekcii po predchádzajúcom cykle chemoterapie pri nádoroch vyliečiteľných chemoterapiou (akútna lymfoblastická leukémia, nehodgkinovské lymfómy vysokého a stredného stupňa malignity, testikulárne nádory, Ewingov sarkóm a osteogénny sarkóm pri vysokodávkovanej adjuvantnej liečbe),</w:t>
            </w:r>
          </w:p>
          <w:p w14:paraId="23153E5E" w14:textId="77777777" w:rsidR="00806651" w:rsidRDefault="00806651">
            <w:pPr>
              <w:numPr>
                <w:ilvl w:val="0"/>
                <w:numId w:val="81"/>
              </w:numPr>
              <w:jc w:val="both"/>
              <w:rPr>
                <w:rFonts w:ascii="Arial" w:hAnsi="Arial" w:cs="Arial"/>
                <w:sz w:val="20"/>
                <w:szCs w:val="20"/>
              </w:rPr>
            </w:pPr>
            <w:r w:rsidRPr="003C7DAA">
              <w:rPr>
                <w:rFonts w:ascii="Arial" w:hAnsi="Arial" w:cs="Arial"/>
                <w:sz w:val="20"/>
                <w:szCs w:val="20"/>
              </w:rPr>
              <w:t xml:space="preserve">neutropenickej život ohrozujúcej infekcii (sepsa, pneumónia, pozitívna hemokultúra), ak do 48 hodín po antibiotickej liečbe nedôjde k ústupu alebo zlepšeniu infekcie, </w:t>
            </w:r>
          </w:p>
          <w:p w14:paraId="01065865" w14:textId="77777777" w:rsidR="00806651" w:rsidRPr="003C7DAA" w:rsidRDefault="00806651">
            <w:pPr>
              <w:numPr>
                <w:ilvl w:val="0"/>
                <w:numId w:val="81"/>
              </w:numPr>
              <w:jc w:val="both"/>
              <w:rPr>
                <w:rFonts w:ascii="Arial" w:hAnsi="Arial" w:cs="Arial"/>
                <w:sz w:val="20"/>
                <w:szCs w:val="20"/>
              </w:rPr>
            </w:pPr>
            <w:r w:rsidRPr="003C7DAA">
              <w:rPr>
                <w:rFonts w:ascii="Arial" w:hAnsi="Arial" w:cs="Arial"/>
                <w:sz w:val="20"/>
                <w:szCs w:val="20"/>
              </w:rPr>
              <w:t>akútnej lymfoblastickej leukémii, akútnej myeloblastickej leukémii, Hodgkinovom lymfóme, agresívnom non-Hodgkinovom lymfóme, testikulárnom nádore, karcinóme prsníka, nemalobunkovom a malobunkovom karcinóme pľúc, osteogénnom sarkóme, Ewingovom sarkóme a sarkóme mäkkého tkaniva, karcinóme žalúdka, karcinóme hlavy a krku a ovariálnom karcinóme na skrátenie doby trvania neutropénie a výskytu febrilnej neutropénie.</w:t>
            </w:r>
          </w:p>
          <w:p w14:paraId="6B79CFAA" w14:textId="77777777" w:rsidR="00806651" w:rsidRPr="0000591E" w:rsidRDefault="00806651" w:rsidP="00806651">
            <w:pPr>
              <w:jc w:val="both"/>
              <w:rPr>
                <w:rFonts w:ascii="Arial" w:hAnsi="Arial" w:cs="Arial"/>
                <w:sz w:val="20"/>
                <w:szCs w:val="20"/>
              </w:rPr>
            </w:pPr>
          </w:p>
        </w:tc>
      </w:tr>
      <w:tr w:rsidR="00806651" w:rsidRPr="0000591E" w14:paraId="00AC9FEA" w14:textId="77777777" w:rsidTr="00670FEC">
        <w:trPr>
          <w:trHeight w:val="20"/>
        </w:trPr>
        <w:tc>
          <w:tcPr>
            <w:tcW w:w="1277" w:type="dxa"/>
            <w:tcBorders>
              <w:bottom w:val="single" w:sz="4" w:space="0" w:color="auto"/>
            </w:tcBorders>
            <w:noWrap/>
          </w:tcPr>
          <w:p w14:paraId="47996187" w14:textId="77777777" w:rsidR="00E95DCA" w:rsidRDefault="00E95DCA" w:rsidP="00806651">
            <w:pPr>
              <w:rPr>
                <w:rFonts w:ascii="Arial" w:hAnsi="Arial" w:cs="Arial"/>
                <w:b/>
                <w:bCs/>
                <w:sz w:val="20"/>
                <w:szCs w:val="20"/>
              </w:rPr>
            </w:pPr>
          </w:p>
          <w:p w14:paraId="6C427CFC" w14:textId="3E43BC3E"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L03AB07</w:t>
            </w:r>
          </w:p>
        </w:tc>
        <w:tc>
          <w:tcPr>
            <w:tcW w:w="9355" w:type="dxa"/>
            <w:tcBorders>
              <w:bottom w:val="single" w:sz="4" w:space="0" w:color="auto"/>
            </w:tcBorders>
          </w:tcPr>
          <w:p w14:paraId="4DC1CA94" w14:textId="77777777" w:rsidR="00180E41" w:rsidRDefault="00180E41" w:rsidP="00806651">
            <w:pPr>
              <w:jc w:val="both"/>
              <w:rPr>
                <w:rFonts w:ascii="Arial" w:hAnsi="Arial" w:cs="Arial"/>
                <w:b/>
                <w:bCs/>
                <w:sz w:val="20"/>
                <w:szCs w:val="20"/>
              </w:rPr>
            </w:pPr>
            <w:r w:rsidRPr="0000591E">
              <w:rPr>
                <w:rFonts w:ascii="Arial" w:hAnsi="Arial" w:cs="Arial"/>
                <w:b/>
                <w:bCs/>
                <w:sz w:val="20"/>
                <w:szCs w:val="20"/>
              </w:rPr>
              <w:t xml:space="preserve">Interferón beta-1a parent. </w:t>
            </w:r>
            <w:r>
              <w:rPr>
                <w:rFonts w:ascii="Arial" w:hAnsi="Arial" w:cs="Arial"/>
                <w:b/>
                <w:bCs/>
                <w:sz w:val="20"/>
                <w:szCs w:val="20"/>
              </w:rPr>
              <w:t>44 µg</w:t>
            </w:r>
          </w:p>
          <w:p w14:paraId="1E85737F" w14:textId="77777777" w:rsidR="00180E41" w:rsidRPr="0000591E" w:rsidRDefault="00180E41" w:rsidP="00806651">
            <w:pPr>
              <w:jc w:val="both"/>
              <w:rPr>
                <w:rFonts w:ascii="Arial" w:hAnsi="Arial" w:cs="Arial"/>
                <w:b/>
                <w:bCs/>
                <w:sz w:val="20"/>
                <w:szCs w:val="20"/>
              </w:rPr>
            </w:pPr>
            <w:r w:rsidRPr="0000591E">
              <w:rPr>
                <w:rFonts w:ascii="Arial" w:hAnsi="Arial" w:cs="Arial"/>
                <w:b/>
                <w:bCs/>
                <w:sz w:val="20"/>
                <w:szCs w:val="20"/>
              </w:rPr>
              <w:t xml:space="preserve">Interferón beta-1a parent. </w:t>
            </w:r>
            <w:r>
              <w:rPr>
                <w:rFonts w:ascii="Arial" w:hAnsi="Arial" w:cs="Arial"/>
                <w:b/>
                <w:bCs/>
                <w:sz w:val="20"/>
                <w:szCs w:val="20"/>
              </w:rPr>
              <w:t>132 µg</w:t>
            </w:r>
          </w:p>
        </w:tc>
      </w:tr>
      <w:tr w:rsidR="00806651" w:rsidRPr="0000591E" w14:paraId="51B07EF6" w14:textId="77777777" w:rsidTr="00670FEC">
        <w:trPr>
          <w:gridBefore w:val="1"/>
          <w:wBefore w:w="1277" w:type="dxa"/>
          <w:trHeight w:val="20"/>
        </w:trPr>
        <w:tc>
          <w:tcPr>
            <w:tcW w:w="9355" w:type="dxa"/>
          </w:tcPr>
          <w:p w14:paraId="797F8023" w14:textId="77777777" w:rsidR="00806651" w:rsidRPr="00C7580E" w:rsidRDefault="00806651" w:rsidP="00806651">
            <w:p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Hradená liečba sa môže indikovať u pacientov </w:t>
            </w:r>
          </w:p>
          <w:p w14:paraId="2B63BE65" w14:textId="77777777" w:rsidR="00806651" w:rsidRPr="00C7580E" w:rsidRDefault="00806651">
            <w:pPr>
              <w:numPr>
                <w:ilvl w:val="0"/>
                <w:numId w:val="94"/>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s diagnózou relapsujúco-remitujúcej formy SM podľa McDonaldových kritérií (2010), ktorých neurologický deficit je do 4,0 EDSS vrátane. Pre potvrdenie diagnózy SM je potrebné vyšetrenie likvoru, </w:t>
            </w:r>
          </w:p>
          <w:p w14:paraId="2C8BFB7D" w14:textId="77777777" w:rsidR="00806651" w:rsidRPr="00C7580E" w:rsidRDefault="00806651">
            <w:pPr>
              <w:numPr>
                <w:ilvl w:val="0"/>
                <w:numId w:val="94"/>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s diagnózou sekundárne progresívnej formy SM v aktívnej fáze manifestujúcej sa relapsami (minimálne jeden zdokumentovaný a liečený atak za posledný rok) a ich neurologický deficit je do 5,5 EDSS vrátane). </w:t>
            </w:r>
          </w:p>
          <w:p w14:paraId="113BB93D" w14:textId="77777777" w:rsidR="00806651" w:rsidRPr="00C7580E" w:rsidRDefault="00806651" w:rsidP="00806651">
            <w:p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Ďalšia liečba nie je hradenou liečbou, ak je zistené aspoň jedno z týchto kritérií: </w:t>
            </w:r>
          </w:p>
          <w:p w14:paraId="3B3E0FEF"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v priebehu 12 mesiacov nezmenený alebo zvýšený počet relapsov ako na predchádzajúcej liečbe,</w:t>
            </w:r>
          </w:p>
          <w:p w14:paraId="56F61532"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zvýšenie EDSS o jeden stupeň v priebehu jedného roka, </w:t>
            </w:r>
          </w:p>
          <w:p w14:paraId="3998030B"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pribudnutie 2 a viac T2 hyperintenzitných lézií alebo 1 a viac gadolíniom zvýrazňujúcich sa T1 lézií za predchádzajúcich 12 mesiacov liečby, </w:t>
            </w:r>
          </w:p>
          <w:p w14:paraId="17B99BB5"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chýbajúca expresia MxA proteínu stanovená každé dva roky od začatia liečby, </w:t>
            </w:r>
          </w:p>
          <w:p w14:paraId="46973902"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Pr>
                <w:rFonts w:ascii="Arial" w:hAnsi="Arial" w:cs="Arial"/>
                <w:iCs/>
                <w:sz w:val="20"/>
                <w:szCs w:val="20"/>
              </w:rPr>
              <w:t>EDSS 6 a viac.</w:t>
            </w:r>
          </w:p>
          <w:p w14:paraId="3272DBCB" w14:textId="77777777" w:rsidR="00806651" w:rsidRPr="0000591E" w:rsidRDefault="00806651" w:rsidP="00806651">
            <w:pPr>
              <w:pStyle w:val="BodyTextIndent1"/>
              <w:ind w:left="0" w:firstLine="0"/>
              <w:jc w:val="both"/>
            </w:pPr>
          </w:p>
          <w:p w14:paraId="7B66BAF5" w14:textId="77777777" w:rsidR="00806651" w:rsidRPr="0000591E" w:rsidRDefault="00806651" w:rsidP="00BA27D4">
            <w:pPr>
              <w:pStyle w:val="BodyTextIndent1"/>
              <w:ind w:left="35" w:firstLine="0"/>
              <w:jc w:val="both"/>
            </w:pPr>
            <w:r w:rsidRPr="0000591E">
              <w:t>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w:t>
            </w:r>
            <w:r>
              <w:t>,</w:t>
            </w:r>
            <w:r w:rsidRPr="0000591E">
              <w:t> na neurologickom oddelení Fakultnej nemocnice Trenčín</w:t>
            </w:r>
            <w:r>
              <w:t xml:space="preserve"> </w:t>
            </w:r>
            <w:r w:rsidRPr="00B957E1">
              <w:t>a na neurologickom oddelení Nemocnice svätého Michala a.s. Bratislava</w:t>
            </w:r>
            <w:r w:rsidR="00816B28">
              <w:t xml:space="preserve"> a na Neurologickej klinike Fakultnej nemocnice s poliklinikou Nové Zámky</w:t>
            </w:r>
            <w:r w:rsidR="009A0EE9">
              <w:t xml:space="preserve">  a na Špecializovanej neurologickej ambulancii, Liptovská nemocnica s poliklinikou MUDr. Ivana Stodolu Liptovský Mikuláš</w:t>
            </w:r>
            <w:r w:rsidR="00BA27D4">
              <w:t>, na Neurologickom oddelení Nemocnice AGEL Levoča a.s. a na Špecializovanej neurologickej ambulancii Nemocnice AGEL Komárno s.r.o..</w:t>
            </w:r>
          </w:p>
          <w:p w14:paraId="6CF36D2E" w14:textId="77777777" w:rsidR="00806651" w:rsidRPr="0000591E" w:rsidRDefault="00806651" w:rsidP="009903AA">
            <w:pPr>
              <w:rPr>
                <w:rFonts w:ascii="Arial" w:hAnsi="Arial" w:cs="Arial"/>
                <w:sz w:val="20"/>
                <w:szCs w:val="20"/>
              </w:rPr>
            </w:pPr>
          </w:p>
        </w:tc>
      </w:tr>
      <w:tr w:rsidR="00806651" w:rsidRPr="0000591E" w14:paraId="2D4F4DE7" w14:textId="77777777" w:rsidTr="00670FEC">
        <w:trPr>
          <w:trHeight w:val="20"/>
        </w:trPr>
        <w:tc>
          <w:tcPr>
            <w:tcW w:w="1277" w:type="dxa"/>
            <w:tcBorders>
              <w:bottom w:val="single" w:sz="4" w:space="0" w:color="auto"/>
            </w:tcBorders>
            <w:noWrap/>
          </w:tcPr>
          <w:p w14:paraId="7B0389F1" w14:textId="77777777"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L03AB07</w:t>
            </w:r>
          </w:p>
        </w:tc>
        <w:tc>
          <w:tcPr>
            <w:tcW w:w="9355" w:type="dxa"/>
            <w:tcBorders>
              <w:bottom w:val="single" w:sz="4" w:space="0" w:color="auto"/>
            </w:tcBorders>
          </w:tcPr>
          <w:p w14:paraId="51CFD5F1" w14:textId="77777777"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Inte</w:t>
            </w:r>
            <w:r w:rsidR="00592743">
              <w:rPr>
                <w:rFonts w:ascii="Arial" w:hAnsi="Arial" w:cs="Arial"/>
                <w:b/>
                <w:bCs/>
                <w:sz w:val="20"/>
                <w:szCs w:val="20"/>
              </w:rPr>
              <w:t>rferón beta-1a parent. 30 µg</w:t>
            </w:r>
          </w:p>
        </w:tc>
      </w:tr>
      <w:tr w:rsidR="00806651" w:rsidRPr="0000591E" w14:paraId="5FC86F31" w14:textId="77777777" w:rsidTr="00670FEC">
        <w:trPr>
          <w:trHeight w:val="20"/>
        </w:trPr>
        <w:tc>
          <w:tcPr>
            <w:tcW w:w="1277" w:type="dxa"/>
            <w:tcBorders>
              <w:bottom w:val="single" w:sz="4" w:space="0" w:color="BFBFBF" w:themeColor="background1" w:themeShade="BF"/>
            </w:tcBorders>
            <w:noWrap/>
          </w:tcPr>
          <w:p w14:paraId="566C581B" w14:textId="77777777" w:rsidR="00806651" w:rsidRPr="0000591E" w:rsidRDefault="00806651" w:rsidP="00806651">
            <w:pPr>
              <w:jc w:val="both"/>
              <w:rPr>
                <w:rFonts w:ascii="Arial" w:hAnsi="Arial" w:cs="Arial"/>
                <w:b/>
                <w:bCs/>
                <w:sz w:val="20"/>
                <w:szCs w:val="20"/>
              </w:rPr>
            </w:pPr>
          </w:p>
        </w:tc>
        <w:tc>
          <w:tcPr>
            <w:tcW w:w="9355" w:type="dxa"/>
            <w:tcBorders>
              <w:bottom w:val="single" w:sz="4" w:space="0" w:color="BFBFBF" w:themeColor="background1" w:themeShade="BF"/>
            </w:tcBorders>
          </w:tcPr>
          <w:p w14:paraId="157CDEB3" w14:textId="77777777" w:rsidR="00806651" w:rsidRPr="004444F8" w:rsidRDefault="00806651" w:rsidP="00806651">
            <w:p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Hradená liečba sa môže indikovať u pacientov </w:t>
            </w:r>
          </w:p>
          <w:p w14:paraId="7278392A" w14:textId="77777777" w:rsidR="00806651" w:rsidRPr="004444F8" w:rsidRDefault="00806651">
            <w:pPr>
              <w:numPr>
                <w:ilvl w:val="0"/>
                <w:numId w:val="96"/>
              </w:numPr>
              <w:autoSpaceDE w:val="0"/>
              <w:autoSpaceDN w:val="0"/>
              <w:adjustRightInd w:val="0"/>
              <w:jc w:val="both"/>
              <w:rPr>
                <w:rFonts w:ascii="Arial" w:hAnsi="Arial" w:cs="Arial"/>
                <w:iCs/>
                <w:sz w:val="20"/>
                <w:szCs w:val="20"/>
              </w:rPr>
            </w:pPr>
            <w:r w:rsidRPr="004444F8">
              <w:rPr>
                <w:rFonts w:ascii="Arial" w:hAnsi="Arial" w:cs="Arial"/>
                <w:iCs/>
                <w:sz w:val="20"/>
                <w:szCs w:val="20"/>
              </w:rPr>
              <w:t>s diagnózou relapsujúco-remitujúcej formy SM podľa McDonaldových kritérií (2010), ktorých neurologický deficit je do 4,0 EDSS vrátane. Pre potvrdenie diagnózy SM je potrebné vyšetrenie likvoru,</w:t>
            </w:r>
          </w:p>
          <w:p w14:paraId="0935ECAF" w14:textId="77777777" w:rsidR="00806651" w:rsidRPr="004444F8" w:rsidRDefault="00806651">
            <w:pPr>
              <w:numPr>
                <w:ilvl w:val="0"/>
                <w:numId w:val="96"/>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ktorí prekonali klinický definovanú izolovanú demyelinizačnú príhodu s aktívnym zápalovým procesom a MR preukázanou disemináciou v čase a priestore, ak je tak závažná, že si vyžaduje liečbu intravenóznymi kortikosteroidmi, ak boli vylúčené alternatívne diagnózy a ak sa zistilo, že majú vysoké riziko rozvoja klinicky dokázanej definitívnej formy SM. </w:t>
            </w:r>
          </w:p>
          <w:p w14:paraId="74C5A2C1" w14:textId="77777777" w:rsidR="00806651" w:rsidRPr="004444F8" w:rsidRDefault="00806651" w:rsidP="00806651">
            <w:p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Ďalšia liečba nie je hradenou liečbou, ak je zistené aspoň jedno z týchto kritérií: </w:t>
            </w:r>
          </w:p>
          <w:p w14:paraId="5D01B442"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v priebehu 12 mesiacov nezmenený alebo zvýšený počet relapsov ako na predchádzajúcej liečbe,</w:t>
            </w:r>
          </w:p>
          <w:p w14:paraId="256D226B"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zvýšenie EDSS o jeden stupeň v priebehu jedného roka, </w:t>
            </w:r>
          </w:p>
          <w:p w14:paraId="66CE1F90"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pribudnutie 2 a viac T2 hyperintenzitných lézií alebo 1 a viac gadolíniom zvýrazňujúcich sa T1 lézií za predchádzajúcich 12 mesiacov liečby,</w:t>
            </w:r>
          </w:p>
          <w:p w14:paraId="0C9DB61A" w14:textId="77777777" w:rsidR="00806651"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chýbajúca expresia MxA proteínu stanovená každé dva roky od začatia liečby,</w:t>
            </w:r>
          </w:p>
          <w:p w14:paraId="195FAE4F"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EDSS 6 a viac. </w:t>
            </w:r>
          </w:p>
          <w:p w14:paraId="5350DA02" w14:textId="29DB9EAE" w:rsidR="001A3270" w:rsidRPr="0000591E" w:rsidRDefault="00806651" w:rsidP="008118A5">
            <w:pPr>
              <w:jc w:val="both"/>
              <w:rPr>
                <w:rFonts w:ascii="Arial" w:hAnsi="Arial" w:cs="Arial"/>
                <w:sz w:val="20"/>
                <w:szCs w:val="20"/>
              </w:rPr>
            </w:pPr>
            <w:r w:rsidRPr="0000591E">
              <w:rPr>
                <w:rFonts w:ascii="Arial" w:hAnsi="Arial" w:cs="Arial"/>
                <w:sz w:val="20"/>
                <w:szCs w:val="20"/>
              </w:rPr>
              <w:t>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klinke Ústrednej vojenskej nemocnice SNP Ružomberok</w:t>
            </w:r>
            <w:r>
              <w:rPr>
                <w:rFonts w:ascii="Arial" w:hAnsi="Arial" w:cs="Arial"/>
                <w:sz w:val="20"/>
                <w:szCs w:val="20"/>
              </w:rPr>
              <w:t>,</w:t>
            </w:r>
            <w:r w:rsidRPr="0000591E">
              <w:rPr>
                <w:rFonts w:ascii="Arial" w:hAnsi="Arial" w:cs="Arial"/>
                <w:sz w:val="20"/>
                <w:szCs w:val="20"/>
              </w:rPr>
              <w:t xml:space="preserve"> na neurologickom oddelení Fakultnej nemocnice Trenčín</w:t>
            </w:r>
            <w:r>
              <w:rPr>
                <w:rFonts w:ascii="Arial" w:hAnsi="Arial" w:cs="Arial"/>
                <w:sz w:val="20"/>
                <w:szCs w:val="20"/>
              </w:rPr>
              <w:t xml:space="preserve"> </w:t>
            </w:r>
            <w:r w:rsidRPr="008E7E99">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9A0EE9">
              <w:rPr>
                <w:rFonts w:ascii="Arial" w:hAnsi="Arial" w:cs="Arial"/>
                <w:sz w:val="20"/>
                <w:szCs w:val="20"/>
              </w:rPr>
              <w:t xml:space="preserve"> </w:t>
            </w:r>
            <w:r w:rsidR="009A0EE9" w:rsidRPr="009A0EE9">
              <w:rPr>
                <w:rFonts w:ascii="Arial" w:hAnsi="Arial" w:cs="Arial"/>
                <w:sz w:val="20"/>
                <w:szCs w:val="20"/>
              </w:rPr>
              <w:t>a na Špecializovanej neurologickej ambulancii, Liptovská nemocnica s poliklinikou MUDr. Ivana Stodolu Liptovský Mikuláš</w:t>
            </w:r>
            <w:r w:rsidR="00926A0D">
              <w:rPr>
                <w:rFonts w:ascii="Arial" w:hAnsi="Arial" w:cs="Arial"/>
                <w:sz w:val="20"/>
                <w:szCs w:val="20"/>
              </w:rPr>
              <w:t xml:space="preserve">, </w:t>
            </w:r>
            <w:r w:rsidR="00926A0D" w:rsidRPr="00926A0D">
              <w:rPr>
                <w:rFonts w:ascii="Arial" w:hAnsi="Arial" w:cs="Arial"/>
                <w:sz w:val="20"/>
                <w:szCs w:val="20"/>
              </w:rPr>
              <w:t>na Neurologickom oddelení Nemocnice AGEL Levoča a.s. a na Špecializovanej neurologickej ambulancii</w:t>
            </w:r>
            <w:r w:rsidR="00926A0D">
              <w:rPr>
                <w:rFonts w:ascii="Arial" w:hAnsi="Arial" w:cs="Arial"/>
                <w:sz w:val="20"/>
                <w:szCs w:val="20"/>
              </w:rPr>
              <w:t xml:space="preserve"> </w:t>
            </w:r>
            <w:r w:rsidR="00926A0D" w:rsidRPr="00926A0D">
              <w:rPr>
                <w:rFonts w:ascii="Arial" w:hAnsi="Arial" w:cs="Arial"/>
                <w:sz w:val="20"/>
                <w:szCs w:val="20"/>
              </w:rPr>
              <w:t>Nemocnice AGEL Komárno s.r.o.</w:t>
            </w:r>
            <w:r w:rsidR="009A0EE9" w:rsidRPr="009A0EE9">
              <w:rPr>
                <w:rFonts w:ascii="Arial" w:hAnsi="Arial" w:cs="Arial"/>
                <w:sz w:val="20"/>
                <w:szCs w:val="20"/>
              </w:rPr>
              <w:t>.</w:t>
            </w:r>
          </w:p>
        </w:tc>
      </w:tr>
      <w:tr w:rsidR="00806651" w:rsidRPr="0000591E" w14:paraId="69D1DBAA" w14:textId="77777777" w:rsidTr="00670FEC">
        <w:trPr>
          <w:trHeight w:val="20"/>
        </w:trPr>
        <w:tc>
          <w:tcPr>
            <w:tcW w:w="1277" w:type="dxa"/>
            <w:tcBorders>
              <w:bottom w:val="single" w:sz="4" w:space="0" w:color="auto"/>
            </w:tcBorders>
            <w:noWrap/>
          </w:tcPr>
          <w:p w14:paraId="275E9D4B"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L03AB08</w:t>
            </w:r>
          </w:p>
        </w:tc>
        <w:tc>
          <w:tcPr>
            <w:tcW w:w="9355" w:type="dxa"/>
            <w:tcBorders>
              <w:bottom w:val="single" w:sz="4" w:space="0" w:color="auto"/>
            </w:tcBorders>
          </w:tcPr>
          <w:p w14:paraId="73C50EB3"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Interferón beta-1b parent. 300 mcg</w:t>
            </w:r>
          </w:p>
        </w:tc>
      </w:tr>
      <w:tr w:rsidR="00806651" w:rsidRPr="0000591E" w14:paraId="3F1BC10F" w14:textId="77777777" w:rsidTr="00670FEC">
        <w:trPr>
          <w:gridBefore w:val="1"/>
          <w:wBefore w:w="1277" w:type="dxa"/>
          <w:trHeight w:val="20"/>
        </w:trPr>
        <w:tc>
          <w:tcPr>
            <w:tcW w:w="9355" w:type="dxa"/>
          </w:tcPr>
          <w:p w14:paraId="32E505AA" w14:textId="77777777" w:rsidR="00806651" w:rsidRPr="00EE49D6" w:rsidRDefault="00806651" w:rsidP="00806651">
            <w:p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Hradená liečba sa môže indikovať u pacientov </w:t>
            </w:r>
          </w:p>
          <w:p w14:paraId="17171CBB" w14:textId="77777777" w:rsidR="00806651" w:rsidRPr="00EE49D6" w:rsidRDefault="00806651">
            <w:pPr>
              <w:numPr>
                <w:ilvl w:val="0"/>
                <w:numId w:val="98"/>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s diagnózou relapsujúco-remitujúcej formy SM podľa McDonaldových kritérií (2010), ktorých neurologický deficit je do 4,0 EDSS vrátane. Pre potvrdenie diagnózy SM je potrebné vyšetrenie likvoru, </w:t>
            </w:r>
          </w:p>
          <w:p w14:paraId="6CB600D5" w14:textId="77777777" w:rsidR="00806651" w:rsidRPr="00EE49D6" w:rsidRDefault="00806651">
            <w:pPr>
              <w:numPr>
                <w:ilvl w:val="0"/>
                <w:numId w:val="98"/>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s diagnózou sekundárne progresívnej formy SM v aktívnej fáze manifestujúcej sa relapsami (minimálne jeden zdokumentovaný a liečený atak za posledný rok) a ich neurologický deficit je do 5,5 EDSS vrátane), </w:t>
            </w:r>
          </w:p>
          <w:p w14:paraId="1D4ACF7C" w14:textId="77777777" w:rsidR="00806651" w:rsidRPr="00EE49D6" w:rsidRDefault="00806651">
            <w:pPr>
              <w:numPr>
                <w:ilvl w:val="0"/>
                <w:numId w:val="98"/>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ktorí prekonali klinický definovanú izolovanú demyelinizačnú príhodu s aktívnym zápalovým procesom a MR preukázanou disemináciou v čase a priestore, ak je tak závažná, že si vyžaduje liečbu intravenóznymi kortikosteroidmi, ak boli vylúčené alternatívne diagnózy a ak sa zistilo, že majú vysoké riziko rozvoja klinicky dokázanej definitívnej formy SM. </w:t>
            </w:r>
          </w:p>
          <w:p w14:paraId="5A06954C" w14:textId="77777777" w:rsidR="00806651" w:rsidRPr="00EE49D6" w:rsidRDefault="00806651" w:rsidP="00806651">
            <w:p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Ďalšia liečba nie je hradenou liečbou, ak je zistené aspoň jedno z týchto kritérií: </w:t>
            </w:r>
          </w:p>
          <w:p w14:paraId="499A68DD"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v priebehu 12 mesiacov nezmenený alebo zvýšený počet relapsov ako na predchádzajúcej liečbe,</w:t>
            </w:r>
          </w:p>
          <w:p w14:paraId="43B5C179"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zvýšenie EDSS o jeden stupeň v priebehu jedného roka, </w:t>
            </w:r>
          </w:p>
          <w:p w14:paraId="2ECC1AF8"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pribudnutie 2 a viac T2 hyperintenzitných lézií alebo 1 a viac gadolíniom zvýrazňujúcich sa T1 lézií za predchádzajúcich 12 mesiacov liečby, </w:t>
            </w:r>
          </w:p>
          <w:p w14:paraId="67337807" w14:textId="77777777" w:rsidR="00806651"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chýbajúca expresia MxA proteínu stanovená každé dva roky od začatia liečby,</w:t>
            </w:r>
          </w:p>
          <w:p w14:paraId="3C909FE0"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EDSS 6 a viac. </w:t>
            </w:r>
          </w:p>
          <w:p w14:paraId="13522D78" w14:textId="77777777" w:rsidR="00806651" w:rsidRPr="0000591E" w:rsidRDefault="00806651" w:rsidP="00806651">
            <w:pPr>
              <w:autoSpaceDE w:val="0"/>
              <w:autoSpaceDN w:val="0"/>
              <w:adjustRightInd w:val="0"/>
              <w:rPr>
                <w:rFonts w:ascii="Arial" w:hAnsi="Arial" w:cs="Arial"/>
                <w:sz w:val="20"/>
                <w:szCs w:val="20"/>
              </w:rPr>
            </w:pPr>
          </w:p>
          <w:p w14:paraId="52A706F2" w14:textId="77777777" w:rsidR="00712DEC" w:rsidRDefault="00806651" w:rsidP="00926A0D">
            <w:pPr>
              <w:jc w:val="both"/>
              <w:rPr>
                <w:rFonts w:ascii="Arial" w:hAnsi="Arial" w:cs="Arial"/>
                <w:sz w:val="20"/>
                <w:szCs w:val="20"/>
              </w:rPr>
            </w:pPr>
            <w:r w:rsidRPr="0000591E">
              <w:rPr>
                <w:rFonts w:ascii="Arial" w:hAnsi="Arial" w:cs="Arial"/>
                <w:sz w:val="20"/>
                <w:szCs w:val="20"/>
              </w:rPr>
              <w:t>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klinke Ústrednej vojenskej nemocnice SNP Ružomberok</w:t>
            </w:r>
            <w:r>
              <w:rPr>
                <w:rFonts w:ascii="Arial" w:hAnsi="Arial" w:cs="Arial"/>
                <w:sz w:val="20"/>
                <w:szCs w:val="20"/>
              </w:rPr>
              <w:t>,</w:t>
            </w:r>
            <w:r w:rsidRPr="0000591E">
              <w:rPr>
                <w:rFonts w:ascii="Arial" w:hAnsi="Arial" w:cs="Arial"/>
                <w:sz w:val="20"/>
                <w:szCs w:val="20"/>
              </w:rPr>
              <w:t xml:space="preserve"> na neurologickom oddelení Fakultnej nemocnice Trenčín</w:t>
            </w:r>
            <w:r>
              <w:rPr>
                <w:rFonts w:ascii="Arial" w:hAnsi="Arial" w:cs="Arial"/>
                <w:sz w:val="20"/>
                <w:szCs w:val="20"/>
              </w:rPr>
              <w:t xml:space="preserve"> </w:t>
            </w:r>
            <w:r w:rsidRPr="004E6851">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712DEC">
              <w:rPr>
                <w:rFonts w:ascii="Arial" w:hAnsi="Arial" w:cs="Arial"/>
                <w:sz w:val="20"/>
                <w:szCs w:val="20"/>
              </w:rPr>
              <w:t xml:space="preserve"> </w:t>
            </w:r>
            <w:r w:rsidR="00712DEC" w:rsidRPr="00712DEC">
              <w:rPr>
                <w:rFonts w:ascii="Arial" w:hAnsi="Arial" w:cs="Arial"/>
                <w:sz w:val="20"/>
                <w:szCs w:val="20"/>
              </w:rPr>
              <w:t>a na Špecializovanej neurologickej ambulancii, Liptovská nemocnica s poliklinikou MUDr. Ivana Stodolu Liptovský Mikuláš</w:t>
            </w:r>
            <w:r w:rsidR="00926A0D">
              <w:rPr>
                <w:rFonts w:ascii="Arial" w:hAnsi="Arial" w:cs="Arial"/>
                <w:sz w:val="20"/>
                <w:szCs w:val="20"/>
              </w:rPr>
              <w:t xml:space="preserve">, </w:t>
            </w:r>
            <w:r w:rsidR="00926A0D" w:rsidRPr="00926A0D">
              <w:rPr>
                <w:rFonts w:ascii="Arial" w:hAnsi="Arial" w:cs="Arial"/>
                <w:sz w:val="20"/>
                <w:szCs w:val="20"/>
              </w:rPr>
              <w:t>na Neurologickom oddelení Nemocnice AGEL Levoča a.s. a na Špecializovanej neurologickej ambulancii Nemocnice AGEL Komárno s.r.o.</w:t>
            </w:r>
            <w:r w:rsidR="00712DEC" w:rsidRPr="00712DEC">
              <w:rPr>
                <w:rFonts w:ascii="Arial" w:hAnsi="Arial" w:cs="Arial"/>
                <w:sz w:val="20"/>
                <w:szCs w:val="20"/>
              </w:rPr>
              <w:t>.</w:t>
            </w:r>
          </w:p>
          <w:p w14:paraId="753CF8A5" w14:textId="4CD7673C" w:rsidR="00806651" w:rsidRPr="0000591E" w:rsidRDefault="00806651" w:rsidP="00F61387">
            <w:pPr>
              <w:jc w:val="both"/>
              <w:rPr>
                <w:b/>
                <w:bCs/>
              </w:rPr>
            </w:pPr>
          </w:p>
        </w:tc>
      </w:tr>
      <w:tr w:rsidR="00806651" w:rsidRPr="0000591E" w14:paraId="3CB339FC" w14:textId="77777777" w:rsidTr="00670FEC">
        <w:trPr>
          <w:trHeight w:val="20"/>
        </w:trPr>
        <w:tc>
          <w:tcPr>
            <w:tcW w:w="1277" w:type="dxa"/>
            <w:tcBorders>
              <w:bottom w:val="single" w:sz="4" w:space="0" w:color="auto"/>
            </w:tcBorders>
            <w:noWrap/>
          </w:tcPr>
          <w:p w14:paraId="26CA44AD"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L03AB11</w:t>
            </w:r>
          </w:p>
        </w:tc>
        <w:tc>
          <w:tcPr>
            <w:tcW w:w="9355" w:type="dxa"/>
            <w:tcBorders>
              <w:bottom w:val="single" w:sz="4" w:space="0" w:color="auto"/>
            </w:tcBorders>
          </w:tcPr>
          <w:p w14:paraId="38B96DBA"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Peginterferón alfa-2a parent. sol.inj.</w:t>
            </w:r>
            <w:r w:rsidR="00180E41">
              <w:rPr>
                <w:rFonts w:ascii="Arial" w:hAnsi="Arial" w:cs="Arial"/>
                <w:b/>
                <w:bCs/>
                <w:sz w:val="20"/>
                <w:szCs w:val="20"/>
              </w:rPr>
              <w:t xml:space="preserve"> 180 mcg</w:t>
            </w:r>
          </w:p>
        </w:tc>
      </w:tr>
      <w:tr w:rsidR="00806651" w:rsidRPr="0000591E" w14:paraId="2ADFF63C" w14:textId="77777777" w:rsidTr="00670FEC">
        <w:trPr>
          <w:gridBefore w:val="1"/>
          <w:wBefore w:w="1277" w:type="dxa"/>
          <w:trHeight w:val="20"/>
        </w:trPr>
        <w:tc>
          <w:tcPr>
            <w:tcW w:w="9355" w:type="dxa"/>
          </w:tcPr>
          <w:p w14:paraId="42C441FA" w14:textId="77777777" w:rsidR="00806651" w:rsidRDefault="00806651" w:rsidP="00806651">
            <w:pPr>
              <w:autoSpaceDE w:val="0"/>
              <w:autoSpaceDN w:val="0"/>
              <w:adjustRightInd w:val="0"/>
              <w:jc w:val="both"/>
              <w:rPr>
                <w:rFonts w:ascii="Arial" w:hAnsi="Arial" w:cs="Arial"/>
                <w:iCs/>
                <w:color w:val="000000"/>
                <w:sz w:val="20"/>
                <w:szCs w:val="20"/>
                <w:lang w:eastAsia="cs-CZ"/>
              </w:rPr>
            </w:pPr>
            <w:r>
              <w:rPr>
                <w:rFonts w:ascii="Arial" w:hAnsi="Arial" w:cs="Arial"/>
                <w:iCs/>
                <w:color w:val="000000"/>
                <w:sz w:val="20"/>
                <w:szCs w:val="20"/>
                <w:lang w:eastAsia="cs-CZ"/>
              </w:rPr>
              <w:t>Hradená liečba sa môže indikovať len u dospelých pacientov pri</w:t>
            </w:r>
          </w:p>
          <w:p w14:paraId="7E23EDF5" w14:textId="77777777" w:rsidR="00806651" w:rsidRDefault="00806651">
            <w:pPr>
              <w:numPr>
                <w:ilvl w:val="0"/>
                <w:numId w:val="74"/>
              </w:numPr>
              <w:autoSpaceDE w:val="0"/>
              <w:autoSpaceDN w:val="0"/>
              <w:adjustRightInd w:val="0"/>
              <w:spacing w:line="276" w:lineRule="auto"/>
              <w:jc w:val="both"/>
              <w:rPr>
                <w:rFonts w:ascii="Arial" w:hAnsi="Arial" w:cs="Arial"/>
                <w:iCs/>
                <w:color w:val="000000"/>
                <w:sz w:val="20"/>
                <w:szCs w:val="20"/>
                <w:lang w:eastAsia="cs-CZ"/>
              </w:rPr>
            </w:pPr>
            <w:r>
              <w:rPr>
                <w:rFonts w:ascii="Arial" w:hAnsi="Arial" w:cs="Arial"/>
                <w:iCs/>
                <w:color w:val="000000"/>
                <w:sz w:val="20"/>
                <w:szCs w:val="20"/>
                <w:lang w:eastAsia="cs-CZ"/>
              </w:rPr>
              <w:t>chronickej vírusovej hepatitíde B, ak je</w:t>
            </w:r>
          </w:p>
          <w:p w14:paraId="436CBD8D" w14:textId="77777777" w:rsidR="00806651" w:rsidRDefault="00806651">
            <w:pPr>
              <w:numPr>
                <w:ilvl w:val="0"/>
                <w:numId w:val="75"/>
              </w:numPr>
              <w:autoSpaceDE w:val="0"/>
              <w:autoSpaceDN w:val="0"/>
              <w:adjustRightInd w:val="0"/>
              <w:spacing w:line="276" w:lineRule="auto"/>
              <w:ind w:left="1418" w:hanging="425"/>
              <w:jc w:val="both"/>
              <w:rPr>
                <w:rFonts w:ascii="Arial" w:hAnsi="Arial" w:cs="Arial"/>
                <w:iCs/>
                <w:color w:val="000000"/>
                <w:sz w:val="20"/>
                <w:szCs w:val="20"/>
                <w:lang w:eastAsia="cs-CZ"/>
              </w:rPr>
            </w:pPr>
            <w:r>
              <w:rPr>
                <w:rFonts w:ascii="Arial" w:hAnsi="Arial" w:cs="Arial"/>
                <w:iCs/>
                <w:color w:val="000000"/>
                <w:sz w:val="20"/>
                <w:szCs w:val="20"/>
                <w:lang w:eastAsia="cs-CZ"/>
              </w:rPr>
              <w:t>trvale alebo intermitentne zvýšená ALT trvajúca najmenej šesť mesiacov pred začatím liečby, (dĺžka trvania nie je rozhodujúca v prípadoch histologicky dokázanej chronickej hepatitídy B),</w:t>
            </w:r>
          </w:p>
          <w:p w14:paraId="3DB09347" w14:textId="77777777" w:rsidR="00806651" w:rsidRDefault="00806651">
            <w:pPr>
              <w:numPr>
                <w:ilvl w:val="0"/>
                <w:numId w:val="75"/>
              </w:numPr>
              <w:autoSpaceDE w:val="0"/>
              <w:autoSpaceDN w:val="0"/>
              <w:adjustRightInd w:val="0"/>
              <w:spacing w:line="276" w:lineRule="auto"/>
              <w:ind w:left="1418" w:hanging="425"/>
              <w:jc w:val="both"/>
              <w:rPr>
                <w:rFonts w:ascii="Arial" w:hAnsi="Arial" w:cs="Arial"/>
                <w:iCs/>
                <w:color w:val="000000"/>
                <w:sz w:val="20"/>
                <w:szCs w:val="20"/>
                <w:lang w:eastAsia="cs-CZ"/>
              </w:rPr>
            </w:pPr>
            <w:r>
              <w:rPr>
                <w:rFonts w:ascii="Arial" w:hAnsi="Arial" w:cs="Arial"/>
                <w:iCs/>
                <w:color w:val="000000"/>
                <w:sz w:val="20"/>
                <w:szCs w:val="20"/>
                <w:lang w:eastAsia="cs-CZ"/>
              </w:rPr>
              <w:t>pozitivita HBsAg v sére trvajúca minimálne šesť mesiacov pred začatím liečby a pozitivita HBeAg alebo HBeAg negativita v sére s overenou replikáciou vírusu vyšetrovaním HBV-DNA v sére metódou PCR,</w:t>
            </w:r>
          </w:p>
          <w:p w14:paraId="3A0EE874" w14:textId="77777777" w:rsidR="00806651" w:rsidRDefault="00806651">
            <w:pPr>
              <w:numPr>
                <w:ilvl w:val="0"/>
                <w:numId w:val="75"/>
              </w:numPr>
              <w:autoSpaceDE w:val="0"/>
              <w:autoSpaceDN w:val="0"/>
              <w:adjustRightInd w:val="0"/>
              <w:spacing w:line="276" w:lineRule="auto"/>
              <w:ind w:left="1418" w:hanging="425"/>
              <w:jc w:val="both"/>
              <w:rPr>
                <w:rFonts w:ascii="Arial" w:hAnsi="Arial" w:cs="Arial"/>
                <w:iCs/>
                <w:color w:val="000000"/>
                <w:sz w:val="20"/>
                <w:szCs w:val="20"/>
                <w:lang w:eastAsia="cs-CZ"/>
              </w:rPr>
            </w:pPr>
            <w:r>
              <w:rPr>
                <w:rFonts w:ascii="Arial" w:hAnsi="Arial" w:cs="Arial"/>
                <w:iCs/>
                <w:color w:val="000000"/>
                <w:sz w:val="20"/>
                <w:szCs w:val="20"/>
                <w:lang w:eastAsia="cs-CZ"/>
              </w:rPr>
              <w:t>nález chronickej hepatitídy pri histologickom vyšetrení pečeňovej biopsie nie staršom ako jeden rok, ak nie je takéto vyšetrenie kontraindikované;</w:t>
            </w:r>
          </w:p>
          <w:p w14:paraId="68F885ED"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Terapeutický postup pri hradenej liečbe: </w:t>
            </w:r>
          </w:p>
          <w:p w14:paraId="2136C27F"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Na základe verejného zdravotného poistenia sa uhrádza dávka 180 </w:t>
            </w:r>
            <w:r>
              <w:rPr>
                <w:rFonts w:ascii="Arial" w:hAnsi="Arial" w:cs="Arial"/>
                <w:iCs/>
                <w:color w:val="000000"/>
                <w:sz w:val="20"/>
                <w:szCs w:val="20"/>
                <w:lang w:eastAsia="cs-CZ"/>
              </w:rPr>
              <w:sym w:font="Symbol" w:char="F06D"/>
            </w:r>
            <w:r>
              <w:rPr>
                <w:rFonts w:ascii="Arial" w:hAnsi="Arial" w:cs="Arial"/>
                <w:iCs/>
                <w:color w:val="000000"/>
                <w:sz w:val="20"/>
                <w:szCs w:val="20"/>
                <w:lang w:eastAsia="cs-CZ"/>
              </w:rPr>
              <w:t>q jedenkrát týždenne; liečba trvá 48 týždňov.</w:t>
            </w:r>
          </w:p>
          <w:p w14:paraId="4CD03D1B"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Podmienkou hradenej liečby je v pravidelných trojmesačných intervaloch počas liečby a šesť mesiacov po ukončení liečby vyhodnocovanie efektivity indikovanej liečby a zaznamenávanie jej výsledkov v zdravotnej dokumentácii pacienta. Podmienkou hradenej liečby u drogovo závislých pacientov je preukázanie aspoň šesť mesiacov trvajúcej abstinencie doloženej psychiatrickým vyšetrením a potvrdenie o abstinencii v trojmesačných intervaloch.</w:t>
            </w:r>
          </w:p>
          <w:p w14:paraId="6BC50CC6" w14:textId="77777777" w:rsidR="00806651" w:rsidRDefault="00806651" w:rsidP="00806651">
            <w:pPr>
              <w:autoSpaceDE w:val="0"/>
              <w:autoSpaceDN w:val="0"/>
              <w:adjustRightInd w:val="0"/>
              <w:jc w:val="both"/>
              <w:rPr>
                <w:rFonts w:ascii="Arial" w:hAnsi="Arial" w:cs="Arial"/>
                <w:iCs/>
                <w:color w:val="000000"/>
                <w:sz w:val="20"/>
                <w:szCs w:val="20"/>
                <w:lang w:eastAsia="cs-CZ"/>
              </w:rPr>
            </w:pPr>
          </w:p>
          <w:p w14:paraId="0187EB37" w14:textId="77777777" w:rsidR="00806651" w:rsidRDefault="00806651">
            <w:pPr>
              <w:numPr>
                <w:ilvl w:val="0"/>
                <w:numId w:val="74"/>
              </w:numPr>
              <w:autoSpaceDE w:val="0"/>
              <w:autoSpaceDN w:val="0"/>
              <w:adjustRightInd w:val="0"/>
              <w:spacing w:line="276" w:lineRule="auto"/>
              <w:jc w:val="both"/>
              <w:rPr>
                <w:rFonts w:ascii="Arial" w:hAnsi="Arial" w:cs="Arial"/>
                <w:iCs/>
                <w:color w:val="000000"/>
                <w:sz w:val="20"/>
                <w:szCs w:val="20"/>
                <w:lang w:eastAsia="cs-CZ"/>
              </w:rPr>
            </w:pPr>
            <w:r>
              <w:rPr>
                <w:rFonts w:ascii="Arial" w:hAnsi="Arial" w:cs="Arial"/>
                <w:iCs/>
                <w:color w:val="000000"/>
                <w:sz w:val="20"/>
                <w:szCs w:val="20"/>
                <w:lang w:eastAsia="cs-CZ"/>
              </w:rPr>
              <w:t>chronickej hepatitíde C</w:t>
            </w:r>
          </w:p>
          <w:p w14:paraId="56574404" w14:textId="77777777" w:rsidR="00806651" w:rsidRDefault="00806651" w:rsidP="00806651">
            <w:pPr>
              <w:autoSpaceDE w:val="0"/>
              <w:autoSpaceDN w:val="0"/>
              <w:adjustRightInd w:val="0"/>
              <w:jc w:val="both"/>
              <w:rPr>
                <w:rFonts w:ascii="Arial" w:hAnsi="Arial" w:cs="Arial"/>
                <w:iCs/>
                <w:color w:val="000000"/>
                <w:sz w:val="20"/>
                <w:szCs w:val="20"/>
                <w:lang w:eastAsia="cs-CZ"/>
              </w:rPr>
            </w:pPr>
            <w:r>
              <w:rPr>
                <w:rFonts w:ascii="Arial" w:hAnsi="Arial" w:cs="Arial"/>
                <w:iCs/>
                <w:color w:val="000000"/>
                <w:sz w:val="20"/>
                <w:szCs w:val="20"/>
                <w:lang w:eastAsia="cs-CZ"/>
              </w:rPr>
              <w:tab/>
              <w:t xml:space="preserve">Iniciálna liečba: </w:t>
            </w:r>
          </w:p>
          <w:p w14:paraId="6CD93FA5"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Liek sa podáva prevažne v kombinácii s ribavirínom, v monoterapii len, ak je ribavirín kontraindikovaný. Na základe verejného zdravotného poistenia sa uhrádza dávka 180 µg jedenkrát týždenne (aj v monoterapii). Pri genotype 1 liečba trvá 48 týždňov a pri ostatných genotypoch 24 týždňov. Podmienkou hradenej liečby je vyhodnocovanie efektivity indikovanej liečby a zaznamenávanie jej výsledkov v zdravotnej dokumentácii pacienta v pravidelných trojmesačných intervaloch počas liečby a šesť mesiacov po ukončení liečby; </w:t>
            </w:r>
            <w:r>
              <w:rPr>
                <w:rFonts w:ascii="Arial" w:hAnsi="Arial" w:cs="Arial"/>
                <w:iCs/>
                <w:color w:val="000000"/>
                <w:sz w:val="20"/>
                <w:szCs w:val="20"/>
                <w:lang w:eastAsia="cs-CZ"/>
              </w:rPr>
              <w:br/>
              <w:t xml:space="preserve">Podmienky schválenia: </w:t>
            </w:r>
          </w:p>
          <w:p w14:paraId="656B7B59"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trvale alebo intermitentne zvýšenej ALT trvajúcej najmenej šesť mesiacov pred začatím liečby (dĺžka trvania nie je rozhodujúca v prípadoch histologicky dokázanej chronickej hepatitídy C), </w:t>
            </w:r>
          </w:p>
          <w:p w14:paraId="67680070"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normálnej aktivite ALT individuálne schválenie u pacientov s histologickým dôkazom chronickej hepatitídy(stupeň fibrózy 2), </w:t>
            </w:r>
          </w:p>
          <w:p w14:paraId="1BE5B33D"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overenej replikácii vírusu vyšetrovaním HCV-RNA v sére metódou PCR, podľa výsledkov nie </w:t>
            </w:r>
            <w:r>
              <w:rPr>
                <w:rFonts w:ascii="Arial" w:hAnsi="Arial" w:cs="Arial"/>
                <w:iCs/>
                <w:color w:val="000000"/>
                <w:sz w:val="20"/>
                <w:szCs w:val="20"/>
                <w:lang w:eastAsia="cs-CZ"/>
              </w:rPr>
              <w:tab/>
              <w:t xml:space="preserve">starších ako dva mesiace, </w:t>
            </w:r>
          </w:p>
          <w:p w14:paraId="5619E9E0"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náleze chronickej hepatitídy pri histologickom vyšetrení pečeňovej biopsie nie staršom ako jeden rok, ak nie je takéto vyšetrenie kontraindikované, </w:t>
            </w:r>
          </w:p>
          <w:p w14:paraId="3B2E117D"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neprítomnosti hepatálnej dekompenzácie. </w:t>
            </w:r>
          </w:p>
          <w:p w14:paraId="7161BD73" w14:textId="77777777" w:rsidR="00806651" w:rsidRDefault="00806651" w:rsidP="00806651">
            <w:pPr>
              <w:autoSpaceDE w:val="0"/>
              <w:autoSpaceDN w:val="0"/>
              <w:adjustRightInd w:val="0"/>
              <w:ind w:left="360"/>
              <w:jc w:val="both"/>
              <w:rPr>
                <w:rFonts w:ascii="Arial" w:hAnsi="Arial" w:cs="Arial"/>
                <w:iCs/>
                <w:color w:val="000000"/>
                <w:sz w:val="20"/>
                <w:szCs w:val="20"/>
                <w:lang w:eastAsia="cs-CZ"/>
              </w:rPr>
            </w:pPr>
          </w:p>
          <w:p w14:paraId="4DADEB33"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Opakovaná liečba: </w:t>
            </w:r>
          </w:p>
          <w:p w14:paraId="2424D846"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 zlyhaní predchádzajúcej liečby interferónom alfa (pegylovaným alebo nepegylovaným) v monoterapii alebo kombinovanej liečby s ribavirínom; pri opakovanej liečbe je odporúčaná celková</w:t>
            </w:r>
            <w:r>
              <w:rPr>
                <w:rFonts w:ascii="Arial" w:hAnsi="Arial" w:cs="Arial"/>
                <w:iCs/>
                <w:color w:val="000000"/>
                <w:sz w:val="20"/>
                <w:szCs w:val="20"/>
                <w:lang w:eastAsia="cs-CZ"/>
              </w:rPr>
              <w:tab/>
              <w:t>dĺžka liečby genotypu 1 72 týždňov, u všetkých ostatných genotypov 48 týždňov; u pacientov, ktorí nemajú v 12. týždni negatívne HCV-RNA (alebo menej ako 50 IU/ml) sa má liečba predčasne ukončiť;</w:t>
            </w:r>
          </w:p>
          <w:p w14:paraId="3489B99E"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Podmienky schválenia:</w:t>
            </w:r>
          </w:p>
          <w:p w14:paraId="22A2A11E" w14:textId="77777777" w:rsidR="00806651" w:rsidRDefault="00806651">
            <w:pPr>
              <w:numPr>
                <w:ilvl w:val="0"/>
                <w:numId w:val="77"/>
              </w:numPr>
              <w:autoSpaceDE w:val="0"/>
              <w:autoSpaceDN w:val="0"/>
              <w:adjustRightInd w:val="0"/>
              <w:spacing w:line="276" w:lineRule="auto"/>
              <w:ind w:left="1428" w:hanging="435"/>
              <w:jc w:val="both"/>
              <w:rPr>
                <w:rFonts w:ascii="Arial" w:hAnsi="Arial" w:cs="Arial"/>
                <w:iCs/>
                <w:color w:val="000000"/>
                <w:sz w:val="20"/>
                <w:szCs w:val="20"/>
                <w:lang w:eastAsia="cs-CZ"/>
              </w:rPr>
            </w:pPr>
            <w:r>
              <w:rPr>
                <w:rFonts w:ascii="Arial" w:hAnsi="Arial" w:cs="Arial"/>
                <w:iCs/>
                <w:color w:val="000000"/>
                <w:sz w:val="20"/>
                <w:szCs w:val="20"/>
                <w:lang w:eastAsia="cs-CZ"/>
              </w:rPr>
              <w:t xml:space="preserve">uplynutie min. 6 mesiacov od ukončenia predchádzajúcej liečby, u pacientov, ktorí reagovali na predchádzajúcu liečbu (v 12. týždni liečby došlo k poklesu HCV RNA ≥ 2 log), </w:t>
            </w:r>
          </w:p>
          <w:p w14:paraId="540BB0A6" w14:textId="77777777" w:rsidR="00806651" w:rsidRDefault="00806651">
            <w:pPr>
              <w:numPr>
                <w:ilvl w:val="0"/>
                <w:numId w:val="77"/>
              </w:numPr>
              <w:autoSpaceDE w:val="0"/>
              <w:autoSpaceDN w:val="0"/>
              <w:adjustRightInd w:val="0"/>
              <w:spacing w:line="276" w:lineRule="auto"/>
              <w:ind w:left="1428" w:hanging="435"/>
              <w:jc w:val="both"/>
              <w:rPr>
                <w:rFonts w:ascii="Arial" w:hAnsi="Arial" w:cs="Arial"/>
                <w:iCs/>
                <w:color w:val="000000"/>
                <w:sz w:val="20"/>
                <w:szCs w:val="20"/>
                <w:lang w:eastAsia="cs-CZ"/>
              </w:rPr>
            </w:pPr>
            <w:r>
              <w:rPr>
                <w:rFonts w:ascii="Arial" w:hAnsi="Arial" w:cs="Arial"/>
                <w:iCs/>
                <w:color w:val="000000"/>
                <w:sz w:val="20"/>
                <w:szCs w:val="20"/>
                <w:lang w:eastAsia="cs-CZ"/>
              </w:rPr>
              <w:t xml:space="preserve">nie je prítomná závažná dekompenzácia pečene, </w:t>
            </w:r>
          </w:p>
          <w:p w14:paraId="5F84A559" w14:textId="77777777" w:rsidR="00806651" w:rsidRDefault="00806651">
            <w:pPr>
              <w:numPr>
                <w:ilvl w:val="0"/>
                <w:numId w:val="77"/>
              </w:numPr>
              <w:autoSpaceDE w:val="0"/>
              <w:autoSpaceDN w:val="0"/>
              <w:adjustRightInd w:val="0"/>
              <w:spacing w:line="276" w:lineRule="auto"/>
              <w:ind w:left="1428" w:hanging="435"/>
              <w:jc w:val="both"/>
              <w:rPr>
                <w:rFonts w:ascii="Arial" w:hAnsi="Arial" w:cs="Arial"/>
                <w:iCs/>
                <w:color w:val="000000"/>
                <w:sz w:val="20"/>
                <w:szCs w:val="20"/>
                <w:lang w:eastAsia="cs-CZ"/>
              </w:rPr>
            </w:pPr>
            <w:r>
              <w:rPr>
                <w:rFonts w:ascii="Arial" w:hAnsi="Arial" w:cs="Arial"/>
                <w:iCs/>
                <w:color w:val="000000"/>
                <w:sz w:val="20"/>
                <w:szCs w:val="20"/>
                <w:lang w:eastAsia="cs-CZ"/>
              </w:rPr>
              <w:t xml:space="preserve">z prostriedkov verejného zdravotného poistenia je hradená liečba pegylovaným interferónom v kombinácii s ribavirínom max. 2 krát, vrátane iniciálnej. </w:t>
            </w:r>
          </w:p>
          <w:p w14:paraId="7EC82763"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Podmienkou hradenej liečby u drogovo závislých pacientov je preukázanie aspoň šesť mesiacov trvajúcej abstinencie doloženej psychiatrickým vyšetrením a potvrdenie o abstinencii v trojmesačných intervaloch.</w:t>
            </w:r>
          </w:p>
          <w:p w14:paraId="5F9BFBEC" w14:textId="77777777" w:rsidR="00806651" w:rsidRDefault="00806651" w:rsidP="00806651">
            <w:pPr>
              <w:autoSpaceDE w:val="0"/>
              <w:autoSpaceDN w:val="0"/>
              <w:adjustRightInd w:val="0"/>
              <w:jc w:val="both"/>
              <w:rPr>
                <w:rFonts w:ascii="Arial" w:hAnsi="Arial" w:cs="Arial"/>
                <w:iCs/>
                <w:color w:val="000000"/>
                <w:sz w:val="20"/>
                <w:szCs w:val="20"/>
                <w:lang w:eastAsia="cs-CZ"/>
              </w:rPr>
            </w:pPr>
          </w:p>
          <w:p w14:paraId="7E1C696B" w14:textId="77777777" w:rsidR="00806651" w:rsidRDefault="00806651" w:rsidP="00806651">
            <w:pPr>
              <w:autoSpaceDE w:val="0"/>
              <w:autoSpaceDN w:val="0"/>
              <w:adjustRightInd w:val="0"/>
              <w:jc w:val="both"/>
              <w:rPr>
                <w:rFonts w:ascii="Arial" w:hAnsi="Arial" w:cs="Arial"/>
                <w:iCs/>
                <w:color w:val="000000"/>
                <w:sz w:val="20"/>
                <w:szCs w:val="20"/>
                <w:lang w:eastAsia="cs-CZ"/>
              </w:rPr>
            </w:pPr>
            <w:r>
              <w:rPr>
                <w:rFonts w:ascii="Arial" w:hAnsi="Arial" w:cs="Arial"/>
                <w:iCs/>
                <w:color w:val="000000"/>
                <w:sz w:val="20"/>
                <w:szCs w:val="20"/>
                <w:lang w:eastAsia="cs-CZ"/>
              </w:rPr>
              <w:t>Hradená liečba sa môže indikovať na týchto pracoviskách:</w:t>
            </w:r>
          </w:p>
          <w:p w14:paraId="23052229" w14:textId="77777777" w:rsidR="00806651" w:rsidRDefault="00806651">
            <w:pPr>
              <w:numPr>
                <w:ilvl w:val="0"/>
                <w:numId w:val="78"/>
              </w:numPr>
              <w:autoSpaceDE w:val="0"/>
              <w:autoSpaceDN w:val="0"/>
              <w:adjustRightInd w:val="0"/>
              <w:spacing w:line="276" w:lineRule="auto"/>
              <w:jc w:val="both"/>
              <w:rPr>
                <w:rFonts w:ascii="Arial" w:hAnsi="Arial" w:cs="Arial"/>
                <w:iCs/>
                <w:color w:val="000000"/>
                <w:sz w:val="20"/>
                <w:szCs w:val="20"/>
                <w:lang w:eastAsia="cs-CZ"/>
              </w:rPr>
            </w:pPr>
            <w:r>
              <w:rPr>
                <w:rFonts w:ascii="Arial" w:hAnsi="Arial" w:cs="Arial"/>
                <w:iCs/>
                <w:color w:val="000000"/>
                <w:sz w:val="20"/>
                <w:szCs w:val="20"/>
                <w:lang w:eastAsia="cs-CZ"/>
              </w:rPr>
              <w:t>infektologické pracoviská</w:t>
            </w:r>
          </w:p>
          <w:p w14:paraId="16FC5524"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Klinika infektológie a geografickej medicíny Lekárskej fakulty UK a Univerzitnej nemocnice, Bratislava,</w:t>
            </w:r>
          </w:p>
          <w:p w14:paraId="695AFC2D" w14:textId="77777777" w:rsidR="00806651" w:rsidRDefault="00806651">
            <w:pPr>
              <w:numPr>
                <w:ilvl w:val="1"/>
                <w:numId w:val="79"/>
              </w:numPr>
              <w:spacing w:line="276" w:lineRule="auto"/>
              <w:jc w:val="both"/>
              <w:rPr>
                <w:rFonts w:ascii="Arial" w:hAnsi="Arial" w:cs="Arial"/>
                <w:sz w:val="20"/>
                <w:szCs w:val="20"/>
                <w:lang w:eastAsia="cs-CZ"/>
              </w:rPr>
            </w:pPr>
            <w:r w:rsidRPr="00CD7658">
              <w:rPr>
                <w:rFonts w:ascii="Arial" w:hAnsi="Arial" w:cs="Arial"/>
                <w:sz w:val="20"/>
                <w:szCs w:val="20"/>
                <w:lang w:eastAsia="cs-CZ"/>
              </w:rPr>
              <w:t>Infekčná klinika Fakultnej nemocnice, Trnava,</w:t>
            </w:r>
          </w:p>
          <w:p w14:paraId="628929BB"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Infekčná klinika Fakultnej nemocnice, Nitra,</w:t>
            </w:r>
          </w:p>
          <w:p w14:paraId="4312CD8A"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Klinika infektológie a cestovnej medicíny Univerzitnej nemocnice, Martin,</w:t>
            </w:r>
          </w:p>
          <w:p w14:paraId="43640278"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Infekčné oddelenie Fakultnej nemocnice s poliklinikou F.D. Roosevelta, Banská Bystrica,</w:t>
            </w:r>
          </w:p>
          <w:p w14:paraId="6EBF9F8A"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Infekčné oddelenie Všeobecnej nemocnice s poliklinikou n.o., Lučenec,</w:t>
            </w:r>
          </w:p>
          <w:p w14:paraId="48586B31"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Klinika infektológie a cestovnej medicíny Univerzitnej nemocnice L. Pasteura, Košice,</w:t>
            </w:r>
          </w:p>
          <w:p w14:paraId="03150C99"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Detské infekčné oddelenie Detskej fakultnej nemocnice, Košice,</w:t>
            </w:r>
          </w:p>
          <w:p w14:paraId="5990FC3B"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Oddelenie infektológie Fakultnej nemocnice s poliklinikou J.A. Reimana, Prešov,</w:t>
            </w:r>
          </w:p>
          <w:p w14:paraId="2A295B8C" w14:textId="77777777" w:rsidR="00806651" w:rsidRDefault="00806651" w:rsidP="00806651">
            <w:pPr>
              <w:jc w:val="both"/>
              <w:rPr>
                <w:rFonts w:ascii="Arial" w:hAnsi="Arial" w:cs="Arial"/>
                <w:iCs/>
                <w:color w:val="000000"/>
                <w:sz w:val="20"/>
                <w:szCs w:val="20"/>
                <w:lang w:eastAsia="cs-CZ"/>
              </w:rPr>
            </w:pPr>
          </w:p>
          <w:p w14:paraId="0FA9DADC" w14:textId="77777777" w:rsidR="00806651" w:rsidRDefault="00806651">
            <w:pPr>
              <w:numPr>
                <w:ilvl w:val="0"/>
                <w:numId w:val="78"/>
              </w:numPr>
              <w:spacing w:line="276" w:lineRule="auto"/>
              <w:jc w:val="both"/>
              <w:rPr>
                <w:rFonts w:ascii="Arial" w:hAnsi="Arial" w:cs="Arial"/>
                <w:sz w:val="20"/>
                <w:szCs w:val="20"/>
                <w:lang w:eastAsia="cs-CZ"/>
              </w:rPr>
            </w:pPr>
            <w:r>
              <w:rPr>
                <w:rFonts w:ascii="Arial" w:hAnsi="Arial" w:cs="Arial"/>
                <w:iCs/>
                <w:color w:val="000000"/>
                <w:sz w:val="20"/>
                <w:szCs w:val="20"/>
                <w:lang w:eastAsia="cs-CZ"/>
              </w:rPr>
              <w:t>hepatologické a gastroenterologické pracoviská</w:t>
            </w:r>
          </w:p>
          <w:p w14:paraId="023DEAF7"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Hepatologická ambulancia, 1. interná klinika SZU a Univerzitnej nemocnice, Bratislava – Kramáre,</w:t>
            </w:r>
          </w:p>
          <w:p w14:paraId="1C6BAC52"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Hepatologická ambulancia, 3. interná klinika Lekárskej fakulty UK a Univerzitnej nemocnice, Bratislava – Kramáre,</w:t>
            </w:r>
          </w:p>
          <w:p w14:paraId="69BE8E2B" w14:textId="77777777" w:rsidR="00806651" w:rsidRPr="00CD7658" w:rsidRDefault="00806651">
            <w:pPr>
              <w:numPr>
                <w:ilvl w:val="0"/>
                <w:numId w:val="133"/>
              </w:numPr>
              <w:spacing w:line="276" w:lineRule="auto"/>
              <w:ind w:left="1445"/>
              <w:jc w:val="both"/>
              <w:rPr>
                <w:rFonts w:ascii="Arial" w:hAnsi="Arial" w:cs="Arial"/>
                <w:sz w:val="20"/>
                <w:szCs w:val="20"/>
                <w:lang w:eastAsia="cs-CZ"/>
              </w:rPr>
            </w:pPr>
            <w:r w:rsidRPr="00CD7658">
              <w:rPr>
                <w:rFonts w:ascii="Arial" w:hAnsi="Arial" w:cs="Arial"/>
                <w:sz w:val="20"/>
                <w:szCs w:val="20"/>
                <w:lang w:eastAsia="cs-CZ"/>
              </w:rPr>
              <w:t>Hepatologická ambulancia Polikliniky SZU / Ústav farmakológie, klinickej a experimentálnej farmakológie LF SZU, Bratislava,</w:t>
            </w:r>
          </w:p>
          <w:p w14:paraId="4E610A4C"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Hepatologická ambulancia, 5. interná klinika Lekárskej fakulty UK a Univerzitnej nemocnice, Bratislava – Ružinov,</w:t>
            </w:r>
          </w:p>
          <w:p w14:paraId="7BD4D70E"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Gastroenterologicko - hepatologické centrum THALION, Bratislava,</w:t>
            </w:r>
          </w:p>
          <w:p w14:paraId="2F4B1EEF"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I. Detská klinika, Detská fakultná nemocnica s poliklinikou, Bratislava (iba pre deti od veku 3 rokov),</w:t>
            </w:r>
          </w:p>
          <w:p w14:paraId="6FEE918F"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Hepatologická ambulancia, Interné oddelenie Fakultnej nemocnice, Trenčín,</w:t>
            </w:r>
          </w:p>
          <w:p w14:paraId="2E5319E1" w14:textId="77777777" w:rsidR="00307BC9"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Gastroenterologická ambulancia, Detská klinika Univerzitnej nemocnice Martin (iba pre deti od veku 3 rokov),</w:t>
            </w:r>
          </w:p>
          <w:p w14:paraId="45149B30" w14:textId="77777777" w:rsidR="00307BC9" w:rsidRDefault="00307BC9">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Hepatologická ambulancia, Interná klinika gastroenterologická, Univerzitná nemocnica</w:t>
            </w:r>
            <w:r>
              <w:rPr>
                <w:rFonts w:ascii="Arial" w:hAnsi="Arial" w:cs="Arial"/>
                <w:sz w:val="20"/>
                <w:szCs w:val="20"/>
                <w:lang w:eastAsia="cs-CZ"/>
              </w:rPr>
              <w:t xml:space="preserve"> </w:t>
            </w:r>
            <w:r w:rsidRPr="00307BC9">
              <w:rPr>
                <w:rFonts w:ascii="Arial" w:hAnsi="Arial" w:cs="Arial"/>
                <w:sz w:val="20"/>
                <w:szCs w:val="20"/>
                <w:lang w:eastAsia="cs-CZ"/>
              </w:rPr>
              <w:t>Martin</w:t>
            </w:r>
          </w:p>
          <w:p w14:paraId="42926118" w14:textId="77777777" w:rsid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Hepatologická ambulancia, Fakultná nemocnica, Nitra</w:t>
            </w:r>
          </w:p>
          <w:p w14:paraId="04A3BBB3" w14:textId="77777777" w:rsid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Hepatologická ambulancia, Klinika vnútorného lekárstva II Fakultnej nemocnice s poliklinikou, Nové Zámky,</w:t>
            </w:r>
          </w:p>
          <w:p w14:paraId="18647DAC" w14:textId="77777777" w:rsid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 xml:space="preserve">Hepatologická ambulancia, Interná klinika Fakultnej nemocnice F.D. Roosevelta, Banská Bystrica, </w:t>
            </w:r>
          </w:p>
          <w:p w14:paraId="6235F970" w14:textId="77777777" w:rsid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Gastroenterologická ambulancia, Detská fakultná nemocnica F.D.Roosevelta, Banská Bystrica (iba pre deti od veku 3 rokov),</w:t>
            </w:r>
          </w:p>
          <w:p w14:paraId="4BAF223E" w14:textId="77777777" w:rsid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Hepatologická ambulancia, Interné oddelenie Nemocnica Poprad, a.s., Poprad,</w:t>
            </w:r>
          </w:p>
          <w:p w14:paraId="18C17539" w14:textId="77777777" w:rsidR="00806651" w:rsidRP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Hepatologická ambulancia, 1. interná klinika UNLP a Lekárskej fakulty UPJŠ, Košice.</w:t>
            </w:r>
          </w:p>
          <w:p w14:paraId="50BAD73C" w14:textId="77777777" w:rsidR="00806651" w:rsidRPr="0000591E" w:rsidRDefault="00806651" w:rsidP="00806651">
            <w:pPr>
              <w:jc w:val="both"/>
              <w:rPr>
                <w:rFonts w:ascii="Arial" w:hAnsi="Arial" w:cs="Arial"/>
                <w:b/>
                <w:bCs/>
                <w:sz w:val="20"/>
                <w:szCs w:val="20"/>
              </w:rPr>
            </w:pPr>
          </w:p>
        </w:tc>
      </w:tr>
      <w:tr w:rsidR="00806651" w:rsidRPr="0000591E" w14:paraId="67D43C5A" w14:textId="77777777" w:rsidTr="00670FEC">
        <w:trPr>
          <w:trHeight w:val="20"/>
        </w:trPr>
        <w:tc>
          <w:tcPr>
            <w:tcW w:w="1277" w:type="dxa"/>
            <w:tcBorders>
              <w:bottom w:val="single" w:sz="4" w:space="0" w:color="auto"/>
            </w:tcBorders>
            <w:noWrap/>
          </w:tcPr>
          <w:p w14:paraId="22C9B50B" w14:textId="77777777" w:rsidR="00E95DCA" w:rsidRDefault="00E95DCA" w:rsidP="00806651">
            <w:pPr>
              <w:rPr>
                <w:rFonts w:ascii="Arial" w:hAnsi="Arial" w:cs="Arial"/>
                <w:b/>
                <w:bCs/>
                <w:sz w:val="20"/>
                <w:szCs w:val="20"/>
              </w:rPr>
            </w:pPr>
          </w:p>
          <w:p w14:paraId="6CF622AD" w14:textId="2F888100"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L03A</w:t>
            </w:r>
            <w:r>
              <w:rPr>
                <w:rFonts w:ascii="Arial" w:hAnsi="Arial" w:cs="Arial"/>
                <w:b/>
                <w:bCs/>
                <w:sz w:val="20"/>
                <w:szCs w:val="20"/>
              </w:rPr>
              <w:t>B13</w:t>
            </w:r>
          </w:p>
        </w:tc>
        <w:tc>
          <w:tcPr>
            <w:tcW w:w="9355" w:type="dxa"/>
            <w:tcBorders>
              <w:bottom w:val="single" w:sz="4" w:space="0" w:color="auto"/>
            </w:tcBorders>
          </w:tcPr>
          <w:p w14:paraId="399D409B" w14:textId="77777777" w:rsidR="00806651" w:rsidRDefault="00806651" w:rsidP="00806651">
            <w:pPr>
              <w:jc w:val="both"/>
              <w:rPr>
                <w:rFonts w:ascii="Arial" w:hAnsi="Arial" w:cs="Arial"/>
                <w:b/>
                <w:bCs/>
                <w:sz w:val="20"/>
                <w:szCs w:val="20"/>
              </w:rPr>
            </w:pPr>
            <w:r w:rsidRPr="00C629F1">
              <w:rPr>
                <w:rFonts w:ascii="Arial" w:hAnsi="Arial" w:cs="Arial"/>
                <w:b/>
                <w:bCs/>
                <w:sz w:val="20"/>
                <w:szCs w:val="20"/>
              </w:rPr>
              <w:t>Peginterferón beta-1a  s.c. 63 mcg a 94 mcg</w:t>
            </w:r>
          </w:p>
          <w:p w14:paraId="60C45A97" w14:textId="77777777" w:rsidR="00806651" w:rsidRPr="0000591E" w:rsidRDefault="00806651" w:rsidP="00806651">
            <w:pPr>
              <w:jc w:val="both"/>
              <w:rPr>
                <w:rFonts w:ascii="Arial" w:hAnsi="Arial" w:cs="Arial"/>
                <w:b/>
                <w:bCs/>
                <w:sz w:val="20"/>
                <w:szCs w:val="20"/>
              </w:rPr>
            </w:pPr>
            <w:r>
              <w:rPr>
                <w:rFonts w:ascii="Arial" w:hAnsi="Arial" w:cs="Arial"/>
                <w:b/>
                <w:bCs/>
                <w:sz w:val="20"/>
                <w:szCs w:val="20"/>
              </w:rPr>
              <w:t xml:space="preserve">Peginterferón beta-1a  </w:t>
            </w:r>
            <w:r w:rsidRPr="00877C50">
              <w:rPr>
                <w:rFonts w:ascii="Arial" w:hAnsi="Arial" w:cs="Arial"/>
                <w:b/>
                <w:bCs/>
                <w:sz w:val="20"/>
                <w:szCs w:val="20"/>
              </w:rPr>
              <w:t>s.c. 125 mcg</w:t>
            </w:r>
          </w:p>
        </w:tc>
      </w:tr>
      <w:tr w:rsidR="00806651" w:rsidRPr="0000591E" w14:paraId="27C16C97" w14:textId="77777777" w:rsidTr="00670FEC">
        <w:trPr>
          <w:trHeight w:val="20"/>
        </w:trPr>
        <w:tc>
          <w:tcPr>
            <w:tcW w:w="1277" w:type="dxa"/>
            <w:tcBorders>
              <w:bottom w:val="single" w:sz="4" w:space="0" w:color="BFBFBF" w:themeColor="background1" w:themeShade="BF"/>
            </w:tcBorders>
            <w:noWrap/>
          </w:tcPr>
          <w:p w14:paraId="541C3F4E" w14:textId="77777777" w:rsidR="00806651" w:rsidRPr="0000591E" w:rsidRDefault="00806651" w:rsidP="00806651">
            <w:pPr>
              <w:jc w:val="both"/>
              <w:rPr>
                <w:rFonts w:ascii="Arial" w:hAnsi="Arial" w:cs="Arial"/>
                <w:b/>
                <w:bCs/>
                <w:sz w:val="20"/>
                <w:szCs w:val="20"/>
              </w:rPr>
            </w:pPr>
          </w:p>
        </w:tc>
        <w:tc>
          <w:tcPr>
            <w:tcW w:w="9355" w:type="dxa"/>
            <w:tcBorders>
              <w:bottom w:val="single" w:sz="4" w:space="0" w:color="BFBFBF" w:themeColor="background1" w:themeShade="BF"/>
            </w:tcBorders>
          </w:tcPr>
          <w:p w14:paraId="5AB581C7" w14:textId="77777777" w:rsidR="00806651" w:rsidRPr="00C92D78" w:rsidRDefault="00806651" w:rsidP="00806651">
            <w:pPr>
              <w:jc w:val="both"/>
              <w:rPr>
                <w:rFonts w:ascii="Arial" w:hAnsi="Arial" w:cs="Arial"/>
                <w:sz w:val="20"/>
                <w:szCs w:val="20"/>
              </w:rPr>
            </w:pPr>
            <w:r w:rsidRPr="00C92D78">
              <w:rPr>
                <w:rFonts w:ascii="Arial" w:hAnsi="Arial" w:cs="Arial"/>
                <w:sz w:val="20"/>
                <w:szCs w:val="20"/>
              </w:rPr>
              <w:t>Hradená liečba sa môže indikovať u pacientov s diagnózou relapsujúco-remitujúcej formy SM podľa McDonaldových kritérií (2010), ktorých neurologický deficit je do 4,0 EDSS vrátane. Pre potvrdenie diagnózy SM</w:t>
            </w:r>
            <w:r>
              <w:rPr>
                <w:rFonts w:ascii="Arial" w:hAnsi="Arial" w:cs="Arial"/>
                <w:sz w:val="20"/>
                <w:szCs w:val="20"/>
              </w:rPr>
              <w:t xml:space="preserve"> je potrebné vyšetrenie likvoru.</w:t>
            </w:r>
            <w:r w:rsidRPr="00C92D78">
              <w:rPr>
                <w:rFonts w:ascii="Arial" w:hAnsi="Arial" w:cs="Arial"/>
                <w:sz w:val="20"/>
                <w:szCs w:val="20"/>
              </w:rPr>
              <w:t xml:space="preserve"> </w:t>
            </w:r>
          </w:p>
          <w:p w14:paraId="0040A576" w14:textId="77777777" w:rsidR="00806651" w:rsidRPr="00C92D78" w:rsidRDefault="00806651" w:rsidP="00806651">
            <w:pPr>
              <w:jc w:val="both"/>
              <w:rPr>
                <w:rFonts w:ascii="Arial" w:hAnsi="Arial" w:cs="Arial"/>
                <w:sz w:val="20"/>
                <w:szCs w:val="20"/>
              </w:rPr>
            </w:pPr>
            <w:r w:rsidRPr="00C92D78">
              <w:rPr>
                <w:rFonts w:ascii="Arial" w:hAnsi="Arial" w:cs="Arial"/>
                <w:sz w:val="20"/>
                <w:szCs w:val="20"/>
              </w:rPr>
              <w:t xml:space="preserve">Ďalšia liečba nie je hradenou liečbou, ak je zistené aspoň jedno z týchto kritérií: </w:t>
            </w:r>
          </w:p>
          <w:p w14:paraId="4B183E23"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v priebehu 12 mesiacov nezmenený alebo zvýšený počet relapsov ako na predchádzajúcej liečbe,</w:t>
            </w:r>
          </w:p>
          <w:p w14:paraId="7C14AD3D"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 xml:space="preserve">zvýšenie EDSS o jeden stupeň v priebehu jedného roka, </w:t>
            </w:r>
          </w:p>
          <w:p w14:paraId="4046F44C"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pribudnutie 2 a viac T2 hyperintenzitných lézií alebo 1 a viac gadolíniom zvýrazňujúcich sa T1 lézií za predchádzajúcich 12 mesiacov liečby,</w:t>
            </w:r>
          </w:p>
          <w:p w14:paraId="7D16DA40" w14:textId="77777777" w:rsidR="00806651" w:rsidRDefault="00806651">
            <w:pPr>
              <w:numPr>
                <w:ilvl w:val="0"/>
                <w:numId w:val="100"/>
              </w:numPr>
              <w:jc w:val="both"/>
              <w:rPr>
                <w:rFonts w:ascii="Arial" w:hAnsi="Arial" w:cs="Arial"/>
                <w:sz w:val="20"/>
                <w:szCs w:val="20"/>
              </w:rPr>
            </w:pPr>
            <w:r w:rsidRPr="00C92D78">
              <w:rPr>
                <w:rFonts w:ascii="Arial" w:hAnsi="Arial" w:cs="Arial"/>
                <w:sz w:val="20"/>
                <w:szCs w:val="20"/>
              </w:rPr>
              <w:t>chýbajúca expresia MxA proteínu stanovená každé dva roky od začatia liečby,</w:t>
            </w:r>
          </w:p>
          <w:p w14:paraId="70BFD6DD"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EDSS 6 a viac.</w:t>
            </w:r>
          </w:p>
          <w:p w14:paraId="0AA2C1D1" w14:textId="77777777" w:rsidR="00806651" w:rsidRDefault="00806651" w:rsidP="00806651">
            <w:pPr>
              <w:jc w:val="both"/>
              <w:rPr>
                <w:rFonts w:ascii="Arial" w:hAnsi="Arial" w:cs="Arial"/>
                <w:sz w:val="20"/>
                <w:szCs w:val="20"/>
              </w:rPr>
            </w:pPr>
          </w:p>
          <w:p w14:paraId="36CB13C0" w14:textId="4578D2D9" w:rsidR="00806651" w:rsidRPr="00EF7B87" w:rsidRDefault="00806651" w:rsidP="00EF7B87">
            <w:pPr>
              <w:jc w:val="both"/>
              <w:rPr>
                <w:rFonts w:ascii="Arial" w:hAnsi="Arial" w:cs="Arial"/>
                <w:sz w:val="20"/>
                <w:szCs w:val="20"/>
              </w:rPr>
            </w:pPr>
            <w:r w:rsidRPr="00832950">
              <w:rPr>
                <w:rFonts w:ascii="Arial" w:hAnsi="Arial" w:cs="Arial"/>
                <w:sz w:val="20"/>
                <w:szCs w:val="20"/>
              </w:rPr>
              <w:t>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Fakultnej nemocnice Nitra, Fakultnej nemocnice s poliklinikou Trnava, v Univerzitnej nemocnici, Martin, na Neurologickej klinke Ústrednej vojenskej nemocnice S</w:t>
            </w:r>
            <w:r>
              <w:rPr>
                <w:rFonts w:ascii="Arial" w:hAnsi="Arial" w:cs="Arial"/>
                <w:sz w:val="20"/>
                <w:szCs w:val="20"/>
              </w:rPr>
              <w:t>NP Ružomberok,</w:t>
            </w:r>
            <w:r w:rsidRPr="00832950">
              <w:rPr>
                <w:rFonts w:ascii="Arial" w:hAnsi="Arial" w:cs="Arial"/>
                <w:sz w:val="20"/>
                <w:szCs w:val="20"/>
              </w:rPr>
              <w:t xml:space="preserve"> na neurologickom oddelení Fakultnej nemocnice Trenčín</w:t>
            </w:r>
            <w:r>
              <w:rPr>
                <w:rFonts w:ascii="Arial" w:hAnsi="Arial" w:cs="Arial"/>
                <w:sz w:val="20"/>
                <w:szCs w:val="20"/>
              </w:rPr>
              <w:t xml:space="preserve"> </w:t>
            </w:r>
            <w:r w:rsidRPr="00983F77">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963A16">
              <w:rPr>
                <w:rFonts w:ascii="Arial" w:hAnsi="Arial" w:cs="Arial"/>
                <w:sz w:val="20"/>
                <w:szCs w:val="20"/>
              </w:rPr>
              <w:t xml:space="preserve"> </w:t>
            </w:r>
            <w:r w:rsidR="00963A16" w:rsidRPr="00963A16">
              <w:rPr>
                <w:rFonts w:ascii="Arial" w:hAnsi="Arial" w:cs="Arial"/>
                <w:sz w:val="20"/>
                <w:szCs w:val="20"/>
              </w:rPr>
              <w:t>a na Špecializovanej neurologickej ambulancii, Liptovská nemocnica s poliklinikou MUDr. Ivana Stodolu Liptovský Mikuláš</w:t>
            </w:r>
            <w:r w:rsidR="00926A0D">
              <w:rPr>
                <w:rFonts w:ascii="Arial" w:hAnsi="Arial" w:cs="Arial"/>
                <w:sz w:val="20"/>
                <w:szCs w:val="20"/>
              </w:rPr>
              <w:t xml:space="preserve">, </w:t>
            </w:r>
            <w:r w:rsidR="00926A0D" w:rsidRPr="00926A0D">
              <w:rPr>
                <w:rFonts w:ascii="Arial" w:hAnsi="Arial" w:cs="Arial"/>
                <w:sz w:val="20"/>
                <w:szCs w:val="20"/>
              </w:rPr>
              <w:t>na Neurologickom oddelení Nemocnice AGEL Levoča a.s. a na Špecializovanej neurologickej ambulancii Nemocnice AGEL Komárno s.r.o.</w:t>
            </w:r>
            <w:r w:rsidR="00963A16" w:rsidRPr="00963A16">
              <w:rPr>
                <w:rFonts w:ascii="Arial" w:hAnsi="Arial" w:cs="Arial"/>
                <w:sz w:val="20"/>
                <w:szCs w:val="20"/>
              </w:rPr>
              <w:t>.</w:t>
            </w:r>
          </w:p>
        </w:tc>
      </w:tr>
      <w:tr w:rsidR="00806651" w:rsidRPr="0000591E" w14:paraId="581F1E30" w14:textId="77777777" w:rsidTr="00670FEC">
        <w:trPr>
          <w:trHeight w:val="20"/>
        </w:trPr>
        <w:tc>
          <w:tcPr>
            <w:tcW w:w="1277" w:type="dxa"/>
            <w:tcBorders>
              <w:bottom w:val="single" w:sz="4" w:space="0" w:color="auto"/>
            </w:tcBorders>
            <w:noWrap/>
          </w:tcPr>
          <w:p w14:paraId="426FAD67"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L03AX03</w:t>
            </w:r>
          </w:p>
        </w:tc>
        <w:tc>
          <w:tcPr>
            <w:tcW w:w="9355" w:type="dxa"/>
            <w:tcBorders>
              <w:bottom w:val="single" w:sz="4" w:space="0" w:color="auto"/>
            </w:tcBorders>
          </w:tcPr>
          <w:p w14:paraId="515C2C5F"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 xml:space="preserve">BCG vakcína parent. </w:t>
            </w:r>
          </w:p>
        </w:tc>
      </w:tr>
      <w:tr w:rsidR="00806651" w:rsidRPr="0000591E" w14:paraId="36666765" w14:textId="77777777" w:rsidTr="00670FEC">
        <w:trPr>
          <w:gridBefore w:val="1"/>
          <w:wBefore w:w="1277" w:type="dxa"/>
          <w:trHeight w:val="20"/>
        </w:trPr>
        <w:tc>
          <w:tcPr>
            <w:tcW w:w="9355" w:type="dxa"/>
          </w:tcPr>
          <w:p w14:paraId="3CD603EF" w14:textId="77777777" w:rsidR="00806651" w:rsidRPr="0000591E" w:rsidRDefault="00806651" w:rsidP="00806651">
            <w:pPr>
              <w:jc w:val="both"/>
              <w:rPr>
                <w:rFonts w:ascii="Arial" w:hAnsi="Arial" w:cs="Arial"/>
                <w:sz w:val="20"/>
                <w:szCs w:val="20"/>
              </w:rPr>
            </w:pPr>
            <w:r w:rsidRPr="0000591E">
              <w:rPr>
                <w:rFonts w:ascii="Arial" w:hAnsi="Arial" w:cs="Arial"/>
                <w:sz w:val="20"/>
                <w:szCs w:val="20"/>
              </w:rPr>
              <w:t>Hradená liečba sa môže indikovať pri povrchovom karcinóme močového mechúra bez metastáz a bez prerastania do svaloviny.</w:t>
            </w:r>
          </w:p>
          <w:p w14:paraId="7961C242" w14:textId="77777777" w:rsidR="00806651" w:rsidRPr="0000591E" w:rsidRDefault="00806651" w:rsidP="00806651">
            <w:pPr>
              <w:jc w:val="both"/>
              <w:rPr>
                <w:rFonts w:ascii="Arial" w:hAnsi="Arial" w:cs="Arial"/>
                <w:sz w:val="20"/>
                <w:szCs w:val="20"/>
              </w:rPr>
            </w:pPr>
          </w:p>
        </w:tc>
      </w:tr>
      <w:tr w:rsidR="00806651" w:rsidRPr="0000591E" w14:paraId="1C6BCF0C" w14:textId="77777777" w:rsidTr="00670FEC">
        <w:trPr>
          <w:trHeight w:val="20"/>
        </w:trPr>
        <w:tc>
          <w:tcPr>
            <w:tcW w:w="1277" w:type="dxa"/>
            <w:tcBorders>
              <w:bottom w:val="single" w:sz="4" w:space="0" w:color="auto"/>
            </w:tcBorders>
            <w:noWrap/>
          </w:tcPr>
          <w:p w14:paraId="7B390B9F" w14:textId="77777777" w:rsidR="003B46C8" w:rsidRDefault="003B46C8" w:rsidP="00806651">
            <w:pPr>
              <w:jc w:val="both"/>
              <w:rPr>
                <w:rFonts w:ascii="Arial" w:hAnsi="Arial" w:cs="Arial"/>
                <w:b/>
                <w:bCs/>
                <w:sz w:val="20"/>
                <w:szCs w:val="20"/>
              </w:rPr>
            </w:pPr>
          </w:p>
          <w:p w14:paraId="11996CA1" w14:textId="235B28CD"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L03AX13</w:t>
            </w:r>
          </w:p>
        </w:tc>
        <w:tc>
          <w:tcPr>
            <w:tcW w:w="9355" w:type="dxa"/>
            <w:tcBorders>
              <w:bottom w:val="single" w:sz="4" w:space="0" w:color="auto"/>
            </w:tcBorders>
          </w:tcPr>
          <w:p w14:paraId="45E91549" w14:textId="77777777" w:rsidR="00806651" w:rsidRDefault="00806651" w:rsidP="00806651">
            <w:pPr>
              <w:jc w:val="both"/>
              <w:rPr>
                <w:rFonts w:ascii="Arial" w:hAnsi="Arial" w:cs="Arial"/>
                <w:b/>
                <w:bCs/>
                <w:sz w:val="20"/>
                <w:szCs w:val="20"/>
              </w:rPr>
            </w:pPr>
            <w:r w:rsidRPr="0000591E">
              <w:rPr>
                <w:rFonts w:ascii="Arial" w:hAnsi="Arial" w:cs="Arial"/>
                <w:b/>
                <w:bCs/>
                <w:sz w:val="20"/>
                <w:szCs w:val="20"/>
              </w:rPr>
              <w:t>Glatirameracetát parent.</w:t>
            </w:r>
            <w:r>
              <w:rPr>
                <w:rFonts w:ascii="Arial" w:hAnsi="Arial" w:cs="Arial"/>
                <w:b/>
                <w:bCs/>
                <w:sz w:val="20"/>
                <w:szCs w:val="20"/>
              </w:rPr>
              <w:t xml:space="preserve"> 20 mg,</w:t>
            </w:r>
          </w:p>
          <w:p w14:paraId="19E25F39" w14:textId="77777777"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Glatirameracetát parent.</w:t>
            </w:r>
            <w:r>
              <w:rPr>
                <w:rFonts w:ascii="Arial" w:hAnsi="Arial" w:cs="Arial"/>
                <w:b/>
                <w:bCs/>
                <w:sz w:val="20"/>
                <w:szCs w:val="20"/>
              </w:rPr>
              <w:t xml:space="preserve"> 40 mg</w:t>
            </w:r>
          </w:p>
        </w:tc>
      </w:tr>
      <w:tr w:rsidR="00806651" w:rsidRPr="0000591E" w14:paraId="332C4691" w14:textId="77777777" w:rsidTr="00670FEC">
        <w:trPr>
          <w:gridBefore w:val="1"/>
          <w:wBefore w:w="1277" w:type="dxa"/>
          <w:trHeight w:val="20"/>
        </w:trPr>
        <w:tc>
          <w:tcPr>
            <w:tcW w:w="9355" w:type="dxa"/>
          </w:tcPr>
          <w:p w14:paraId="6EF2C1D1" w14:textId="77777777" w:rsidR="00806651" w:rsidRPr="00D755B6" w:rsidRDefault="00806651" w:rsidP="00806651">
            <w:p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Hradená liečba sa môže indikovať u pacientov </w:t>
            </w:r>
          </w:p>
          <w:p w14:paraId="7202738C" w14:textId="77777777" w:rsidR="00806651" w:rsidRPr="00D755B6" w:rsidRDefault="00806651">
            <w:pPr>
              <w:numPr>
                <w:ilvl w:val="0"/>
                <w:numId w:val="101"/>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s diagnózou relapsujúco-remitujúcej formy SM podľa McDonaldových kritérií (2010), ktorých neurologický deficit je do 4,0 EDSS vrátane. Pre potvrdenie diagnózy SM je potrebné vyšetrenie likvoru, </w:t>
            </w:r>
          </w:p>
          <w:p w14:paraId="6317AF2E" w14:textId="77777777" w:rsidR="00806651" w:rsidRPr="00D755B6" w:rsidRDefault="00806651">
            <w:pPr>
              <w:numPr>
                <w:ilvl w:val="0"/>
                <w:numId w:val="101"/>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ktorí prekonali klinický definovanú izolovanú demyelinizačnú príhodu s aktívnym zápalovým procesom a MR preukázanou disemináciou v čase a priestore, ak je tak závažná, že si vyžaduje liečbu intravenóznymi kortikosteroidmi, ak boli vylúčené alternatívne diagnózy a ak sa zistilo, že majú vysoké riziko rozvoja klinicky dokázanej definitívnej formy SM. </w:t>
            </w:r>
          </w:p>
          <w:p w14:paraId="09013756" w14:textId="77777777" w:rsidR="00C35521" w:rsidRDefault="00C35521" w:rsidP="00806651">
            <w:pPr>
              <w:autoSpaceDE w:val="0"/>
              <w:autoSpaceDN w:val="0"/>
              <w:adjustRightInd w:val="0"/>
              <w:jc w:val="both"/>
              <w:rPr>
                <w:rFonts w:ascii="Arial" w:hAnsi="Arial" w:cs="Arial"/>
                <w:iCs/>
                <w:sz w:val="20"/>
                <w:szCs w:val="20"/>
              </w:rPr>
            </w:pPr>
          </w:p>
          <w:p w14:paraId="1EA85227" w14:textId="4057F28F" w:rsidR="00806651" w:rsidRPr="00D755B6" w:rsidRDefault="00806651" w:rsidP="00806651">
            <w:p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Ďalšia liečba nie je hradenou liečbou, ak je zistené aspoň jedno z týchto kritérií: </w:t>
            </w:r>
          </w:p>
          <w:p w14:paraId="3A645EDC" w14:textId="77777777" w:rsidR="00806651" w:rsidRPr="00D755B6"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v priebehu 12 mesiacov nezmenený alebo zvýšený počet relapsov ako na predchádzajúcej liečbe,</w:t>
            </w:r>
          </w:p>
          <w:p w14:paraId="3797FCB5" w14:textId="77777777" w:rsidR="00806651" w:rsidRPr="00D755B6"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zvýšenie EDSS o jeden stupeň v priebehu jedného roka, </w:t>
            </w:r>
          </w:p>
          <w:p w14:paraId="5CC67CFA" w14:textId="77777777" w:rsidR="00806651"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pribudnutie 2 a viac T2 hyperintenzitných lézií alebo 1 a viac gadolíniom zvýrazňujúcich sa T1 lézií za predchádzajúcich 12 mesiacov liečby,</w:t>
            </w:r>
          </w:p>
          <w:p w14:paraId="45B558C3" w14:textId="77777777" w:rsidR="00806651" w:rsidRPr="00D755B6"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EDSS 6 a viac.</w:t>
            </w:r>
            <w:r w:rsidRPr="00D755B6">
              <w:rPr>
                <w:iCs/>
              </w:rPr>
              <w:t xml:space="preserve"> </w:t>
            </w:r>
          </w:p>
          <w:p w14:paraId="09E8BAEE" w14:textId="77777777" w:rsidR="00C35521" w:rsidRDefault="00C35521" w:rsidP="00963A16">
            <w:pPr>
              <w:jc w:val="both"/>
              <w:rPr>
                <w:rFonts w:ascii="Arial" w:hAnsi="Arial" w:cs="Arial"/>
                <w:sz w:val="20"/>
                <w:szCs w:val="20"/>
              </w:rPr>
            </w:pPr>
          </w:p>
          <w:p w14:paraId="7F6C903F" w14:textId="27ABEE7B" w:rsidR="00963A16" w:rsidRPr="00963A16" w:rsidRDefault="00806651" w:rsidP="00963A16">
            <w:pPr>
              <w:jc w:val="both"/>
              <w:rPr>
                <w:rFonts w:ascii="Arial" w:hAnsi="Arial" w:cs="Arial"/>
                <w:sz w:val="20"/>
                <w:szCs w:val="20"/>
              </w:rPr>
            </w:pPr>
            <w:r w:rsidRPr="0000591E">
              <w:rPr>
                <w:rFonts w:ascii="Arial" w:hAnsi="Arial" w:cs="Arial"/>
                <w:sz w:val="20"/>
                <w:szCs w:val="20"/>
              </w:rPr>
              <w:t>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klinke Ústrednej vojenskej nemocnice SNP Ružomberok</w:t>
            </w:r>
            <w:r>
              <w:rPr>
                <w:rFonts w:ascii="Arial" w:hAnsi="Arial" w:cs="Arial"/>
                <w:sz w:val="20"/>
                <w:szCs w:val="20"/>
              </w:rPr>
              <w:t>,</w:t>
            </w:r>
            <w:r w:rsidRPr="0000591E">
              <w:rPr>
                <w:rFonts w:ascii="Arial" w:hAnsi="Arial" w:cs="Arial"/>
                <w:sz w:val="20"/>
                <w:szCs w:val="20"/>
              </w:rPr>
              <w:t xml:space="preserve"> na neurologickom oddelení Fakultnej nemocnice Trenčín</w:t>
            </w:r>
            <w:r>
              <w:rPr>
                <w:rFonts w:ascii="Arial" w:hAnsi="Arial" w:cs="Arial"/>
                <w:sz w:val="20"/>
                <w:szCs w:val="20"/>
              </w:rPr>
              <w:t xml:space="preserve"> </w:t>
            </w:r>
            <w:r w:rsidRPr="008A1A40">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963A16">
              <w:rPr>
                <w:rFonts w:ascii="Arial" w:hAnsi="Arial" w:cs="Arial"/>
                <w:sz w:val="20"/>
                <w:szCs w:val="20"/>
              </w:rPr>
              <w:t xml:space="preserve"> </w:t>
            </w:r>
            <w:r w:rsidR="00963A16" w:rsidRPr="00963A16">
              <w:rPr>
                <w:rFonts w:ascii="Arial" w:hAnsi="Arial" w:cs="Arial"/>
                <w:sz w:val="20"/>
                <w:szCs w:val="20"/>
              </w:rPr>
              <w:t xml:space="preserve">a na </w:t>
            </w:r>
          </w:p>
          <w:p w14:paraId="02E6C85C" w14:textId="77777777" w:rsidR="00806651" w:rsidRDefault="00963A16" w:rsidP="008904B1">
            <w:pPr>
              <w:jc w:val="both"/>
              <w:rPr>
                <w:rFonts w:ascii="Arial" w:hAnsi="Arial" w:cs="Arial"/>
                <w:sz w:val="20"/>
                <w:szCs w:val="20"/>
              </w:rPr>
            </w:pPr>
            <w:r w:rsidRPr="00963A16">
              <w:rPr>
                <w:rFonts w:ascii="Arial" w:hAnsi="Arial" w:cs="Arial"/>
                <w:sz w:val="20"/>
                <w:szCs w:val="20"/>
              </w:rPr>
              <w:t>Špecializovanej neurologickej ambulancii, Liptovská nemocnica s poliklinikou MUDr. Ivana Stodolu Liptovský Mikuláš</w:t>
            </w:r>
            <w:r w:rsidR="008904B1">
              <w:rPr>
                <w:rFonts w:ascii="Arial" w:hAnsi="Arial" w:cs="Arial"/>
                <w:sz w:val="20"/>
                <w:szCs w:val="20"/>
              </w:rPr>
              <w:t xml:space="preserve">, </w:t>
            </w:r>
            <w:r w:rsidR="008904B1" w:rsidRPr="008904B1">
              <w:rPr>
                <w:rFonts w:ascii="Arial" w:hAnsi="Arial" w:cs="Arial"/>
                <w:sz w:val="20"/>
                <w:szCs w:val="20"/>
              </w:rPr>
              <w:t xml:space="preserve">na Neurologickom oddelení Nemocnice AGEL Levoča a.s. a na Špecializovanej neurologickej ambulancii </w:t>
            </w:r>
            <w:r w:rsidR="008904B1">
              <w:rPr>
                <w:rFonts w:ascii="Arial" w:hAnsi="Arial" w:cs="Arial"/>
                <w:sz w:val="20"/>
                <w:szCs w:val="20"/>
              </w:rPr>
              <w:t>Nemocnice AGEL Komárno s.r.o.</w:t>
            </w:r>
          </w:p>
          <w:p w14:paraId="256873B9" w14:textId="1A32BDE6" w:rsidR="00806651" w:rsidRPr="0000591E" w:rsidRDefault="00806651" w:rsidP="001A3270">
            <w:pPr>
              <w:pStyle w:val="Zkladntext"/>
            </w:pPr>
          </w:p>
        </w:tc>
      </w:tr>
      <w:tr w:rsidR="00806651" w:rsidRPr="0000591E" w14:paraId="6BE9EA8E" w14:textId="77777777" w:rsidTr="00670FEC">
        <w:trPr>
          <w:trHeight w:val="20"/>
        </w:trPr>
        <w:tc>
          <w:tcPr>
            <w:tcW w:w="1277" w:type="dxa"/>
            <w:tcBorders>
              <w:bottom w:val="single" w:sz="4" w:space="0" w:color="auto"/>
            </w:tcBorders>
            <w:noWrap/>
          </w:tcPr>
          <w:p w14:paraId="713D005F" w14:textId="77777777" w:rsidR="00E95DCA" w:rsidRDefault="00E95DCA" w:rsidP="00806651">
            <w:pPr>
              <w:jc w:val="both"/>
              <w:rPr>
                <w:rFonts w:ascii="Arial" w:hAnsi="Arial" w:cs="Arial"/>
                <w:b/>
                <w:sz w:val="20"/>
                <w:szCs w:val="20"/>
              </w:rPr>
            </w:pPr>
          </w:p>
          <w:p w14:paraId="449BF1A8" w14:textId="51277193" w:rsidR="00806651" w:rsidRPr="0000591E" w:rsidRDefault="00806651" w:rsidP="00806651">
            <w:pPr>
              <w:jc w:val="both"/>
              <w:rPr>
                <w:rFonts w:ascii="Arial" w:hAnsi="Arial" w:cs="Arial"/>
                <w:b/>
                <w:bCs/>
                <w:sz w:val="20"/>
                <w:szCs w:val="20"/>
              </w:rPr>
            </w:pPr>
            <w:r w:rsidRPr="0000591E">
              <w:rPr>
                <w:rFonts w:ascii="Arial" w:hAnsi="Arial" w:cs="Arial"/>
                <w:b/>
                <w:sz w:val="20"/>
                <w:szCs w:val="20"/>
              </w:rPr>
              <w:t>L04AA06</w:t>
            </w:r>
          </w:p>
        </w:tc>
        <w:tc>
          <w:tcPr>
            <w:tcW w:w="9355" w:type="dxa"/>
            <w:tcBorders>
              <w:bottom w:val="single" w:sz="4" w:space="0" w:color="auto"/>
            </w:tcBorders>
            <w:noWrap/>
          </w:tcPr>
          <w:p w14:paraId="2D9290BA" w14:textId="77777777" w:rsidR="00806651" w:rsidRPr="0000591E" w:rsidRDefault="00564FAD" w:rsidP="00806651">
            <w:pPr>
              <w:jc w:val="both"/>
              <w:rPr>
                <w:rFonts w:ascii="Arial" w:hAnsi="Arial" w:cs="Arial"/>
                <w:b/>
                <w:sz w:val="20"/>
                <w:szCs w:val="20"/>
              </w:rPr>
            </w:pPr>
            <w:r w:rsidRPr="00564FAD">
              <w:rPr>
                <w:rFonts w:ascii="Arial" w:hAnsi="Arial" w:cs="Arial"/>
                <w:b/>
                <w:sz w:val="20"/>
                <w:szCs w:val="20"/>
              </w:rPr>
              <w:t>Kyselina mykofenolová</w:t>
            </w:r>
            <w:r>
              <w:rPr>
                <w:rFonts w:ascii="Arial" w:hAnsi="Arial" w:cs="Arial"/>
                <w:b/>
                <w:sz w:val="20"/>
                <w:szCs w:val="20"/>
              </w:rPr>
              <w:t xml:space="preserve"> </w:t>
            </w:r>
            <w:r w:rsidR="00806651" w:rsidRPr="0000591E">
              <w:rPr>
                <w:rFonts w:ascii="Arial" w:hAnsi="Arial" w:cs="Arial"/>
                <w:b/>
                <w:sz w:val="20"/>
                <w:szCs w:val="20"/>
              </w:rPr>
              <w:t>p.o. 180 mg,</w:t>
            </w:r>
          </w:p>
          <w:p w14:paraId="6AC6E91D" w14:textId="77777777" w:rsidR="00806651" w:rsidRPr="0000591E" w:rsidRDefault="00564FAD" w:rsidP="00806651">
            <w:pPr>
              <w:jc w:val="both"/>
              <w:rPr>
                <w:rFonts w:ascii="Arial" w:hAnsi="Arial" w:cs="Arial"/>
                <w:b/>
                <w:bCs/>
                <w:sz w:val="20"/>
                <w:szCs w:val="20"/>
              </w:rPr>
            </w:pPr>
            <w:r w:rsidRPr="00564FAD">
              <w:rPr>
                <w:rFonts w:ascii="Arial" w:hAnsi="Arial" w:cs="Arial"/>
                <w:b/>
                <w:sz w:val="20"/>
                <w:szCs w:val="20"/>
              </w:rPr>
              <w:t>Kyselina mykofenolová</w:t>
            </w:r>
            <w:r>
              <w:rPr>
                <w:rFonts w:ascii="Arial" w:hAnsi="Arial" w:cs="Arial"/>
                <w:b/>
                <w:sz w:val="20"/>
                <w:szCs w:val="20"/>
              </w:rPr>
              <w:t xml:space="preserve"> </w:t>
            </w:r>
            <w:r w:rsidR="00806651" w:rsidRPr="0000591E">
              <w:rPr>
                <w:rFonts w:ascii="Arial" w:hAnsi="Arial" w:cs="Arial"/>
                <w:b/>
                <w:sz w:val="20"/>
                <w:szCs w:val="20"/>
              </w:rPr>
              <w:t>p.o. 360 mg</w:t>
            </w:r>
          </w:p>
        </w:tc>
      </w:tr>
      <w:tr w:rsidR="00806651" w:rsidRPr="0000591E" w14:paraId="7E4EDCA0" w14:textId="77777777" w:rsidTr="00670FEC">
        <w:trPr>
          <w:trHeight w:val="20"/>
        </w:trPr>
        <w:tc>
          <w:tcPr>
            <w:tcW w:w="1277" w:type="dxa"/>
            <w:tcBorders>
              <w:bottom w:val="single" w:sz="4" w:space="0" w:color="BFBFBF" w:themeColor="background1" w:themeShade="BF"/>
            </w:tcBorders>
            <w:noWrap/>
          </w:tcPr>
          <w:p w14:paraId="07D82E85" w14:textId="77777777" w:rsidR="00806651" w:rsidRPr="0000591E" w:rsidRDefault="00806651" w:rsidP="00806651">
            <w:pPr>
              <w:rPr>
                <w:rFonts w:ascii="Arial" w:hAnsi="Arial" w:cs="Arial"/>
                <w:b/>
                <w:bCs/>
                <w:sz w:val="20"/>
                <w:szCs w:val="20"/>
              </w:rPr>
            </w:pPr>
          </w:p>
        </w:tc>
        <w:tc>
          <w:tcPr>
            <w:tcW w:w="9355" w:type="dxa"/>
            <w:tcBorders>
              <w:bottom w:val="single" w:sz="4" w:space="0" w:color="BFBFBF" w:themeColor="background1" w:themeShade="BF"/>
            </w:tcBorders>
            <w:noWrap/>
          </w:tcPr>
          <w:p w14:paraId="0B7D4B35" w14:textId="77777777" w:rsidR="00806651" w:rsidRPr="0000591E" w:rsidRDefault="00806651" w:rsidP="00806651">
            <w:pPr>
              <w:rPr>
                <w:rFonts w:ascii="Arial" w:hAnsi="Arial" w:cs="Arial"/>
                <w:sz w:val="20"/>
                <w:szCs w:val="20"/>
                <w:lang w:eastAsia="en-US"/>
              </w:rPr>
            </w:pPr>
            <w:r w:rsidRPr="0000591E">
              <w:rPr>
                <w:rFonts w:ascii="Arial" w:hAnsi="Arial" w:cs="Arial"/>
                <w:sz w:val="20"/>
                <w:szCs w:val="20"/>
                <w:lang w:eastAsia="en-US"/>
              </w:rPr>
              <w:t>Hradenú liečbu môže indikovať internista alebo nefrológ na profylaxiu akútnej rejekcie transplantátu u dospelých pacientov po alogénnej transplantácii obličky s preukázaným nežiaducim účinkom na klasický mofetyl mykofenolát alebo s anamnézou dyspeptických ťažkostí pred transplantáciou.</w:t>
            </w:r>
          </w:p>
          <w:p w14:paraId="60BAEE25" w14:textId="77777777" w:rsidR="00806651" w:rsidRPr="0000591E" w:rsidRDefault="00806651" w:rsidP="00806651">
            <w:pPr>
              <w:jc w:val="both"/>
              <w:rPr>
                <w:rFonts w:ascii="Arial" w:hAnsi="Arial" w:cs="Arial"/>
                <w:b/>
                <w:bCs/>
                <w:sz w:val="20"/>
                <w:szCs w:val="20"/>
              </w:rPr>
            </w:pPr>
          </w:p>
        </w:tc>
      </w:tr>
      <w:tr w:rsidR="00806651" w:rsidRPr="0000591E" w14:paraId="40BD67A8" w14:textId="77777777" w:rsidTr="00670FEC">
        <w:trPr>
          <w:trHeight w:val="20"/>
        </w:trPr>
        <w:tc>
          <w:tcPr>
            <w:tcW w:w="1277" w:type="dxa"/>
            <w:tcBorders>
              <w:bottom w:val="single" w:sz="4" w:space="0" w:color="auto"/>
            </w:tcBorders>
            <w:noWrap/>
          </w:tcPr>
          <w:p w14:paraId="3272E880" w14:textId="77777777"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L04AA10</w:t>
            </w:r>
          </w:p>
        </w:tc>
        <w:tc>
          <w:tcPr>
            <w:tcW w:w="9355" w:type="dxa"/>
            <w:tcBorders>
              <w:bottom w:val="single" w:sz="4" w:space="0" w:color="auto"/>
            </w:tcBorders>
            <w:noWrap/>
          </w:tcPr>
          <w:p w14:paraId="7D4E526F"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Sirolimus p.o. 1 mg</w:t>
            </w:r>
          </w:p>
        </w:tc>
      </w:tr>
      <w:tr w:rsidR="00806651" w:rsidRPr="0000591E" w14:paraId="05C62B56" w14:textId="77777777" w:rsidTr="00670FEC">
        <w:trPr>
          <w:trHeight w:val="20"/>
        </w:trPr>
        <w:tc>
          <w:tcPr>
            <w:tcW w:w="1277" w:type="dxa"/>
            <w:tcBorders>
              <w:top w:val="single" w:sz="4" w:space="0" w:color="auto"/>
              <w:bottom w:val="single" w:sz="4" w:space="0" w:color="BFBFBF" w:themeColor="background1" w:themeShade="BF"/>
            </w:tcBorders>
            <w:noWrap/>
          </w:tcPr>
          <w:p w14:paraId="3D3E7145"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F8C4AB8" w14:textId="77777777" w:rsidR="00806651" w:rsidRPr="0000591E" w:rsidRDefault="00806651" w:rsidP="00806651">
            <w:pPr>
              <w:jc w:val="both"/>
              <w:rPr>
                <w:rFonts w:ascii="Arial" w:hAnsi="Arial" w:cs="Arial"/>
                <w:sz w:val="20"/>
                <w:szCs w:val="20"/>
              </w:rPr>
            </w:pPr>
            <w:r w:rsidRPr="0000591E">
              <w:rPr>
                <w:rFonts w:ascii="Arial" w:hAnsi="Arial" w:cs="Arial"/>
                <w:sz w:val="20"/>
                <w:szCs w:val="20"/>
              </w:rPr>
              <w:t>Hradenú liečbu môže indikovať lekár transplantačného centra, ktorý riadi imunosupresívnu liečbu, po transplantácii obličiek pri laboratórne potvrdenom nefrotoxickom účinku inej imunosupresívnej terapie.</w:t>
            </w:r>
          </w:p>
          <w:p w14:paraId="641B48D6" w14:textId="77777777" w:rsidR="00806651" w:rsidRPr="0000591E" w:rsidRDefault="00806651" w:rsidP="00806651">
            <w:pPr>
              <w:jc w:val="both"/>
              <w:rPr>
                <w:rFonts w:ascii="Arial" w:hAnsi="Arial" w:cs="Arial"/>
                <w:sz w:val="20"/>
                <w:szCs w:val="20"/>
                <w:lang w:eastAsia="cs-CZ"/>
              </w:rPr>
            </w:pPr>
          </w:p>
        </w:tc>
      </w:tr>
      <w:tr w:rsidR="00806651" w:rsidRPr="0000591E" w14:paraId="7335EE50" w14:textId="77777777" w:rsidTr="00670FEC">
        <w:trPr>
          <w:trHeight w:val="20"/>
        </w:trPr>
        <w:tc>
          <w:tcPr>
            <w:tcW w:w="1277" w:type="dxa"/>
            <w:tcBorders>
              <w:bottom w:val="single" w:sz="4" w:space="0" w:color="auto"/>
            </w:tcBorders>
            <w:noWrap/>
          </w:tcPr>
          <w:p w14:paraId="4B2BAF68" w14:textId="77777777" w:rsidR="00E95DCA" w:rsidRDefault="00E95DCA" w:rsidP="00806651">
            <w:pPr>
              <w:jc w:val="both"/>
              <w:rPr>
                <w:rFonts w:ascii="Arial" w:hAnsi="Arial" w:cs="Arial"/>
                <w:b/>
                <w:bCs/>
                <w:sz w:val="20"/>
                <w:szCs w:val="20"/>
              </w:rPr>
            </w:pPr>
          </w:p>
          <w:p w14:paraId="1E7943CF" w14:textId="1CA042B4"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L04AA13</w:t>
            </w:r>
          </w:p>
        </w:tc>
        <w:tc>
          <w:tcPr>
            <w:tcW w:w="9355" w:type="dxa"/>
            <w:tcBorders>
              <w:bottom w:val="single" w:sz="4" w:space="0" w:color="auto"/>
            </w:tcBorders>
          </w:tcPr>
          <w:p w14:paraId="2D2B0D34" w14:textId="77777777"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Leflunomid p.o. 10 mg,</w:t>
            </w:r>
          </w:p>
          <w:p w14:paraId="67A655C9"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Leflunomid p.o. 20 mg</w:t>
            </w:r>
          </w:p>
        </w:tc>
      </w:tr>
      <w:tr w:rsidR="00806651" w:rsidRPr="0000591E" w14:paraId="79635105" w14:textId="77777777" w:rsidTr="00670FEC">
        <w:trPr>
          <w:trHeight w:val="20"/>
        </w:trPr>
        <w:tc>
          <w:tcPr>
            <w:tcW w:w="1277" w:type="dxa"/>
            <w:tcBorders>
              <w:top w:val="single" w:sz="4" w:space="0" w:color="auto"/>
              <w:bottom w:val="single" w:sz="4" w:space="0" w:color="BFBFBF" w:themeColor="background1" w:themeShade="BF"/>
            </w:tcBorders>
            <w:noWrap/>
          </w:tcPr>
          <w:p w14:paraId="77045B49"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D2EF2D5"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Hradenú liečbu môže indikovať reumatológ u dospelých pacientov</w:t>
            </w:r>
          </w:p>
          <w:p w14:paraId="0D26C434"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a) s aktívnou reumatoidnou artritídou ako antireumatikum modifikujúce ochorenie (DMARDs)</w:t>
            </w:r>
          </w:p>
          <w:p w14:paraId="2341A4E2"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 xml:space="preserve">  1. v monoterapii,</w:t>
            </w:r>
          </w:p>
          <w:p w14:paraId="285F291A"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 xml:space="preserve">  2. v kombinácii u pacientov s trvaním choroby viac ako 6 mesiacov, ak monoterapia metotrexátom alebo sulfazalazínom nebola tolerovaná, alebo dostatočne účinná,</w:t>
            </w:r>
          </w:p>
          <w:p w14:paraId="65B88A5B"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b) s aktívnou psoriatickou artritídou.</w:t>
            </w:r>
          </w:p>
          <w:p w14:paraId="73A0C2EF" w14:textId="77777777" w:rsidR="00806651" w:rsidRPr="0000591E" w:rsidRDefault="00806651" w:rsidP="00806651">
            <w:pPr>
              <w:jc w:val="both"/>
              <w:rPr>
                <w:rFonts w:ascii="Arial" w:hAnsi="Arial" w:cs="Arial"/>
                <w:sz w:val="20"/>
                <w:szCs w:val="20"/>
                <w:lang w:eastAsia="cs-CZ"/>
              </w:rPr>
            </w:pPr>
          </w:p>
        </w:tc>
      </w:tr>
      <w:tr w:rsidR="00806651" w:rsidRPr="0000591E" w14:paraId="3DCD47E6" w14:textId="77777777" w:rsidTr="00670FEC">
        <w:trPr>
          <w:trHeight w:val="20"/>
        </w:trPr>
        <w:tc>
          <w:tcPr>
            <w:tcW w:w="1277" w:type="dxa"/>
            <w:tcBorders>
              <w:bottom w:val="single" w:sz="4" w:space="0" w:color="auto"/>
            </w:tcBorders>
            <w:noWrap/>
          </w:tcPr>
          <w:p w14:paraId="2A1C64A1" w14:textId="77777777" w:rsidR="00E95DCA" w:rsidRDefault="00E95DCA" w:rsidP="00806651">
            <w:pPr>
              <w:jc w:val="both"/>
              <w:rPr>
                <w:rFonts w:ascii="Arial" w:hAnsi="Arial" w:cs="Arial"/>
                <w:b/>
                <w:bCs/>
                <w:sz w:val="20"/>
                <w:szCs w:val="20"/>
              </w:rPr>
            </w:pPr>
          </w:p>
          <w:p w14:paraId="722812F1" w14:textId="717B814D"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L04AA18</w:t>
            </w:r>
          </w:p>
        </w:tc>
        <w:tc>
          <w:tcPr>
            <w:tcW w:w="9355" w:type="dxa"/>
            <w:tcBorders>
              <w:bottom w:val="single" w:sz="4" w:space="0" w:color="auto"/>
            </w:tcBorders>
            <w:noWrap/>
          </w:tcPr>
          <w:p w14:paraId="066B9793" w14:textId="77777777"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Everolimus p.o. 0,25 mg,</w:t>
            </w:r>
          </w:p>
          <w:p w14:paraId="68A284CB"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Everolimus p.o. 0,75 mg</w:t>
            </w:r>
          </w:p>
        </w:tc>
      </w:tr>
      <w:tr w:rsidR="00806651" w:rsidRPr="0000591E" w14:paraId="26CC5BA4" w14:textId="77777777" w:rsidTr="00670FEC">
        <w:trPr>
          <w:trHeight w:val="20"/>
        </w:trPr>
        <w:tc>
          <w:tcPr>
            <w:tcW w:w="1277" w:type="dxa"/>
            <w:tcBorders>
              <w:top w:val="single" w:sz="4" w:space="0" w:color="auto"/>
              <w:bottom w:val="single" w:sz="4" w:space="0" w:color="BFBFBF" w:themeColor="background1" w:themeShade="BF"/>
            </w:tcBorders>
            <w:noWrap/>
          </w:tcPr>
          <w:p w14:paraId="074C0877" w14:textId="77777777" w:rsidR="00806651" w:rsidRPr="0000591E" w:rsidRDefault="00806651" w:rsidP="00806651">
            <w:pPr>
              <w:jc w:val="both"/>
              <w:rPr>
                <w:rFonts w:ascii="Arial" w:hAnsi="Arial" w:cs="Arial"/>
                <w:sz w:val="20"/>
                <w:szCs w:val="20"/>
                <w:lang w:eastAsia="cs-CZ"/>
              </w:rPr>
            </w:pPr>
          </w:p>
          <w:p w14:paraId="0AED82C4"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54BE6242" w14:textId="77777777" w:rsidR="00806651" w:rsidRPr="0000591E" w:rsidRDefault="00806651" w:rsidP="00806651">
            <w:pPr>
              <w:jc w:val="both"/>
              <w:rPr>
                <w:rFonts w:ascii="Arial" w:hAnsi="Arial" w:cs="Arial"/>
                <w:sz w:val="20"/>
                <w:szCs w:val="20"/>
              </w:rPr>
            </w:pPr>
            <w:r w:rsidRPr="0000591E">
              <w:rPr>
                <w:rFonts w:ascii="Arial" w:hAnsi="Arial" w:cs="Arial"/>
                <w:sz w:val="20"/>
                <w:szCs w:val="20"/>
              </w:rPr>
              <w:t>Hradená liečba sa môže indikovať pri prevencii a liečbe rejekcie po transplantáciách obličiek a srdca.</w:t>
            </w:r>
          </w:p>
        </w:tc>
      </w:tr>
      <w:tr w:rsidR="00E95DCA" w:rsidRPr="0000591E" w14:paraId="323440C2" w14:textId="77777777" w:rsidTr="00670FEC">
        <w:trPr>
          <w:trHeight w:val="20"/>
        </w:trPr>
        <w:tc>
          <w:tcPr>
            <w:tcW w:w="1277" w:type="dxa"/>
            <w:tcBorders>
              <w:bottom w:val="single" w:sz="4" w:space="0" w:color="auto"/>
            </w:tcBorders>
            <w:noWrap/>
          </w:tcPr>
          <w:p w14:paraId="233E0282" w14:textId="3AAABEF4" w:rsidR="00E95DCA" w:rsidRPr="00737001" w:rsidRDefault="00E95DCA" w:rsidP="0034061E">
            <w:pPr>
              <w:rPr>
                <w:rFonts w:ascii="Arial" w:hAnsi="Arial" w:cs="Arial"/>
                <w:b/>
                <w:bCs/>
                <w:sz w:val="20"/>
                <w:szCs w:val="20"/>
              </w:rPr>
            </w:pPr>
            <w:r w:rsidRPr="00E95DCA">
              <w:rPr>
                <w:rFonts w:ascii="Arial" w:hAnsi="Arial" w:cs="Arial"/>
                <w:b/>
                <w:bCs/>
                <w:sz w:val="20"/>
                <w:szCs w:val="20"/>
              </w:rPr>
              <w:t>L04AA24</w:t>
            </w:r>
          </w:p>
        </w:tc>
        <w:tc>
          <w:tcPr>
            <w:tcW w:w="9355" w:type="dxa"/>
            <w:tcBorders>
              <w:bottom w:val="single" w:sz="4" w:space="0" w:color="auto"/>
            </w:tcBorders>
          </w:tcPr>
          <w:p w14:paraId="1CF305DA" w14:textId="627EC7FF" w:rsidR="00E95DCA" w:rsidRPr="00737001" w:rsidRDefault="00E95DCA" w:rsidP="00806651">
            <w:pPr>
              <w:rPr>
                <w:rFonts w:ascii="Arial" w:hAnsi="Arial" w:cs="Arial"/>
                <w:b/>
                <w:bCs/>
                <w:sz w:val="20"/>
                <w:szCs w:val="20"/>
              </w:rPr>
            </w:pPr>
            <w:r w:rsidRPr="00E95DCA">
              <w:rPr>
                <w:rFonts w:ascii="Arial" w:hAnsi="Arial" w:cs="Arial"/>
                <w:b/>
                <w:bCs/>
                <w:sz w:val="20"/>
                <w:szCs w:val="20"/>
              </w:rPr>
              <w:t>Abatacept parent. 250 mg</w:t>
            </w:r>
          </w:p>
        </w:tc>
      </w:tr>
      <w:tr w:rsidR="00E95DCA" w:rsidRPr="0000591E" w14:paraId="55CDCB9C" w14:textId="77777777" w:rsidTr="00670FEC">
        <w:trPr>
          <w:trHeight w:val="20"/>
        </w:trPr>
        <w:tc>
          <w:tcPr>
            <w:tcW w:w="1277" w:type="dxa"/>
            <w:tcBorders>
              <w:top w:val="single" w:sz="4" w:space="0" w:color="auto"/>
              <w:bottom w:val="nil"/>
            </w:tcBorders>
            <w:noWrap/>
          </w:tcPr>
          <w:p w14:paraId="501DE9B9" w14:textId="77777777" w:rsidR="00E95DCA" w:rsidRPr="00737001" w:rsidRDefault="00E95DCA" w:rsidP="0034061E">
            <w:pPr>
              <w:rPr>
                <w:rFonts w:ascii="Arial" w:hAnsi="Arial" w:cs="Arial"/>
                <w:b/>
                <w:bCs/>
                <w:sz w:val="20"/>
                <w:szCs w:val="20"/>
              </w:rPr>
            </w:pPr>
          </w:p>
        </w:tc>
        <w:tc>
          <w:tcPr>
            <w:tcW w:w="9355" w:type="dxa"/>
            <w:tcBorders>
              <w:top w:val="single" w:sz="4" w:space="0" w:color="auto"/>
              <w:bottom w:val="nil"/>
            </w:tcBorders>
          </w:tcPr>
          <w:p w14:paraId="1DA4959E" w14:textId="77777777" w:rsidR="00E95DCA" w:rsidRPr="00E95DCA" w:rsidRDefault="00E95DCA" w:rsidP="00E95DCA">
            <w:pPr>
              <w:rPr>
                <w:rFonts w:ascii="Arial" w:hAnsi="Arial" w:cs="Arial"/>
                <w:bCs/>
                <w:sz w:val="20"/>
                <w:szCs w:val="20"/>
              </w:rPr>
            </w:pPr>
            <w:r w:rsidRPr="00E95DCA">
              <w:rPr>
                <w:rFonts w:ascii="Arial" w:hAnsi="Arial" w:cs="Arial"/>
                <w:bCs/>
                <w:sz w:val="20"/>
                <w:szCs w:val="20"/>
              </w:rPr>
              <w:t>Hradenú liečbu môže indikovať reumatológ u aktívnej formy reumatoidnej artritídy stredne ťažkého až ťažkého stupňa u pacientov, ktorí neprimerane odpovedali na predchádzajúcu liečbu jedným alebo viacerými antireumatikami modifikujúcimi ochorenie, vrátane metotrexátu, alebo alfa-TNF inhibítora.</w:t>
            </w:r>
          </w:p>
          <w:p w14:paraId="4E0C8120" w14:textId="77777777" w:rsidR="00E95DCA" w:rsidRPr="00E95DCA" w:rsidRDefault="00E95DCA" w:rsidP="00E95DCA">
            <w:pPr>
              <w:rPr>
                <w:rFonts w:ascii="Arial" w:hAnsi="Arial" w:cs="Arial"/>
                <w:bCs/>
                <w:sz w:val="20"/>
                <w:szCs w:val="20"/>
              </w:rPr>
            </w:pPr>
          </w:p>
          <w:p w14:paraId="50C28157" w14:textId="77777777" w:rsidR="00E95DCA" w:rsidRPr="00E95DCA" w:rsidRDefault="00E95DCA" w:rsidP="00E95DCA">
            <w:pPr>
              <w:rPr>
                <w:rFonts w:ascii="Arial" w:hAnsi="Arial" w:cs="Arial"/>
                <w:bCs/>
                <w:sz w:val="20"/>
                <w:szCs w:val="20"/>
              </w:rPr>
            </w:pPr>
            <w:r w:rsidRPr="00E95DCA">
              <w:rPr>
                <w:rFonts w:ascii="Arial" w:hAnsi="Arial" w:cs="Arial"/>
                <w:bCs/>
                <w:sz w:val="20"/>
                <w:szCs w:val="20"/>
              </w:rPr>
              <w:t>Hradenú liečbu môže indikovať detský reumatológ u detí vo veku od šesť rokov s diagnózou polyartikulárna juvenilná idiopatická artritída, ak neodpovedali adekvátne na jeden z inhibítorov TNF.</w:t>
            </w:r>
          </w:p>
          <w:p w14:paraId="50E8C2D7" w14:textId="77777777" w:rsidR="00E95DCA" w:rsidRPr="00E95DCA" w:rsidRDefault="00E95DCA" w:rsidP="00E95DCA">
            <w:pPr>
              <w:rPr>
                <w:rFonts w:ascii="Arial" w:hAnsi="Arial" w:cs="Arial"/>
                <w:bCs/>
                <w:sz w:val="20"/>
                <w:szCs w:val="20"/>
              </w:rPr>
            </w:pPr>
          </w:p>
          <w:p w14:paraId="0C87A2F3" w14:textId="77777777" w:rsidR="00E95DCA" w:rsidRPr="00E95DCA" w:rsidRDefault="00E95DCA" w:rsidP="00E95DCA">
            <w:pPr>
              <w:rPr>
                <w:rFonts w:ascii="Arial" w:hAnsi="Arial" w:cs="Arial"/>
                <w:bCs/>
                <w:sz w:val="20"/>
                <w:szCs w:val="20"/>
              </w:rPr>
            </w:pPr>
            <w:r w:rsidRPr="00E95DCA">
              <w:rPr>
                <w:rFonts w:ascii="Arial" w:hAnsi="Arial" w:cs="Arial"/>
                <w:bCs/>
                <w:sz w:val="20"/>
                <w:szCs w:val="20"/>
              </w:rPr>
              <w:t>Hradená liečba podlieha predchádzajúcemu súhlasu zdravotnej poisťovne.</w:t>
            </w:r>
          </w:p>
          <w:p w14:paraId="4A830CE2" w14:textId="77777777" w:rsidR="00E95DCA" w:rsidRPr="00E95DCA" w:rsidRDefault="00E95DCA" w:rsidP="00E95DCA">
            <w:pPr>
              <w:rPr>
                <w:rFonts w:ascii="Arial" w:hAnsi="Arial" w:cs="Arial"/>
                <w:bCs/>
                <w:sz w:val="20"/>
                <w:szCs w:val="20"/>
              </w:rPr>
            </w:pPr>
          </w:p>
          <w:p w14:paraId="692B3A77" w14:textId="77777777" w:rsidR="00E95DCA" w:rsidRDefault="00E95DCA" w:rsidP="00E95DCA">
            <w:pPr>
              <w:rPr>
                <w:rFonts w:ascii="Arial" w:hAnsi="Arial" w:cs="Arial"/>
                <w:bCs/>
                <w:sz w:val="20"/>
                <w:szCs w:val="20"/>
              </w:rPr>
            </w:pPr>
            <w:r w:rsidRPr="00E95DCA">
              <w:rPr>
                <w:rFonts w:ascii="Arial" w:hAnsi="Arial" w:cs="Arial"/>
                <w:bCs/>
                <w:sz w:val="20"/>
                <w:szCs w:val="20"/>
              </w:rPr>
              <w:t>Ďalšia liečba nie je hradenou liečbou, ak sa po dvanástich týždňoch podávania lieku s účinnou látkou abatacept nedostaví liečebný účinok.</w:t>
            </w:r>
          </w:p>
          <w:p w14:paraId="269C50A0" w14:textId="2908A711" w:rsidR="00F2134B" w:rsidRPr="00E95DCA" w:rsidRDefault="00F2134B" w:rsidP="00E95DCA">
            <w:pPr>
              <w:rPr>
                <w:rFonts w:ascii="Arial" w:hAnsi="Arial" w:cs="Arial"/>
                <w:bCs/>
                <w:sz w:val="20"/>
                <w:szCs w:val="20"/>
              </w:rPr>
            </w:pPr>
          </w:p>
        </w:tc>
      </w:tr>
      <w:tr w:rsidR="00E04F09" w:rsidRPr="0000591E" w14:paraId="48269D28" w14:textId="77777777" w:rsidTr="00670FEC">
        <w:trPr>
          <w:trHeight w:val="20"/>
        </w:trPr>
        <w:tc>
          <w:tcPr>
            <w:tcW w:w="1277" w:type="dxa"/>
            <w:tcBorders>
              <w:top w:val="nil"/>
              <w:bottom w:val="single" w:sz="4" w:space="0" w:color="auto"/>
            </w:tcBorders>
            <w:noWrap/>
          </w:tcPr>
          <w:p w14:paraId="0F0A3425" w14:textId="71684032" w:rsidR="00E04F09" w:rsidRPr="00737001" w:rsidRDefault="00E04F09" w:rsidP="0034061E">
            <w:pPr>
              <w:rPr>
                <w:rFonts w:ascii="Arial" w:hAnsi="Arial" w:cs="Arial"/>
                <w:b/>
                <w:bCs/>
                <w:sz w:val="20"/>
                <w:szCs w:val="20"/>
              </w:rPr>
            </w:pPr>
            <w:r w:rsidRPr="00E04F09">
              <w:rPr>
                <w:rFonts w:ascii="Arial" w:hAnsi="Arial" w:cs="Arial"/>
                <w:b/>
                <w:bCs/>
                <w:sz w:val="20"/>
                <w:szCs w:val="20"/>
              </w:rPr>
              <w:t>L04AA26</w:t>
            </w:r>
          </w:p>
        </w:tc>
        <w:tc>
          <w:tcPr>
            <w:tcW w:w="9355" w:type="dxa"/>
            <w:tcBorders>
              <w:top w:val="nil"/>
              <w:bottom w:val="single" w:sz="4" w:space="0" w:color="auto"/>
            </w:tcBorders>
          </w:tcPr>
          <w:p w14:paraId="24F4F7C7" w14:textId="77777777" w:rsidR="00E04F09" w:rsidRPr="00E04F09" w:rsidRDefault="00E04F09" w:rsidP="00E04F09">
            <w:pPr>
              <w:rPr>
                <w:rFonts w:ascii="Arial" w:hAnsi="Arial" w:cs="Arial"/>
                <w:b/>
                <w:bCs/>
                <w:sz w:val="20"/>
                <w:szCs w:val="20"/>
              </w:rPr>
            </w:pPr>
            <w:r w:rsidRPr="00E04F09">
              <w:rPr>
                <w:rFonts w:ascii="Arial" w:hAnsi="Arial" w:cs="Arial"/>
                <w:b/>
                <w:bCs/>
                <w:sz w:val="20"/>
                <w:szCs w:val="20"/>
              </w:rPr>
              <w:t>Belimumab parent. 120 mg,</w:t>
            </w:r>
          </w:p>
          <w:p w14:paraId="64D2444A" w14:textId="77777777" w:rsidR="00E04F09" w:rsidRPr="00E04F09" w:rsidRDefault="00E04F09" w:rsidP="00E04F09">
            <w:pPr>
              <w:rPr>
                <w:rFonts w:ascii="Arial" w:hAnsi="Arial" w:cs="Arial"/>
                <w:b/>
                <w:bCs/>
                <w:sz w:val="20"/>
                <w:szCs w:val="20"/>
              </w:rPr>
            </w:pPr>
            <w:r w:rsidRPr="00E04F09">
              <w:rPr>
                <w:rFonts w:ascii="Arial" w:hAnsi="Arial" w:cs="Arial"/>
                <w:b/>
                <w:bCs/>
                <w:sz w:val="20"/>
                <w:szCs w:val="20"/>
              </w:rPr>
              <w:t>Belimumab parent. 400 mg</w:t>
            </w:r>
          </w:p>
          <w:p w14:paraId="157F1A74" w14:textId="7192B128" w:rsidR="00E04F09" w:rsidRPr="00737001" w:rsidRDefault="00E04F09" w:rsidP="00E04F09">
            <w:pPr>
              <w:rPr>
                <w:rFonts w:ascii="Arial" w:hAnsi="Arial" w:cs="Arial"/>
                <w:b/>
                <w:bCs/>
                <w:sz w:val="20"/>
                <w:szCs w:val="20"/>
              </w:rPr>
            </w:pPr>
            <w:r w:rsidRPr="00E04F09">
              <w:rPr>
                <w:rFonts w:ascii="Arial" w:hAnsi="Arial" w:cs="Arial"/>
                <w:b/>
                <w:bCs/>
                <w:sz w:val="20"/>
                <w:szCs w:val="20"/>
              </w:rPr>
              <w:t>Belimumab s.c. 200 mg</w:t>
            </w:r>
          </w:p>
        </w:tc>
      </w:tr>
      <w:tr w:rsidR="00E04F09" w:rsidRPr="0000591E" w14:paraId="6413BCBD" w14:textId="77777777" w:rsidTr="00670FEC">
        <w:trPr>
          <w:trHeight w:val="20"/>
        </w:trPr>
        <w:tc>
          <w:tcPr>
            <w:tcW w:w="1277" w:type="dxa"/>
            <w:tcBorders>
              <w:top w:val="single" w:sz="4" w:space="0" w:color="auto"/>
              <w:bottom w:val="nil"/>
            </w:tcBorders>
            <w:noWrap/>
          </w:tcPr>
          <w:p w14:paraId="6FEF5A23" w14:textId="77777777" w:rsidR="00E04F09" w:rsidRPr="00737001" w:rsidRDefault="00E04F09" w:rsidP="0034061E">
            <w:pPr>
              <w:rPr>
                <w:rFonts w:ascii="Arial" w:hAnsi="Arial" w:cs="Arial"/>
                <w:b/>
                <w:bCs/>
                <w:sz w:val="20"/>
                <w:szCs w:val="20"/>
              </w:rPr>
            </w:pPr>
          </w:p>
        </w:tc>
        <w:tc>
          <w:tcPr>
            <w:tcW w:w="9355" w:type="dxa"/>
            <w:tcBorders>
              <w:top w:val="single" w:sz="4" w:space="0" w:color="auto"/>
              <w:bottom w:val="nil"/>
            </w:tcBorders>
          </w:tcPr>
          <w:p w14:paraId="7DF956F4" w14:textId="77777777" w:rsidR="00E04F09" w:rsidRPr="00E04F09" w:rsidRDefault="00E04F09" w:rsidP="00E04F09">
            <w:pPr>
              <w:rPr>
                <w:rFonts w:ascii="Arial" w:hAnsi="Arial" w:cs="Arial"/>
                <w:bCs/>
                <w:sz w:val="20"/>
                <w:szCs w:val="20"/>
              </w:rPr>
            </w:pPr>
            <w:r w:rsidRPr="00E04F09">
              <w:rPr>
                <w:rFonts w:ascii="Arial" w:hAnsi="Arial" w:cs="Arial"/>
                <w:bCs/>
                <w:sz w:val="20"/>
                <w:szCs w:val="20"/>
              </w:rPr>
              <w:t xml:space="preserve">Hradenú liečbu môže indikovať reumatológ ako prídavnú liečbu u dospelých pacientov s aktívnym systémovým lupus erythematozus, ktorí majú pozitivitu autoprotilátok a vysoký stupeň aktivity ochorenia (napr. pozitivitu anti-dsDNA a nízke hladiny komplementu), napriek štandardnej liečbe. </w:t>
            </w:r>
          </w:p>
          <w:p w14:paraId="6189C2B4" w14:textId="77777777" w:rsidR="00E04F09" w:rsidRPr="00E04F09" w:rsidRDefault="00E04F09" w:rsidP="00E04F09">
            <w:pPr>
              <w:rPr>
                <w:rFonts w:ascii="Arial" w:hAnsi="Arial" w:cs="Arial"/>
                <w:bCs/>
                <w:sz w:val="20"/>
                <w:szCs w:val="20"/>
              </w:rPr>
            </w:pPr>
          </w:p>
          <w:p w14:paraId="7CFF5B2A" w14:textId="77777777" w:rsidR="00E04F09" w:rsidRPr="00E04F09" w:rsidRDefault="00E04F09" w:rsidP="00E04F09">
            <w:pPr>
              <w:rPr>
                <w:rFonts w:ascii="Arial" w:hAnsi="Arial" w:cs="Arial"/>
                <w:bCs/>
                <w:sz w:val="20"/>
                <w:szCs w:val="20"/>
              </w:rPr>
            </w:pPr>
            <w:r w:rsidRPr="00E04F09">
              <w:rPr>
                <w:rFonts w:ascii="Arial" w:hAnsi="Arial" w:cs="Arial"/>
                <w:bCs/>
                <w:sz w:val="20"/>
                <w:szCs w:val="20"/>
              </w:rPr>
              <w:t xml:space="preserve">Hradená liečba podlieha predchádzajúcemu súhlasu zdravotnej poisťovne. </w:t>
            </w:r>
          </w:p>
          <w:p w14:paraId="6B594A0C" w14:textId="77777777" w:rsidR="00E04F09" w:rsidRPr="00E04F09" w:rsidRDefault="00E04F09" w:rsidP="00E04F09">
            <w:pPr>
              <w:rPr>
                <w:rFonts w:ascii="Arial" w:hAnsi="Arial" w:cs="Arial"/>
                <w:bCs/>
                <w:sz w:val="20"/>
                <w:szCs w:val="20"/>
              </w:rPr>
            </w:pPr>
          </w:p>
          <w:p w14:paraId="7A0099C1" w14:textId="77777777" w:rsidR="00E04F09" w:rsidRDefault="00E04F09" w:rsidP="00E04F09">
            <w:pPr>
              <w:rPr>
                <w:rFonts w:ascii="Arial" w:hAnsi="Arial" w:cs="Arial"/>
                <w:bCs/>
                <w:sz w:val="20"/>
                <w:szCs w:val="20"/>
              </w:rPr>
            </w:pPr>
            <w:r w:rsidRPr="00E04F09">
              <w:rPr>
                <w:rFonts w:ascii="Arial" w:hAnsi="Arial" w:cs="Arial"/>
                <w:bCs/>
                <w:sz w:val="20"/>
                <w:szCs w:val="20"/>
              </w:rPr>
              <w:t>Ďalšia liečba nie je hradenou liečbou, ak sa po šiestich mesiacoch liečby nepreukáže liečebný účinok podávania lieku (podľa stupnice ECLAM).</w:t>
            </w:r>
          </w:p>
          <w:p w14:paraId="4C61EED2" w14:textId="5B7AAEDC" w:rsidR="0034650A" w:rsidRPr="00E04F09" w:rsidRDefault="0034650A" w:rsidP="00E04F09">
            <w:pPr>
              <w:rPr>
                <w:rFonts w:ascii="Arial" w:hAnsi="Arial" w:cs="Arial"/>
                <w:bCs/>
                <w:sz w:val="20"/>
                <w:szCs w:val="20"/>
              </w:rPr>
            </w:pPr>
          </w:p>
        </w:tc>
      </w:tr>
      <w:tr w:rsidR="000D2173" w:rsidRPr="0000591E" w14:paraId="7DC539CE" w14:textId="77777777" w:rsidTr="00670FEC">
        <w:trPr>
          <w:trHeight w:val="20"/>
        </w:trPr>
        <w:tc>
          <w:tcPr>
            <w:tcW w:w="1277" w:type="dxa"/>
            <w:tcBorders>
              <w:top w:val="nil"/>
              <w:bottom w:val="single" w:sz="4" w:space="0" w:color="auto"/>
            </w:tcBorders>
            <w:noWrap/>
          </w:tcPr>
          <w:p w14:paraId="6FBC133D" w14:textId="19764BF3" w:rsidR="000D2173" w:rsidRPr="00737001" w:rsidRDefault="000D2173" w:rsidP="0034061E">
            <w:pPr>
              <w:rPr>
                <w:rFonts w:ascii="Arial" w:hAnsi="Arial" w:cs="Arial"/>
                <w:b/>
                <w:bCs/>
                <w:sz w:val="20"/>
                <w:szCs w:val="20"/>
              </w:rPr>
            </w:pPr>
            <w:r w:rsidRPr="000D2173">
              <w:rPr>
                <w:rFonts w:ascii="Arial" w:hAnsi="Arial" w:cs="Arial"/>
                <w:b/>
                <w:bCs/>
                <w:sz w:val="20"/>
                <w:szCs w:val="20"/>
              </w:rPr>
              <w:t>L04AA29</w:t>
            </w:r>
          </w:p>
        </w:tc>
        <w:tc>
          <w:tcPr>
            <w:tcW w:w="9355" w:type="dxa"/>
            <w:tcBorders>
              <w:top w:val="nil"/>
              <w:bottom w:val="single" w:sz="4" w:space="0" w:color="auto"/>
            </w:tcBorders>
          </w:tcPr>
          <w:p w14:paraId="1D3B0F43" w14:textId="15F73B4C" w:rsidR="000D2173" w:rsidRPr="00737001" w:rsidRDefault="000D2173" w:rsidP="00806651">
            <w:pPr>
              <w:rPr>
                <w:rFonts w:ascii="Arial" w:hAnsi="Arial" w:cs="Arial"/>
                <w:b/>
                <w:bCs/>
                <w:sz w:val="20"/>
                <w:szCs w:val="20"/>
              </w:rPr>
            </w:pPr>
            <w:r w:rsidRPr="000D2173">
              <w:rPr>
                <w:rFonts w:ascii="Arial" w:hAnsi="Arial" w:cs="Arial"/>
                <w:b/>
                <w:bCs/>
                <w:sz w:val="20"/>
                <w:szCs w:val="20"/>
              </w:rPr>
              <w:t>Tofacitinib p.o. 5 mg</w:t>
            </w:r>
          </w:p>
        </w:tc>
      </w:tr>
      <w:tr w:rsidR="000D2173" w:rsidRPr="0000591E" w14:paraId="6D24E4F0" w14:textId="77777777" w:rsidTr="00670FEC">
        <w:trPr>
          <w:trHeight w:val="20"/>
        </w:trPr>
        <w:tc>
          <w:tcPr>
            <w:tcW w:w="1277" w:type="dxa"/>
            <w:tcBorders>
              <w:top w:val="single" w:sz="4" w:space="0" w:color="auto"/>
              <w:bottom w:val="nil"/>
            </w:tcBorders>
            <w:noWrap/>
          </w:tcPr>
          <w:p w14:paraId="321C67DC" w14:textId="77777777" w:rsidR="000D2173" w:rsidRPr="00737001" w:rsidRDefault="000D2173" w:rsidP="0034061E">
            <w:pPr>
              <w:rPr>
                <w:rFonts w:ascii="Arial" w:hAnsi="Arial" w:cs="Arial"/>
                <w:b/>
                <w:bCs/>
                <w:sz w:val="20"/>
                <w:szCs w:val="20"/>
              </w:rPr>
            </w:pPr>
          </w:p>
        </w:tc>
        <w:tc>
          <w:tcPr>
            <w:tcW w:w="9355" w:type="dxa"/>
            <w:tcBorders>
              <w:top w:val="single" w:sz="4" w:space="0" w:color="auto"/>
              <w:bottom w:val="nil"/>
            </w:tcBorders>
          </w:tcPr>
          <w:p w14:paraId="203CBF69" w14:textId="77777777" w:rsidR="000D2173" w:rsidRPr="000D2173" w:rsidRDefault="000D2173" w:rsidP="000D2173">
            <w:pPr>
              <w:rPr>
                <w:rFonts w:ascii="Arial" w:hAnsi="Arial" w:cs="Arial"/>
                <w:bCs/>
                <w:sz w:val="20"/>
                <w:szCs w:val="20"/>
              </w:rPr>
            </w:pPr>
            <w:r w:rsidRPr="000D2173">
              <w:rPr>
                <w:rFonts w:ascii="Arial" w:hAnsi="Arial" w:cs="Arial"/>
                <w:bCs/>
                <w:sz w:val="20"/>
                <w:szCs w:val="20"/>
              </w:rPr>
              <w:t xml:space="preserve">Hradenú liečbu môže indikovať po predchádzajúcom pneumologickom vyšetrení a vyšetrení IGRA testom </w:t>
            </w:r>
          </w:p>
          <w:p w14:paraId="58B317E5" w14:textId="77777777" w:rsidR="000D2173" w:rsidRPr="000D2173" w:rsidRDefault="000D2173" w:rsidP="000D2173">
            <w:pPr>
              <w:jc w:val="both"/>
              <w:rPr>
                <w:rFonts w:ascii="Arial" w:hAnsi="Arial" w:cs="Arial"/>
                <w:bCs/>
                <w:sz w:val="20"/>
                <w:szCs w:val="20"/>
              </w:rPr>
            </w:pPr>
            <w:r w:rsidRPr="000D2173">
              <w:rPr>
                <w:rFonts w:ascii="Arial" w:hAnsi="Arial" w:cs="Arial"/>
                <w:bCs/>
                <w:sz w:val="20"/>
                <w:szCs w:val="20"/>
              </w:rPr>
              <w:t>a)</w:t>
            </w:r>
            <w:r w:rsidRPr="000D2173">
              <w:rPr>
                <w:rFonts w:ascii="Arial" w:hAnsi="Arial" w:cs="Arial"/>
                <w:bCs/>
                <w:sz w:val="20"/>
                <w:szCs w:val="20"/>
              </w:rPr>
              <w:tab/>
              <w:t xml:space="preserve">reumatológ na liečbu stredne ťažkej až ťažkej aktívnej reumatoidnej artritídy u dospelých pacientov, ktorí na predchádzajúcu liečbu jedným alebo viacerými antireumatickými liekmi modifikujúcimi priebeh ochorenia (DMARDs) buď neodpovedali dostatočne, alebo ju netolerovali. Tofacitinib sa môže podávať v monoterapii v prípade intolerancie voči metotrexátu, alebo keď je liečba metotrexátom nevhodná. </w:t>
            </w:r>
          </w:p>
          <w:p w14:paraId="69A896D0" w14:textId="7F05FDA0" w:rsidR="000D2173" w:rsidRDefault="000D2173" w:rsidP="000D2173">
            <w:pPr>
              <w:jc w:val="both"/>
              <w:rPr>
                <w:rFonts w:ascii="Arial" w:hAnsi="Arial" w:cs="Arial"/>
                <w:bCs/>
                <w:sz w:val="20"/>
                <w:szCs w:val="20"/>
              </w:rPr>
            </w:pPr>
            <w:r w:rsidRPr="000D2173">
              <w:rPr>
                <w:rFonts w:ascii="Arial" w:hAnsi="Arial" w:cs="Arial"/>
                <w:bCs/>
                <w:sz w:val="20"/>
                <w:szCs w:val="20"/>
              </w:rPr>
              <w:t>b)</w:t>
            </w:r>
            <w:r w:rsidRPr="000D2173">
              <w:rPr>
                <w:rFonts w:ascii="Arial" w:hAnsi="Arial" w:cs="Arial"/>
                <w:bCs/>
                <w:sz w:val="20"/>
                <w:szCs w:val="20"/>
              </w:rPr>
              <w:tab/>
              <w:t xml:space="preserve">gastroenterológ na liečbu dospelých pacientov so stredne ťažkou až ťažkou aktívnou ulceróznou kolitídou u pacientov, ktorí nedostatočne odpovedali, prestali odpovedať alebo netolerovali biologický liek. </w:t>
            </w:r>
          </w:p>
          <w:p w14:paraId="0F687193" w14:textId="0417703C" w:rsidR="000D2173" w:rsidRPr="000D2173" w:rsidRDefault="000D2173" w:rsidP="000D2173">
            <w:pPr>
              <w:jc w:val="both"/>
              <w:rPr>
                <w:rFonts w:ascii="Arial" w:hAnsi="Arial" w:cs="Arial"/>
                <w:bCs/>
                <w:sz w:val="20"/>
                <w:szCs w:val="20"/>
              </w:rPr>
            </w:pPr>
            <w:r w:rsidRPr="000D2173">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Gastrocentre Nemocnice AGEL Košice-Šaca. </w:t>
            </w:r>
          </w:p>
          <w:p w14:paraId="5BAE58AA" w14:textId="17C15D4E" w:rsidR="000D2173" w:rsidRPr="000D2173" w:rsidRDefault="000D2173" w:rsidP="000D2173">
            <w:pPr>
              <w:jc w:val="both"/>
              <w:rPr>
                <w:rFonts w:ascii="Arial" w:hAnsi="Arial" w:cs="Arial"/>
                <w:bCs/>
                <w:sz w:val="20"/>
                <w:szCs w:val="20"/>
              </w:rPr>
            </w:pPr>
            <w:r w:rsidRPr="000D2173">
              <w:rPr>
                <w:rFonts w:ascii="Arial" w:hAnsi="Arial" w:cs="Arial"/>
                <w:bCs/>
                <w:sz w:val="20"/>
                <w:szCs w:val="20"/>
              </w:rPr>
              <w:t xml:space="preserve">c) </w:t>
            </w:r>
            <w:r>
              <w:rPr>
                <w:rFonts w:ascii="Arial" w:hAnsi="Arial" w:cs="Arial"/>
                <w:bCs/>
                <w:sz w:val="20"/>
                <w:szCs w:val="20"/>
              </w:rPr>
              <w:tab/>
            </w:r>
            <w:r w:rsidRPr="000D2173">
              <w:rPr>
                <w:rFonts w:ascii="Arial" w:hAnsi="Arial" w:cs="Arial"/>
                <w:bCs/>
                <w:sz w:val="20"/>
                <w:szCs w:val="20"/>
              </w:rPr>
              <w:t xml:space="preserve">reumatológ na liečbu dospelých pacientov s aktívnou ankylozujúcou spondylitídou, ktorí nedostatočne odpovedali na konvenčnú liečbu a u ktorých liečba aspoň dvomi liekmi zo skupiny inhibítorov TNF alfa je kontraindikovaná, nevhodná alebo nebola dostatočne účinná. Ďalšia liečba nie je hradenou liečbou, ak sa po šestnástich týždňoch podávania lieku s účinnou látkou tofacitinib nedostaví liečebný účinok.  </w:t>
            </w:r>
          </w:p>
          <w:p w14:paraId="4A8C472D" w14:textId="77777777" w:rsidR="000D2173" w:rsidRPr="000D2173" w:rsidRDefault="000D2173" w:rsidP="000D2173">
            <w:pPr>
              <w:rPr>
                <w:rFonts w:ascii="Arial" w:hAnsi="Arial" w:cs="Arial"/>
                <w:bCs/>
                <w:sz w:val="20"/>
                <w:szCs w:val="20"/>
              </w:rPr>
            </w:pPr>
          </w:p>
          <w:p w14:paraId="029365E3" w14:textId="77777777" w:rsidR="000D2173" w:rsidRPr="000D2173" w:rsidRDefault="000D2173" w:rsidP="000D2173">
            <w:pPr>
              <w:rPr>
                <w:rFonts w:ascii="Arial" w:hAnsi="Arial" w:cs="Arial"/>
                <w:bCs/>
                <w:sz w:val="20"/>
                <w:szCs w:val="20"/>
              </w:rPr>
            </w:pPr>
            <w:r w:rsidRPr="000D2173">
              <w:rPr>
                <w:rFonts w:ascii="Arial" w:hAnsi="Arial" w:cs="Arial"/>
                <w:bCs/>
                <w:sz w:val="20"/>
                <w:szCs w:val="20"/>
              </w:rPr>
              <w:t>Hradená liečba podlieha predchádzajúcemu súhlasu zdravotnej poisťovne.</w:t>
            </w:r>
          </w:p>
          <w:p w14:paraId="06C921DE" w14:textId="77777777" w:rsidR="000D2173" w:rsidRPr="000D2173" w:rsidRDefault="000D2173" w:rsidP="00806651">
            <w:pPr>
              <w:rPr>
                <w:rFonts w:ascii="Arial" w:hAnsi="Arial" w:cs="Arial"/>
                <w:bCs/>
                <w:sz w:val="20"/>
                <w:szCs w:val="20"/>
              </w:rPr>
            </w:pPr>
          </w:p>
        </w:tc>
      </w:tr>
      <w:tr w:rsidR="00295160" w:rsidRPr="0000591E" w14:paraId="3AEBCAB4" w14:textId="77777777" w:rsidTr="00670FEC">
        <w:trPr>
          <w:trHeight w:val="20"/>
        </w:trPr>
        <w:tc>
          <w:tcPr>
            <w:tcW w:w="1277" w:type="dxa"/>
            <w:tcBorders>
              <w:top w:val="nil"/>
              <w:bottom w:val="single" w:sz="4" w:space="0" w:color="auto"/>
            </w:tcBorders>
            <w:noWrap/>
          </w:tcPr>
          <w:p w14:paraId="30755124" w14:textId="71ADCFF6" w:rsidR="00295160" w:rsidRPr="00737001" w:rsidRDefault="00295160" w:rsidP="0034061E">
            <w:pPr>
              <w:rPr>
                <w:rFonts w:ascii="Arial" w:hAnsi="Arial" w:cs="Arial"/>
                <w:b/>
                <w:bCs/>
                <w:sz w:val="20"/>
                <w:szCs w:val="20"/>
              </w:rPr>
            </w:pPr>
            <w:r w:rsidRPr="00295160">
              <w:rPr>
                <w:rFonts w:ascii="Arial" w:hAnsi="Arial" w:cs="Arial"/>
                <w:b/>
                <w:bCs/>
                <w:sz w:val="20"/>
                <w:szCs w:val="20"/>
              </w:rPr>
              <w:t>L04AA29</w:t>
            </w:r>
          </w:p>
        </w:tc>
        <w:tc>
          <w:tcPr>
            <w:tcW w:w="9355" w:type="dxa"/>
            <w:tcBorders>
              <w:top w:val="nil"/>
              <w:bottom w:val="single" w:sz="4" w:space="0" w:color="auto"/>
            </w:tcBorders>
          </w:tcPr>
          <w:p w14:paraId="1FB697D7" w14:textId="0CB159F3" w:rsidR="00295160" w:rsidRPr="00737001" w:rsidRDefault="00295160" w:rsidP="00295160">
            <w:pPr>
              <w:tabs>
                <w:tab w:val="left" w:pos="3720"/>
              </w:tabs>
              <w:rPr>
                <w:rFonts w:ascii="Arial" w:hAnsi="Arial" w:cs="Arial"/>
                <w:b/>
                <w:bCs/>
                <w:sz w:val="20"/>
                <w:szCs w:val="20"/>
              </w:rPr>
            </w:pPr>
            <w:r w:rsidRPr="00295160">
              <w:rPr>
                <w:rFonts w:ascii="Arial" w:hAnsi="Arial" w:cs="Arial"/>
                <w:b/>
                <w:bCs/>
                <w:sz w:val="20"/>
                <w:szCs w:val="20"/>
              </w:rPr>
              <w:t>Tofacitinib p.o. predĺžené uvoľňovanie 11 mg</w:t>
            </w:r>
          </w:p>
        </w:tc>
      </w:tr>
      <w:tr w:rsidR="00295160" w:rsidRPr="0000591E" w14:paraId="1C58E2FE" w14:textId="77777777" w:rsidTr="00670FEC">
        <w:trPr>
          <w:trHeight w:val="20"/>
        </w:trPr>
        <w:tc>
          <w:tcPr>
            <w:tcW w:w="1277" w:type="dxa"/>
            <w:tcBorders>
              <w:top w:val="single" w:sz="4" w:space="0" w:color="auto"/>
              <w:bottom w:val="nil"/>
            </w:tcBorders>
            <w:noWrap/>
          </w:tcPr>
          <w:p w14:paraId="3AEDE8BE" w14:textId="77777777" w:rsidR="00295160" w:rsidRPr="00737001" w:rsidRDefault="00295160" w:rsidP="0034061E">
            <w:pPr>
              <w:rPr>
                <w:rFonts w:ascii="Arial" w:hAnsi="Arial" w:cs="Arial"/>
                <w:b/>
                <w:bCs/>
                <w:sz w:val="20"/>
                <w:szCs w:val="20"/>
              </w:rPr>
            </w:pPr>
          </w:p>
        </w:tc>
        <w:tc>
          <w:tcPr>
            <w:tcW w:w="9355" w:type="dxa"/>
            <w:tcBorders>
              <w:top w:val="single" w:sz="4" w:space="0" w:color="auto"/>
              <w:bottom w:val="nil"/>
            </w:tcBorders>
          </w:tcPr>
          <w:p w14:paraId="4C591929" w14:textId="77777777" w:rsidR="00295160" w:rsidRPr="00295160" w:rsidRDefault="00295160" w:rsidP="00295160">
            <w:pPr>
              <w:tabs>
                <w:tab w:val="left" w:pos="3720"/>
              </w:tabs>
              <w:jc w:val="both"/>
              <w:rPr>
                <w:rFonts w:ascii="Arial" w:hAnsi="Arial" w:cs="Arial"/>
                <w:bCs/>
                <w:sz w:val="20"/>
                <w:szCs w:val="20"/>
              </w:rPr>
            </w:pPr>
            <w:r w:rsidRPr="00295160">
              <w:rPr>
                <w:rFonts w:ascii="Arial" w:hAnsi="Arial" w:cs="Arial"/>
                <w:bCs/>
                <w:sz w:val="20"/>
                <w:szCs w:val="20"/>
              </w:rPr>
              <w:t xml:space="preserve">Hradenú liečbu môže indikovať po predchádzajúcom pneumologickom vyšetrení a vyšetrení IGRA testom reumatológ na liečbu stredne ťažkej až ťažkej aktívnej reumatoidnej artritídy u dospelých pacientov, ktorí na predchádzajúcu liečbu jedným alebo viacerými antireumatickými liekmi modifikujúcimi priebeh ochorenia (DMARDs) buď neodpovedali dostatočne, alebo ju netolerovali. Tofacitinib sa môže podávať v monoterapii v prípade intolerancie voči metotrexátu, alebo keď je liečba metotrexátom nevhodná.  </w:t>
            </w:r>
          </w:p>
          <w:p w14:paraId="11270C65" w14:textId="77777777" w:rsidR="00295160" w:rsidRPr="00295160" w:rsidRDefault="00295160" w:rsidP="00295160">
            <w:pPr>
              <w:tabs>
                <w:tab w:val="left" w:pos="3720"/>
              </w:tabs>
              <w:rPr>
                <w:rFonts w:ascii="Arial" w:hAnsi="Arial" w:cs="Arial"/>
                <w:bCs/>
                <w:sz w:val="20"/>
                <w:szCs w:val="20"/>
              </w:rPr>
            </w:pPr>
            <w:r w:rsidRPr="00295160">
              <w:rPr>
                <w:rFonts w:ascii="Arial" w:hAnsi="Arial" w:cs="Arial"/>
                <w:bCs/>
                <w:sz w:val="20"/>
                <w:szCs w:val="20"/>
              </w:rPr>
              <w:t xml:space="preserve"> </w:t>
            </w:r>
          </w:p>
          <w:p w14:paraId="54069A43" w14:textId="22D467EB" w:rsidR="00295160" w:rsidRPr="00295160" w:rsidRDefault="00295160" w:rsidP="00F2134B">
            <w:pPr>
              <w:tabs>
                <w:tab w:val="left" w:pos="3720"/>
              </w:tabs>
              <w:rPr>
                <w:rFonts w:ascii="Arial" w:hAnsi="Arial" w:cs="Arial"/>
                <w:bCs/>
                <w:sz w:val="20"/>
                <w:szCs w:val="20"/>
              </w:rPr>
            </w:pPr>
            <w:r w:rsidRPr="00295160">
              <w:rPr>
                <w:rFonts w:ascii="Arial" w:hAnsi="Arial" w:cs="Arial"/>
                <w:bCs/>
                <w:sz w:val="20"/>
                <w:szCs w:val="20"/>
              </w:rPr>
              <w:t>Hradená liečba podlieha predchádzajúcemu súhlasu zdravotnej poisťovne.</w:t>
            </w:r>
          </w:p>
        </w:tc>
      </w:tr>
      <w:tr w:rsidR="000E5428" w:rsidRPr="0000591E" w14:paraId="366D87F0" w14:textId="77777777" w:rsidTr="00670FEC">
        <w:trPr>
          <w:trHeight w:val="20"/>
        </w:trPr>
        <w:tc>
          <w:tcPr>
            <w:tcW w:w="1277" w:type="dxa"/>
            <w:tcBorders>
              <w:top w:val="nil"/>
              <w:bottom w:val="single" w:sz="4" w:space="0" w:color="auto"/>
            </w:tcBorders>
            <w:noWrap/>
          </w:tcPr>
          <w:p w14:paraId="407D7345" w14:textId="77777777" w:rsidR="0034650A" w:rsidRDefault="0034650A" w:rsidP="0034061E">
            <w:pPr>
              <w:rPr>
                <w:rFonts w:ascii="Arial" w:hAnsi="Arial" w:cs="Arial"/>
                <w:b/>
                <w:bCs/>
                <w:sz w:val="20"/>
                <w:szCs w:val="20"/>
              </w:rPr>
            </w:pPr>
          </w:p>
          <w:p w14:paraId="72461BA6" w14:textId="12396FA9" w:rsidR="000E5428" w:rsidRPr="00737001" w:rsidRDefault="000E5428" w:rsidP="0034061E">
            <w:pPr>
              <w:rPr>
                <w:rFonts w:ascii="Arial" w:hAnsi="Arial" w:cs="Arial"/>
                <w:b/>
                <w:bCs/>
                <w:sz w:val="20"/>
                <w:szCs w:val="20"/>
              </w:rPr>
            </w:pPr>
            <w:r w:rsidRPr="000E5428">
              <w:rPr>
                <w:rFonts w:ascii="Arial" w:hAnsi="Arial" w:cs="Arial"/>
                <w:b/>
                <w:bCs/>
                <w:sz w:val="20"/>
                <w:szCs w:val="20"/>
              </w:rPr>
              <w:t>L04AA32</w:t>
            </w:r>
          </w:p>
        </w:tc>
        <w:tc>
          <w:tcPr>
            <w:tcW w:w="9355" w:type="dxa"/>
            <w:tcBorders>
              <w:top w:val="nil"/>
              <w:bottom w:val="single" w:sz="4" w:space="0" w:color="auto"/>
            </w:tcBorders>
          </w:tcPr>
          <w:p w14:paraId="0ED2BA70" w14:textId="77777777" w:rsidR="006D0FF6" w:rsidRPr="006D0FF6" w:rsidRDefault="006D0FF6" w:rsidP="006D0FF6">
            <w:pPr>
              <w:tabs>
                <w:tab w:val="left" w:pos="3720"/>
              </w:tabs>
              <w:rPr>
                <w:rFonts w:ascii="Arial" w:hAnsi="Arial" w:cs="Arial"/>
                <w:b/>
                <w:bCs/>
                <w:sz w:val="20"/>
                <w:szCs w:val="20"/>
              </w:rPr>
            </w:pPr>
            <w:r w:rsidRPr="006D0FF6">
              <w:rPr>
                <w:rFonts w:ascii="Arial" w:hAnsi="Arial" w:cs="Arial"/>
                <w:b/>
                <w:bCs/>
                <w:sz w:val="20"/>
                <w:szCs w:val="20"/>
              </w:rPr>
              <w:t>Apremilast p.o. 10 mg, 20 mg, 30 mg</w:t>
            </w:r>
          </w:p>
          <w:p w14:paraId="069FAAF1" w14:textId="454714C2" w:rsidR="000E5428" w:rsidRPr="00737001" w:rsidRDefault="006D0FF6" w:rsidP="006D0FF6">
            <w:pPr>
              <w:tabs>
                <w:tab w:val="left" w:pos="3720"/>
              </w:tabs>
              <w:rPr>
                <w:rFonts w:ascii="Arial" w:hAnsi="Arial" w:cs="Arial"/>
                <w:b/>
                <w:bCs/>
                <w:sz w:val="20"/>
                <w:szCs w:val="20"/>
              </w:rPr>
            </w:pPr>
            <w:r w:rsidRPr="006D0FF6">
              <w:rPr>
                <w:rFonts w:ascii="Arial" w:hAnsi="Arial" w:cs="Arial"/>
                <w:b/>
                <w:bCs/>
                <w:sz w:val="20"/>
                <w:szCs w:val="20"/>
              </w:rPr>
              <w:t>Apremilast p.o. 30 mg</w:t>
            </w:r>
          </w:p>
        </w:tc>
      </w:tr>
      <w:tr w:rsidR="000E5428" w:rsidRPr="0000591E" w14:paraId="3B96EDC0" w14:textId="77777777" w:rsidTr="00670FEC">
        <w:trPr>
          <w:trHeight w:val="20"/>
        </w:trPr>
        <w:tc>
          <w:tcPr>
            <w:tcW w:w="1277" w:type="dxa"/>
            <w:tcBorders>
              <w:top w:val="single" w:sz="4" w:space="0" w:color="auto"/>
              <w:bottom w:val="nil"/>
            </w:tcBorders>
            <w:noWrap/>
          </w:tcPr>
          <w:p w14:paraId="6817FBE7" w14:textId="77777777" w:rsidR="000E5428" w:rsidRPr="00737001" w:rsidRDefault="000E5428" w:rsidP="0034061E">
            <w:pPr>
              <w:rPr>
                <w:rFonts w:ascii="Arial" w:hAnsi="Arial" w:cs="Arial"/>
                <w:b/>
                <w:bCs/>
                <w:sz w:val="20"/>
                <w:szCs w:val="20"/>
              </w:rPr>
            </w:pPr>
          </w:p>
        </w:tc>
        <w:tc>
          <w:tcPr>
            <w:tcW w:w="9355" w:type="dxa"/>
            <w:tcBorders>
              <w:top w:val="single" w:sz="4" w:space="0" w:color="auto"/>
              <w:bottom w:val="nil"/>
            </w:tcBorders>
          </w:tcPr>
          <w:p w14:paraId="30C360A4"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Hradenú liečbu môže indikovať  </w:t>
            </w:r>
          </w:p>
          <w:p w14:paraId="29CB7A58"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a) dermatológ  </w:t>
            </w:r>
          </w:p>
          <w:p w14:paraId="5C4859DC"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1.  u dospelých pacientov s ťažkou chronickou ložiskovou psoriázou s PASI nad 12 alebo DLQI nad 12 </w:t>
            </w:r>
          </w:p>
          <w:p w14:paraId="5EAC2D5A"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2. u dospelých pacientov so stredne ťažkou až ťažkou ložiskovou psoriázou, u ktorých je zahrnuté postihnutie nechtov aj kapilícia alebo palmoplantárnej oblasti s DLQI  nad 12, u ktorých iná liečba nebola dostatočne účinná, má kontraindikácie, intoleranciu alebo nemožno aplikovať inú systémovú liečbu účinnými látkami skupín anti TNF alfa, anti IL-12/23 alebo inhibítory receptoru interleukínu. </w:t>
            </w:r>
          </w:p>
          <w:p w14:paraId="0E54CD22"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 </w:t>
            </w:r>
          </w:p>
          <w:p w14:paraId="664E595B"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b) reumatológ u dospelých pacientov pri aktívnej psoriatickej artritíde v monoterapii alebo v kombinácii s DMARD vrátane metotrexátu, ktorí nemali dostatočnú adekvátnu odpoveď na doterajšiu liečbu DMARD, alebo netolerovali predchádzajúcu liečbu DMARD alebo takáto liečba bola kontraindikovaná. </w:t>
            </w:r>
          </w:p>
          <w:p w14:paraId="66C6E740"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 </w:t>
            </w:r>
          </w:p>
          <w:p w14:paraId="14226856" w14:textId="77777777" w:rsidR="000E5428" w:rsidRDefault="006D0FF6" w:rsidP="006D0FF6">
            <w:pPr>
              <w:tabs>
                <w:tab w:val="left" w:pos="3720"/>
              </w:tabs>
              <w:rPr>
                <w:rFonts w:ascii="Arial" w:hAnsi="Arial" w:cs="Arial"/>
                <w:bCs/>
                <w:sz w:val="20"/>
                <w:szCs w:val="20"/>
              </w:rPr>
            </w:pPr>
            <w:r w:rsidRPr="006D0FF6">
              <w:rPr>
                <w:rFonts w:ascii="Arial" w:hAnsi="Arial" w:cs="Arial"/>
                <w:bCs/>
                <w:sz w:val="20"/>
                <w:szCs w:val="20"/>
              </w:rPr>
              <w:t>Hradená liečba podlieha predchádzajúcemu súhlasu zdravotnej poisťovne.</w:t>
            </w:r>
          </w:p>
          <w:p w14:paraId="7B27A94D" w14:textId="0B9CA995" w:rsidR="006D0FF6" w:rsidRPr="006D0FF6" w:rsidRDefault="006D0FF6" w:rsidP="006D0FF6">
            <w:pPr>
              <w:tabs>
                <w:tab w:val="left" w:pos="3720"/>
              </w:tabs>
              <w:rPr>
                <w:rFonts w:ascii="Arial" w:hAnsi="Arial" w:cs="Arial"/>
                <w:bCs/>
                <w:sz w:val="20"/>
                <w:szCs w:val="20"/>
              </w:rPr>
            </w:pPr>
          </w:p>
        </w:tc>
      </w:tr>
      <w:tr w:rsidR="00F15CD2" w:rsidRPr="0000591E" w14:paraId="6F177654" w14:textId="77777777" w:rsidTr="00670FEC">
        <w:trPr>
          <w:trHeight w:val="20"/>
        </w:trPr>
        <w:tc>
          <w:tcPr>
            <w:tcW w:w="1277" w:type="dxa"/>
            <w:tcBorders>
              <w:top w:val="nil"/>
              <w:bottom w:val="single" w:sz="4" w:space="0" w:color="auto"/>
            </w:tcBorders>
            <w:noWrap/>
          </w:tcPr>
          <w:p w14:paraId="43AB97CE" w14:textId="263D74E7" w:rsidR="00F15CD2" w:rsidRPr="00737001" w:rsidRDefault="00F15CD2" w:rsidP="0034061E">
            <w:pPr>
              <w:rPr>
                <w:rFonts w:ascii="Arial" w:hAnsi="Arial" w:cs="Arial"/>
                <w:b/>
                <w:bCs/>
                <w:sz w:val="20"/>
                <w:szCs w:val="20"/>
              </w:rPr>
            </w:pPr>
            <w:r w:rsidRPr="00F15CD2">
              <w:rPr>
                <w:rFonts w:ascii="Arial" w:hAnsi="Arial" w:cs="Arial"/>
                <w:b/>
                <w:bCs/>
                <w:sz w:val="20"/>
                <w:szCs w:val="20"/>
              </w:rPr>
              <w:t>L04AA37</w:t>
            </w:r>
          </w:p>
        </w:tc>
        <w:tc>
          <w:tcPr>
            <w:tcW w:w="9355" w:type="dxa"/>
            <w:tcBorders>
              <w:top w:val="nil"/>
              <w:bottom w:val="single" w:sz="4" w:space="0" w:color="auto"/>
            </w:tcBorders>
          </w:tcPr>
          <w:p w14:paraId="28EB89F0" w14:textId="097B854E" w:rsidR="00F15CD2" w:rsidRPr="00737001" w:rsidRDefault="00F15CD2" w:rsidP="00295160">
            <w:pPr>
              <w:tabs>
                <w:tab w:val="left" w:pos="3720"/>
              </w:tabs>
              <w:rPr>
                <w:rFonts w:ascii="Arial" w:hAnsi="Arial" w:cs="Arial"/>
                <w:b/>
                <w:bCs/>
                <w:sz w:val="20"/>
                <w:szCs w:val="20"/>
              </w:rPr>
            </w:pPr>
            <w:r w:rsidRPr="00F15CD2">
              <w:rPr>
                <w:rFonts w:ascii="Arial" w:hAnsi="Arial" w:cs="Arial"/>
                <w:b/>
                <w:bCs/>
                <w:sz w:val="20"/>
                <w:szCs w:val="20"/>
              </w:rPr>
              <w:t>Baricitinib p.o. 4 mg</w:t>
            </w:r>
          </w:p>
        </w:tc>
      </w:tr>
      <w:tr w:rsidR="00F15CD2" w:rsidRPr="0000591E" w14:paraId="238E7708" w14:textId="77777777" w:rsidTr="00670FEC">
        <w:trPr>
          <w:trHeight w:val="20"/>
        </w:trPr>
        <w:tc>
          <w:tcPr>
            <w:tcW w:w="1277" w:type="dxa"/>
            <w:tcBorders>
              <w:top w:val="single" w:sz="4" w:space="0" w:color="auto"/>
              <w:bottom w:val="nil"/>
            </w:tcBorders>
            <w:noWrap/>
          </w:tcPr>
          <w:p w14:paraId="785BDF89" w14:textId="77777777" w:rsidR="00F15CD2" w:rsidRPr="00737001" w:rsidRDefault="00F15CD2" w:rsidP="0034061E">
            <w:pPr>
              <w:rPr>
                <w:rFonts w:ascii="Arial" w:hAnsi="Arial" w:cs="Arial"/>
                <w:b/>
                <w:bCs/>
                <w:sz w:val="20"/>
                <w:szCs w:val="20"/>
              </w:rPr>
            </w:pPr>
          </w:p>
        </w:tc>
        <w:tc>
          <w:tcPr>
            <w:tcW w:w="9355" w:type="dxa"/>
            <w:tcBorders>
              <w:top w:val="single" w:sz="4" w:space="0" w:color="auto"/>
              <w:bottom w:val="nil"/>
            </w:tcBorders>
          </w:tcPr>
          <w:p w14:paraId="32ED8F92" w14:textId="77777777" w:rsidR="00F15CD2" w:rsidRPr="00F15CD2" w:rsidRDefault="00F15CD2" w:rsidP="00F15CD2">
            <w:pPr>
              <w:tabs>
                <w:tab w:val="left" w:pos="3720"/>
              </w:tabs>
              <w:rPr>
                <w:rFonts w:ascii="Arial" w:hAnsi="Arial" w:cs="Arial"/>
                <w:bCs/>
                <w:sz w:val="20"/>
                <w:szCs w:val="20"/>
              </w:rPr>
            </w:pPr>
            <w:r w:rsidRPr="00F15CD2">
              <w:rPr>
                <w:rFonts w:ascii="Arial" w:hAnsi="Arial" w:cs="Arial"/>
                <w:bCs/>
                <w:sz w:val="20"/>
                <w:szCs w:val="20"/>
              </w:rPr>
              <w:t xml:space="preserve">Hradenú liečbu môže indikovať: </w:t>
            </w:r>
          </w:p>
          <w:p w14:paraId="5EA9B093"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a) reumatológ na liečbu stredne závažnej až závažnej aktívnej reumatoidnej artritídy u dospelých pacientov, ktorí nedostatočne reagovali na jedno alebo viac DMARDs, vrátane metotrexátu, alebo u ktorých sú tieto kontraindikované, alebo ich netolerujú. </w:t>
            </w:r>
          </w:p>
          <w:p w14:paraId="2EE7DDC1"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Baricitinib sa môže použiť v monoterapii, alebo v kombinácii s metotrexátom. </w:t>
            </w:r>
          </w:p>
          <w:p w14:paraId="1033139A" w14:textId="4D3CF8A8" w:rsid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Ďalšia liečba nie je hradenou liečbou, ak sa po dvanástich týždňoch podávania lieku s účinnou látkou baricitinib nedostaví liečebný účinok. </w:t>
            </w:r>
          </w:p>
          <w:p w14:paraId="371C119C" w14:textId="77777777" w:rsidR="00F15CD2" w:rsidRPr="00F15CD2" w:rsidRDefault="00F15CD2" w:rsidP="00F15CD2">
            <w:pPr>
              <w:tabs>
                <w:tab w:val="left" w:pos="3720"/>
              </w:tabs>
              <w:jc w:val="both"/>
              <w:rPr>
                <w:rFonts w:ascii="Arial" w:hAnsi="Arial" w:cs="Arial"/>
                <w:bCs/>
                <w:sz w:val="20"/>
                <w:szCs w:val="20"/>
              </w:rPr>
            </w:pPr>
          </w:p>
          <w:p w14:paraId="1283B04C"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b) dermatovenerológ u pacientov so závažnou atopickou dermatitídou, ktorí sú kandidátmi na systémovú liečbu a na liečbu cyklosporínom majú zdokumentovanú intoleranciu, neúčinnosť alebo je pre nich táto liečba nevhodná. </w:t>
            </w:r>
          </w:p>
          <w:p w14:paraId="610F13AC"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Úspešnosť terapie sa vyhodnotí po 16 a po 24 týždňoch od začatia liečby a ďalej najmenej každých 24 týždňov. </w:t>
            </w:r>
          </w:p>
          <w:p w14:paraId="1A7292F1"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Ďalšia liečba nie je hradenou liečbou v týchto prípadoch: </w:t>
            </w:r>
          </w:p>
          <w:p w14:paraId="387BD8C8" w14:textId="6EA87CDA"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 xml:space="preserve">1.nedosiahnutie najmenej EASI-50 v týždni 16, </w:t>
            </w:r>
          </w:p>
          <w:p w14:paraId="02383119" w14:textId="326AD966"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 xml:space="preserve">2.nedosiahnutie najmenej EASI-75 v týždni 24, </w:t>
            </w:r>
          </w:p>
          <w:p w14:paraId="40C047A6" w14:textId="620EF3F4"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3.v prípade výskytu nezvládnuteľných nežiaducich účinkov,</w:t>
            </w:r>
          </w:p>
          <w:p w14:paraId="2B8994A8" w14:textId="1871C9F3"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 xml:space="preserve">4.pri nedostatočnej adherencii na terapiu, </w:t>
            </w:r>
          </w:p>
          <w:p w14:paraId="5818CA58" w14:textId="3449AB49"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5.pri poklese účinnosti pod EASI-50 pri dvoch po sebe nasledujúcich kontrolách.</w:t>
            </w:r>
          </w:p>
          <w:p w14:paraId="77D0E8AD" w14:textId="77777777" w:rsidR="00F15CD2" w:rsidRDefault="00F15CD2" w:rsidP="00F15CD2">
            <w:pPr>
              <w:tabs>
                <w:tab w:val="left" w:pos="3720"/>
              </w:tabs>
              <w:jc w:val="both"/>
              <w:rPr>
                <w:rFonts w:ascii="Arial" w:hAnsi="Arial" w:cs="Arial"/>
                <w:bCs/>
                <w:sz w:val="20"/>
                <w:szCs w:val="20"/>
              </w:rPr>
            </w:pPr>
          </w:p>
          <w:p w14:paraId="4A177F97" w14:textId="21453A0E"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Hradená liečba podlieha predchádzajúcemu súhlasu zdravotnej poisťovne.</w:t>
            </w:r>
          </w:p>
          <w:p w14:paraId="6BB169B1" w14:textId="77777777" w:rsidR="00F15CD2" w:rsidRDefault="00F15CD2" w:rsidP="00295160">
            <w:pPr>
              <w:tabs>
                <w:tab w:val="left" w:pos="3720"/>
              </w:tabs>
              <w:rPr>
                <w:rFonts w:ascii="Arial" w:hAnsi="Arial" w:cs="Arial"/>
                <w:bCs/>
                <w:sz w:val="20"/>
                <w:szCs w:val="20"/>
              </w:rPr>
            </w:pPr>
          </w:p>
          <w:p w14:paraId="336765AF" w14:textId="77777777" w:rsidR="0034650A" w:rsidRDefault="0034650A" w:rsidP="00295160">
            <w:pPr>
              <w:tabs>
                <w:tab w:val="left" w:pos="3720"/>
              </w:tabs>
              <w:rPr>
                <w:rFonts w:ascii="Arial" w:hAnsi="Arial" w:cs="Arial"/>
                <w:bCs/>
                <w:sz w:val="20"/>
                <w:szCs w:val="20"/>
              </w:rPr>
            </w:pPr>
          </w:p>
          <w:p w14:paraId="779B801B" w14:textId="13F1F20C" w:rsidR="0034650A" w:rsidRPr="00F15CD2" w:rsidRDefault="0034650A" w:rsidP="00295160">
            <w:pPr>
              <w:tabs>
                <w:tab w:val="left" w:pos="3720"/>
              </w:tabs>
              <w:rPr>
                <w:rFonts w:ascii="Arial" w:hAnsi="Arial" w:cs="Arial"/>
                <w:bCs/>
                <w:sz w:val="20"/>
                <w:szCs w:val="20"/>
              </w:rPr>
            </w:pPr>
          </w:p>
        </w:tc>
      </w:tr>
      <w:tr w:rsidR="001525F9" w:rsidRPr="0000591E" w14:paraId="448830D4" w14:textId="77777777" w:rsidTr="00670FEC">
        <w:trPr>
          <w:trHeight w:val="20"/>
        </w:trPr>
        <w:tc>
          <w:tcPr>
            <w:tcW w:w="1277" w:type="dxa"/>
            <w:tcBorders>
              <w:top w:val="nil"/>
              <w:bottom w:val="single" w:sz="4" w:space="0" w:color="auto"/>
            </w:tcBorders>
            <w:noWrap/>
          </w:tcPr>
          <w:p w14:paraId="687EF073" w14:textId="2F7F044C" w:rsidR="001525F9" w:rsidRPr="00737001" w:rsidRDefault="001525F9" w:rsidP="0034061E">
            <w:pPr>
              <w:rPr>
                <w:rFonts w:ascii="Arial" w:hAnsi="Arial" w:cs="Arial"/>
                <w:b/>
                <w:bCs/>
                <w:sz w:val="20"/>
                <w:szCs w:val="20"/>
              </w:rPr>
            </w:pPr>
            <w:r w:rsidRPr="001525F9">
              <w:rPr>
                <w:rFonts w:ascii="Arial" w:hAnsi="Arial" w:cs="Arial"/>
                <w:b/>
                <w:bCs/>
                <w:sz w:val="20"/>
                <w:szCs w:val="20"/>
              </w:rPr>
              <w:t>L04AA40</w:t>
            </w:r>
          </w:p>
        </w:tc>
        <w:tc>
          <w:tcPr>
            <w:tcW w:w="9355" w:type="dxa"/>
            <w:tcBorders>
              <w:top w:val="nil"/>
              <w:bottom w:val="single" w:sz="4" w:space="0" w:color="auto"/>
            </w:tcBorders>
          </w:tcPr>
          <w:p w14:paraId="68DB6A41" w14:textId="3DA0B0BC" w:rsidR="001525F9" w:rsidRPr="00737001" w:rsidRDefault="001525F9" w:rsidP="00295160">
            <w:pPr>
              <w:tabs>
                <w:tab w:val="left" w:pos="3720"/>
              </w:tabs>
              <w:rPr>
                <w:rFonts w:ascii="Arial" w:hAnsi="Arial" w:cs="Arial"/>
                <w:b/>
                <w:bCs/>
                <w:sz w:val="20"/>
                <w:szCs w:val="20"/>
              </w:rPr>
            </w:pPr>
            <w:r w:rsidRPr="001525F9">
              <w:rPr>
                <w:rFonts w:ascii="Arial" w:hAnsi="Arial" w:cs="Arial"/>
                <w:b/>
                <w:bCs/>
                <w:sz w:val="20"/>
                <w:szCs w:val="20"/>
              </w:rPr>
              <w:t>Kladribín p.o. 10 mg</w:t>
            </w:r>
          </w:p>
        </w:tc>
      </w:tr>
      <w:tr w:rsidR="001525F9" w:rsidRPr="0000591E" w14:paraId="6EB6024C" w14:textId="77777777" w:rsidTr="00670FEC">
        <w:trPr>
          <w:trHeight w:val="20"/>
        </w:trPr>
        <w:tc>
          <w:tcPr>
            <w:tcW w:w="1277" w:type="dxa"/>
            <w:tcBorders>
              <w:top w:val="single" w:sz="4" w:space="0" w:color="auto"/>
              <w:bottom w:val="nil"/>
            </w:tcBorders>
            <w:noWrap/>
          </w:tcPr>
          <w:p w14:paraId="11F146E6" w14:textId="77777777" w:rsidR="001525F9" w:rsidRPr="00737001" w:rsidRDefault="001525F9" w:rsidP="0034061E">
            <w:pPr>
              <w:rPr>
                <w:rFonts w:ascii="Arial" w:hAnsi="Arial" w:cs="Arial"/>
                <w:b/>
                <w:bCs/>
                <w:sz w:val="20"/>
                <w:szCs w:val="20"/>
              </w:rPr>
            </w:pPr>
          </w:p>
        </w:tc>
        <w:tc>
          <w:tcPr>
            <w:tcW w:w="9355" w:type="dxa"/>
            <w:tcBorders>
              <w:top w:val="single" w:sz="4" w:space="0" w:color="auto"/>
              <w:bottom w:val="nil"/>
            </w:tcBorders>
          </w:tcPr>
          <w:p w14:paraId="69E450A2" w14:textId="1AAE1FE0" w:rsid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Hradená liečba sa môže indikovať u dospelých pacientov s diagnózou vysoko aktívnej relapsujúcej sklerózy multiplex (SM) definovanou klinickými príznakmi alebo pomocou zobrazovacích vyšetrení:</w:t>
            </w:r>
          </w:p>
          <w:p w14:paraId="2509A107" w14:textId="77777777" w:rsidR="001525F9" w:rsidRPr="001525F9" w:rsidRDefault="001525F9" w:rsidP="001525F9">
            <w:pPr>
              <w:tabs>
                <w:tab w:val="left" w:pos="3720"/>
              </w:tabs>
              <w:jc w:val="both"/>
              <w:rPr>
                <w:rFonts w:ascii="Arial" w:hAnsi="Arial" w:cs="Arial"/>
                <w:bCs/>
                <w:sz w:val="20"/>
                <w:szCs w:val="20"/>
              </w:rPr>
            </w:pPr>
          </w:p>
          <w:p w14:paraId="76F63808" w14:textId="77777777" w:rsidR="001525F9" w:rsidRP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1. s 1 závažným relapsom liečeným kortikosteroidmi alebo zvýšením EDSS aspoň o jeden stupeň v predchádzajúcom roku a aspoň 1 T1 Gd+ léziou alebo viacerými T2 léziami počas liečby aspoň jedným ochorenie modifikujúcim liekom (DMD), alebo</w:t>
            </w:r>
          </w:p>
          <w:p w14:paraId="6E9F1A42" w14:textId="77777777" w:rsidR="001525F9" w:rsidRDefault="001525F9" w:rsidP="001525F9">
            <w:pPr>
              <w:tabs>
                <w:tab w:val="left" w:pos="3720"/>
              </w:tabs>
              <w:jc w:val="both"/>
              <w:rPr>
                <w:rFonts w:ascii="Arial" w:hAnsi="Arial" w:cs="Arial"/>
                <w:bCs/>
                <w:sz w:val="20"/>
                <w:szCs w:val="20"/>
              </w:rPr>
            </w:pPr>
          </w:p>
          <w:p w14:paraId="5ED07B4C" w14:textId="7D277ACE" w:rsidR="001525F9" w:rsidRP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2. s 2 alebo viacerými nespôsobilosť spôsobujúcimi relapsami liečenými kortikosteroidmi v prechádzajúcom roku, liečených alebo neliečených iným DMD. Pre potvrdenie diagnózy SM je potrebné vyšetrenie likvoru.</w:t>
            </w:r>
          </w:p>
          <w:p w14:paraId="7F16FE21" w14:textId="77777777" w:rsidR="001525F9" w:rsidRPr="001525F9" w:rsidRDefault="001525F9" w:rsidP="001525F9">
            <w:pPr>
              <w:tabs>
                <w:tab w:val="left" w:pos="3720"/>
              </w:tabs>
              <w:jc w:val="both"/>
              <w:rPr>
                <w:rFonts w:ascii="Arial" w:hAnsi="Arial" w:cs="Arial"/>
                <w:bCs/>
                <w:sz w:val="20"/>
                <w:szCs w:val="20"/>
              </w:rPr>
            </w:pPr>
          </w:p>
          <w:p w14:paraId="30202AEE" w14:textId="77777777" w:rsidR="001525F9" w:rsidRP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w:t>
            </w:r>
          </w:p>
          <w:p w14:paraId="5D1BB883" w14:textId="77777777" w:rsidR="001525F9" w:rsidRPr="001525F9" w:rsidRDefault="001525F9" w:rsidP="001525F9">
            <w:pPr>
              <w:tabs>
                <w:tab w:val="left" w:pos="3720"/>
              </w:tabs>
              <w:jc w:val="both"/>
              <w:rPr>
                <w:rFonts w:ascii="Arial" w:hAnsi="Arial" w:cs="Arial"/>
                <w:bCs/>
                <w:sz w:val="20"/>
                <w:szCs w:val="20"/>
              </w:rPr>
            </w:pPr>
          </w:p>
          <w:p w14:paraId="32FC9E93" w14:textId="5E5B5AD3" w:rsidR="001525F9" w:rsidRDefault="001525F9" w:rsidP="001525F9">
            <w:pPr>
              <w:tabs>
                <w:tab w:val="left" w:pos="3720"/>
              </w:tabs>
              <w:rPr>
                <w:rFonts w:ascii="Arial" w:hAnsi="Arial" w:cs="Arial"/>
                <w:bCs/>
                <w:sz w:val="20"/>
                <w:szCs w:val="20"/>
              </w:rPr>
            </w:pPr>
            <w:r w:rsidRPr="001525F9">
              <w:rPr>
                <w:rFonts w:ascii="Arial" w:hAnsi="Arial" w:cs="Arial"/>
                <w:bCs/>
                <w:sz w:val="20"/>
                <w:szCs w:val="20"/>
              </w:rPr>
              <w:t>Hradená liečba podlieha predchádzajúcemu súhlasu zdravotnej poisťovne.</w:t>
            </w:r>
          </w:p>
          <w:p w14:paraId="7039A684" w14:textId="3F8D838D" w:rsidR="001525F9" w:rsidRPr="001525F9" w:rsidRDefault="001525F9" w:rsidP="001525F9">
            <w:pPr>
              <w:tabs>
                <w:tab w:val="left" w:pos="3720"/>
              </w:tabs>
              <w:rPr>
                <w:rFonts w:ascii="Arial" w:hAnsi="Arial" w:cs="Arial"/>
                <w:bCs/>
                <w:sz w:val="20"/>
                <w:szCs w:val="20"/>
              </w:rPr>
            </w:pPr>
          </w:p>
        </w:tc>
      </w:tr>
      <w:tr w:rsidR="003E58C2" w:rsidRPr="0000591E" w14:paraId="6979E451" w14:textId="77777777" w:rsidTr="00670FEC">
        <w:trPr>
          <w:trHeight w:val="20"/>
        </w:trPr>
        <w:tc>
          <w:tcPr>
            <w:tcW w:w="1277" w:type="dxa"/>
            <w:tcBorders>
              <w:top w:val="nil"/>
              <w:bottom w:val="single" w:sz="4" w:space="0" w:color="auto"/>
            </w:tcBorders>
            <w:noWrap/>
          </w:tcPr>
          <w:p w14:paraId="102CFB3F" w14:textId="6B4C3064" w:rsidR="003E58C2" w:rsidRPr="00737001" w:rsidRDefault="003E58C2" w:rsidP="0034061E">
            <w:pPr>
              <w:rPr>
                <w:rFonts w:ascii="Arial" w:hAnsi="Arial" w:cs="Arial"/>
                <w:b/>
                <w:bCs/>
                <w:sz w:val="20"/>
                <w:szCs w:val="20"/>
              </w:rPr>
            </w:pPr>
            <w:r w:rsidRPr="003E58C2">
              <w:rPr>
                <w:rFonts w:ascii="Arial" w:hAnsi="Arial" w:cs="Arial"/>
                <w:b/>
                <w:bCs/>
                <w:sz w:val="20"/>
                <w:szCs w:val="20"/>
              </w:rPr>
              <w:t>L04AA43</w:t>
            </w:r>
          </w:p>
        </w:tc>
        <w:tc>
          <w:tcPr>
            <w:tcW w:w="9355" w:type="dxa"/>
            <w:tcBorders>
              <w:top w:val="nil"/>
              <w:bottom w:val="single" w:sz="4" w:space="0" w:color="auto"/>
            </w:tcBorders>
          </w:tcPr>
          <w:p w14:paraId="28AF55C3" w14:textId="4ADF5CC5" w:rsidR="003E58C2" w:rsidRPr="00737001" w:rsidRDefault="003E58C2" w:rsidP="003E58C2">
            <w:pPr>
              <w:tabs>
                <w:tab w:val="left" w:pos="3160"/>
                <w:tab w:val="left" w:pos="3720"/>
              </w:tabs>
              <w:rPr>
                <w:rFonts w:ascii="Arial" w:hAnsi="Arial" w:cs="Arial"/>
                <w:b/>
                <w:bCs/>
                <w:sz w:val="20"/>
                <w:szCs w:val="20"/>
              </w:rPr>
            </w:pPr>
            <w:r w:rsidRPr="003E58C2">
              <w:rPr>
                <w:rFonts w:ascii="Arial" w:hAnsi="Arial" w:cs="Arial"/>
                <w:b/>
                <w:bCs/>
                <w:sz w:val="20"/>
                <w:szCs w:val="20"/>
              </w:rPr>
              <w:t>Ravulizumab parent. 300 mg</w:t>
            </w:r>
          </w:p>
        </w:tc>
      </w:tr>
      <w:tr w:rsidR="003E58C2" w:rsidRPr="0000591E" w14:paraId="1CFC0322" w14:textId="77777777" w:rsidTr="00670FEC">
        <w:trPr>
          <w:trHeight w:val="20"/>
        </w:trPr>
        <w:tc>
          <w:tcPr>
            <w:tcW w:w="1277" w:type="dxa"/>
            <w:tcBorders>
              <w:top w:val="single" w:sz="4" w:space="0" w:color="auto"/>
              <w:bottom w:val="nil"/>
            </w:tcBorders>
            <w:noWrap/>
          </w:tcPr>
          <w:p w14:paraId="3498BDA5" w14:textId="77777777" w:rsidR="003E58C2" w:rsidRPr="00737001" w:rsidRDefault="003E58C2" w:rsidP="0034061E">
            <w:pPr>
              <w:rPr>
                <w:rFonts w:ascii="Arial" w:hAnsi="Arial" w:cs="Arial"/>
                <w:b/>
                <w:bCs/>
                <w:sz w:val="20"/>
                <w:szCs w:val="20"/>
              </w:rPr>
            </w:pPr>
          </w:p>
        </w:tc>
        <w:tc>
          <w:tcPr>
            <w:tcW w:w="9355" w:type="dxa"/>
            <w:tcBorders>
              <w:top w:val="single" w:sz="4" w:space="0" w:color="auto"/>
              <w:bottom w:val="nil"/>
            </w:tcBorders>
          </w:tcPr>
          <w:p w14:paraId="3A5F3719" w14:textId="77777777" w:rsidR="003E58C2" w:rsidRP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Hradená liečba je indikovaná pacientom s telesnou hmotnosťou 10 kg alebo vyššou na liečbu atypického</w:t>
            </w:r>
          </w:p>
          <w:p w14:paraId="71D1836F" w14:textId="77777777" w:rsidR="003E58C2" w:rsidRP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hemolyticko-uremického syndrómu (aHUS), ktorí</w:t>
            </w:r>
          </w:p>
          <w:p w14:paraId="0DAC32DC" w14:textId="77777777" w:rsidR="003E58C2" w:rsidRP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 nepodstúpili liečbu inhibítorom komplementu alebo</w:t>
            </w:r>
          </w:p>
          <w:p w14:paraId="2227ED60" w14:textId="77E35ED9" w:rsid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 najmenej 3 mesiace sa liečili ekulizumabom a mali preukázanú odpoveď na ekulizumab.</w:t>
            </w:r>
          </w:p>
          <w:p w14:paraId="68BA9095" w14:textId="77777777" w:rsidR="003E58C2" w:rsidRDefault="003E58C2" w:rsidP="003E58C2">
            <w:pPr>
              <w:tabs>
                <w:tab w:val="left" w:pos="3160"/>
                <w:tab w:val="left" w:pos="3720"/>
              </w:tabs>
              <w:jc w:val="both"/>
              <w:rPr>
                <w:rFonts w:ascii="Arial" w:hAnsi="Arial" w:cs="Arial"/>
                <w:bCs/>
                <w:sz w:val="20"/>
                <w:szCs w:val="20"/>
              </w:rPr>
            </w:pPr>
          </w:p>
          <w:p w14:paraId="6EE65E35" w14:textId="77777777" w:rsid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Hradená liečba podlieha predchádzajúcemu súhlasu zdravotnej poisťovne.</w:t>
            </w:r>
          </w:p>
          <w:p w14:paraId="69120D9F" w14:textId="77777777" w:rsidR="007C56CA" w:rsidRDefault="007C56CA" w:rsidP="003E58C2">
            <w:pPr>
              <w:tabs>
                <w:tab w:val="left" w:pos="3160"/>
                <w:tab w:val="left" w:pos="3720"/>
              </w:tabs>
              <w:jc w:val="both"/>
              <w:rPr>
                <w:rFonts w:ascii="Arial" w:hAnsi="Arial" w:cs="Arial"/>
                <w:bCs/>
                <w:sz w:val="20"/>
                <w:szCs w:val="20"/>
              </w:rPr>
            </w:pPr>
          </w:p>
          <w:p w14:paraId="62BBFBAA" w14:textId="77777777" w:rsidR="005A6151" w:rsidRP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Ravulizumab je hradený pacientom s generalizovanou myasténiou gravis v štádiu MGFA II-IV, s MG-ADL skóre ≥ 6, s pozitívnymi protilátkami proti acetylcholínovému receptoru (AbAChR+), ktorí sú refraktérni na konvenčnú terapiu. Zhodnotenie odpovede na liečbu je vykonané po 6 mesiacoch, kedy pre pokračovanie v liečbe je nutné zníženie MG-ADL skóre o aspoň 2 body alebo viac. Pacienti sú považovaní za refraktérnych na liečbu, ak nedôjde k zlepšeniu symptómov na liečbe:</w:t>
            </w:r>
          </w:p>
          <w:p w14:paraId="729FAE3B" w14:textId="77777777" w:rsid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Inhibítormi AChE a kortikosteroidmi a NSI, alebo</w:t>
            </w:r>
          </w:p>
          <w:p w14:paraId="4741E239" w14:textId="77777777" w:rsid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Inhibítormi AChE a kortikosteroidmi, ak je liečba NSI netolerovaná/kontraindikovaná, alebo</w:t>
            </w:r>
          </w:p>
          <w:p w14:paraId="0B04C38A" w14:textId="77777777" w:rsid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Inhibítormi AChE a NSI, ak je liečba kortikosteroidmi netolerovaná/kontraindikovaná, alebo</w:t>
            </w:r>
          </w:p>
          <w:p w14:paraId="44183B9D" w14:textId="092C7EAF" w:rsidR="005A6151" w:rsidRP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u ktorých je liečba kortikosteroidmi a NSI netolerovaná/kontraindikovaná.</w:t>
            </w:r>
          </w:p>
          <w:p w14:paraId="70B3C322" w14:textId="77777777" w:rsidR="005A6151" w:rsidRP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na neurologickom oddelení Nemocnice AGEL Levoča, a.s. a v Univerzitnej nemocnici svätého Michala, a.s. Bratislava.</w:t>
            </w:r>
          </w:p>
          <w:p w14:paraId="3B51EC08" w14:textId="77777777" w:rsidR="005A6151" w:rsidRPr="005A6151" w:rsidRDefault="005A6151" w:rsidP="005A6151">
            <w:pPr>
              <w:tabs>
                <w:tab w:val="left" w:pos="3160"/>
                <w:tab w:val="left" w:pos="3720"/>
              </w:tabs>
              <w:jc w:val="both"/>
              <w:rPr>
                <w:rFonts w:ascii="Arial" w:hAnsi="Arial" w:cs="Arial"/>
                <w:bCs/>
                <w:sz w:val="20"/>
                <w:szCs w:val="20"/>
              </w:rPr>
            </w:pPr>
          </w:p>
          <w:p w14:paraId="7125F9E1" w14:textId="50D8D256" w:rsid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podlieha predchádzajúcemu súhlasu zdravotnej poisťovne.</w:t>
            </w:r>
          </w:p>
          <w:p w14:paraId="00F51FD9" w14:textId="77777777" w:rsidR="005A6151" w:rsidRDefault="005A6151" w:rsidP="003E58C2">
            <w:pPr>
              <w:tabs>
                <w:tab w:val="left" w:pos="3160"/>
                <w:tab w:val="left" w:pos="3720"/>
              </w:tabs>
              <w:jc w:val="both"/>
              <w:rPr>
                <w:rFonts w:ascii="Arial" w:hAnsi="Arial" w:cs="Arial"/>
                <w:bCs/>
                <w:sz w:val="20"/>
                <w:szCs w:val="20"/>
              </w:rPr>
            </w:pPr>
          </w:p>
          <w:p w14:paraId="6EE4813C" w14:textId="77777777" w:rsidR="005A6151" w:rsidRP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Ravulizumab je hradený dospelým pacientom s neuromyelitis optica a jej spektrum ochorení (neuromyelitis optica spectrum disorder, NMOSD) u pacientov s relapsovým priebehom ochorenia, ktorí majú pozitívne protilátky proti akvaporínu-4 (anti-aquaporin – 4, AQP4).</w:t>
            </w:r>
          </w:p>
          <w:p w14:paraId="4F3EE03E" w14:textId="77777777" w:rsidR="005A6151" w:rsidRPr="005A6151" w:rsidRDefault="005A6151" w:rsidP="005A6151">
            <w:pPr>
              <w:tabs>
                <w:tab w:val="left" w:pos="3160"/>
                <w:tab w:val="left" w:pos="3720"/>
              </w:tabs>
              <w:jc w:val="both"/>
              <w:rPr>
                <w:rFonts w:ascii="Arial" w:hAnsi="Arial" w:cs="Arial"/>
                <w:bCs/>
                <w:sz w:val="20"/>
                <w:szCs w:val="20"/>
              </w:rPr>
            </w:pPr>
          </w:p>
          <w:p w14:paraId="3A2D97B2" w14:textId="77777777" w:rsidR="005A6151" w:rsidRP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s poliklinikou Trnava, v Univerzitnej nemocnici Martin, na Neurologickej klinike Ústrednej vojenskej nemocnice SNP Ružomberok, na neurologickom oddelení Fakultnej nemocnice Trenčín a v Univerzitnej nemocnici  svätého Michala a.s. Bratislava.</w:t>
            </w:r>
          </w:p>
          <w:p w14:paraId="02215418" w14:textId="77777777" w:rsidR="005A6151" w:rsidRPr="005A6151" w:rsidRDefault="005A6151" w:rsidP="005A6151">
            <w:pPr>
              <w:tabs>
                <w:tab w:val="left" w:pos="3160"/>
                <w:tab w:val="left" w:pos="3720"/>
              </w:tabs>
              <w:jc w:val="both"/>
              <w:rPr>
                <w:rFonts w:ascii="Arial" w:hAnsi="Arial" w:cs="Arial"/>
                <w:bCs/>
                <w:sz w:val="20"/>
                <w:szCs w:val="20"/>
              </w:rPr>
            </w:pPr>
          </w:p>
          <w:p w14:paraId="10EBBB08" w14:textId="53A3DAAF" w:rsid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podlieha predchádzajúcemu súhlasu zdravotnej poisťovne.</w:t>
            </w:r>
          </w:p>
          <w:p w14:paraId="62B0355C" w14:textId="0D902BA0" w:rsidR="005A6151" w:rsidRPr="003E58C2" w:rsidRDefault="005A6151" w:rsidP="003E58C2">
            <w:pPr>
              <w:tabs>
                <w:tab w:val="left" w:pos="3160"/>
                <w:tab w:val="left" w:pos="3720"/>
              </w:tabs>
              <w:jc w:val="both"/>
              <w:rPr>
                <w:rFonts w:ascii="Arial" w:hAnsi="Arial" w:cs="Arial"/>
                <w:bCs/>
                <w:sz w:val="20"/>
                <w:szCs w:val="20"/>
              </w:rPr>
            </w:pPr>
          </w:p>
        </w:tc>
      </w:tr>
      <w:tr w:rsidR="007C56CA" w:rsidRPr="0000591E" w14:paraId="02A60866" w14:textId="77777777" w:rsidTr="00670FEC">
        <w:trPr>
          <w:trHeight w:val="20"/>
        </w:trPr>
        <w:tc>
          <w:tcPr>
            <w:tcW w:w="1277" w:type="dxa"/>
            <w:tcBorders>
              <w:top w:val="nil"/>
              <w:bottom w:val="single" w:sz="4" w:space="0" w:color="auto"/>
            </w:tcBorders>
            <w:noWrap/>
          </w:tcPr>
          <w:p w14:paraId="600E9F67" w14:textId="04959277" w:rsidR="007C56CA" w:rsidRPr="00737001" w:rsidRDefault="007C56CA" w:rsidP="0034061E">
            <w:pPr>
              <w:rPr>
                <w:rFonts w:ascii="Arial" w:hAnsi="Arial" w:cs="Arial"/>
                <w:b/>
                <w:bCs/>
                <w:sz w:val="20"/>
                <w:szCs w:val="20"/>
              </w:rPr>
            </w:pPr>
            <w:r w:rsidRPr="007C56CA">
              <w:rPr>
                <w:rFonts w:ascii="Arial" w:hAnsi="Arial" w:cs="Arial"/>
                <w:b/>
                <w:bCs/>
                <w:sz w:val="20"/>
                <w:szCs w:val="20"/>
              </w:rPr>
              <w:t>L04AA44</w:t>
            </w:r>
          </w:p>
        </w:tc>
        <w:tc>
          <w:tcPr>
            <w:tcW w:w="9355" w:type="dxa"/>
            <w:tcBorders>
              <w:top w:val="nil"/>
              <w:bottom w:val="single" w:sz="4" w:space="0" w:color="auto"/>
            </w:tcBorders>
          </w:tcPr>
          <w:p w14:paraId="2C062429" w14:textId="28D5180B" w:rsidR="007C56CA" w:rsidRPr="00737001" w:rsidRDefault="007C56CA" w:rsidP="003E58C2">
            <w:pPr>
              <w:tabs>
                <w:tab w:val="left" w:pos="3160"/>
                <w:tab w:val="left" w:pos="3720"/>
              </w:tabs>
              <w:rPr>
                <w:rFonts w:ascii="Arial" w:hAnsi="Arial" w:cs="Arial"/>
                <w:b/>
                <w:bCs/>
                <w:sz w:val="20"/>
                <w:szCs w:val="20"/>
              </w:rPr>
            </w:pPr>
            <w:r w:rsidRPr="007C56CA">
              <w:rPr>
                <w:rFonts w:ascii="Arial" w:hAnsi="Arial" w:cs="Arial"/>
                <w:b/>
                <w:bCs/>
                <w:sz w:val="20"/>
                <w:szCs w:val="20"/>
              </w:rPr>
              <w:t>Upadacitinib p.o. predĺžené uvoľňovanie 15 mg</w:t>
            </w:r>
          </w:p>
        </w:tc>
      </w:tr>
      <w:tr w:rsidR="007C56CA" w:rsidRPr="0000591E" w14:paraId="1535310D" w14:textId="77777777" w:rsidTr="00670FEC">
        <w:trPr>
          <w:trHeight w:val="20"/>
        </w:trPr>
        <w:tc>
          <w:tcPr>
            <w:tcW w:w="1277" w:type="dxa"/>
            <w:tcBorders>
              <w:top w:val="single" w:sz="4" w:space="0" w:color="auto"/>
              <w:bottom w:val="nil"/>
            </w:tcBorders>
            <w:noWrap/>
          </w:tcPr>
          <w:p w14:paraId="0E4408EF" w14:textId="77777777" w:rsidR="007C56CA" w:rsidRPr="00737001" w:rsidRDefault="007C56CA" w:rsidP="0034061E">
            <w:pPr>
              <w:rPr>
                <w:rFonts w:ascii="Arial" w:hAnsi="Arial" w:cs="Arial"/>
                <w:b/>
                <w:bCs/>
                <w:sz w:val="20"/>
                <w:szCs w:val="20"/>
              </w:rPr>
            </w:pPr>
          </w:p>
        </w:tc>
        <w:tc>
          <w:tcPr>
            <w:tcW w:w="9355" w:type="dxa"/>
            <w:tcBorders>
              <w:top w:val="single" w:sz="4" w:space="0" w:color="auto"/>
              <w:bottom w:val="nil"/>
            </w:tcBorders>
          </w:tcPr>
          <w:p w14:paraId="2E362A9D"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Hradenú liečbu môže indikovať po predchádzajúcom pneumologickom vyšetrení a vyšetrení IGRA testom</w:t>
            </w:r>
          </w:p>
          <w:p w14:paraId="6F0D8606"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a) reumatológ na liečbu:</w:t>
            </w:r>
          </w:p>
          <w:p w14:paraId="26038EEC"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1. stredne ťažkej až ťažkej aktívnej reumatoidnej artritídy u dospelých pacientov, u ktorých iná liečba nebola dostatočne účinná alebo majú kontraindikácie alebo intoleranciu k inej systémovej liečbe účinnými látkami skupín anti-TNF alfa alebo inhibítormi interleukínov. Upadacitinib sa môže používať v monoterapii alebo v kombinácii s metotrexátom.</w:t>
            </w:r>
          </w:p>
          <w:p w14:paraId="718EABDA" w14:textId="77777777" w:rsidR="007C56CA" w:rsidRPr="007C56CA" w:rsidRDefault="007C56CA" w:rsidP="007C56CA">
            <w:pPr>
              <w:tabs>
                <w:tab w:val="left" w:pos="3160"/>
                <w:tab w:val="left" w:pos="3720"/>
              </w:tabs>
              <w:rPr>
                <w:rFonts w:ascii="Arial" w:hAnsi="Arial" w:cs="Arial"/>
                <w:bCs/>
                <w:sz w:val="20"/>
                <w:szCs w:val="20"/>
              </w:rPr>
            </w:pPr>
          </w:p>
          <w:p w14:paraId="0963CC46"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54A0597E" w14:textId="77777777" w:rsidR="007C56CA" w:rsidRPr="007C56CA" w:rsidRDefault="007C56CA" w:rsidP="007C56CA">
            <w:pPr>
              <w:tabs>
                <w:tab w:val="left" w:pos="3160"/>
                <w:tab w:val="left" w:pos="3720"/>
              </w:tabs>
              <w:rPr>
                <w:rFonts w:ascii="Arial" w:hAnsi="Arial" w:cs="Arial"/>
                <w:bCs/>
                <w:sz w:val="20"/>
                <w:szCs w:val="20"/>
              </w:rPr>
            </w:pPr>
          </w:p>
          <w:p w14:paraId="26961C3A"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2. aktívnej psoriatickej artritídy u dospelých pacientov v monoterapii alebo v kombinácii s metotrexátom, ak nebola odpoveď na predchádzajúcu liečbu anti-TNF inhibítormi a DMARDs dostatočná.</w:t>
            </w:r>
          </w:p>
          <w:p w14:paraId="67C5B4A9" w14:textId="77777777" w:rsidR="007C56CA" w:rsidRPr="007C56CA" w:rsidRDefault="007C56CA" w:rsidP="007C56CA">
            <w:pPr>
              <w:tabs>
                <w:tab w:val="left" w:pos="3160"/>
                <w:tab w:val="left" w:pos="3720"/>
              </w:tabs>
              <w:jc w:val="both"/>
              <w:rPr>
                <w:rFonts w:ascii="Arial" w:hAnsi="Arial" w:cs="Arial"/>
                <w:bCs/>
                <w:sz w:val="20"/>
                <w:szCs w:val="20"/>
              </w:rPr>
            </w:pPr>
          </w:p>
          <w:p w14:paraId="26B09E33"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60B1C618" w14:textId="77777777" w:rsidR="007C56CA" w:rsidRPr="007C56CA" w:rsidRDefault="007C56CA" w:rsidP="007C56CA">
            <w:pPr>
              <w:tabs>
                <w:tab w:val="left" w:pos="3160"/>
                <w:tab w:val="left" w:pos="3720"/>
              </w:tabs>
              <w:rPr>
                <w:rFonts w:ascii="Arial" w:hAnsi="Arial" w:cs="Arial"/>
                <w:bCs/>
                <w:sz w:val="20"/>
                <w:szCs w:val="20"/>
              </w:rPr>
            </w:pPr>
          </w:p>
          <w:p w14:paraId="1F097012"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b) dermatovenerológ, klinický imunológ a alergológ u pacientov vo veku 12 rokov a starších s ťažkou atopickou dermatitídou, ktorí sú kandidátmi na systémovú liečbu.</w:t>
            </w:r>
          </w:p>
          <w:p w14:paraId="481D24DA" w14:textId="77777777" w:rsidR="007C56CA" w:rsidRPr="007C56CA" w:rsidRDefault="007C56CA" w:rsidP="007C56CA">
            <w:pPr>
              <w:tabs>
                <w:tab w:val="left" w:pos="3160"/>
                <w:tab w:val="left" w:pos="3720"/>
              </w:tabs>
              <w:rPr>
                <w:rFonts w:ascii="Arial" w:hAnsi="Arial" w:cs="Arial"/>
                <w:bCs/>
                <w:sz w:val="20"/>
                <w:szCs w:val="20"/>
              </w:rPr>
            </w:pPr>
          </w:p>
          <w:p w14:paraId="211B8F85"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Úspešnosť terapie u pacientov vo veku od 12 rokov a dospelých sa vyhodnotí po 16 a po 24 týždňoch od začatia liečby a ďalej najmenej každých 24 týždňov.</w:t>
            </w:r>
          </w:p>
          <w:p w14:paraId="395DB05E" w14:textId="77777777" w:rsidR="007C56CA" w:rsidRPr="007C56CA" w:rsidRDefault="007C56CA" w:rsidP="007C56CA">
            <w:pPr>
              <w:tabs>
                <w:tab w:val="left" w:pos="3160"/>
                <w:tab w:val="left" w:pos="3720"/>
              </w:tabs>
              <w:rPr>
                <w:rFonts w:ascii="Arial" w:hAnsi="Arial" w:cs="Arial"/>
                <w:bCs/>
                <w:sz w:val="20"/>
                <w:szCs w:val="20"/>
              </w:rPr>
            </w:pPr>
          </w:p>
          <w:p w14:paraId="5A43D1D3"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Ďalšia liečba nie je hradenou liečbou v týchto prípadoch:</w:t>
            </w:r>
          </w:p>
          <w:p w14:paraId="76D57706" w14:textId="77777777" w:rsidR="007C56CA" w:rsidRPr="007C56CA" w:rsidRDefault="007C56CA" w:rsidP="007C56CA">
            <w:pPr>
              <w:tabs>
                <w:tab w:val="left" w:pos="3160"/>
                <w:tab w:val="left" w:pos="3720"/>
              </w:tabs>
              <w:rPr>
                <w:rFonts w:ascii="Arial" w:hAnsi="Arial" w:cs="Arial"/>
                <w:bCs/>
                <w:sz w:val="20"/>
                <w:szCs w:val="20"/>
              </w:rPr>
            </w:pPr>
          </w:p>
          <w:p w14:paraId="7644062E"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nedosiahnutie najmenej EASI-50 v týždni 16,</w:t>
            </w:r>
          </w:p>
          <w:p w14:paraId="2AAE0D38"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nedosiahnutie najmenej EASI-75 v týždni 24,</w:t>
            </w:r>
          </w:p>
          <w:p w14:paraId="723DF695"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v prípade výskytu nezvládnuteľných nežiaducich účinkov,</w:t>
            </w:r>
          </w:p>
          <w:p w14:paraId="4E2998C8"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pri nedostatočnej adherencii na terapiu,</w:t>
            </w:r>
          </w:p>
          <w:p w14:paraId="2CD704CD"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pri poklese účinnosti pod EASI-50 pri dvoch po sebe nasledujúcich kontrolách.</w:t>
            </w:r>
          </w:p>
          <w:p w14:paraId="4FE005A3" w14:textId="77777777" w:rsidR="007C56CA" w:rsidRPr="007C56CA" w:rsidRDefault="007C56CA" w:rsidP="007C56CA">
            <w:pPr>
              <w:tabs>
                <w:tab w:val="left" w:pos="3160"/>
                <w:tab w:val="left" w:pos="3720"/>
              </w:tabs>
              <w:rPr>
                <w:rFonts w:ascii="Arial" w:hAnsi="Arial" w:cs="Arial"/>
                <w:bCs/>
                <w:sz w:val="20"/>
                <w:szCs w:val="20"/>
              </w:rPr>
            </w:pPr>
          </w:p>
          <w:p w14:paraId="60451DE6"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5698D8AB" w14:textId="77777777" w:rsidR="007C56CA" w:rsidRPr="007C56CA" w:rsidRDefault="007C56CA" w:rsidP="007C56CA">
            <w:pPr>
              <w:tabs>
                <w:tab w:val="left" w:pos="3160"/>
                <w:tab w:val="left" w:pos="3720"/>
              </w:tabs>
              <w:rPr>
                <w:rFonts w:ascii="Arial" w:hAnsi="Arial" w:cs="Arial"/>
                <w:bCs/>
                <w:sz w:val="20"/>
                <w:szCs w:val="20"/>
              </w:rPr>
            </w:pPr>
          </w:p>
          <w:p w14:paraId="40BD0957"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d) gastroenterológ:</w:t>
            </w:r>
          </w:p>
          <w:p w14:paraId="2F1C13B1"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1. na liečbu dospelých pacientov so stredne ťažkou až ťažkou aktívnou Crohnovou chorobou, ktorí na biologickú liečbu neodpovedali alebo došlo k strate odpovede alebo ktorí túto liečbu netolerujú alebo je u nich táto liečba kontraindikovaná gastroenterológ na liečbu:</w:t>
            </w:r>
          </w:p>
          <w:p w14:paraId="632C32E8"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2. na liečbu dospelých pacientov so stredne ťažkou až ťažkou aktívnou ulceróznou kolitídou, ktorí na biologickú liečbu neodpovedali alebo došlo k strate odpovede alebo ktorí túto liečbu netolerujú alebo je u nich táto liečba kontraindikovaná.</w:t>
            </w:r>
          </w:p>
          <w:p w14:paraId="31A9E4AB"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v Gastroenterologickej ambulancii Nemocnice Poprad a.s., v Gastroenterologickej ambulancii ENDOMED s.r.o. Košice, na Gastroenterologickom pracovisku v Nemocnici BORY, a.s., Bratislava, na Gastroenterologickom oddelení, Interná klinika, Fakultná nemocnica Nitra, v Gastroenterologickej ambulancii PAV-MED s.r.o. Košice a v Gastrocentre Nemocnice AGEL Košice-Šaca.</w:t>
            </w:r>
          </w:p>
          <w:p w14:paraId="35CE288F"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6317701F" w14:textId="746CD013" w:rsidR="007C56CA" w:rsidRPr="007C56CA" w:rsidRDefault="007C56CA" w:rsidP="003E58C2">
            <w:pPr>
              <w:tabs>
                <w:tab w:val="left" w:pos="3160"/>
                <w:tab w:val="left" w:pos="3720"/>
              </w:tabs>
              <w:rPr>
                <w:rFonts w:ascii="Arial" w:hAnsi="Arial" w:cs="Arial"/>
                <w:bCs/>
                <w:sz w:val="20"/>
                <w:szCs w:val="20"/>
              </w:rPr>
            </w:pPr>
          </w:p>
        </w:tc>
      </w:tr>
      <w:tr w:rsidR="00E03A89" w:rsidRPr="0000591E" w14:paraId="1964BE53" w14:textId="77777777" w:rsidTr="00670FEC">
        <w:trPr>
          <w:trHeight w:val="20"/>
        </w:trPr>
        <w:tc>
          <w:tcPr>
            <w:tcW w:w="1277" w:type="dxa"/>
            <w:tcBorders>
              <w:top w:val="nil"/>
              <w:bottom w:val="single" w:sz="4" w:space="0" w:color="auto"/>
            </w:tcBorders>
            <w:noWrap/>
          </w:tcPr>
          <w:p w14:paraId="1EE894B7" w14:textId="77777777" w:rsidR="00E03A89" w:rsidRDefault="00E03A89" w:rsidP="0034061E">
            <w:pPr>
              <w:rPr>
                <w:rFonts w:ascii="Arial" w:hAnsi="Arial" w:cs="Arial"/>
                <w:b/>
                <w:bCs/>
                <w:sz w:val="20"/>
                <w:szCs w:val="20"/>
              </w:rPr>
            </w:pPr>
          </w:p>
          <w:p w14:paraId="3F08B0E1" w14:textId="4D24FC1C" w:rsidR="00E03A89" w:rsidRPr="00737001" w:rsidRDefault="00E03A89" w:rsidP="0034061E">
            <w:pPr>
              <w:rPr>
                <w:rFonts w:ascii="Arial" w:hAnsi="Arial" w:cs="Arial"/>
                <w:b/>
                <w:bCs/>
                <w:sz w:val="20"/>
                <w:szCs w:val="20"/>
              </w:rPr>
            </w:pPr>
            <w:r w:rsidRPr="00E03A89">
              <w:rPr>
                <w:rFonts w:ascii="Arial" w:hAnsi="Arial" w:cs="Arial"/>
                <w:b/>
                <w:bCs/>
                <w:sz w:val="20"/>
                <w:szCs w:val="20"/>
              </w:rPr>
              <w:t>L04AA45</w:t>
            </w:r>
          </w:p>
        </w:tc>
        <w:tc>
          <w:tcPr>
            <w:tcW w:w="9355" w:type="dxa"/>
            <w:tcBorders>
              <w:top w:val="nil"/>
              <w:bottom w:val="single" w:sz="4" w:space="0" w:color="auto"/>
            </w:tcBorders>
          </w:tcPr>
          <w:p w14:paraId="479A3232" w14:textId="77777777" w:rsidR="00E03A89" w:rsidRPr="00E03A89" w:rsidRDefault="00E03A89" w:rsidP="00E03A89">
            <w:pPr>
              <w:tabs>
                <w:tab w:val="left" w:pos="3160"/>
                <w:tab w:val="left" w:pos="3720"/>
              </w:tabs>
              <w:rPr>
                <w:rFonts w:ascii="Arial" w:hAnsi="Arial" w:cs="Arial"/>
                <w:b/>
                <w:bCs/>
                <w:sz w:val="20"/>
                <w:szCs w:val="20"/>
              </w:rPr>
            </w:pPr>
            <w:r w:rsidRPr="00E03A89">
              <w:rPr>
                <w:rFonts w:ascii="Arial" w:hAnsi="Arial" w:cs="Arial"/>
                <w:b/>
                <w:bCs/>
                <w:sz w:val="20"/>
                <w:szCs w:val="20"/>
              </w:rPr>
              <w:t>Filgotinib p.o. 100 mg</w:t>
            </w:r>
          </w:p>
          <w:p w14:paraId="4B766DF2" w14:textId="01847C50" w:rsidR="00E03A89" w:rsidRPr="00737001" w:rsidRDefault="00E03A89" w:rsidP="00E03A89">
            <w:pPr>
              <w:tabs>
                <w:tab w:val="left" w:pos="3160"/>
                <w:tab w:val="left" w:pos="3720"/>
              </w:tabs>
              <w:rPr>
                <w:rFonts w:ascii="Arial" w:hAnsi="Arial" w:cs="Arial"/>
                <w:b/>
                <w:bCs/>
                <w:sz w:val="20"/>
                <w:szCs w:val="20"/>
              </w:rPr>
            </w:pPr>
            <w:r w:rsidRPr="00E03A89">
              <w:rPr>
                <w:rFonts w:ascii="Arial" w:hAnsi="Arial" w:cs="Arial"/>
                <w:b/>
                <w:bCs/>
                <w:sz w:val="20"/>
                <w:szCs w:val="20"/>
              </w:rPr>
              <w:t>Filgotinib p.o. 200 mg</w:t>
            </w:r>
          </w:p>
        </w:tc>
      </w:tr>
      <w:tr w:rsidR="00E03A89" w:rsidRPr="0000591E" w14:paraId="6E4F522C" w14:textId="77777777" w:rsidTr="00670FEC">
        <w:trPr>
          <w:trHeight w:val="20"/>
        </w:trPr>
        <w:tc>
          <w:tcPr>
            <w:tcW w:w="1277" w:type="dxa"/>
            <w:tcBorders>
              <w:top w:val="single" w:sz="4" w:space="0" w:color="auto"/>
              <w:bottom w:val="nil"/>
            </w:tcBorders>
            <w:noWrap/>
          </w:tcPr>
          <w:p w14:paraId="25E6784A" w14:textId="77777777" w:rsidR="00E03A89" w:rsidRPr="00737001" w:rsidRDefault="00E03A89" w:rsidP="0034061E">
            <w:pPr>
              <w:rPr>
                <w:rFonts w:ascii="Arial" w:hAnsi="Arial" w:cs="Arial"/>
                <w:b/>
                <w:bCs/>
                <w:sz w:val="20"/>
                <w:szCs w:val="20"/>
              </w:rPr>
            </w:pPr>
          </w:p>
        </w:tc>
        <w:tc>
          <w:tcPr>
            <w:tcW w:w="9355" w:type="dxa"/>
            <w:tcBorders>
              <w:top w:val="single" w:sz="4" w:space="0" w:color="auto"/>
              <w:bottom w:val="nil"/>
            </w:tcBorders>
          </w:tcPr>
          <w:p w14:paraId="1CA80F90" w14:textId="77777777" w:rsidR="00E03A89" w:rsidRPr="00E03A89" w:rsidRDefault="00E03A89" w:rsidP="00E03A89">
            <w:pPr>
              <w:tabs>
                <w:tab w:val="left" w:pos="3160"/>
                <w:tab w:val="left" w:pos="3720"/>
              </w:tabs>
              <w:rPr>
                <w:rFonts w:ascii="Arial" w:hAnsi="Arial" w:cs="Arial"/>
                <w:bCs/>
                <w:sz w:val="20"/>
                <w:szCs w:val="20"/>
              </w:rPr>
            </w:pPr>
            <w:r w:rsidRPr="00E03A89">
              <w:rPr>
                <w:rFonts w:ascii="Arial" w:hAnsi="Arial" w:cs="Arial"/>
                <w:bCs/>
                <w:sz w:val="20"/>
                <w:szCs w:val="20"/>
              </w:rPr>
              <w:t xml:space="preserve">Hradenú liečbu môže indikovať </w:t>
            </w:r>
          </w:p>
          <w:p w14:paraId="7669D310" w14:textId="381A9C43" w:rsidR="00E03A89" w:rsidRDefault="00E03A89" w:rsidP="00651558">
            <w:pPr>
              <w:tabs>
                <w:tab w:val="left" w:pos="3160"/>
                <w:tab w:val="left" w:pos="3720"/>
              </w:tabs>
              <w:jc w:val="both"/>
              <w:rPr>
                <w:rFonts w:ascii="Arial" w:hAnsi="Arial" w:cs="Arial"/>
                <w:bCs/>
                <w:sz w:val="20"/>
                <w:szCs w:val="20"/>
              </w:rPr>
            </w:pPr>
            <w:r w:rsidRPr="00E03A89">
              <w:rPr>
                <w:rFonts w:ascii="Arial" w:hAnsi="Arial" w:cs="Arial"/>
                <w:bCs/>
                <w:sz w:val="20"/>
                <w:szCs w:val="20"/>
              </w:rPr>
              <w:t>a) reumatológ na liečbu stredne ťažkej až ťažkej aktívnej reumatoidnej artritídy u dospelých pacientov, u ktorých iná liečba nebola dostatočne účinná alebo majú kontraindikácie alebo intoleranciu k inej systémovej liečbe účinnými látkami skupín anti-TNF alfa alebo inhibítormi interleukínov. Filgotinib sa môže používať v monoterapii alebo v kombinácii s metotrexátom.</w:t>
            </w:r>
          </w:p>
          <w:p w14:paraId="6FE985E9" w14:textId="77777777" w:rsidR="00ED5FC7" w:rsidRPr="00E03A89" w:rsidRDefault="00ED5FC7" w:rsidP="00651558">
            <w:pPr>
              <w:tabs>
                <w:tab w:val="left" w:pos="3160"/>
                <w:tab w:val="left" w:pos="3720"/>
              </w:tabs>
              <w:jc w:val="both"/>
              <w:rPr>
                <w:rFonts w:ascii="Arial" w:hAnsi="Arial" w:cs="Arial"/>
                <w:bCs/>
                <w:sz w:val="20"/>
                <w:szCs w:val="20"/>
              </w:rPr>
            </w:pPr>
          </w:p>
          <w:p w14:paraId="54D2FF27" w14:textId="77777777" w:rsidR="00E03A89" w:rsidRPr="00E03A89" w:rsidRDefault="00E03A89" w:rsidP="00E03A89">
            <w:pPr>
              <w:tabs>
                <w:tab w:val="left" w:pos="3160"/>
                <w:tab w:val="left" w:pos="3720"/>
              </w:tabs>
              <w:rPr>
                <w:rFonts w:ascii="Arial" w:hAnsi="Arial" w:cs="Arial"/>
                <w:bCs/>
                <w:sz w:val="20"/>
                <w:szCs w:val="20"/>
              </w:rPr>
            </w:pPr>
            <w:r w:rsidRPr="00E03A89">
              <w:rPr>
                <w:rFonts w:ascii="Arial" w:hAnsi="Arial" w:cs="Arial"/>
                <w:bCs/>
                <w:sz w:val="20"/>
                <w:szCs w:val="20"/>
              </w:rPr>
              <w:t xml:space="preserve">Hradená liečba podlieha predchádzajúcemu súhlasu zdravotnej poisťovne. </w:t>
            </w:r>
          </w:p>
          <w:p w14:paraId="3D935C33" w14:textId="77777777" w:rsidR="00E03A89" w:rsidRPr="00E03A89" w:rsidRDefault="00E03A89" w:rsidP="00E03A89">
            <w:pPr>
              <w:tabs>
                <w:tab w:val="left" w:pos="3160"/>
                <w:tab w:val="left" w:pos="3720"/>
              </w:tabs>
              <w:rPr>
                <w:rFonts w:ascii="Arial" w:hAnsi="Arial" w:cs="Arial"/>
                <w:bCs/>
                <w:sz w:val="20"/>
                <w:szCs w:val="20"/>
              </w:rPr>
            </w:pPr>
          </w:p>
          <w:p w14:paraId="5944F2FB" w14:textId="77777777" w:rsidR="00E03A89" w:rsidRPr="00E03A89" w:rsidRDefault="00E03A89" w:rsidP="00651558">
            <w:pPr>
              <w:tabs>
                <w:tab w:val="left" w:pos="3160"/>
                <w:tab w:val="left" w:pos="3720"/>
              </w:tabs>
              <w:jc w:val="both"/>
              <w:rPr>
                <w:rFonts w:ascii="Arial" w:hAnsi="Arial" w:cs="Arial"/>
                <w:bCs/>
                <w:sz w:val="20"/>
                <w:szCs w:val="20"/>
              </w:rPr>
            </w:pPr>
            <w:r w:rsidRPr="00E03A89">
              <w:rPr>
                <w:rFonts w:ascii="Arial" w:hAnsi="Arial" w:cs="Arial"/>
                <w:bCs/>
                <w:sz w:val="20"/>
                <w:szCs w:val="20"/>
              </w:rPr>
              <w:t>b) gastroenterológ na liečbu dospelých pacientov so stredne ťažkou až ťažkou aktívnou ulceróznou kolitídou u pacientov, ktorí nedostatočne odpovedali, prestali odpovedať alebo netolerovali biologický liek. 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20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Gastrocentre Nemocnice AGEL Košice-Šaca</w:t>
            </w:r>
          </w:p>
          <w:p w14:paraId="09BB881C" w14:textId="77777777" w:rsidR="00E03A89" w:rsidRPr="00E03A89" w:rsidRDefault="00E03A89" w:rsidP="00E03A89">
            <w:pPr>
              <w:tabs>
                <w:tab w:val="left" w:pos="3160"/>
                <w:tab w:val="left" w:pos="3720"/>
              </w:tabs>
              <w:rPr>
                <w:rFonts w:ascii="Arial" w:hAnsi="Arial" w:cs="Arial"/>
                <w:bCs/>
                <w:sz w:val="20"/>
                <w:szCs w:val="20"/>
              </w:rPr>
            </w:pPr>
            <w:r w:rsidRPr="00E03A89">
              <w:rPr>
                <w:rFonts w:ascii="Arial" w:hAnsi="Arial" w:cs="Arial"/>
                <w:bCs/>
                <w:sz w:val="20"/>
                <w:szCs w:val="20"/>
              </w:rPr>
              <w:t>Hradená liečba podlieha predchádzajúcemu súhlasu zdravotnej poisťovne</w:t>
            </w:r>
          </w:p>
          <w:p w14:paraId="15A17698" w14:textId="77777777" w:rsidR="00E03A89" w:rsidRPr="00E03A89" w:rsidRDefault="00E03A89" w:rsidP="003E58C2">
            <w:pPr>
              <w:tabs>
                <w:tab w:val="left" w:pos="3160"/>
                <w:tab w:val="left" w:pos="3720"/>
              </w:tabs>
              <w:rPr>
                <w:rFonts w:ascii="Arial" w:hAnsi="Arial" w:cs="Arial"/>
                <w:bCs/>
                <w:sz w:val="20"/>
                <w:szCs w:val="20"/>
              </w:rPr>
            </w:pPr>
          </w:p>
        </w:tc>
      </w:tr>
      <w:tr w:rsidR="00737001" w:rsidRPr="0000591E" w14:paraId="123D3507" w14:textId="77777777" w:rsidTr="00670FEC">
        <w:trPr>
          <w:trHeight w:val="20"/>
        </w:trPr>
        <w:tc>
          <w:tcPr>
            <w:tcW w:w="1277" w:type="dxa"/>
            <w:tcBorders>
              <w:top w:val="nil"/>
              <w:bottom w:val="single" w:sz="4" w:space="0" w:color="auto"/>
            </w:tcBorders>
            <w:noWrap/>
          </w:tcPr>
          <w:p w14:paraId="08E45801" w14:textId="77777777" w:rsidR="00737001" w:rsidRPr="00E6635D" w:rsidRDefault="00737001" w:rsidP="0034061E">
            <w:pPr>
              <w:rPr>
                <w:rFonts w:ascii="Arial" w:hAnsi="Arial" w:cs="Arial"/>
                <w:b/>
                <w:bCs/>
                <w:sz w:val="20"/>
                <w:szCs w:val="20"/>
              </w:rPr>
            </w:pPr>
            <w:r w:rsidRPr="00737001">
              <w:rPr>
                <w:rFonts w:ascii="Arial" w:hAnsi="Arial" w:cs="Arial"/>
                <w:b/>
                <w:bCs/>
                <w:sz w:val="20"/>
                <w:szCs w:val="20"/>
              </w:rPr>
              <w:t>L04AA51</w:t>
            </w:r>
          </w:p>
        </w:tc>
        <w:tc>
          <w:tcPr>
            <w:tcW w:w="9355" w:type="dxa"/>
            <w:tcBorders>
              <w:top w:val="nil"/>
              <w:bottom w:val="single" w:sz="4" w:space="0" w:color="auto"/>
            </w:tcBorders>
          </w:tcPr>
          <w:p w14:paraId="3B10E565" w14:textId="23138777" w:rsidR="00737001" w:rsidRPr="00E6635D" w:rsidRDefault="00737001" w:rsidP="003E58C2">
            <w:pPr>
              <w:tabs>
                <w:tab w:val="left" w:pos="3160"/>
                <w:tab w:val="left" w:pos="3720"/>
              </w:tabs>
              <w:rPr>
                <w:rFonts w:ascii="Arial" w:hAnsi="Arial" w:cs="Arial"/>
                <w:b/>
                <w:bCs/>
                <w:sz w:val="20"/>
                <w:szCs w:val="20"/>
              </w:rPr>
            </w:pPr>
            <w:r w:rsidRPr="00737001">
              <w:rPr>
                <w:rFonts w:ascii="Arial" w:hAnsi="Arial" w:cs="Arial"/>
                <w:b/>
                <w:bCs/>
                <w:sz w:val="20"/>
                <w:szCs w:val="20"/>
              </w:rPr>
              <w:t>Anifrolumab</w:t>
            </w:r>
            <w:r>
              <w:rPr>
                <w:rFonts w:ascii="Arial" w:hAnsi="Arial" w:cs="Arial"/>
                <w:b/>
                <w:bCs/>
                <w:sz w:val="20"/>
                <w:szCs w:val="20"/>
              </w:rPr>
              <w:t xml:space="preserve"> </w:t>
            </w:r>
            <w:r w:rsidRPr="00737001">
              <w:rPr>
                <w:rFonts w:ascii="Arial" w:hAnsi="Arial" w:cs="Arial"/>
                <w:b/>
                <w:bCs/>
                <w:sz w:val="20"/>
                <w:szCs w:val="20"/>
              </w:rPr>
              <w:t>parent. 300 mg</w:t>
            </w:r>
            <w:r w:rsidR="00295160">
              <w:rPr>
                <w:rFonts w:ascii="Arial" w:hAnsi="Arial" w:cs="Arial"/>
                <w:b/>
                <w:bCs/>
                <w:sz w:val="20"/>
                <w:szCs w:val="20"/>
              </w:rPr>
              <w:tab/>
            </w:r>
            <w:r w:rsidR="003E58C2">
              <w:rPr>
                <w:rFonts w:ascii="Arial" w:hAnsi="Arial" w:cs="Arial"/>
                <w:b/>
                <w:bCs/>
                <w:sz w:val="20"/>
                <w:szCs w:val="20"/>
              </w:rPr>
              <w:tab/>
            </w:r>
          </w:p>
        </w:tc>
      </w:tr>
      <w:tr w:rsidR="00737001" w:rsidRPr="0000591E" w14:paraId="448E0A1F" w14:textId="77777777" w:rsidTr="00670FEC">
        <w:trPr>
          <w:trHeight w:val="20"/>
        </w:trPr>
        <w:tc>
          <w:tcPr>
            <w:tcW w:w="1277" w:type="dxa"/>
            <w:tcBorders>
              <w:bottom w:val="nil"/>
            </w:tcBorders>
            <w:noWrap/>
          </w:tcPr>
          <w:p w14:paraId="5127FF25" w14:textId="77777777" w:rsidR="00737001" w:rsidRPr="00E6635D" w:rsidRDefault="00737001" w:rsidP="0034061E">
            <w:pPr>
              <w:rPr>
                <w:rFonts w:ascii="Arial" w:hAnsi="Arial" w:cs="Arial"/>
                <w:b/>
                <w:bCs/>
                <w:sz w:val="20"/>
                <w:szCs w:val="20"/>
              </w:rPr>
            </w:pPr>
          </w:p>
        </w:tc>
        <w:tc>
          <w:tcPr>
            <w:tcW w:w="9355" w:type="dxa"/>
            <w:tcBorders>
              <w:bottom w:val="nil"/>
            </w:tcBorders>
          </w:tcPr>
          <w:p w14:paraId="067411BA" w14:textId="458F978F" w:rsidR="00737001" w:rsidRDefault="00737001" w:rsidP="00737001">
            <w:pPr>
              <w:jc w:val="both"/>
              <w:rPr>
                <w:rFonts w:ascii="Arial" w:hAnsi="Arial" w:cs="Arial"/>
                <w:bCs/>
                <w:sz w:val="20"/>
                <w:szCs w:val="20"/>
              </w:rPr>
            </w:pPr>
            <w:r w:rsidRPr="00737001">
              <w:rPr>
                <w:rFonts w:ascii="Arial" w:hAnsi="Arial" w:cs="Arial"/>
                <w:bCs/>
                <w:sz w:val="20"/>
                <w:szCs w:val="20"/>
              </w:rPr>
              <w:t>Hradenú liečbu môže indikovať reumatológ ako prídavnú liečbu u dospelých pacientov s aktívnym systémovým lupus erythematozus, ktorí majú pozitivitu autoprotilátok a vysoký stupeň aktivity ochorenia (napr. pozitivitu anti-dsDNA a nízke hladiny komplementu), napriek štandardnej liečbe.</w:t>
            </w:r>
          </w:p>
          <w:p w14:paraId="30B61C32" w14:textId="77777777" w:rsidR="00ED5FC7" w:rsidRPr="00737001" w:rsidRDefault="00ED5FC7" w:rsidP="00737001">
            <w:pPr>
              <w:jc w:val="both"/>
              <w:rPr>
                <w:rFonts w:ascii="Arial" w:hAnsi="Arial" w:cs="Arial"/>
                <w:bCs/>
                <w:sz w:val="20"/>
                <w:szCs w:val="20"/>
              </w:rPr>
            </w:pPr>
          </w:p>
          <w:p w14:paraId="2DD8B389" w14:textId="77777777" w:rsidR="00737001" w:rsidRPr="00737001" w:rsidRDefault="00737001" w:rsidP="00737001">
            <w:pPr>
              <w:jc w:val="both"/>
              <w:rPr>
                <w:rFonts w:ascii="Arial" w:hAnsi="Arial" w:cs="Arial"/>
                <w:bCs/>
                <w:sz w:val="20"/>
                <w:szCs w:val="20"/>
              </w:rPr>
            </w:pPr>
            <w:r w:rsidRPr="00737001">
              <w:rPr>
                <w:rFonts w:ascii="Arial" w:hAnsi="Arial" w:cs="Arial"/>
                <w:bCs/>
                <w:sz w:val="20"/>
                <w:szCs w:val="20"/>
              </w:rPr>
              <w:t>Hradená liečba podlieha predchádzajúcemu súhlasu zdravotnej poisťovne.</w:t>
            </w:r>
          </w:p>
          <w:p w14:paraId="489FF98C" w14:textId="77777777" w:rsidR="00ED5FC7" w:rsidRDefault="00ED5FC7" w:rsidP="00737001">
            <w:pPr>
              <w:jc w:val="both"/>
              <w:rPr>
                <w:rFonts w:ascii="Arial" w:hAnsi="Arial" w:cs="Arial"/>
                <w:bCs/>
                <w:sz w:val="20"/>
                <w:szCs w:val="20"/>
              </w:rPr>
            </w:pPr>
          </w:p>
          <w:p w14:paraId="64540A65" w14:textId="77777777" w:rsidR="00737001" w:rsidRDefault="00737001" w:rsidP="00F2134B">
            <w:pPr>
              <w:jc w:val="both"/>
              <w:rPr>
                <w:rFonts w:ascii="Arial" w:hAnsi="Arial" w:cs="Arial"/>
                <w:bCs/>
                <w:sz w:val="20"/>
                <w:szCs w:val="20"/>
              </w:rPr>
            </w:pPr>
            <w:r w:rsidRPr="00737001">
              <w:rPr>
                <w:rFonts w:ascii="Arial" w:hAnsi="Arial" w:cs="Arial"/>
                <w:bCs/>
                <w:sz w:val="20"/>
                <w:szCs w:val="20"/>
              </w:rPr>
              <w:t>Ďalšia liečba nie je hradenou liečbou, ak sa po šiestich mesiacoch liečby nepreukáže liečebný účinok podávania lieku (podľa stupnice ECLAM).</w:t>
            </w:r>
          </w:p>
          <w:p w14:paraId="6FD11E8D" w14:textId="6CA67FBA" w:rsidR="001A3270" w:rsidRPr="00E6635D" w:rsidRDefault="001A3270" w:rsidP="00F2134B">
            <w:pPr>
              <w:jc w:val="both"/>
              <w:rPr>
                <w:rFonts w:ascii="Arial" w:hAnsi="Arial" w:cs="Arial"/>
                <w:b/>
                <w:bCs/>
                <w:sz w:val="20"/>
                <w:szCs w:val="20"/>
              </w:rPr>
            </w:pPr>
          </w:p>
        </w:tc>
      </w:tr>
      <w:tr w:rsidR="00ED5FC7" w:rsidRPr="0000591E" w14:paraId="14B487D9" w14:textId="77777777" w:rsidTr="00670FEC">
        <w:trPr>
          <w:trHeight w:val="20"/>
        </w:trPr>
        <w:tc>
          <w:tcPr>
            <w:tcW w:w="1277" w:type="dxa"/>
            <w:tcBorders>
              <w:top w:val="nil"/>
              <w:bottom w:val="single" w:sz="4" w:space="0" w:color="auto"/>
            </w:tcBorders>
            <w:noWrap/>
          </w:tcPr>
          <w:p w14:paraId="775B63D0" w14:textId="4C881904" w:rsidR="00ED5FC7" w:rsidRPr="00E6635D" w:rsidRDefault="00ED5FC7" w:rsidP="0034061E">
            <w:pPr>
              <w:rPr>
                <w:rFonts w:ascii="Arial" w:hAnsi="Arial" w:cs="Arial"/>
                <w:b/>
                <w:bCs/>
                <w:sz w:val="20"/>
                <w:szCs w:val="20"/>
              </w:rPr>
            </w:pPr>
            <w:r w:rsidRPr="00ED5FC7">
              <w:rPr>
                <w:rFonts w:ascii="Arial" w:hAnsi="Arial" w:cs="Arial"/>
                <w:b/>
                <w:bCs/>
                <w:sz w:val="20"/>
                <w:szCs w:val="20"/>
              </w:rPr>
              <w:t>L04AA54</w:t>
            </w:r>
          </w:p>
        </w:tc>
        <w:tc>
          <w:tcPr>
            <w:tcW w:w="9355" w:type="dxa"/>
            <w:tcBorders>
              <w:top w:val="nil"/>
              <w:bottom w:val="single" w:sz="4" w:space="0" w:color="auto"/>
            </w:tcBorders>
          </w:tcPr>
          <w:p w14:paraId="08112491" w14:textId="4EE7A6D8" w:rsidR="00ED5FC7" w:rsidRPr="00E6635D" w:rsidRDefault="00ED5FC7" w:rsidP="00806651">
            <w:pPr>
              <w:rPr>
                <w:rFonts w:ascii="Arial" w:hAnsi="Arial" w:cs="Arial"/>
                <w:b/>
                <w:bCs/>
                <w:sz w:val="20"/>
                <w:szCs w:val="20"/>
              </w:rPr>
            </w:pPr>
            <w:r w:rsidRPr="00ED5FC7">
              <w:rPr>
                <w:rFonts w:ascii="Arial" w:hAnsi="Arial" w:cs="Arial"/>
                <w:b/>
                <w:bCs/>
                <w:sz w:val="20"/>
                <w:szCs w:val="20"/>
              </w:rPr>
              <w:t>Pegcetakoplan s.c. 1080 mg</w:t>
            </w:r>
          </w:p>
        </w:tc>
      </w:tr>
      <w:tr w:rsidR="00ED5FC7" w:rsidRPr="0000591E" w14:paraId="59941983" w14:textId="77777777" w:rsidTr="00670FEC">
        <w:trPr>
          <w:trHeight w:val="20"/>
        </w:trPr>
        <w:tc>
          <w:tcPr>
            <w:tcW w:w="1277" w:type="dxa"/>
            <w:tcBorders>
              <w:bottom w:val="single" w:sz="4" w:space="0" w:color="auto"/>
            </w:tcBorders>
            <w:noWrap/>
          </w:tcPr>
          <w:p w14:paraId="2C1FBD99" w14:textId="77777777" w:rsidR="00ED5FC7" w:rsidRPr="00E6635D" w:rsidRDefault="00ED5FC7" w:rsidP="0034061E">
            <w:pPr>
              <w:rPr>
                <w:rFonts w:ascii="Arial" w:hAnsi="Arial" w:cs="Arial"/>
                <w:b/>
                <w:bCs/>
                <w:sz w:val="20"/>
                <w:szCs w:val="20"/>
              </w:rPr>
            </w:pPr>
          </w:p>
        </w:tc>
        <w:tc>
          <w:tcPr>
            <w:tcW w:w="9355" w:type="dxa"/>
            <w:tcBorders>
              <w:bottom w:val="single" w:sz="4" w:space="0" w:color="auto"/>
            </w:tcBorders>
          </w:tcPr>
          <w:p w14:paraId="60DF0D98"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Hradená liečba sa môže indikovať dospelým pacientom s paroxyzmálnou nočnou hemoglobinúriou (PNH), u ktorých bola hodnota hemoglobínu ˂ 10,5 g/dl aj po minimálne 3 mesiace trvajúcej liečbe inhibítorom C5. </w:t>
            </w:r>
          </w:p>
          <w:p w14:paraId="63F78EBB" w14:textId="77777777" w:rsidR="00ED5FC7" w:rsidRDefault="00ED5FC7" w:rsidP="00ED5FC7">
            <w:pPr>
              <w:rPr>
                <w:rFonts w:ascii="Arial" w:hAnsi="Arial" w:cs="Arial"/>
                <w:bCs/>
                <w:sz w:val="20"/>
                <w:szCs w:val="20"/>
              </w:rPr>
            </w:pPr>
            <w:r w:rsidRPr="00ED5FC7">
              <w:rPr>
                <w:rFonts w:ascii="Arial" w:hAnsi="Arial" w:cs="Arial"/>
                <w:bCs/>
                <w:sz w:val="20"/>
                <w:szCs w:val="20"/>
              </w:rPr>
              <w:t>Hradená liečba podlieha predchádzajúcemu súhlasu zdravotnej poisťovne.</w:t>
            </w:r>
          </w:p>
          <w:p w14:paraId="58B958E4" w14:textId="68196D2A" w:rsidR="001A3270" w:rsidRPr="00ED5FC7" w:rsidRDefault="001A3270" w:rsidP="00ED5FC7">
            <w:pPr>
              <w:rPr>
                <w:rFonts w:ascii="Arial" w:hAnsi="Arial" w:cs="Arial"/>
                <w:bCs/>
                <w:sz w:val="20"/>
                <w:szCs w:val="20"/>
              </w:rPr>
            </w:pPr>
          </w:p>
        </w:tc>
      </w:tr>
      <w:tr w:rsidR="00ED5FC7" w:rsidRPr="0000591E" w14:paraId="37E453A3" w14:textId="77777777" w:rsidTr="00670FEC">
        <w:trPr>
          <w:trHeight w:val="20"/>
        </w:trPr>
        <w:tc>
          <w:tcPr>
            <w:tcW w:w="1277" w:type="dxa"/>
            <w:tcBorders>
              <w:bottom w:val="single" w:sz="4" w:space="0" w:color="auto"/>
            </w:tcBorders>
            <w:noWrap/>
          </w:tcPr>
          <w:p w14:paraId="55373498" w14:textId="69EAC327" w:rsidR="00ED5FC7" w:rsidRPr="00E6635D" w:rsidRDefault="00ED5FC7" w:rsidP="0034061E">
            <w:pPr>
              <w:rPr>
                <w:rFonts w:ascii="Arial" w:hAnsi="Arial" w:cs="Arial"/>
                <w:b/>
                <w:bCs/>
                <w:sz w:val="20"/>
                <w:szCs w:val="20"/>
              </w:rPr>
            </w:pPr>
            <w:r w:rsidRPr="00ED5FC7">
              <w:rPr>
                <w:rFonts w:ascii="Arial" w:hAnsi="Arial" w:cs="Arial"/>
                <w:b/>
                <w:bCs/>
                <w:sz w:val="20"/>
                <w:szCs w:val="20"/>
              </w:rPr>
              <w:t>L04AA58</w:t>
            </w:r>
          </w:p>
        </w:tc>
        <w:tc>
          <w:tcPr>
            <w:tcW w:w="9355" w:type="dxa"/>
            <w:tcBorders>
              <w:bottom w:val="single" w:sz="4" w:space="0" w:color="auto"/>
            </w:tcBorders>
          </w:tcPr>
          <w:p w14:paraId="41E98D73" w14:textId="54ECE69D" w:rsidR="00ED5FC7" w:rsidRPr="00E6635D" w:rsidRDefault="00ED5FC7" w:rsidP="00806651">
            <w:pPr>
              <w:rPr>
                <w:rFonts w:ascii="Arial" w:hAnsi="Arial" w:cs="Arial"/>
                <w:b/>
                <w:bCs/>
                <w:sz w:val="20"/>
                <w:szCs w:val="20"/>
              </w:rPr>
            </w:pPr>
            <w:r w:rsidRPr="00ED5FC7">
              <w:rPr>
                <w:rFonts w:ascii="Arial" w:hAnsi="Arial" w:cs="Arial"/>
                <w:b/>
                <w:bCs/>
                <w:sz w:val="20"/>
                <w:szCs w:val="20"/>
              </w:rPr>
              <w:t>Efgartigimod alfa parent. 20 mg/ml</w:t>
            </w:r>
          </w:p>
        </w:tc>
      </w:tr>
      <w:tr w:rsidR="00ED5FC7" w:rsidRPr="0000591E" w14:paraId="22F99915" w14:textId="77777777" w:rsidTr="00670FEC">
        <w:trPr>
          <w:trHeight w:val="20"/>
        </w:trPr>
        <w:tc>
          <w:tcPr>
            <w:tcW w:w="1277" w:type="dxa"/>
            <w:tcBorders>
              <w:top w:val="single" w:sz="4" w:space="0" w:color="auto"/>
              <w:bottom w:val="nil"/>
            </w:tcBorders>
            <w:noWrap/>
          </w:tcPr>
          <w:p w14:paraId="7926A517" w14:textId="77777777" w:rsidR="00ED5FC7" w:rsidRPr="00E6635D" w:rsidRDefault="00ED5FC7" w:rsidP="0034061E">
            <w:pPr>
              <w:rPr>
                <w:rFonts w:ascii="Arial" w:hAnsi="Arial" w:cs="Arial"/>
                <w:b/>
                <w:bCs/>
                <w:sz w:val="20"/>
                <w:szCs w:val="20"/>
              </w:rPr>
            </w:pPr>
          </w:p>
        </w:tc>
        <w:tc>
          <w:tcPr>
            <w:tcW w:w="9355" w:type="dxa"/>
            <w:tcBorders>
              <w:top w:val="single" w:sz="4" w:space="0" w:color="auto"/>
              <w:bottom w:val="nil"/>
            </w:tcBorders>
          </w:tcPr>
          <w:p w14:paraId="194D1628"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Efgartigimod alfa je hradený pacientom s generalizovanou myasténiou gravis v štádiu MGFA II-IV, s MG-ADL skóre ≥ 5, s pozitívnymi protilátkami proti acetylcholínovému receptoru (AbAChR+), ktorí sú refraktérni na konvenčnú terapiu. Zhodnotenie odpovede na liečbu je vykonané po 6 mesiacoch, kedy pre pokračovanie v liečbe je nutné zníženie MG-ADL skóre o aspoň 2 body alebo viac. Pacienti sú považovaní za refraktérnych na liečbu, ak nedôjde k zlepšeniu symptómov na liečbe:</w:t>
            </w:r>
          </w:p>
          <w:p w14:paraId="3D57B34E"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a) Inhibítormi AChE a kortikosteroidmi a NSI, alebo</w:t>
            </w:r>
          </w:p>
          <w:p w14:paraId="688688B5"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b) Inhibítormi AChE a kortikosteroidmi, ak je liečba NSI netolerovaná/kontraindikovaná, alebo</w:t>
            </w:r>
          </w:p>
          <w:p w14:paraId="0C376BA3"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c) Inhibítormi AChE a NSI, ak je liečba kortikosteroidmi netolerovaná/kontraindikovaná, alebo</w:t>
            </w:r>
          </w:p>
          <w:p w14:paraId="45290490"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d) u ktorých je liečba kortikosteroidmi a NSI netolerovaná/kontraindikovaná.</w:t>
            </w:r>
          </w:p>
          <w:p w14:paraId="51A0D291" w14:textId="77777777" w:rsidR="00ED5FC7" w:rsidRPr="00ED5FC7" w:rsidRDefault="00ED5FC7" w:rsidP="00ED5FC7">
            <w:pPr>
              <w:jc w:val="both"/>
              <w:rPr>
                <w:rFonts w:ascii="Arial" w:hAnsi="Arial" w:cs="Arial"/>
                <w:bCs/>
                <w:sz w:val="20"/>
                <w:szCs w:val="20"/>
              </w:rPr>
            </w:pPr>
          </w:p>
          <w:p w14:paraId="21BADEBE"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Ďalšia liečba nie je hradenou liečbou, ak nastanú dva a viac relapsov vedúcich k hospitalizácii spojenej s podaním záchrannej terapie (IVIG, PLEX) v posledných 12 mesiacov počas liečby efgartigimodom alfa. </w:t>
            </w:r>
          </w:p>
          <w:p w14:paraId="18FFDF3D" w14:textId="77777777" w:rsidR="00ED5FC7" w:rsidRPr="00ED5FC7" w:rsidRDefault="00ED5FC7" w:rsidP="00ED5FC7">
            <w:pPr>
              <w:jc w:val="both"/>
              <w:rPr>
                <w:rFonts w:ascii="Arial" w:hAnsi="Arial" w:cs="Arial"/>
                <w:bCs/>
                <w:sz w:val="20"/>
                <w:szCs w:val="20"/>
              </w:rPr>
            </w:pPr>
          </w:p>
          <w:p w14:paraId="2B23F430"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  a na Neurologickom oddelení Nemocnice AGEL Levoča a.s..</w:t>
            </w:r>
          </w:p>
          <w:p w14:paraId="1D5BA4CA" w14:textId="77777777" w:rsidR="00ED5FC7" w:rsidRPr="00ED5FC7" w:rsidRDefault="00ED5FC7" w:rsidP="00ED5FC7">
            <w:pPr>
              <w:jc w:val="both"/>
              <w:rPr>
                <w:rFonts w:ascii="Arial" w:hAnsi="Arial" w:cs="Arial"/>
                <w:bCs/>
                <w:sz w:val="20"/>
                <w:szCs w:val="20"/>
              </w:rPr>
            </w:pPr>
          </w:p>
          <w:p w14:paraId="602C82D5" w14:textId="77777777" w:rsidR="00ED5FC7" w:rsidRDefault="00ED5FC7" w:rsidP="00ED5FC7">
            <w:pPr>
              <w:rPr>
                <w:rFonts w:ascii="Arial" w:hAnsi="Arial" w:cs="Arial"/>
                <w:bCs/>
                <w:sz w:val="20"/>
                <w:szCs w:val="20"/>
              </w:rPr>
            </w:pPr>
            <w:r w:rsidRPr="00ED5FC7">
              <w:rPr>
                <w:rFonts w:ascii="Arial" w:hAnsi="Arial" w:cs="Arial"/>
                <w:bCs/>
                <w:sz w:val="20"/>
                <w:szCs w:val="20"/>
              </w:rPr>
              <w:t>Hradená liečba podlieha predchádzajúcemu súhlasu zdravotnej poisťovne.</w:t>
            </w:r>
          </w:p>
          <w:p w14:paraId="5A986222" w14:textId="168DFCEB" w:rsidR="00ED5FC7" w:rsidRPr="00ED5FC7" w:rsidRDefault="00ED5FC7" w:rsidP="00ED5FC7">
            <w:pPr>
              <w:rPr>
                <w:rFonts w:ascii="Arial" w:hAnsi="Arial" w:cs="Arial"/>
                <w:bCs/>
                <w:sz w:val="20"/>
                <w:szCs w:val="20"/>
              </w:rPr>
            </w:pPr>
          </w:p>
        </w:tc>
      </w:tr>
      <w:tr w:rsidR="001757EA" w:rsidRPr="0000591E" w14:paraId="6F8F1DC5" w14:textId="77777777" w:rsidTr="00670FEC">
        <w:trPr>
          <w:trHeight w:val="20"/>
        </w:trPr>
        <w:tc>
          <w:tcPr>
            <w:tcW w:w="1277" w:type="dxa"/>
            <w:tcBorders>
              <w:top w:val="nil"/>
              <w:bottom w:val="single" w:sz="4" w:space="0" w:color="auto"/>
            </w:tcBorders>
            <w:noWrap/>
          </w:tcPr>
          <w:p w14:paraId="0AAC5AC1" w14:textId="5E8442E5" w:rsidR="001757EA" w:rsidRPr="00E6635D" w:rsidRDefault="001757EA" w:rsidP="0034061E">
            <w:pPr>
              <w:rPr>
                <w:rFonts w:ascii="Arial" w:hAnsi="Arial" w:cs="Arial"/>
                <w:b/>
                <w:bCs/>
                <w:sz w:val="20"/>
                <w:szCs w:val="20"/>
              </w:rPr>
            </w:pPr>
            <w:r w:rsidRPr="001757EA">
              <w:rPr>
                <w:rFonts w:ascii="Arial" w:hAnsi="Arial" w:cs="Arial"/>
                <w:b/>
                <w:bCs/>
                <w:sz w:val="20"/>
                <w:szCs w:val="20"/>
              </w:rPr>
              <w:t>L04AB01</w:t>
            </w:r>
          </w:p>
        </w:tc>
        <w:tc>
          <w:tcPr>
            <w:tcW w:w="9355" w:type="dxa"/>
            <w:tcBorders>
              <w:top w:val="nil"/>
              <w:bottom w:val="single" w:sz="4" w:space="0" w:color="auto"/>
            </w:tcBorders>
          </w:tcPr>
          <w:p w14:paraId="0053E417" w14:textId="77777777" w:rsidR="001757EA" w:rsidRPr="001757EA" w:rsidRDefault="001757EA" w:rsidP="001757EA">
            <w:pPr>
              <w:tabs>
                <w:tab w:val="left" w:pos="3920"/>
              </w:tabs>
              <w:rPr>
                <w:rFonts w:ascii="Arial" w:hAnsi="Arial" w:cs="Arial"/>
                <w:b/>
                <w:bCs/>
                <w:sz w:val="20"/>
                <w:szCs w:val="20"/>
              </w:rPr>
            </w:pPr>
            <w:r w:rsidRPr="001757EA">
              <w:rPr>
                <w:rFonts w:ascii="Arial" w:hAnsi="Arial" w:cs="Arial"/>
                <w:b/>
                <w:bCs/>
                <w:sz w:val="20"/>
                <w:szCs w:val="20"/>
              </w:rPr>
              <w:t>Etanercept parent. 10 mg</w:t>
            </w:r>
          </w:p>
          <w:p w14:paraId="2D61EC32" w14:textId="77777777" w:rsidR="001757EA" w:rsidRPr="001757EA" w:rsidRDefault="001757EA" w:rsidP="001757EA">
            <w:pPr>
              <w:tabs>
                <w:tab w:val="left" w:pos="3920"/>
              </w:tabs>
              <w:rPr>
                <w:rFonts w:ascii="Arial" w:hAnsi="Arial" w:cs="Arial"/>
                <w:b/>
                <w:bCs/>
                <w:sz w:val="20"/>
                <w:szCs w:val="20"/>
              </w:rPr>
            </w:pPr>
            <w:r w:rsidRPr="001757EA">
              <w:rPr>
                <w:rFonts w:ascii="Arial" w:hAnsi="Arial" w:cs="Arial"/>
                <w:b/>
                <w:bCs/>
                <w:sz w:val="20"/>
                <w:szCs w:val="20"/>
              </w:rPr>
              <w:t>Etanercept parent. 25 mg</w:t>
            </w:r>
          </w:p>
          <w:p w14:paraId="11226526" w14:textId="20AF0997" w:rsidR="001757EA" w:rsidRPr="00E6635D" w:rsidRDefault="001757EA" w:rsidP="001757EA">
            <w:pPr>
              <w:tabs>
                <w:tab w:val="left" w:pos="3920"/>
              </w:tabs>
              <w:rPr>
                <w:rFonts w:ascii="Arial" w:hAnsi="Arial" w:cs="Arial"/>
                <w:b/>
                <w:bCs/>
                <w:sz w:val="20"/>
                <w:szCs w:val="20"/>
              </w:rPr>
            </w:pPr>
            <w:r w:rsidRPr="001757EA">
              <w:rPr>
                <w:rFonts w:ascii="Arial" w:hAnsi="Arial" w:cs="Arial"/>
                <w:b/>
                <w:bCs/>
                <w:sz w:val="20"/>
                <w:szCs w:val="20"/>
              </w:rPr>
              <w:t>Etanercept parent. 50 mg</w:t>
            </w:r>
          </w:p>
        </w:tc>
      </w:tr>
      <w:tr w:rsidR="001757EA" w:rsidRPr="0000591E" w14:paraId="78EAEBEF" w14:textId="77777777" w:rsidTr="00670FEC">
        <w:trPr>
          <w:trHeight w:val="20"/>
        </w:trPr>
        <w:tc>
          <w:tcPr>
            <w:tcW w:w="1277" w:type="dxa"/>
            <w:tcBorders>
              <w:top w:val="single" w:sz="4" w:space="0" w:color="auto"/>
              <w:bottom w:val="nil"/>
            </w:tcBorders>
            <w:noWrap/>
          </w:tcPr>
          <w:p w14:paraId="0FC77F90" w14:textId="77777777" w:rsidR="001757EA" w:rsidRPr="00E6635D" w:rsidRDefault="001757EA" w:rsidP="0034061E">
            <w:pPr>
              <w:rPr>
                <w:rFonts w:ascii="Arial" w:hAnsi="Arial" w:cs="Arial"/>
                <w:b/>
                <w:bCs/>
                <w:sz w:val="20"/>
                <w:szCs w:val="20"/>
              </w:rPr>
            </w:pPr>
          </w:p>
        </w:tc>
        <w:tc>
          <w:tcPr>
            <w:tcW w:w="9355" w:type="dxa"/>
            <w:tcBorders>
              <w:top w:val="single" w:sz="4" w:space="0" w:color="auto"/>
              <w:bottom w:val="nil"/>
            </w:tcBorders>
          </w:tcPr>
          <w:p w14:paraId="462BC5A7" w14:textId="36AF74BE"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Hradenú liečbu môže indikovať po predchádzajúcom pneumologickom vyšetrení a</w:t>
            </w:r>
            <w:r>
              <w:rPr>
                <w:rFonts w:ascii="Arial" w:hAnsi="Arial" w:cs="Arial"/>
                <w:bCs/>
                <w:sz w:val="20"/>
                <w:szCs w:val="20"/>
              </w:rPr>
              <w:t> </w:t>
            </w:r>
            <w:r w:rsidRPr="001757EA">
              <w:rPr>
                <w:rFonts w:ascii="Arial" w:hAnsi="Arial" w:cs="Arial"/>
                <w:bCs/>
                <w:sz w:val="20"/>
                <w:szCs w:val="20"/>
              </w:rPr>
              <w:t>vyšetrení</w:t>
            </w:r>
            <w:r>
              <w:rPr>
                <w:rFonts w:ascii="Arial" w:hAnsi="Arial" w:cs="Arial"/>
                <w:bCs/>
                <w:sz w:val="20"/>
                <w:szCs w:val="20"/>
              </w:rPr>
              <w:t xml:space="preserve"> </w:t>
            </w:r>
            <w:r w:rsidRPr="001757EA">
              <w:rPr>
                <w:rFonts w:ascii="Arial" w:hAnsi="Arial" w:cs="Arial"/>
                <w:bCs/>
                <w:sz w:val="20"/>
                <w:szCs w:val="20"/>
              </w:rPr>
              <w:t>IGRA testom</w:t>
            </w:r>
          </w:p>
          <w:p w14:paraId="184A6BAA"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a) reumatológ alebo detský reumatológ pri</w:t>
            </w:r>
          </w:p>
          <w:p w14:paraId="1D349367" w14:textId="63E651BA"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1. aktívnej forme reumatoidnej artritídy a juvenilnej idiopatickej artritídy, kde sa</w:t>
            </w:r>
            <w:r>
              <w:rPr>
                <w:rFonts w:ascii="Arial" w:hAnsi="Arial" w:cs="Arial"/>
                <w:bCs/>
                <w:sz w:val="20"/>
                <w:szCs w:val="20"/>
              </w:rPr>
              <w:t xml:space="preserve"> </w:t>
            </w:r>
            <w:r w:rsidRPr="001757EA">
              <w:rPr>
                <w:rFonts w:ascii="Arial" w:hAnsi="Arial" w:cs="Arial"/>
                <w:bCs/>
                <w:sz w:val="20"/>
                <w:szCs w:val="20"/>
              </w:rPr>
              <w:t>nedostavila adekvátna liečebná odpoveď na ochorenie modifikujúce</w:t>
            </w:r>
            <w:r>
              <w:rPr>
                <w:rFonts w:ascii="Arial" w:hAnsi="Arial" w:cs="Arial"/>
                <w:bCs/>
                <w:sz w:val="20"/>
                <w:szCs w:val="20"/>
              </w:rPr>
              <w:t xml:space="preserve"> </w:t>
            </w:r>
            <w:r w:rsidRPr="001757EA">
              <w:rPr>
                <w:rFonts w:ascii="Arial" w:hAnsi="Arial" w:cs="Arial"/>
                <w:bCs/>
                <w:sz w:val="20"/>
                <w:szCs w:val="20"/>
              </w:rPr>
              <w:t>antireumatické lieky (ďalej len „DMARDs“), vrátane metotrexátu,</w:t>
            </w:r>
          </w:p>
          <w:p w14:paraId="0D1F696B" w14:textId="69770426"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2. liečbe ťažkej, aktívnej a progresívnej formy reumatoidnej artritídy u</w:t>
            </w:r>
            <w:r>
              <w:rPr>
                <w:rFonts w:ascii="Arial" w:hAnsi="Arial" w:cs="Arial"/>
                <w:bCs/>
                <w:sz w:val="20"/>
                <w:szCs w:val="20"/>
              </w:rPr>
              <w:t> </w:t>
            </w:r>
            <w:r w:rsidRPr="001757EA">
              <w:rPr>
                <w:rFonts w:ascii="Arial" w:hAnsi="Arial" w:cs="Arial"/>
                <w:bCs/>
                <w:sz w:val="20"/>
                <w:szCs w:val="20"/>
              </w:rPr>
              <w:t>dospelých</w:t>
            </w:r>
            <w:r>
              <w:rPr>
                <w:rFonts w:ascii="Arial" w:hAnsi="Arial" w:cs="Arial"/>
                <w:bCs/>
                <w:sz w:val="20"/>
                <w:szCs w:val="20"/>
              </w:rPr>
              <w:t xml:space="preserve"> </w:t>
            </w:r>
            <w:r w:rsidRPr="001757EA">
              <w:rPr>
                <w:rFonts w:ascii="Arial" w:hAnsi="Arial" w:cs="Arial"/>
                <w:bCs/>
                <w:sz w:val="20"/>
                <w:szCs w:val="20"/>
              </w:rPr>
              <w:t xml:space="preserve">pacientov, ktorí v </w:t>
            </w:r>
            <w:r>
              <w:rPr>
                <w:rFonts w:ascii="Arial" w:hAnsi="Arial" w:cs="Arial"/>
                <w:bCs/>
                <w:sz w:val="20"/>
                <w:szCs w:val="20"/>
              </w:rPr>
              <w:t xml:space="preserve"> </w:t>
            </w:r>
            <w:r w:rsidRPr="001757EA">
              <w:rPr>
                <w:rFonts w:ascii="Arial" w:hAnsi="Arial" w:cs="Arial"/>
                <w:bCs/>
                <w:sz w:val="20"/>
                <w:szCs w:val="20"/>
              </w:rPr>
              <w:t>minulosti neboli liečení metatroxátom,</w:t>
            </w:r>
          </w:p>
          <w:p w14:paraId="0F3912A5" w14:textId="0C674B11"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3. aktívnej a progresívnej psoriatickej artritíde u dospelých, kde bola odpoveď na</w:t>
            </w:r>
            <w:r>
              <w:rPr>
                <w:rFonts w:ascii="Arial" w:hAnsi="Arial" w:cs="Arial"/>
                <w:bCs/>
                <w:sz w:val="20"/>
                <w:szCs w:val="20"/>
              </w:rPr>
              <w:t xml:space="preserve"> </w:t>
            </w:r>
            <w:r w:rsidRPr="001757EA">
              <w:rPr>
                <w:rFonts w:ascii="Arial" w:hAnsi="Arial" w:cs="Arial"/>
                <w:bCs/>
                <w:sz w:val="20"/>
                <w:szCs w:val="20"/>
              </w:rPr>
              <w:t>DMARDs nedostatočná,</w:t>
            </w:r>
          </w:p>
          <w:p w14:paraId="0875A723" w14:textId="0ADFFA3D"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4. ťažkej aktívnej ankylozujúcej spondylitíde u dospelých, ktorí mali</w:t>
            </w:r>
            <w:r>
              <w:rPr>
                <w:rFonts w:ascii="Arial" w:hAnsi="Arial" w:cs="Arial"/>
                <w:bCs/>
                <w:sz w:val="20"/>
                <w:szCs w:val="20"/>
              </w:rPr>
              <w:t xml:space="preserve"> </w:t>
            </w:r>
            <w:r w:rsidRPr="001757EA">
              <w:rPr>
                <w:rFonts w:ascii="Arial" w:hAnsi="Arial" w:cs="Arial"/>
                <w:bCs/>
                <w:sz w:val="20"/>
                <w:szCs w:val="20"/>
              </w:rPr>
              <w:t>neadekvátnu odpoveď na konvenčnú liečbu;</w:t>
            </w:r>
          </w:p>
          <w:p w14:paraId="24998DC2"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Hradená liečba u pediatrických pacientov je plne hradená.</w:t>
            </w:r>
          </w:p>
          <w:p w14:paraId="7D6C9CB8" w14:textId="77777777" w:rsidR="001757EA" w:rsidRDefault="001757EA" w:rsidP="001757EA">
            <w:pPr>
              <w:tabs>
                <w:tab w:val="left" w:pos="3920"/>
              </w:tabs>
              <w:rPr>
                <w:rFonts w:ascii="Arial" w:hAnsi="Arial" w:cs="Arial"/>
                <w:bCs/>
                <w:sz w:val="20"/>
                <w:szCs w:val="20"/>
              </w:rPr>
            </w:pPr>
          </w:p>
          <w:p w14:paraId="31E00D1D" w14:textId="10E006AC"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b) dermatovenerológ alebo detský dermatovenerológ u</w:t>
            </w:r>
          </w:p>
          <w:p w14:paraId="43F60BCA" w14:textId="031EFB12"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1. dospelých pacientov so závažnou chronickou generalizovanou psoriázou,</w:t>
            </w:r>
            <w:r>
              <w:rPr>
                <w:rFonts w:ascii="Arial" w:hAnsi="Arial" w:cs="Arial"/>
                <w:bCs/>
                <w:sz w:val="20"/>
                <w:szCs w:val="20"/>
              </w:rPr>
              <w:t xml:space="preserve"> </w:t>
            </w:r>
            <w:r w:rsidRPr="001757EA">
              <w:rPr>
                <w:rFonts w:ascii="Arial" w:hAnsi="Arial" w:cs="Arial"/>
                <w:bCs/>
                <w:sz w:val="20"/>
                <w:szCs w:val="20"/>
              </w:rPr>
              <w:t>u ktorých iná liečba nebola dostatočne účinná, majú kontraindikácie alebo</w:t>
            </w:r>
          </w:p>
          <w:p w14:paraId="150C6063" w14:textId="56ADFD15"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intoleranciu k iným systémovým terapiám, vrátane retinoidov, cyklosporínu,</w:t>
            </w:r>
            <w:r>
              <w:rPr>
                <w:rFonts w:ascii="Arial" w:hAnsi="Arial" w:cs="Arial"/>
                <w:bCs/>
                <w:sz w:val="20"/>
                <w:szCs w:val="20"/>
              </w:rPr>
              <w:t xml:space="preserve"> </w:t>
            </w:r>
            <w:r w:rsidRPr="001757EA">
              <w:rPr>
                <w:rFonts w:ascii="Arial" w:hAnsi="Arial" w:cs="Arial"/>
                <w:bCs/>
                <w:sz w:val="20"/>
                <w:szCs w:val="20"/>
              </w:rPr>
              <w:t>metotrexátu a PUVA;</w:t>
            </w:r>
          </w:p>
          <w:p w14:paraId="16DA65FF"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2. detí a dospievajúcich od 8 rokov so závažnou chronickou psoriázou s plakmi,</w:t>
            </w:r>
          </w:p>
          <w:p w14:paraId="16D1BCA1" w14:textId="571C98A1"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ktorí nedostatočne odpovedajú alebo sú intolerantní na inú systémovú liečbu</w:t>
            </w:r>
            <w:r>
              <w:rPr>
                <w:rFonts w:ascii="Arial" w:hAnsi="Arial" w:cs="Arial"/>
                <w:bCs/>
                <w:sz w:val="20"/>
                <w:szCs w:val="20"/>
              </w:rPr>
              <w:t xml:space="preserve"> </w:t>
            </w:r>
            <w:r w:rsidRPr="001757EA">
              <w:rPr>
                <w:rFonts w:ascii="Arial" w:hAnsi="Arial" w:cs="Arial"/>
                <w:bCs/>
                <w:sz w:val="20"/>
                <w:szCs w:val="20"/>
              </w:rPr>
              <w:t>alebo fototerapiu;</w:t>
            </w:r>
          </w:p>
          <w:p w14:paraId="073E297C" w14:textId="77777777" w:rsidR="001757EA" w:rsidRPr="001757EA" w:rsidRDefault="001757EA" w:rsidP="001757EA">
            <w:pPr>
              <w:tabs>
                <w:tab w:val="left" w:pos="3920"/>
              </w:tabs>
              <w:rPr>
                <w:rFonts w:ascii="Arial" w:hAnsi="Arial" w:cs="Arial"/>
                <w:bCs/>
                <w:sz w:val="20"/>
                <w:szCs w:val="20"/>
              </w:rPr>
            </w:pPr>
          </w:p>
          <w:p w14:paraId="76CA27FA"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Hradená liečba u pediatrických pacientov je plne hradená.</w:t>
            </w:r>
          </w:p>
          <w:p w14:paraId="446C88EC" w14:textId="77777777" w:rsidR="001757EA" w:rsidRPr="001757EA" w:rsidRDefault="001757EA" w:rsidP="001757EA">
            <w:pPr>
              <w:tabs>
                <w:tab w:val="left" w:pos="3920"/>
              </w:tabs>
              <w:rPr>
                <w:rFonts w:ascii="Arial" w:hAnsi="Arial" w:cs="Arial"/>
                <w:bCs/>
                <w:sz w:val="20"/>
                <w:szCs w:val="20"/>
              </w:rPr>
            </w:pPr>
          </w:p>
          <w:p w14:paraId="7513A036" w14:textId="06B97EB8"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Ďalšia liečba nie je hradenou liečbou, ak sa po dvanástich týždňoch podávania lieku s</w:t>
            </w:r>
            <w:r>
              <w:rPr>
                <w:rFonts w:ascii="Arial" w:hAnsi="Arial" w:cs="Arial"/>
                <w:bCs/>
                <w:sz w:val="20"/>
                <w:szCs w:val="20"/>
              </w:rPr>
              <w:t> </w:t>
            </w:r>
            <w:r w:rsidRPr="001757EA">
              <w:rPr>
                <w:rFonts w:ascii="Arial" w:hAnsi="Arial" w:cs="Arial"/>
                <w:bCs/>
                <w:sz w:val="20"/>
                <w:szCs w:val="20"/>
              </w:rPr>
              <w:t>účinnou</w:t>
            </w:r>
            <w:r>
              <w:rPr>
                <w:rFonts w:ascii="Arial" w:hAnsi="Arial" w:cs="Arial"/>
                <w:bCs/>
                <w:sz w:val="20"/>
                <w:szCs w:val="20"/>
              </w:rPr>
              <w:t xml:space="preserve"> </w:t>
            </w:r>
            <w:r w:rsidRPr="001757EA">
              <w:rPr>
                <w:rFonts w:ascii="Arial" w:hAnsi="Arial" w:cs="Arial"/>
                <w:bCs/>
                <w:sz w:val="20"/>
                <w:szCs w:val="20"/>
              </w:rPr>
              <w:t>látkou etanercept nedostaví liečebný účinok.</w:t>
            </w:r>
          </w:p>
          <w:p w14:paraId="73755FD9" w14:textId="77777777" w:rsidR="001757EA" w:rsidRPr="001757EA" w:rsidRDefault="001757EA" w:rsidP="001757EA">
            <w:pPr>
              <w:tabs>
                <w:tab w:val="left" w:pos="3920"/>
              </w:tabs>
              <w:rPr>
                <w:rFonts w:ascii="Arial" w:hAnsi="Arial" w:cs="Arial"/>
                <w:bCs/>
                <w:sz w:val="20"/>
                <w:szCs w:val="20"/>
              </w:rPr>
            </w:pPr>
          </w:p>
        </w:tc>
      </w:tr>
      <w:tr w:rsidR="001237BD" w:rsidRPr="0000591E" w14:paraId="334F9831" w14:textId="77777777" w:rsidTr="00670FEC">
        <w:trPr>
          <w:trHeight w:val="20"/>
        </w:trPr>
        <w:tc>
          <w:tcPr>
            <w:tcW w:w="1277" w:type="dxa"/>
            <w:tcBorders>
              <w:top w:val="nil"/>
              <w:bottom w:val="single" w:sz="4" w:space="0" w:color="auto"/>
            </w:tcBorders>
            <w:noWrap/>
          </w:tcPr>
          <w:p w14:paraId="650A136B" w14:textId="5CAA2FDE" w:rsidR="001237BD" w:rsidRPr="00E6635D" w:rsidRDefault="001237BD" w:rsidP="0034061E">
            <w:pPr>
              <w:rPr>
                <w:rFonts w:ascii="Arial" w:hAnsi="Arial" w:cs="Arial"/>
                <w:b/>
                <w:bCs/>
                <w:sz w:val="20"/>
                <w:szCs w:val="20"/>
              </w:rPr>
            </w:pPr>
            <w:r w:rsidRPr="001237BD">
              <w:rPr>
                <w:rFonts w:ascii="Arial" w:hAnsi="Arial" w:cs="Arial"/>
                <w:b/>
                <w:bCs/>
                <w:sz w:val="20"/>
                <w:szCs w:val="20"/>
              </w:rPr>
              <w:t>L04AB02</w:t>
            </w:r>
          </w:p>
        </w:tc>
        <w:tc>
          <w:tcPr>
            <w:tcW w:w="9355" w:type="dxa"/>
            <w:tcBorders>
              <w:top w:val="nil"/>
              <w:bottom w:val="single" w:sz="4" w:space="0" w:color="auto"/>
            </w:tcBorders>
          </w:tcPr>
          <w:p w14:paraId="4E97DEEA" w14:textId="683790AE" w:rsidR="001237BD" w:rsidRPr="00E6635D" w:rsidRDefault="001237BD" w:rsidP="001237BD">
            <w:pPr>
              <w:tabs>
                <w:tab w:val="left" w:pos="3500"/>
                <w:tab w:val="left" w:pos="3920"/>
              </w:tabs>
              <w:rPr>
                <w:rFonts w:ascii="Arial" w:hAnsi="Arial" w:cs="Arial"/>
                <w:b/>
                <w:bCs/>
                <w:sz w:val="20"/>
                <w:szCs w:val="20"/>
              </w:rPr>
            </w:pPr>
            <w:r w:rsidRPr="001237BD">
              <w:rPr>
                <w:rFonts w:ascii="Arial" w:hAnsi="Arial" w:cs="Arial"/>
                <w:b/>
                <w:bCs/>
                <w:sz w:val="20"/>
                <w:szCs w:val="20"/>
              </w:rPr>
              <w:t>Infliximab parent. 100 mg</w:t>
            </w:r>
          </w:p>
        </w:tc>
      </w:tr>
      <w:tr w:rsidR="001237BD" w:rsidRPr="0000591E" w14:paraId="79AFE790" w14:textId="77777777" w:rsidTr="00670FEC">
        <w:trPr>
          <w:trHeight w:val="20"/>
        </w:trPr>
        <w:tc>
          <w:tcPr>
            <w:tcW w:w="1277" w:type="dxa"/>
            <w:tcBorders>
              <w:top w:val="single" w:sz="4" w:space="0" w:color="auto"/>
              <w:bottom w:val="nil"/>
            </w:tcBorders>
            <w:noWrap/>
          </w:tcPr>
          <w:p w14:paraId="51C3629F" w14:textId="77777777" w:rsidR="001237BD" w:rsidRPr="00E6635D" w:rsidRDefault="001237BD" w:rsidP="0034061E">
            <w:pPr>
              <w:rPr>
                <w:rFonts w:ascii="Arial" w:hAnsi="Arial" w:cs="Arial"/>
                <w:b/>
                <w:bCs/>
                <w:sz w:val="20"/>
                <w:szCs w:val="20"/>
              </w:rPr>
            </w:pPr>
          </w:p>
        </w:tc>
        <w:tc>
          <w:tcPr>
            <w:tcW w:w="9355" w:type="dxa"/>
            <w:tcBorders>
              <w:top w:val="single" w:sz="4" w:space="0" w:color="auto"/>
              <w:bottom w:val="nil"/>
            </w:tcBorders>
          </w:tcPr>
          <w:p w14:paraId="219E812E" w14:textId="5F3FAA3E"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Hradenú liečbu môže indikovať po predchádzajúcom pneumologickom vyšetrení a</w:t>
            </w:r>
            <w:r>
              <w:rPr>
                <w:rFonts w:ascii="Arial" w:hAnsi="Arial" w:cs="Arial"/>
                <w:bCs/>
                <w:sz w:val="20"/>
                <w:szCs w:val="20"/>
              </w:rPr>
              <w:t> </w:t>
            </w:r>
            <w:r w:rsidRPr="001237BD">
              <w:rPr>
                <w:rFonts w:ascii="Arial" w:hAnsi="Arial" w:cs="Arial"/>
                <w:bCs/>
                <w:sz w:val="20"/>
                <w:szCs w:val="20"/>
              </w:rPr>
              <w:t>vyšetrení</w:t>
            </w:r>
            <w:r>
              <w:rPr>
                <w:rFonts w:ascii="Arial" w:hAnsi="Arial" w:cs="Arial"/>
                <w:bCs/>
                <w:sz w:val="20"/>
                <w:szCs w:val="20"/>
              </w:rPr>
              <w:t xml:space="preserve"> </w:t>
            </w:r>
            <w:r w:rsidRPr="001237BD">
              <w:rPr>
                <w:rFonts w:ascii="Arial" w:hAnsi="Arial" w:cs="Arial"/>
                <w:bCs/>
                <w:sz w:val="20"/>
                <w:szCs w:val="20"/>
              </w:rPr>
              <w:t>IGRA testom</w:t>
            </w:r>
          </w:p>
          <w:p w14:paraId="58CE7A21"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a) gastroenterológ pri</w:t>
            </w:r>
          </w:p>
          <w:p w14:paraId="04303B94"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1. ťažkej a/alebo fistulujúcej forme Crohnovej choroby, neodpovedajúcej na konvenčnú terapiu,</w:t>
            </w:r>
          </w:p>
          <w:p w14:paraId="496A4C58"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2. stredne ťažkej až ťažkej aktívnej ulceróznej kolitíde, ak zlyhala alebo sa nedosiahla adekvátna liečebná odpoveď na konvenčnú liečbu vrátane kortikosteroidov alebo azatioprínu pri kontraindikácii alebo intolerancii uvedených liečiv;</w:t>
            </w:r>
          </w:p>
          <w:p w14:paraId="0DFFB2EC" w14:textId="77777777" w:rsidR="001237BD" w:rsidRPr="001237BD" w:rsidRDefault="001237BD" w:rsidP="001237BD">
            <w:pPr>
              <w:tabs>
                <w:tab w:val="left" w:pos="3500"/>
                <w:tab w:val="left" w:pos="3920"/>
              </w:tabs>
              <w:rPr>
                <w:rFonts w:ascii="Arial" w:hAnsi="Arial" w:cs="Arial"/>
                <w:bCs/>
                <w:sz w:val="20"/>
                <w:szCs w:val="20"/>
              </w:rPr>
            </w:pPr>
          </w:p>
          <w:p w14:paraId="257FD13E"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b) detský gastroenterológ pri</w:t>
            </w:r>
          </w:p>
          <w:p w14:paraId="338AF245"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1. ťažkej a fistulujúcej forme Crohnovej choroby, neodpovedajúcej na konvenčnú terapiu u pediatrických pacientov vo veku 6 až 18 rokov + 364 dní, ktorí neodpovedali na konvenčnú liečbu, vrátane kortikosteroidov, imunomodulátorov a primárnej nutričnej terapie, alebo ktorí takúto liečbu netolerujú alebo je u nich kontraindikovaná. Remicade sa študoval iba v</w:t>
            </w:r>
          </w:p>
          <w:p w14:paraId="747D0420"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kombinácii s konvenčnou imunosupresívnou liečbou;</w:t>
            </w:r>
          </w:p>
          <w:p w14:paraId="7B142F44"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2. ťažkej aktívnej ulceróznej kolitíde deťom a dospievajúcim vo veku 6 až 17 rokov, u ktorých nedošlo k adekvátnej odpovedi na konvenčnú liečbu, vrátane kortikosteroidov a 6-MP alebo AZA, alebo pacientom, ktorí takéto liečby netolerujú alebo sú u nich kontraindikované.</w:t>
            </w:r>
          </w:p>
          <w:p w14:paraId="5066366B" w14:textId="77777777" w:rsidR="001237BD" w:rsidRPr="001237BD" w:rsidRDefault="001237BD" w:rsidP="001237BD">
            <w:pPr>
              <w:tabs>
                <w:tab w:val="left" w:pos="3500"/>
                <w:tab w:val="left" w:pos="3920"/>
              </w:tabs>
              <w:rPr>
                <w:rFonts w:ascii="Arial" w:hAnsi="Arial" w:cs="Arial"/>
                <w:bCs/>
                <w:sz w:val="20"/>
                <w:szCs w:val="20"/>
              </w:rPr>
            </w:pPr>
          </w:p>
          <w:p w14:paraId="7C42844E"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Hradená liečba u pediatrických pacientov je plne hradená.</w:t>
            </w:r>
          </w:p>
          <w:p w14:paraId="1EDA9195" w14:textId="77777777" w:rsidR="001237BD" w:rsidRPr="001237BD" w:rsidRDefault="001237BD" w:rsidP="001237BD">
            <w:pPr>
              <w:tabs>
                <w:tab w:val="left" w:pos="3500"/>
                <w:tab w:val="left" w:pos="3920"/>
              </w:tabs>
              <w:rPr>
                <w:rFonts w:ascii="Arial" w:hAnsi="Arial" w:cs="Arial"/>
                <w:bCs/>
                <w:sz w:val="20"/>
                <w:szCs w:val="20"/>
              </w:rPr>
            </w:pPr>
          </w:p>
          <w:p w14:paraId="420FD4AD"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c) reumatológ pri</w:t>
            </w:r>
          </w:p>
          <w:p w14:paraId="745EB8A0"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1. aktívnej forme reumatoidnej artritídy, kde sa nedostavila adekvátna liečebná odpoveď na DMARDs , vrátane metotrexátu,</w:t>
            </w:r>
          </w:p>
          <w:p w14:paraId="70DDD2C6"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2. ťažkej, aktívnej a postupujúcej forme reumatoidnej artritídy u pacientov s včasnou malignou formou alebo pri kontraindikácii metotrexátu alebo iných DMARDs,</w:t>
            </w:r>
          </w:p>
          <w:p w14:paraId="08EBF17D"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3. aktívnej a progresívnej psoriatickej artritíde, kde sa nedostavila adekvátna liečebná odpoveď na DMARDs, v kombinácii s metotrexátom alebo ako monoterapiu u pacientov, ktorí metotrexát neznášajú alebo je u nich kontraindikovaný,</w:t>
            </w:r>
          </w:p>
          <w:p w14:paraId="5E9C101D"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4. ankylozujúcej spondylitíde u pacientov s ťažkými axiálnymi symptómami, zvýšenými serologickými ukazovateľmi zápalovej aktivity, u ktorých sa nedostavila adekvátna odpoveď na konvenčnú terapiu (vrátane plnej dávky NSA a zhodnotenia expertom na ankylozujúcu spondylitídu);</w:t>
            </w:r>
          </w:p>
          <w:p w14:paraId="24232239" w14:textId="77777777" w:rsidR="001237BD" w:rsidRPr="001237BD" w:rsidRDefault="001237BD" w:rsidP="001237BD">
            <w:pPr>
              <w:tabs>
                <w:tab w:val="left" w:pos="3500"/>
                <w:tab w:val="left" w:pos="3920"/>
              </w:tabs>
              <w:jc w:val="both"/>
              <w:rPr>
                <w:rFonts w:ascii="Arial" w:hAnsi="Arial" w:cs="Arial"/>
                <w:bCs/>
                <w:sz w:val="20"/>
                <w:szCs w:val="20"/>
              </w:rPr>
            </w:pPr>
          </w:p>
          <w:p w14:paraId="72E49795"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d) dermatológ u dospelých pacientov so závažnou chronickou generalizovanou psoriázou, u ktorých iná liečba nebola dostatočne účinná, majú kontraindikácie alebo intoleranciu k iným systémovým terapiám, vrátane retinoidov, cyklosporínu, metotrexátu a PUVA.</w:t>
            </w:r>
          </w:p>
          <w:p w14:paraId="469815C8" w14:textId="77777777" w:rsidR="001237BD" w:rsidRPr="001237BD" w:rsidRDefault="001237BD" w:rsidP="001237BD">
            <w:pPr>
              <w:tabs>
                <w:tab w:val="left" w:pos="3500"/>
                <w:tab w:val="left" w:pos="3920"/>
              </w:tabs>
              <w:rPr>
                <w:rFonts w:ascii="Arial" w:hAnsi="Arial" w:cs="Arial"/>
                <w:bCs/>
                <w:sz w:val="20"/>
                <w:szCs w:val="20"/>
              </w:rPr>
            </w:pPr>
          </w:p>
          <w:p w14:paraId="53886DCD"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Ďalšia liečba nie je hradenou liečbou, ak sa po ôsmich týždňoch podávania lieku s účinnou látkou infliximab nedostaví liečebný účinok.</w:t>
            </w:r>
          </w:p>
          <w:p w14:paraId="4FAB4CD8" w14:textId="77777777" w:rsidR="001237BD" w:rsidRPr="001237BD" w:rsidRDefault="001237BD" w:rsidP="001237BD">
            <w:pPr>
              <w:tabs>
                <w:tab w:val="left" w:pos="3500"/>
                <w:tab w:val="left" w:pos="3920"/>
              </w:tabs>
              <w:rPr>
                <w:rFonts w:ascii="Arial" w:hAnsi="Arial" w:cs="Arial"/>
                <w:bCs/>
                <w:sz w:val="20"/>
                <w:szCs w:val="20"/>
              </w:rPr>
            </w:pPr>
          </w:p>
        </w:tc>
      </w:tr>
      <w:tr w:rsidR="00582357" w:rsidRPr="0000591E" w14:paraId="7099DE83" w14:textId="77777777" w:rsidTr="00670FEC">
        <w:trPr>
          <w:trHeight w:val="20"/>
        </w:trPr>
        <w:tc>
          <w:tcPr>
            <w:tcW w:w="1277" w:type="dxa"/>
            <w:tcBorders>
              <w:top w:val="nil"/>
              <w:bottom w:val="single" w:sz="4" w:space="0" w:color="auto"/>
            </w:tcBorders>
            <w:noWrap/>
          </w:tcPr>
          <w:p w14:paraId="2876A7E5" w14:textId="766C50E0" w:rsidR="00582357" w:rsidRPr="00E6635D" w:rsidRDefault="00582357" w:rsidP="0034061E">
            <w:pPr>
              <w:rPr>
                <w:rFonts w:ascii="Arial" w:hAnsi="Arial" w:cs="Arial"/>
                <w:b/>
                <w:bCs/>
                <w:sz w:val="20"/>
                <w:szCs w:val="20"/>
              </w:rPr>
            </w:pPr>
            <w:r w:rsidRPr="00582357">
              <w:rPr>
                <w:rFonts w:ascii="Arial" w:hAnsi="Arial" w:cs="Arial"/>
                <w:b/>
                <w:bCs/>
                <w:sz w:val="20"/>
                <w:szCs w:val="20"/>
              </w:rPr>
              <w:t>L04AB02</w:t>
            </w:r>
          </w:p>
        </w:tc>
        <w:tc>
          <w:tcPr>
            <w:tcW w:w="9355" w:type="dxa"/>
            <w:tcBorders>
              <w:top w:val="nil"/>
              <w:bottom w:val="single" w:sz="4" w:space="0" w:color="auto"/>
            </w:tcBorders>
          </w:tcPr>
          <w:p w14:paraId="6B13C5D8" w14:textId="6BE52ADA" w:rsidR="00582357" w:rsidRPr="00E6635D" w:rsidRDefault="00582357" w:rsidP="001237BD">
            <w:pPr>
              <w:tabs>
                <w:tab w:val="left" w:pos="3500"/>
                <w:tab w:val="left" w:pos="3920"/>
              </w:tabs>
              <w:rPr>
                <w:rFonts w:ascii="Arial" w:hAnsi="Arial" w:cs="Arial"/>
                <w:b/>
                <w:bCs/>
                <w:sz w:val="20"/>
                <w:szCs w:val="20"/>
              </w:rPr>
            </w:pPr>
            <w:r w:rsidRPr="00582357">
              <w:rPr>
                <w:rFonts w:ascii="Arial" w:hAnsi="Arial" w:cs="Arial"/>
                <w:b/>
                <w:bCs/>
                <w:sz w:val="20"/>
                <w:szCs w:val="20"/>
              </w:rPr>
              <w:t>Infliximab s.c. 120 mg</w:t>
            </w:r>
          </w:p>
        </w:tc>
      </w:tr>
      <w:tr w:rsidR="00582357" w:rsidRPr="0000591E" w14:paraId="5B01FF20" w14:textId="77777777" w:rsidTr="00670FEC">
        <w:trPr>
          <w:trHeight w:val="20"/>
        </w:trPr>
        <w:tc>
          <w:tcPr>
            <w:tcW w:w="1277" w:type="dxa"/>
            <w:tcBorders>
              <w:top w:val="single" w:sz="4" w:space="0" w:color="auto"/>
              <w:bottom w:val="nil"/>
            </w:tcBorders>
            <w:noWrap/>
          </w:tcPr>
          <w:p w14:paraId="0F780466" w14:textId="77777777" w:rsidR="00582357" w:rsidRPr="00E6635D" w:rsidRDefault="00582357" w:rsidP="0034061E">
            <w:pPr>
              <w:rPr>
                <w:rFonts w:ascii="Arial" w:hAnsi="Arial" w:cs="Arial"/>
                <w:b/>
                <w:bCs/>
                <w:sz w:val="20"/>
                <w:szCs w:val="20"/>
              </w:rPr>
            </w:pPr>
          </w:p>
        </w:tc>
        <w:tc>
          <w:tcPr>
            <w:tcW w:w="9355" w:type="dxa"/>
            <w:tcBorders>
              <w:top w:val="single" w:sz="4" w:space="0" w:color="auto"/>
              <w:bottom w:val="nil"/>
            </w:tcBorders>
          </w:tcPr>
          <w:p w14:paraId="7C16D356"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Hradenú liečbu môže indikovať</w:t>
            </w:r>
          </w:p>
          <w:p w14:paraId="12B67FA8"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a) gastroenterológ pri</w:t>
            </w:r>
          </w:p>
          <w:p w14:paraId="48D2B9FF" w14:textId="77777777"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1. ťažkej a/alebo fistulujúcej forme Crohnovej choroby, neodpovedajúcej na konvenčnú terapiu,</w:t>
            </w:r>
          </w:p>
          <w:p w14:paraId="7329E12A" w14:textId="02AA8517"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2. stredne ťažkej až ťažkej aktívnej ulceróznej kolitíde, ak zlyhala alebo sa nedosiahla adekvátna liečebná</w:t>
            </w:r>
            <w:r>
              <w:rPr>
                <w:rFonts w:ascii="Arial" w:hAnsi="Arial" w:cs="Arial"/>
                <w:bCs/>
                <w:sz w:val="20"/>
                <w:szCs w:val="20"/>
              </w:rPr>
              <w:t xml:space="preserve"> </w:t>
            </w:r>
            <w:r w:rsidRPr="00582357">
              <w:rPr>
                <w:rFonts w:ascii="Arial" w:hAnsi="Arial" w:cs="Arial"/>
                <w:bCs/>
                <w:sz w:val="20"/>
                <w:szCs w:val="20"/>
              </w:rPr>
              <w:t>odpoveď na konvenčnú liečbu vrátane kortikosteroidov alebo azatioprínu pri kontraindikácii alebo</w:t>
            </w:r>
            <w:r>
              <w:rPr>
                <w:rFonts w:ascii="Arial" w:hAnsi="Arial" w:cs="Arial"/>
                <w:bCs/>
                <w:sz w:val="20"/>
                <w:szCs w:val="20"/>
              </w:rPr>
              <w:t xml:space="preserve"> </w:t>
            </w:r>
            <w:r w:rsidRPr="00582357">
              <w:rPr>
                <w:rFonts w:ascii="Arial" w:hAnsi="Arial" w:cs="Arial"/>
                <w:bCs/>
                <w:sz w:val="20"/>
                <w:szCs w:val="20"/>
              </w:rPr>
              <w:t>intolerancii uvedených liečiv;</w:t>
            </w:r>
          </w:p>
          <w:p w14:paraId="28AFFA73" w14:textId="77777777" w:rsidR="00582357" w:rsidRPr="00582357" w:rsidRDefault="00582357" w:rsidP="00582357">
            <w:pPr>
              <w:tabs>
                <w:tab w:val="left" w:pos="3500"/>
                <w:tab w:val="left" w:pos="3920"/>
              </w:tabs>
              <w:rPr>
                <w:rFonts w:ascii="Arial" w:hAnsi="Arial" w:cs="Arial"/>
                <w:bCs/>
                <w:sz w:val="20"/>
                <w:szCs w:val="20"/>
              </w:rPr>
            </w:pPr>
          </w:p>
          <w:p w14:paraId="0227E0BA"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Hradená liečba podlieha predchádzajúcemu súhlasu zdravotnej poisťovne.</w:t>
            </w:r>
          </w:p>
          <w:p w14:paraId="4EE4F5F8" w14:textId="77777777" w:rsidR="00582357" w:rsidRPr="00582357" w:rsidRDefault="00582357" w:rsidP="00582357">
            <w:pPr>
              <w:tabs>
                <w:tab w:val="left" w:pos="3500"/>
                <w:tab w:val="left" w:pos="3920"/>
              </w:tabs>
              <w:rPr>
                <w:rFonts w:ascii="Arial" w:hAnsi="Arial" w:cs="Arial"/>
                <w:bCs/>
                <w:sz w:val="20"/>
                <w:szCs w:val="20"/>
              </w:rPr>
            </w:pPr>
          </w:p>
          <w:p w14:paraId="40BCFFFD"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b) reumatológ pri</w:t>
            </w:r>
          </w:p>
          <w:p w14:paraId="6F7A5B51" w14:textId="5C2B88A0"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1. aktívnej a progresívnej psoriatickej artritíde, kde sa nedostavila adekvátna liečebná odpoveď na DMARDs, v</w:t>
            </w:r>
            <w:r>
              <w:rPr>
                <w:rFonts w:ascii="Arial" w:hAnsi="Arial" w:cs="Arial"/>
                <w:bCs/>
                <w:sz w:val="20"/>
                <w:szCs w:val="20"/>
              </w:rPr>
              <w:t xml:space="preserve"> </w:t>
            </w:r>
            <w:r w:rsidRPr="00582357">
              <w:rPr>
                <w:rFonts w:ascii="Arial" w:hAnsi="Arial" w:cs="Arial"/>
                <w:bCs/>
                <w:sz w:val="20"/>
                <w:szCs w:val="20"/>
              </w:rPr>
              <w:t>kombinácii s metotrexátom alebo ako monoterapiu u pacientov, ktorí metotrexát neznášajú alebo je u</w:t>
            </w:r>
            <w:r>
              <w:rPr>
                <w:rFonts w:ascii="Arial" w:hAnsi="Arial" w:cs="Arial"/>
                <w:bCs/>
                <w:sz w:val="20"/>
                <w:szCs w:val="20"/>
              </w:rPr>
              <w:t> </w:t>
            </w:r>
            <w:r w:rsidRPr="00582357">
              <w:rPr>
                <w:rFonts w:ascii="Arial" w:hAnsi="Arial" w:cs="Arial"/>
                <w:bCs/>
                <w:sz w:val="20"/>
                <w:szCs w:val="20"/>
              </w:rPr>
              <w:t>nich</w:t>
            </w:r>
            <w:r>
              <w:rPr>
                <w:rFonts w:ascii="Arial" w:hAnsi="Arial" w:cs="Arial"/>
                <w:bCs/>
                <w:sz w:val="20"/>
                <w:szCs w:val="20"/>
              </w:rPr>
              <w:t xml:space="preserve"> </w:t>
            </w:r>
            <w:r w:rsidRPr="00582357">
              <w:rPr>
                <w:rFonts w:ascii="Arial" w:hAnsi="Arial" w:cs="Arial"/>
                <w:bCs/>
                <w:sz w:val="20"/>
                <w:szCs w:val="20"/>
              </w:rPr>
              <w:t>kontraindikovaný,</w:t>
            </w:r>
          </w:p>
          <w:p w14:paraId="2DBE65AC" w14:textId="01983E43"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2. ankylozujúcej spondylitíde u pacientov s ťažkými axiálnymi symptómami, zvýšenými serologickými</w:t>
            </w:r>
            <w:r>
              <w:rPr>
                <w:rFonts w:ascii="Arial" w:hAnsi="Arial" w:cs="Arial"/>
                <w:bCs/>
                <w:sz w:val="20"/>
                <w:szCs w:val="20"/>
              </w:rPr>
              <w:t xml:space="preserve"> </w:t>
            </w:r>
            <w:r w:rsidRPr="00582357">
              <w:rPr>
                <w:rFonts w:ascii="Arial" w:hAnsi="Arial" w:cs="Arial"/>
                <w:bCs/>
                <w:sz w:val="20"/>
                <w:szCs w:val="20"/>
              </w:rPr>
              <w:t>ukazovateľmi zápalovej aktivity, u ktorých sa nedostavila adekvátna odpoveď na konvenčnú terapiu</w:t>
            </w:r>
            <w:r>
              <w:rPr>
                <w:rFonts w:ascii="Arial" w:hAnsi="Arial" w:cs="Arial"/>
                <w:bCs/>
                <w:sz w:val="20"/>
                <w:szCs w:val="20"/>
              </w:rPr>
              <w:t xml:space="preserve"> </w:t>
            </w:r>
            <w:r w:rsidRPr="00582357">
              <w:rPr>
                <w:rFonts w:ascii="Arial" w:hAnsi="Arial" w:cs="Arial"/>
                <w:bCs/>
                <w:sz w:val="20"/>
                <w:szCs w:val="20"/>
              </w:rPr>
              <w:t>(vrátane plnej dávky NSA a zhodnotenia expertom na ankylozujúcu spondylitídu);</w:t>
            </w:r>
          </w:p>
          <w:p w14:paraId="7C4F30A7" w14:textId="77777777" w:rsidR="00582357" w:rsidRPr="00582357" w:rsidRDefault="00582357" w:rsidP="00582357">
            <w:pPr>
              <w:tabs>
                <w:tab w:val="left" w:pos="3500"/>
                <w:tab w:val="left" w:pos="3920"/>
              </w:tabs>
              <w:rPr>
                <w:rFonts w:ascii="Arial" w:hAnsi="Arial" w:cs="Arial"/>
                <w:bCs/>
                <w:sz w:val="20"/>
                <w:szCs w:val="20"/>
              </w:rPr>
            </w:pPr>
          </w:p>
          <w:p w14:paraId="050A6737"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Hradená liečba podlieha predchádzajúcemu súhlasu zdravotnej poisťovne.</w:t>
            </w:r>
          </w:p>
          <w:p w14:paraId="7B2655DC" w14:textId="77777777" w:rsidR="00582357" w:rsidRPr="00582357" w:rsidRDefault="00582357" w:rsidP="00582357">
            <w:pPr>
              <w:tabs>
                <w:tab w:val="left" w:pos="3500"/>
                <w:tab w:val="left" w:pos="3920"/>
              </w:tabs>
              <w:rPr>
                <w:rFonts w:ascii="Arial" w:hAnsi="Arial" w:cs="Arial"/>
                <w:bCs/>
                <w:sz w:val="20"/>
                <w:szCs w:val="20"/>
              </w:rPr>
            </w:pPr>
          </w:p>
          <w:p w14:paraId="08B8D18F" w14:textId="77777777"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c) dermatológ u dospelých pacientov so závažnou chronickou generalizovanou psoriázou, u ktorých iná liečba nebola dostatočne účinná, majú kontraindikácie alebo intoleranciu k iným systémovým terapiám, vrátane retinoidov,cyklosporínu, metotrexátu a PUVA.</w:t>
            </w:r>
          </w:p>
          <w:p w14:paraId="354C1F82" w14:textId="77777777" w:rsidR="00582357" w:rsidRPr="00582357" w:rsidRDefault="00582357" w:rsidP="00582357">
            <w:pPr>
              <w:tabs>
                <w:tab w:val="left" w:pos="3500"/>
                <w:tab w:val="left" w:pos="3920"/>
              </w:tabs>
              <w:rPr>
                <w:rFonts w:ascii="Arial" w:hAnsi="Arial" w:cs="Arial"/>
                <w:bCs/>
                <w:sz w:val="20"/>
                <w:szCs w:val="20"/>
              </w:rPr>
            </w:pPr>
          </w:p>
          <w:p w14:paraId="44619FC9"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Hradená liečba podlieha predchádzajúcemu súhlasu zdravotnej poisťovne.</w:t>
            </w:r>
          </w:p>
          <w:p w14:paraId="703BA886" w14:textId="77777777" w:rsidR="00582357" w:rsidRPr="00582357" w:rsidRDefault="00582357" w:rsidP="00582357">
            <w:pPr>
              <w:tabs>
                <w:tab w:val="left" w:pos="3500"/>
                <w:tab w:val="left" w:pos="3920"/>
              </w:tabs>
              <w:rPr>
                <w:rFonts w:ascii="Arial" w:hAnsi="Arial" w:cs="Arial"/>
                <w:bCs/>
                <w:sz w:val="20"/>
                <w:szCs w:val="20"/>
              </w:rPr>
            </w:pPr>
          </w:p>
          <w:p w14:paraId="7B22D82D" w14:textId="77777777" w:rsid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Ďalšia liečba nie je hradenou liečbou, ak sa po ôsmich týždňoch podávania lieku s účinnou látkou infliximab nedostaví liečebný účinok.</w:t>
            </w:r>
          </w:p>
          <w:p w14:paraId="0A4D855D" w14:textId="78F21BD6" w:rsidR="00582357" w:rsidRPr="00582357" w:rsidRDefault="00582357" w:rsidP="00582357">
            <w:pPr>
              <w:tabs>
                <w:tab w:val="left" w:pos="3500"/>
                <w:tab w:val="left" w:pos="3920"/>
              </w:tabs>
              <w:rPr>
                <w:rFonts w:ascii="Arial" w:hAnsi="Arial" w:cs="Arial"/>
                <w:bCs/>
                <w:sz w:val="20"/>
                <w:szCs w:val="20"/>
              </w:rPr>
            </w:pPr>
          </w:p>
        </w:tc>
      </w:tr>
      <w:tr w:rsidR="001A6A20" w:rsidRPr="0000591E" w14:paraId="0C5CCCC5" w14:textId="77777777" w:rsidTr="00670FEC">
        <w:trPr>
          <w:trHeight w:val="20"/>
        </w:trPr>
        <w:tc>
          <w:tcPr>
            <w:tcW w:w="1277" w:type="dxa"/>
            <w:tcBorders>
              <w:top w:val="nil"/>
              <w:bottom w:val="single" w:sz="4" w:space="0" w:color="auto"/>
            </w:tcBorders>
            <w:noWrap/>
          </w:tcPr>
          <w:p w14:paraId="3A1067D0" w14:textId="2436B811" w:rsidR="001A6A20" w:rsidRPr="00E6635D" w:rsidRDefault="001A6A20" w:rsidP="0034061E">
            <w:pPr>
              <w:rPr>
                <w:rFonts w:ascii="Arial" w:hAnsi="Arial" w:cs="Arial"/>
                <w:b/>
                <w:bCs/>
                <w:sz w:val="20"/>
                <w:szCs w:val="20"/>
              </w:rPr>
            </w:pPr>
            <w:r w:rsidRPr="001A6A20">
              <w:rPr>
                <w:rFonts w:ascii="Arial" w:hAnsi="Arial" w:cs="Arial"/>
                <w:b/>
                <w:bCs/>
                <w:sz w:val="20"/>
                <w:szCs w:val="20"/>
              </w:rPr>
              <w:t>L04AB04</w:t>
            </w:r>
          </w:p>
        </w:tc>
        <w:tc>
          <w:tcPr>
            <w:tcW w:w="9355" w:type="dxa"/>
            <w:tcBorders>
              <w:top w:val="nil"/>
              <w:bottom w:val="single" w:sz="4" w:space="0" w:color="auto"/>
            </w:tcBorders>
          </w:tcPr>
          <w:p w14:paraId="34F39995" w14:textId="77777777" w:rsidR="001A6A20" w:rsidRPr="001A6A20" w:rsidRDefault="001A6A20" w:rsidP="001A6A20">
            <w:pPr>
              <w:tabs>
                <w:tab w:val="left" w:pos="3500"/>
                <w:tab w:val="left" w:pos="3920"/>
              </w:tabs>
              <w:rPr>
                <w:rFonts w:ascii="Arial" w:hAnsi="Arial" w:cs="Arial"/>
                <w:b/>
                <w:bCs/>
                <w:sz w:val="20"/>
                <w:szCs w:val="20"/>
              </w:rPr>
            </w:pPr>
            <w:r w:rsidRPr="001A6A20">
              <w:rPr>
                <w:rFonts w:ascii="Arial" w:hAnsi="Arial" w:cs="Arial"/>
                <w:b/>
                <w:bCs/>
                <w:sz w:val="20"/>
                <w:szCs w:val="20"/>
              </w:rPr>
              <w:t>Adalimumab parent. 40 mg</w:t>
            </w:r>
          </w:p>
          <w:p w14:paraId="0057B9C2" w14:textId="77777777" w:rsidR="001A6A20" w:rsidRPr="001A6A20" w:rsidRDefault="001A6A20" w:rsidP="001A6A20">
            <w:pPr>
              <w:tabs>
                <w:tab w:val="left" w:pos="3500"/>
                <w:tab w:val="left" w:pos="3920"/>
              </w:tabs>
              <w:rPr>
                <w:rFonts w:ascii="Arial" w:hAnsi="Arial" w:cs="Arial"/>
                <w:b/>
                <w:bCs/>
                <w:sz w:val="20"/>
                <w:szCs w:val="20"/>
              </w:rPr>
            </w:pPr>
            <w:r w:rsidRPr="001A6A20">
              <w:rPr>
                <w:rFonts w:ascii="Arial" w:hAnsi="Arial" w:cs="Arial"/>
                <w:b/>
                <w:bCs/>
                <w:sz w:val="20"/>
                <w:szCs w:val="20"/>
              </w:rPr>
              <w:t>Adalimumab parent. 80 mg</w:t>
            </w:r>
          </w:p>
          <w:p w14:paraId="226B605E" w14:textId="407DE5AC" w:rsidR="001A6A20" w:rsidRPr="00E6635D" w:rsidRDefault="001A6A20" w:rsidP="001A6A20">
            <w:pPr>
              <w:tabs>
                <w:tab w:val="left" w:pos="3500"/>
                <w:tab w:val="left" w:pos="3920"/>
              </w:tabs>
              <w:rPr>
                <w:rFonts w:ascii="Arial" w:hAnsi="Arial" w:cs="Arial"/>
                <w:b/>
                <w:bCs/>
                <w:sz w:val="20"/>
                <w:szCs w:val="20"/>
              </w:rPr>
            </w:pPr>
            <w:r w:rsidRPr="001A6A20">
              <w:rPr>
                <w:rFonts w:ascii="Arial" w:hAnsi="Arial" w:cs="Arial"/>
                <w:b/>
                <w:bCs/>
                <w:sz w:val="20"/>
                <w:szCs w:val="20"/>
              </w:rPr>
              <w:t>Adalimumab parent. pediatr. 20 mg</w:t>
            </w:r>
          </w:p>
        </w:tc>
      </w:tr>
      <w:tr w:rsidR="001A6A20" w:rsidRPr="0000591E" w14:paraId="6415C99A" w14:textId="77777777" w:rsidTr="00670FEC">
        <w:trPr>
          <w:trHeight w:val="20"/>
        </w:trPr>
        <w:tc>
          <w:tcPr>
            <w:tcW w:w="1277" w:type="dxa"/>
            <w:tcBorders>
              <w:top w:val="single" w:sz="4" w:space="0" w:color="auto"/>
              <w:bottom w:val="nil"/>
            </w:tcBorders>
            <w:noWrap/>
          </w:tcPr>
          <w:p w14:paraId="29980E4C" w14:textId="77777777" w:rsidR="001A6A20" w:rsidRPr="00E6635D" w:rsidRDefault="001A6A20" w:rsidP="0034061E">
            <w:pPr>
              <w:rPr>
                <w:rFonts w:ascii="Arial" w:hAnsi="Arial" w:cs="Arial"/>
                <w:b/>
                <w:bCs/>
                <w:sz w:val="20"/>
                <w:szCs w:val="20"/>
              </w:rPr>
            </w:pPr>
          </w:p>
        </w:tc>
        <w:tc>
          <w:tcPr>
            <w:tcW w:w="9355" w:type="dxa"/>
            <w:tcBorders>
              <w:top w:val="single" w:sz="4" w:space="0" w:color="auto"/>
              <w:bottom w:val="nil"/>
            </w:tcBorders>
          </w:tcPr>
          <w:p w14:paraId="214DB52B" w14:textId="4AC5EE38"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Hradenú liečbu môže indikovať po predchádzajúcom pneumologickom vyšetrení a</w:t>
            </w:r>
            <w:r>
              <w:rPr>
                <w:rFonts w:ascii="Arial" w:hAnsi="Arial" w:cs="Arial"/>
                <w:bCs/>
                <w:sz w:val="20"/>
                <w:szCs w:val="20"/>
              </w:rPr>
              <w:t> </w:t>
            </w:r>
            <w:r w:rsidRPr="001A6A20">
              <w:rPr>
                <w:rFonts w:ascii="Arial" w:hAnsi="Arial" w:cs="Arial"/>
                <w:bCs/>
                <w:sz w:val="20"/>
                <w:szCs w:val="20"/>
              </w:rPr>
              <w:t>vyšetrení</w:t>
            </w:r>
            <w:r>
              <w:rPr>
                <w:rFonts w:ascii="Arial" w:hAnsi="Arial" w:cs="Arial"/>
                <w:bCs/>
                <w:sz w:val="20"/>
                <w:szCs w:val="20"/>
              </w:rPr>
              <w:t xml:space="preserve"> </w:t>
            </w:r>
            <w:r w:rsidRPr="001A6A20">
              <w:rPr>
                <w:rFonts w:ascii="Arial" w:hAnsi="Arial" w:cs="Arial"/>
                <w:bCs/>
                <w:sz w:val="20"/>
                <w:szCs w:val="20"/>
              </w:rPr>
              <w:t>IGRA testom</w:t>
            </w:r>
          </w:p>
          <w:p w14:paraId="3D2BE619"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a) reumatológ alebo detský reumatológ pri:</w:t>
            </w:r>
          </w:p>
          <w:p w14:paraId="58271EC1"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1. aktívnej forme reumatoidnej artritídy, kde bola odpoveď na DMARDs, vrátane metotrexátu, nedostatočná,</w:t>
            </w:r>
          </w:p>
          <w:p w14:paraId="6FD3AB8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2. ťažkej, aktívnej a postupujúcej forme reumatoidnej artritídy, alebo pri kontraindikácii metotrexátu alebo iných DMARDs,</w:t>
            </w:r>
          </w:p>
          <w:p w14:paraId="26674217"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3. liečbe ťažkej, aktívnej a progresívnej formy reumatoidnej artritídy u dospelých pacientov, ktorí v minulosti neboli liečení metotrexátom,</w:t>
            </w:r>
          </w:p>
          <w:p w14:paraId="625F381B"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4. aktívnej a progresívnej psoriatickej artritíde u dospelých pacientov, ak bola odpoveď na DMARDs nedostatočná,</w:t>
            </w:r>
          </w:p>
          <w:p w14:paraId="79F85625"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5. ťažkej aktívnej ankylozujúcej spondylitíde, kde bola odpoveď na konvenčnú liečbu nedostatočná,</w:t>
            </w:r>
          </w:p>
          <w:p w14:paraId="470DD0B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6. aktívnej polyartikulárnej juvenilnej idiopatickej artritíde v kombinácii s metotrexátom u pacientov vo veku od 2 rokov, ktorí mali neadekvátnu odpoveď na jedno alebo viac ochorenie modifikujúcich antireumatík (Disease-Modifyig Antirheumatic Drugs - DMARDs). Liek sa môže</w:t>
            </w:r>
          </w:p>
          <w:p w14:paraId="780BC487"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podávať aj ako monoterapia v prípade intolerancie metotrexátu alebo ak je pokračovanie v liečbe metotrexátom nevhodné,</w:t>
            </w:r>
          </w:p>
          <w:p w14:paraId="767F7204"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7. aktívnej artritíde spojenej s entezitídou u pacientov vo veku 6 rokov a starších, ktorí mali nedostatočnú odpoveď na konvenčnú liečbu alebo ju netolerujú;</w:t>
            </w:r>
          </w:p>
          <w:p w14:paraId="1245F0C7"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8. liečbe dospelých pacientov s ťažkou axiálnou spondylartritídou bez radiografického dôkazu AS, ale s objektívnymi príznakmi zápalu so zvýšeným CRP a/alebo MRI, ktorí mali nedostatočnú odpoveď na nesteroidové protizápalové lieky alebo ich netolerujú.</w:t>
            </w:r>
          </w:p>
          <w:p w14:paraId="548B1734"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770604AC" w14:textId="77777777" w:rsidR="001A6A20" w:rsidRPr="001A6A20" w:rsidRDefault="001A6A20" w:rsidP="001A6A20">
            <w:pPr>
              <w:tabs>
                <w:tab w:val="left" w:pos="3500"/>
                <w:tab w:val="left" w:pos="3920"/>
              </w:tabs>
              <w:jc w:val="both"/>
              <w:rPr>
                <w:rFonts w:ascii="Arial" w:hAnsi="Arial" w:cs="Arial"/>
                <w:bCs/>
                <w:sz w:val="20"/>
                <w:szCs w:val="20"/>
              </w:rPr>
            </w:pPr>
          </w:p>
          <w:p w14:paraId="3CEE3212"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b) gastroenterológ a detský gastroenterológ:</w:t>
            </w:r>
          </w:p>
          <w:p w14:paraId="1903B27C"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1. pri ťažkej aktívnej Crohnovej chorobe a na udržanie remisie u pacientov, ktorí napriek úplnej a primeranej liečbe kortikosteroidom alebo imunosupresívom na túto liečbu neodpovedali, alebo ktorí túto liečbu netolerujú alebo je u nich táto liečba z liečebných dôvodov kontraindikovaná. Na úvod liečby sa má adalimumab podávať v kombinácii s kortikosteroidmi. Adalimumab sa môže podať ako monoterapia v prípade neznášanlivosti kortikosteroidov alebo keď pokračovanie liečby kortikosteroidmi nie je vhodné;</w:t>
            </w:r>
          </w:p>
          <w:p w14:paraId="3DE2FFA3"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2. pri stredne ťažkej až ťažkej aktívnej ulceróznej kolitíde u dospelých pacientov, u ktorých odpoveď na predchádzajúcu konvenčnú liečbu vrátane kortikosteroidov a 6-merkaptopurínu (6-MP) alebo azatioprinu (AZA) nebola dostatočná, alebo túto liečbu netolerujú, alebo je u nich</w:t>
            </w:r>
          </w:p>
          <w:p w14:paraId="4875D9B8"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táto liečba zdravotne kontraindikovaná;</w:t>
            </w:r>
          </w:p>
          <w:p w14:paraId="6C2E48F3" w14:textId="77E34085"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3. na liečbu stredne ťažkej až ťažkej aktívnej Crohnovej choroby u pediatrických pacientov (vo veku </w:t>
            </w:r>
            <w:r w:rsidR="00093F25">
              <w:rPr>
                <w:rFonts w:ascii="Arial" w:hAnsi="Arial" w:cs="Arial"/>
                <w:bCs/>
                <w:sz w:val="20"/>
                <w:szCs w:val="20"/>
              </w:rPr>
              <w:t xml:space="preserve">                 </w:t>
            </w:r>
            <w:r w:rsidRPr="001A6A20">
              <w:rPr>
                <w:rFonts w:ascii="Arial" w:hAnsi="Arial" w:cs="Arial"/>
                <w:bCs/>
                <w:sz w:val="20"/>
                <w:szCs w:val="20"/>
              </w:rPr>
              <w:t>od 6 rokov), ktorí mali neadekvátnu odpoveď na konvenčnú liečbu vrátane primárnej nutričnej liečby a kortikosteroidov a/alebo imunomodulátorov, alebo ktorí takúto liečbu</w:t>
            </w:r>
          </w:p>
          <w:p w14:paraId="46B17BB4"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netolerujú alebo je u nich kontraindikovaná</w:t>
            </w:r>
          </w:p>
          <w:p w14:paraId="21E371BF"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4. na liečbu stredne ťažkej až ťažkej aktívnej ulceróznej kolitídv u pediatrických pacientov (od 6 rokov), ktorí mali nedostatočnú odpoveď na konvenčnú liečbu vrátane kortikosteroidov a/alebo 6-merkaptopurínu (6-MP) alebo azatioprínu (AZA), alebo ktorí takúto liečbu netolerujú</w:t>
            </w:r>
          </w:p>
          <w:p w14:paraId="2D8F7F8F"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alebo je u nich kontraindikovaná.</w:t>
            </w:r>
          </w:p>
          <w:p w14:paraId="751D5C4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0268F226" w14:textId="77777777" w:rsidR="001A6A20" w:rsidRPr="001A6A20" w:rsidRDefault="001A6A20" w:rsidP="001A6A20">
            <w:pPr>
              <w:tabs>
                <w:tab w:val="left" w:pos="3500"/>
                <w:tab w:val="left" w:pos="3920"/>
              </w:tabs>
              <w:jc w:val="both"/>
              <w:rPr>
                <w:rFonts w:ascii="Arial" w:hAnsi="Arial" w:cs="Arial"/>
                <w:bCs/>
                <w:sz w:val="20"/>
                <w:szCs w:val="20"/>
              </w:rPr>
            </w:pPr>
          </w:p>
          <w:p w14:paraId="0F1E48B1"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c) dermatológ a detský dermatológ:</w:t>
            </w:r>
          </w:p>
          <w:p w14:paraId="6E1FF470" w14:textId="76517ECD"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1. u dospelých pacientov na liečbu stredne ťažkej až ťažkej chronickej</w:t>
            </w:r>
            <w:r>
              <w:rPr>
                <w:rFonts w:ascii="Arial" w:hAnsi="Arial" w:cs="Arial"/>
                <w:bCs/>
                <w:sz w:val="20"/>
                <w:szCs w:val="20"/>
              </w:rPr>
              <w:t xml:space="preserve"> </w:t>
            </w:r>
            <w:r w:rsidRPr="001A6A20">
              <w:rPr>
                <w:rFonts w:ascii="Arial" w:hAnsi="Arial" w:cs="Arial"/>
                <w:bCs/>
                <w:sz w:val="20"/>
                <w:szCs w:val="20"/>
              </w:rPr>
              <w:t>plakovej psoriázy, ktorí neodpovedali na inú systémovú liečbu, vrátane</w:t>
            </w:r>
            <w:r>
              <w:rPr>
                <w:rFonts w:ascii="Arial" w:hAnsi="Arial" w:cs="Arial"/>
                <w:bCs/>
                <w:sz w:val="20"/>
                <w:szCs w:val="20"/>
              </w:rPr>
              <w:t xml:space="preserve"> </w:t>
            </w:r>
            <w:r w:rsidRPr="001A6A20">
              <w:rPr>
                <w:rFonts w:ascii="Arial" w:hAnsi="Arial" w:cs="Arial"/>
                <w:bCs/>
                <w:sz w:val="20"/>
                <w:szCs w:val="20"/>
              </w:rPr>
              <w:t>cyklosporínu, metotrexátu alebo PUVA, alebo u ktorých je táto liečba</w:t>
            </w:r>
            <w:r>
              <w:rPr>
                <w:rFonts w:ascii="Arial" w:hAnsi="Arial" w:cs="Arial"/>
                <w:bCs/>
                <w:sz w:val="20"/>
                <w:szCs w:val="20"/>
              </w:rPr>
              <w:t xml:space="preserve"> </w:t>
            </w:r>
            <w:r w:rsidRPr="001A6A20">
              <w:rPr>
                <w:rFonts w:ascii="Arial" w:hAnsi="Arial" w:cs="Arial"/>
                <w:bCs/>
                <w:sz w:val="20"/>
                <w:szCs w:val="20"/>
              </w:rPr>
              <w:t>kontraindikovaná alebo ju neznášajú;</w:t>
            </w:r>
          </w:p>
          <w:p w14:paraId="7A5B7F0A" w14:textId="78C3D5E0"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Ďalšia liečba nie je hradenou liečbou, ak sa po šestnástich týždňoch</w:t>
            </w:r>
            <w:r>
              <w:rPr>
                <w:rFonts w:ascii="Arial" w:hAnsi="Arial" w:cs="Arial"/>
                <w:bCs/>
                <w:sz w:val="20"/>
                <w:szCs w:val="20"/>
              </w:rPr>
              <w:t xml:space="preserve"> </w:t>
            </w:r>
            <w:r w:rsidRPr="001A6A20">
              <w:rPr>
                <w:rFonts w:ascii="Arial" w:hAnsi="Arial" w:cs="Arial"/>
                <w:bCs/>
                <w:sz w:val="20"/>
                <w:szCs w:val="20"/>
              </w:rPr>
              <w:t>podávania lieku s účinnou látkou adalimumab nedostaví liečebný účinok.</w:t>
            </w:r>
          </w:p>
          <w:p w14:paraId="28A03098" w14:textId="737A1C30"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2. na liečbu aktívnej stredne závažnej až závažnej hidradenitis suppurativa</w:t>
            </w:r>
            <w:r>
              <w:rPr>
                <w:rFonts w:ascii="Arial" w:hAnsi="Arial" w:cs="Arial"/>
                <w:bCs/>
                <w:sz w:val="20"/>
                <w:szCs w:val="20"/>
              </w:rPr>
              <w:t xml:space="preserve"> </w:t>
            </w:r>
            <w:r w:rsidRPr="001A6A20">
              <w:rPr>
                <w:rFonts w:ascii="Arial" w:hAnsi="Arial" w:cs="Arial"/>
                <w:bCs/>
                <w:sz w:val="20"/>
                <w:szCs w:val="20"/>
              </w:rPr>
              <w:t>(acne inversa) u dospelých a dospievajúcich vo veku od 12 rokov, ktorí</w:t>
            </w:r>
            <w:r>
              <w:rPr>
                <w:rFonts w:ascii="Arial" w:hAnsi="Arial" w:cs="Arial"/>
                <w:bCs/>
                <w:sz w:val="20"/>
                <w:szCs w:val="20"/>
              </w:rPr>
              <w:t xml:space="preserve"> </w:t>
            </w:r>
            <w:r w:rsidRPr="001A6A20">
              <w:rPr>
                <w:rFonts w:ascii="Arial" w:hAnsi="Arial" w:cs="Arial"/>
                <w:bCs/>
                <w:sz w:val="20"/>
                <w:szCs w:val="20"/>
              </w:rPr>
              <w:t>mali nedostatočnú odpoveď na konvenčnú systémovú HS terapiu.</w:t>
            </w:r>
          </w:p>
          <w:p w14:paraId="74EA45E3" w14:textId="49599798"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je ukončená okamžite, akonáhle je v 12. týždni alebo</w:t>
            </w:r>
            <w:r>
              <w:rPr>
                <w:rFonts w:ascii="Arial" w:hAnsi="Arial" w:cs="Arial"/>
                <w:bCs/>
                <w:sz w:val="20"/>
                <w:szCs w:val="20"/>
              </w:rPr>
              <w:t xml:space="preserve"> </w:t>
            </w:r>
            <w:r w:rsidRPr="001A6A20">
              <w:rPr>
                <w:rFonts w:ascii="Arial" w:hAnsi="Arial" w:cs="Arial"/>
                <w:bCs/>
                <w:sz w:val="20"/>
                <w:szCs w:val="20"/>
              </w:rPr>
              <w:t>neskôr zaznamenaná nedostatočná klinická odpoveď - redukcia abscesov</w:t>
            </w:r>
            <w:r>
              <w:rPr>
                <w:rFonts w:ascii="Arial" w:hAnsi="Arial" w:cs="Arial"/>
                <w:bCs/>
                <w:sz w:val="20"/>
                <w:szCs w:val="20"/>
              </w:rPr>
              <w:t xml:space="preserve"> </w:t>
            </w:r>
            <w:r w:rsidRPr="001A6A20">
              <w:rPr>
                <w:rFonts w:ascii="Arial" w:hAnsi="Arial" w:cs="Arial"/>
                <w:bCs/>
                <w:sz w:val="20"/>
                <w:szCs w:val="20"/>
              </w:rPr>
              <w:t>a zápalových nodulov o menej ako 25%.</w:t>
            </w:r>
          </w:p>
          <w:p w14:paraId="5A880B4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3. na liečbu ťažkej chronickej ložiskovej psoriázy u detí a dospievajúcich</w:t>
            </w:r>
          </w:p>
          <w:p w14:paraId="04065056" w14:textId="4C97BC9D"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vo veku od 4 rokov, ktorí mali nedostatočnú odpoveď na lokálnu liečbu a</w:t>
            </w:r>
            <w:r>
              <w:rPr>
                <w:rFonts w:ascii="Arial" w:hAnsi="Arial" w:cs="Arial"/>
                <w:bCs/>
                <w:sz w:val="20"/>
                <w:szCs w:val="20"/>
              </w:rPr>
              <w:t xml:space="preserve"> </w:t>
            </w:r>
            <w:r w:rsidRPr="001A6A20">
              <w:rPr>
                <w:rFonts w:ascii="Arial" w:hAnsi="Arial" w:cs="Arial"/>
                <w:bCs/>
                <w:sz w:val="20"/>
                <w:szCs w:val="20"/>
              </w:rPr>
              <w:t>fototerapie alebo sú nevhodnými kandidátmi na tieto terapie.</w:t>
            </w:r>
          </w:p>
          <w:p w14:paraId="43B0DC03"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72F54451" w14:textId="77777777" w:rsidR="001A6A20" w:rsidRPr="001A6A20" w:rsidRDefault="001A6A20" w:rsidP="001A6A20">
            <w:pPr>
              <w:tabs>
                <w:tab w:val="left" w:pos="3500"/>
                <w:tab w:val="left" w:pos="3920"/>
              </w:tabs>
              <w:jc w:val="both"/>
              <w:rPr>
                <w:rFonts w:ascii="Arial" w:hAnsi="Arial" w:cs="Arial"/>
                <w:bCs/>
                <w:sz w:val="20"/>
                <w:szCs w:val="20"/>
              </w:rPr>
            </w:pPr>
          </w:p>
          <w:p w14:paraId="464ACBF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d) oftalmológ alebo detský oftalmológ:</w:t>
            </w:r>
          </w:p>
          <w:p w14:paraId="3FBDE305" w14:textId="2EACE63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1. na liečbu neinfekčnej intermediárnej a posteriórnej uveitídy a</w:t>
            </w:r>
            <w:r>
              <w:rPr>
                <w:rFonts w:ascii="Arial" w:hAnsi="Arial" w:cs="Arial"/>
                <w:bCs/>
                <w:sz w:val="20"/>
                <w:szCs w:val="20"/>
              </w:rPr>
              <w:t xml:space="preserve"> </w:t>
            </w:r>
            <w:r w:rsidRPr="001A6A20">
              <w:rPr>
                <w:rFonts w:ascii="Arial" w:hAnsi="Arial" w:cs="Arial"/>
                <w:bCs/>
                <w:sz w:val="20"/>
                <w:szCs w:val="20"/>
              </w:rPr>
              <w:t>panuveitídy u dospelých pacientov, u ktorých odpoveď na</w:t>
            </w:r>
            <w:r>
              <w:rPr>
                <w:rFonts w:ascii="Arial" w:hAnsi="Arial" w:cs="Arial"/>
                <w:bCs/>
                <w:sz w:val="20"/>
                <w:szCs w:val="20"/>
              </w:rPr>
              <w:t xml:space="preserve"> </w:t>
            </w:r>
            <w:r w:rsidRPr="001A6A20">
              <w:rPr>
                <w:rFonts w:ascii="Arial" w:hAnsi="Arial" w:cs="Arial"/>
                <w:bCs/>
                <w:sz w:val="20"/>
                <w:szCs w:val="20"/>
              </w:rPr>
              <w:t>kortikosteroidy nebola dostatočná a u pacientov,u ktorých sa vyžaduje</w:t>
            </w:r>
            <w:r>
              <w:rPr>
                <w:rFonts w:ascii="Arial" w:hAnsi="Arial" w:cs="Arial"/>
                <w:bCs/>
                <w:sz w:val="20"/>
                <w:szCs w:val="20"/>
              </w:rPr>
              <w:t xml:space="preserve"> </w:t>
            </w:r>
            <w:r w:rsidRPr="001A6A20">
              <w:rPr>
                <w:rFonts w:ascii="Arial" w:hAnsi="Arial" w:cs="Arial"/>
                <w:bCs/>
                <w:sz w:val="20"/>
                <w:szCs w:val="20"/>
              </w:rPr>
              <w:t>šetrenie kortikosteroidmi alebo u ktorých liečba kortikosteroidmi nie je</w:t>
            </w:r>
            <w:r>
              <w:rPr>
                <w:rFonts w:ascii="Arial" w:hAnsi="Arial" w:cs="Arial"/>
                <w:bCs/>
                <w:sz w:val="20"/>
                <w:szCs w:val="20"/>
              </w:rPr>
              <w:t xml:space="preserve"> </w:t>
            </w:r>
            <w:r w:rsidRPr="001A6A20">
              <w:rPr>
                <w:rFonts w:ascii="Arial" w:hAnsi="Arial" w:cs="Arial"/>
                <w:bCs/>
                <w:sz w:val="20"/>
                <w:szCs w:val="20"/>
              </w:rPr>
              <w:t>vhodná;</w:t>
            </w:r>
          </w:p>
          <w:p w14:paraId="1FBF472F" w14:textId="4559E51E"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2. na liečbu chronickej neinfekčnej anteriórnej uveitídy u</w:t>
            </w:r>
            <w:r>
              <w:rPr>
                <w:rFonts w:ascii="Arial" w:hAnsi="Arial" w:cs="Arial"/>
                <w:bCs/>
                <w:sz w:val="20"/>
                <w:szCs w:val="20"/>
              </w:rPr>
              <w:t> </w:t>
            </w:r>
            <w:r w:rsidRPr="001A6A20">
              <w:rPr>
                <w:rFonts w:ascii="Arial" w:hAnsi="Arial" w:cs="Arial"/>
                <w:bCs/>
                <w:sz w:val="20"/>
                <w:szCs w:val="20"/>
              </w:rPr>
              <w:t>pediatrických</w:t>
            </w:r>
            <w:r>
              <w:rPr>
                <w:rFonts w:ascii="Arial" w:hAnsi="Arial" w:cs="Arial"/>
                <w:bCs/>
                <w:sz w:val="20"/>
                <w:szCs w:val="20"/>
              </w:rPr>
              <w:t xml:space="preserve"> </w:t>
            </w:r>
            <w:r w:rsidRPr="001A6A20">
              <w:rPr>
                <w:rFonts w:ascii="Arial" w:hAnsi="Arial" w:cs="Arial"/>
                <w:bCs/>
                <w:sz w:val="20"/>
                <w:szCs w:val="20"/>
              </w:rPr>
              <w:t>pacientov vo veku od 2 rokov, ktorí mali nedostatočnú odpoveď na</w:t>
            </w:r>
            <w:r>
              <w:rPr>
                <w:rFonts w:ascii="Arial" w:hAnsi="Arial" w:cs="Arial"/>
                <w:bCs/>
                <w:sz w:val="20"/>
                <w:szCs w:val="20"/>
              </w:rPr>
              <w:t xml:space="preserve"> </w:t>
            </w:r>
            <w:r w:rsidRPr="001A6A20">
              <w:rPr>
                <w:rFonts w:ascii="Arial" w:hAnsi="Arial" w:cs="Arial"/>
                <w:bCs/>
                <w:sz w:val="20"/>
                <w:szCs w:val="20"/>
              </w:rPr>
              <w:t>konvenčnú liečbu alebo ju netolerujú, alebo u ktorých je konvenčná</w:t>
            </w:r>
          </w:p>
          <w:p w14:paraId="081A91DF"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liečba nevhodná.</w:t>
            </w:r>
          </w:p>
          <w:p w14:paraId="7BF28F71"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496934A7" w14:textId="77777777" w:rsidR="001A6A20" w:rsidRPr="001A6A20" w:rsidRDefault="001A6A20" w:rsidP="001A6A20">
            <w:pPr>
              <w:tabs>
                <w:tab w:val="left" w:pos="3500"/>
                <w:tab w:val="left" w:pos="3920"/>
              </w:tabs>
              <w:jc w:val="both"/>
              <w:rPr>
                <w:rFonts w:ascii="Arial" w:hAnsi="Arial" w:cs="Arial"/>
                <w:bCs/>
                <w:sz w:val="20"/>
                <w:szCs w:val="20"/>
              </w:rPr>
            </w:pPr>
          </w:p>
        </w:tc>
      </w:tr>
      <w:tr w:rsidR="00EC5FCB" w:rsidRPr="0000591E" w14:paraId="7798568C" w14:textId="77777777" w:rsidTr="00670FEC">
        <w:trPr>
          <w:trHeight w:val="20"/>
        </w:trPr>
        <w:tc>
          <w:tcPr>
            <w:tcW w:w="1277" w:type="dxa"/>
            <w:tcBorders>
              <w:top w:val="nil"/>
              <w:bottom w:val="single" w:sz="4" w:space="0" w:color="auto"/>
            </w:tcBorders>
            <w:noWrap/>
          </w:tcPr>
          <w:p w14:paraId="3E4F5057" w14:textId="6370CEE4" w:rsidR="00EC5FCB" w:rsidRPr="00E6635D" w:rsidRDefault="00EC5FCB" w:rsidP="0034061E">
            <w:pPr>
              <w:rPr>
                <w:rFonts w:ascii="Arial" w:hAnsi="Arial" w:cs="Arial"/>
                <w:b/>
                <w:bCs/>
                <w:sz w:val="20"/>
                <w:szCs w:val="20"/>
              </w:rPr>
            </w:pPr>
            <w:r w:rsidRPr="00EC5FCB">
              <w:rPr>
                <w:rFonts w:ascii="Arial" w:hAnsi="Arial" w:cs="Arial"/>
                <w:b/>
                <w:bCs/>
                <w:sz w:val="20"/>
                <w:szCs w:val="20"/>
              </w:rPr>
              <w:t>L04AB05</w:t>
            </w:r>
          </w:p>
        </w:tc>
        <w:tc>
          <w:tcPr>
            <w:tcW w:w="9355" w:type="dxa"/>
            <w:tcBorders>
              <w:top w:val="nil"/>
              <w:bottom w:val="single" w:sz="4" w:space="0" w:color="auto"/>
            </w:tcBorders>
          </w:tcPr>
          <w:p w14:paraId="03CA0116" w14:textId="77E338F3" w:rsidR="00EC5FCB" w:rsidRPr="00E6635D" w:rsidRDefault="00C72446" w:rsidP="001237BD">
            <w:pPr>
              <w:tabs>
                <w:tab w:val="left" w:pos="3500"/>
                <w:tab w:val="left" w:pos="3920"/>
              </w:tabs>
              <w:rPr>
                <w:rFonts w:ascii="Arial" w:hAnsi="Arial" w:cs="Arial"/>
                <w:b/>
                <w:bCs/>
                <w:sz w:val="20"/>
                <w:szCs w:val="20"/>
              </w:rPr>
            </w:pPr>
            <w:r w:rsidRPr="00C72446">
              <w:rPr>
                <w:rFonts w:ascii="Arial" w:hAnsi="Arial" w:cs="Arial"/>
                <w:b/>
                <w:bCs/>
                <w:sz w:val="20"/>
                <w:szCs w:val="20"/>
              </w:rPr>
              <w:t>Certolizumab parent. 200 mg</w:t>
            </w:r>
          </w:p>
        </w:tc>
      </w:tr>
      <w:tr w:rsidR="00EC5FCB" w:rsidRPr="0000591E" w14:paraId="42AD1FC1" w14:textId="77777777" w:rsidTr="00670FEC">
        <w:trPr>
          <w:trHeight w:val="20"/>
        </w:trPr>
        <w:tc>
          <w:tcPr>
            <w:tcW w:w="1277" w:type="dxa"/>
            <w:tcBorders>
              <w:top w:val="single" w:sz="4" w:space="0" w:color="auto"/>
              <w:bottom w:val="nil"/>
            </w:tcBorders>
            <w:noWrap/>
          </w:tcPr>
          <w:p w14:paraId="4165CA36" w14:textId="77777777" w:rsidR="00EC5FCB" w:rsidRPr="00E6635D" w:rsidRDefault="00EC5FCB" w:rsidP="0034061E">
            <w:pPr>
              <w:rPr>
                <w:rFonts w:ascii="Arial" w:hAnsi="Arial" w:cs="Arial"/>
                <w:b/>
                <w:bCs/>
                <w:sz w:val="20"/>
                <w:szCs w:val="20"/>
              </w:rPr>
            </w:pPr>
          </w:p>
        </w:tc>
        <w:tc>
          <w:tcPr>
            <w:tcW w:w="9355" w:type="dxa"/>
            <w:tcBorders>
              <w:top w:val="single" w:sz="4" w:space="0" w:color="auto"/>
              <w:bottom w:val="nil"/>
            </w:tcBorders>
          </w:tcPr>
          <w:p w14:paraId="152D8588"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Hradenú liečbu môže indikovať po predchádzajúcom pneumologickom vyšetrení a vyšetrení IGRA testom: </w:t>
            </w:r>
          </w:p>
          <w:p w14:paraId="0E687B17" w14:textId="77777777" w:rsidR="00C72446" w:rsidRPr="00C72446" w:rsidRDefault="00C72446" w:rsidP="00C72446">
            <w:pPr>
              <w:tabs>
                <w:tab w:val="left" w:pos="3500"/>
                <w:tab w:val="left" w:pos="3920"/>
              </w:tabs>
              <w:rPr>
                <w:rFonts w:ascii="Arial" w:hAnsi="Arial" w:cs="Arial"/>
                <w:bCs/>
                <w:sz w:val="20"/>
                <w:szCs w:val="20"/>
              </w:rPr>
            </w:pPr>
          </w:p>
          <w:p w14:paraId="5946DC2C" w14:textId="1EB4F6B6" w:rsidR="00C72446" w:rsidRPr="00C72446" w:rsidRDefault="00C72446" w:rsidP="00464C69">
            <w:pPr>
              <w:tabs>
                <w:tab w:val="left" w:pos="3500"/>
                <w:tab w:val="left" w:pos="3920"/>
              </w:tabs>
              <w:ind w:hanging="104"/>
              <w:rPr>
                <w:rFonts w:ascii="Arial" w:hAnsi="Arial" w:cs="Arial"/>
                <w:bCs/>
                <w:sz w:val="20"/>
                <w:szCs w:val="20"/>
              </w:rPr>
            </w:pPr>
            <w:r w:rsidRPr="00C72446">
              <w:rPr>
                <w:rFonts w:ascii="Arial" w:hAnsi="Arial" w:cs="Arial"/>
                <w:bCs/>
                <w:sz w:val="20"/>
                <w:szCs w:val="20"/>
              </w:rPr>
              <w:t>a)</w:t>
            </w:r>
            <w:r>
              <w:rPr>
                <w:rFonts w:ascii="Arial" w:hAnsi="Arial" w:cs="Arial"/>
                <w:bCs/>
                <w:sz w:val="20"/>
                <w:szCs w:val="20"/>
              </w:rPr>
              <w:t xml:space="preserve"> </w:t>
            </w:r>
            <w:r w:rsidRPr="00C72446">
              <w:rPr>
                <w:rFonts w:ascii="Arial" w:hAnsi="Arial" w:cs="Arial"/>
                <w:bCs/>
                <w:sz w:val="20"/>
                <w:szCs w:val="20"/>
              </w:rPr>
              <w:t xml:space="preserve">reumatológ u dospelých pacientov pri </w:t>
            </w:r>
          </w:p>
          <w:p w14:paraId="64727265" w14:textId="2A5220EE"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1. aktívnej forme reumatoidnej artritídy v kombinácii s metotrexátom, keď je odpoveď na ntireumatiká modifikujúce ochorenie (DMARDs), vrátane metotrexátu, nedostatočná,</w:t>
            </w:r>
          </w:p>
          <w:p w14:paraId="159B7FA2" w14:textId="0EBCCC3A"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2. ťažkej, aktívnej a postupujúcej forme reumatoidnej artritídy v monoterapii v prípade intolerancie metotrexátu, alebo keď pokračovanie v liečbe metotrexátom nie je vhodné, </w:t>
            </w:r>
          </w:p>
          <w:p w14:paraId="097C35C2" w14:textId="1C8F2888"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3. aktívnej a progresívnej psoriatickej artritíde u dospelých pacientov, ak bola odpoveď na DMARDs nedostatočná, </w:t>
            </w:r>
          </w:p>
          <w:p w14:paraId="7D270706" w14:textId="0DDD8051"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4. ťažkej aktívnej ankylozujúcej spondylitíde, kde bola odpoveď na konvenčnú liečbu nedostatočná, </w:t>
            </w:r>
          </w:p>
          <w:p w14:paraId="5D45702F" w14:textId="4A1EBC7E"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5. liečba dospelých pacientov s ťažkou axiálnou spondylartritídou bez radiografického dôkazu AS, ale s objektívnymi príznakmi zápalu so zvýšeným CRP a/alebo MRI, ktorí mali nedostatočnú odpoveď na nesteroidové protizápaloví lieky alebo ich netolerujú;</w:t>
            </w:r>
          </w:p>
          <w:p w14:paraId="4BED906B" w14:textId="77777777" w:rsidR="00C72446" w:rsidRPr="00C72446" w:rsidRDefault="00C72446" w:rsidP="00C72446">
            <w:pPr>
              <w:tabs>
                <w:tab w:val="left" w:pos="3500"/>
                <w:tab w:val="left" w:pos="3920"/>
              </w:tabs>
              <w:rPr>
                <w:rFonts w:ascii="Arial" w:hAnsi="Arial" w:cs="Arial"/>
                <w:bCs/>
                <w:sz w:val="20"/>
                <w:szCs w:val="20"/>
              </w:rPr>
            </w:pPr>
          </w:p>
          <w:p w14:paraId="73CA2E70"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Hradená liečba podlieha predchádzajúcemu súhlasu zdravotnej poisťovne. </w:t>
            </w:r>
          </w:p>
          <w:p w14:paraId="2E646929" w14:textId="77777777" w:rsidR="00C72446" w:rsidRPr="00C72446" w:rsidRDefault="00C72446" w:rsidP="00C72446">
            <w:pPr>
              <w:tabs>
                <w:tab w:val="left" w:pos="3500"/>
                <w:tab w:val="left" w:pos="3920"/>
              </w:tabs>
              <w:rPr>
                <w:rFonts w:ascii="Arial" w:hAnsi="Arial" w:cs="Arial"/>
                <w:bCs/>
                <w:sz w:val="20"/>
                <w:szCs w:val="20"/>
              </w:rPr>
            </w:pPr>
          </w:p>
          <w:p w14:paraId="5D232814"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Ďalšia liečba nie je hradenou liečbou, ak sa po dvanástich týždňoch podávania lieku s účinnou látkou certolizumab nedostaví liečebný účinok. </w:t>
            </w:r>
          </w:p>
          <w:p w14:paraId="28C56D78" w14:textId="77777777" w:rsidR="00C72446" w:rsidRPr="00C72446" w:rsidRDefault="00C72446" w:rsidP="00C72446">
            <w:pPr>
              <w:tabs>
                <w:tab w:val="left" w:pos="3500"/>
                <w:tab w:val="left" w:pos="3920"/>
              </w:tabs>
              <w:rPr>
                <w:rFonts w:ascii="Arial" w:hAnsi="Arial" w:cs="Arial"/>
                <w:bCs/>
                <w:sz w:val="20"/>
                <w:szCs w:val="20"/>
              </w:rPr>
            </w:pPr>
          </w:p>
          <w:p w14:paraId="39056524" w14:textId="7837AD4B" w:rsidR="00C72446" w:rsidRPr="00C72446" w:rsidRDefault="00C72446" w:rsidP="00464C69">
            <w:pPr>
              <w:tabs>
                <w:tab w:val="left" w:pos="3500"/>
                <w:tab w:val="left" w:pos="3920"/>
              </w:tabs>
              <w:ind w:left="179" w:hanging="283"/>
              <w:jc w:val="both"/>
              <w:rPr>
                <w:rFonts w:ascii="Arial" w:hAnsi="Arial" w:cs="Arial"/>
                <w:bCs/>
                <w:sz w:val="20"/>
                <w:szCs w:val="20"/>
              </w:rPr>
            </w:pPr>
            <w:r w:rsidRPr="00C72446">
              <w:rPr>
                <w:rFonts w:ascii="Arial" w:hAnsi="Arial" w:cs="Arial"/>
                <w:bCs/>
                <w:sz w:val="20"/>
                <w:szCs w:val="20"/>
              </w:rPr>
              <w:t>b)</w:t>
            </w:r>
            <w:r>
              <w:rPr>
                <w:rFonts w:ascii="Arial" w:hAnsi="Arial" w:cs="Arial"/>
                <w:bCs/>
                <w:sz w:val="20"/>
                <w:szCs w:val="20"/>
              </w:rPr>
              <w:t xml:space="preserve"> </w:t>
            </w:r>
            <w:r w:rsidRPr="00C72446">
              <w:rPr>
                <w:rFonts w:ascii="Arial" w:hAnsi="Arial" w:cs="Arial"/>
                <w:bCs/>
                <w:sz w:val="20"/>
                <w:szCs w:val="20"/>
              </w:rPr>
              <w:t>dermatológ ako liek v prvej línii biologickej liečby u tehotných a dojčiacich žien na liečbu stredne závažnej až závažnej chronickej ložiskovej psoriázy, ktorí neodpovedali na inú systémovú liečbu, vrátane cyklosporínu, metotrexátu alebo PUVA, alebo u ktorých je táto liečba kontraindikovaná alebo ju neznášajú.</w:t>
            </w:r>
          </w:p>
          <w:p w14:paraId="1F05FA09" w14:textId="77777777" w:rsidR="00C72446" w:rsidRPr="00C72446" w:rsidRDefault="00C72446" w:rsidP="00C72446">
            <w:pPr>
              <w:tabs>
                <w:tab w:val="left" w:pos="3500"/>
                <w:tab w:val="left" w:pos="3920"/>
              </w:tabs>
              <w:rPr>
                <w:rFonts w:ascii="Arial" w:hAnsi="Arial" w:cs="Arial"/>
                <w:bCs/>
                <w:sz w:val="20"/>
                <w:szCs w:val="20"/>
              </w:rPr>
            </w:pPr>
          </w:p>
          <w:p w14:paraId="4355EA96"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Liečba je hradená v udržiavacej dávke maximálne 200 mg každé 2 týždne.</w:t>
            </w:r>
          </w:p>
          <w:p w14:paraId="521542A0" w14:textId="77777777" w:rsidR="00C72446" w:rsidRPr="00C72446" w:rsidRDefault="00C72446" w:rsidP="00C72446">
            <w:pPr>
              <w:tabs>
                <w:tab w:val="left" w:pos="3500"/>
                <w:tab w:val="left" w:pos="3920"/>
              </w:tabs>
              <w:rPr>
                <w:rFonts w:ascii="Arial" w:hAnsi="Arial" w:cs="Arial"/>
                <w:bCs/>
                <w:sz w:val="20"/>
                <w:szCs w:val="20"/>
              </w:rPr>
            </w:pPr>
          </w:p>
          <w:p w14:paraId="14A9CE91"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Hradená liečba podlieha predchádzajúcemu súhlasu zdravotnej poisťovne. </w:t>
            </w:r>
          </w:p>
          <w:p w14:paraId="51664D5E" w14:textId="77777777" w:rsidR="00C72446" w:rsidRPr="00C72446" w:rsidRDefault="00C72446" w:rsidP="00C72446">
            <w:pPr>
              <w:tabs>
                <w:tab w:val="left" w:pos="3500"/>
                <w:tab w:val="left" w:pos="3920"/>
              </w:tabs>
              <w:rPr>
                <w:rFonts w:ascii="Arial" w:hAnsi="Arial" w:cs="Arial"/>
                <w:bCs/>
                <w:sz w:val="20"/>
                <w:szCs w:val="20"/>
              </w:rPr>
            </w:pPr>
          </w:p>
          <w:p w14:paraId="5CB2EDEE" w14:textId="77777777" w:rsidR="00C72446" w:rsidRPr="00C72446" w:rsidRDefault="00C72446" w:rsidP="00C72446">
            <w:pPr>
              <w:tabs>
                <w:tab w:val="left" w:pos="3500"/>
                <w:tab w:val="left" w:pos="3920"/>
              </w:tabs>
              <w:jc w:val="both"/>
              <w:rPr>
                <w:rFonts w:ascii="Arial" w:hAnsi="Arial" w:cs="Arial"/>
                <w:bCs/>
                <w:sz w:val="20"/>
                <w:szCs w:val="20"/>
              </w:rPr>
            </w:pPr>
            <w:r w:rsidRPr="00C72446">
              <w:rPr>
                <w:rFonts w:ascii="Arial" w:hAnsi="Arial" w:cs="Arial"/>
                <w:bCs/>
                <w:sz w:val="20"/>
                <w:szCs w:val="20"/>
              </w:rPr>
              <w:t xml:space="preserve">Ďalšia liečba nie je hradenou liečbou, ak sa po šestnástich týždňoch podávania lieku s účinnou látkou certolizumab nedostaví liečebný účinok. </w:t>
            </w:r>
          </w:p>
          <w:p w14:paraId="790B5447" w14:textId="77777777" w:rsidR="00EC5FCB" w:rsidRPr="00C72446" w:rsidRDefault="00EC5FCB" w:rsidP="001237BD">
            <w:pPr>
              <w:tabs>
                <w:tab w:val="left" w:pos="3500"/>
                <w:tab w:val="left" w:pos="3920"/>
              </w:tabs>
              <w:rPr>
                <w:rFonts w:ascii="Arial" w:hAnsi="Arial" w:cs="Arial"/>
                <w:bCs/>
                <w:sz w:val="20"/>
                <w:szCs w:val="20"/>
              </w:rPr>
            </w:pPr>
          </w:p>
        </w:tc>
      </w:tr>
      <w:tr w:rsidR="00BB3DE9" w:rsidRPr="0000591E" w14:paraId="6E8D7571" w14:textId="77777777" w:rsidTr="00670FEC">
        <w:trPr>
          <w:trHeight w:val="20"/>
        </w:trPr>
        <w:tc>
          <w:tcPr>
            <w:tcW w:w="1277" w:type="dxa"/>
            <w:tcBorders>
              <w:top w:val="nil"/>
              <w:bottom w:val="single" w:sz="4" w:space="0" w:color="auto"/>
            </w:tcBorders>
            <w:noWrap/>
          </w:tcPr>
          <w:p w14:paraId="61E754A7" w14:textId="5365FE5D" w:rsidR="00BB3DE9" w:rsidRPr="00E6635D" w:rsidRDefault="00BB3DE9" w:rsidP="00BB3DE9">
            <w:pPr>
              <w:tabs>
                <w:tab w:val="left" w:pos="850"/>
              </w:tabs>
              <w:rPr>
                <w:rFonts w:ascii="Arial" w:hAnsi="Arial" w:cs="Arial"/>
                <w:b/>
                <w:bCs/>
                <w:sz w:val="20"/>
                <w:szCs w:val="20"/>
              </w:rPr>
            </w:pPr>
            <w:r w:rsidRPr="00BB3DE9">
              <w:rPr>
                <w:rFonts w:ascii="Arial" w:hAnsi="Arial" w:cs="Arial"/>
                <w:b/>
                <w:bCs/>
                <w:sz w:val="20"/>
                <w:szCs w:val="20"/>
              </w:rPr>
              <w:t>L04AB06</w:t>
            </w:r>
          </w:p>
        </w:tc>
        <w:tc>
          <w:tcPr>
            <w:tcW w:w="9355" w:type="dxa"/>
            <w:tcBorders>
              <w:top w:val="nil"/>
              <w:bottom w:val="single" w:sz="4" w:space="0" w:color="auto"/>
            </w:tcBorders>
          </w:tcPr>
          <w:p w14:paraId="02A77DB0" w14:textId="6375281F" w:rsidR="00BB3DE9" w:rsidRPr="00E6635D" w:rsidRDefault="00EF74FC" w:rsidP="001237BD">
            <w:pPr>
              <w:tabs>
                <w:tab w:val="left" w:pos="3500"/>
                <w:tab w:val="left" w:pos="3920"/>
              </w:tabs>
              <w:rPr>
                <w:rFonts w:ascii="Arial" w:hAnsi="Arial" w:cs="Arial"/>
                <w:b/>
                <w:bCs/>
                <w:sz w:val="20"/>
                <w:szCs w:val="20"/>
              </w:rPr>
            </w:pPr>
            <w:r w:rsidRPr="00EF74FC">
              <w:rPr>
                <w:rFonts w:ascii="Arial" w:hAnsi="Arial" w:cs="Arial"/>
                <w:b/>
                <w:bCs/>
                <w:sz w:val="20"/>
                <w:szCs w:val="20"/>
              </w:rPr>
              <w:t>Golimumab parent. 50 mg</w:t>
            </w:r>
          </w:p>
        </w:tc>
      </w:tr>
      <w:tr w:rsidR="00BB3DE9" w:rsidRPr="0000591E" w14:paraId="5F980F9E" w14:textId="77777777" w:rsidTr="00670FEC">
        <w:trPr>
          <w:trHeight w:val="20"/>
        </w:trPr>
        <w:tc>
          <w:tcPr>
            <w:tcW w:w="1277" w:type="dxa"/>
            <w:tcBorders>
              <w:top w:val="single" w:sz="4" w:space="0" w:color="auto"/>
              <w:bottom w:val="nil"/>
            </w:tcBorders>
            <w:noWrap/>
          </w:tcPr>
          <w:p w14:paraId="0B90BBB7" w14:textId="77777777" w:rsidR="00BB3DE9" w:rsidRPr="00E6635D" w:rsidRDefault="00BB3DE9" w:rsidP="0034061E">
            <w:pPr>
              <w:rPr>
                <w:rFonts w:ascii="Arial" w:hAnsi="Arial" w:cs="Arial"/>
                <w:b/>
                <w:bCs/>
                <w:sz w:val="20"/>
                <w:szCs w:val="20"/>
              </w:rPr>
            </w:pPr>
          </w:p>
        </w:tc>
        <w:tc>
          <w:tcPr>
            <w:tcW w:w="9355" w:type="dxa"/>
            <w:tcBorders>
              <w:top w:val="single" w:sz="4" w:space="0" w:color="auto"/>
              <w:bottom w:val="nil"/>
            </w:tcBorders>
          </w:tcPr>
          <w:p w14:paraId="541E3E21" w14:textId="77777777"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 xml:space="preserve">Hradenú liečbu môže indikovať reumatológ po predchádzajúcom pneumologickom vyšetrení a vyšetrení IGRA testom u dospelých pacientov pri </w:t>
            </w:r>
          </w:p>
          <w:p w14:paraId="27424EE8" w14:textId="69BB70D2"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a)</w:t>
            </w:r>
            <w:r>
              <w:rPr>
                <w:rFonts w:ascii="Arial" w:hAnsi="Arial" w:cs="Arial"/>
                <w:bCs/>
                <w:sz w:val="20"/>
                <w:szCs w:val="20"/>
              </w:rPr>
              <w:t xml:space="preserve"> </w:t>
            </w:r>
            <w:r w:rsidRPr="00EF74FC">
              <w:rPr>
                <w:rFonts w:ascii="Arial" w:hAnsi="Arial" w:cs="Arial"/>
                <w:bCs/>
                <w:sz w:val="20"/>
                <w:szCs w:val="20"/>
              </w:rPr>
              <w:t xml:space="preserve">aktívnej forme reumatoidnej artritídy v kombinácii s metotrexátom, keď je odpoveď na antireumatiká modifikujúce ochorenie (DMARDs), vrátane metotrexátu, nedostatočná, </w:t>
            </w:r>
          </w:p>
          <w:p w14:paraId="35D9E8BB" w14:textId="16F8E486"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b)</w:t>
            </w:r>
            <w:r>
              <w:rPr>
                <w:rFonts w:ascii="Arial" w:hAnsi="Arial" w:cs="Arial"/>
                <w:bCs/>
                <w:sz w:val="20"/>
                <w:szCs w:val="20"/>
              </w:rPr>
              <w:t xml:space="preserve"> </w:t>
            </w:r>
            <w:r w:rsidRPr="00EF74FC">
              <w:rPr>
                <w:rFonts w:ascii="Arial" w:hAnsi="Arial" w:cs="Arial"/>
                <w:bCs/>
                <w:sz w:val="20"/>
                <w:szCs w:val="20"/>
              </w:rPr>
              <w:t xml:space="preserve">aktívnej a progresívnej psoriatickej artritíde samostatne alebo v kombinácii s metotrexátom, keď je odpoveď na antireumatiká modifikujúce ochorenie (DMARDs) nedostatočná, </w:t>
            </w:r>
          </w:p>
          <w:p w14:paraId="03C22E98" w14:textId="42B00144"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c)</w:t>
            </w:r>
            <w:r>
              <w:rPr>
                <w:rFonts w:ascii="Arial" w:hAnsi="Arial" w:cs="Arial"/>
                <w:bCs/>
                <w:sz w:val="20"/>
                <w:szCs w:val="20"/>
              </w:rPr>
              <w:t xml:space="preserve"> </w:t>
            </w:r>
            <w:r w:rsidRPr="00EF74FC">
              <w:rPr>
                <w:rFonts w:ascii="Arial" w:hAnsi="Arial" w:cs="Arial"/>
                <w:bCs/>
                <w:sz w:val="20"/>
                <w:szCs w:val="20"/>
              </w:rPr>
              <w:t xml:space="preserve">závažnej, aktívnej ankylozujúcej spondylitíde u pacientov, ktorí dostatočne neodpovedali na konvenčnú terapiu. </w:t>
            </w:r>
          </w:p>
          <w:p w14:paraId="4B823CD5" w14:textId="0BC913ED"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d)</w:t>
            </w:r>
            <w:r>
              <w:rPr>
                <w:rFonts w:ascii="Arial" w:hAnsi="Arial" w:cs="Arial"/>
                <w:bCs/>
                <w:sz w:val="20"/>
                <w:szCs w:val="20"/>
              </w:rPr>
              <w:t xml:space="preserve"> </w:t>
            </w:r>
            <w:r w:rsidRPr="00EF74FC">
              <w:rPr>
                <w:rFonts w:ascii="Arial" w:hAnsi="Arial" w:cs="Arial"/>
                <w:bCs/>
                <w:sz w:val="20"/>
                <w:szCs w:val="20"/>
              </w:rPr>
              <w:t>polyartrikulárnej juvenilnej idiopatickej artritíde v kombinácii s metotrexátom u detí s telesnou hmotnosťou najmenej 40 kg, ktoré mali nedostatočnú odpoveď na predchádzajúcu liečbu metotrexátom.</w:t>
            </w:r>
          </w:p>
          <w:p w14:paraId="5E649962" w14:textId="77777777" w:rsidR="00EF74FC" w:rsidRPr="00EF74FC" w:rsidRDefault="00EF74FC" w:rsidP="00EF74FC">
            <w:pPr>
              <w:tabs>
                <w:tab w:val="left" w:pos="3500"/>
                <w:tab w:val="left" w:pos="3920"/>
              </w:tabs>
              <w:rPr>
                <w:rFonts w:ascii="Arial" w:hAnsi="Arial" w:cs="Arial"/>
                <w:bCs/>
                <w:sz w:val="20"/>
                <w:szCs w:val="20"/>
              </w:rPr>
            </w:pPr>
          </w:p>
          <w:p w14:paraId="545D34EB" w14:textId="77777777" w:rsidR="00EF74FC" w:rsidRPr="00EF74FC"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Hradenú liečbu môže indikovať detský reumatológ.</w:t>
            </w:r>
          </w:p>
          <w:p w14:paraId="783DF7CB" w14:textId="77777777" w:rsidR="00EF74FC" w:rsidRPr="00EF74FC"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Hradená liečba u pediatrických pacientov je plne hradená.</w:t>
            </w:r>
          </w:p>
          <w:p w14:paraId="5AB602A6" w14:textId="77777777" w:rsidR="00EF74FC" w:rsidRPr="00EF74FC"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 xml:space="preserve">Hradená liečba podlieha predchádzajúcemu súhlasu zdravotnej poisťovne. </w:t>
            </w:r>
          </w:p>
          <w:p w14:paraId="139087A1" w14:textId="77777777" w:rsidR="00EF74FC" w:rsidRPr="00EF74FC" w:rsidRDefault="00EF74FC" w:rsidP="00EF74FC">
            <w:pPr>
              <w:tabs>
                <w:tab w:val="left" w:pos="3500"/>
                <w:tab w:val="left" w:pos="3920"/>
              </w:tabs>
              <w:rPr>
                <w:rFonts w:ascii="Arial" w:hAnsi="Arial" w:cs="Arial"/>
                <w:bCs/>
                <w:sz w:val="20"/>
                <w:szCs w:val="20"/>
              </w:rPr>
            </w:pPr>
          </w:p>
          <w:p w14:paraId="0A7BE66E" w14:textId="77777777" w:rsidR="00BB3DE9"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Ďalšia liečba nie je hradenou liečbou, ak sa po štrnástich týždňoch podávania lieku s účinnou látkou golimumab nedostaví liečebný účinok.</w:t>
            </w:r>
          </w:p>
          <w:p w14:paraId="4A7E0524" w14:textId="715CA6E7" w:rsidR="00DD0392" w:rsidRPr="00EF74FC" w:rsidRDefault="00DD0392" w:rsidP="00EF74FC">
            <w:pPr>
              <w:tabs>
                <w:tab w:val="left" w:pos="3500"/>
                <w:tab w:val="left" w:pos="3920"/>
              </w:tabs>
              <w:rPr>
                <w:rFonts w:ascii="Arial" w:hAnsi="Arial" w:cs="Arial"/>
                <w:bCs/>
                <w:sz w:val="20"/>
                <w:szCs w:val="20"/>
              </w:rPr>
            </w:pPr>
          </w:p>
        </w:tc>
      </w:tr>
      <w:tr w:rsidR="00DD0392" w:rsidRPr="0000591E" w14:paraId="4A8BCD2A" w14:textId="77777777" w:rsidTr="00670FEC">
        <w:trPr>
          <w:trHeight w:val="20"/>
        </w:trPr>
        <w:tc>
          <w:tcPr>
            <w:tcW w:w="1277" w:type="dxa"/>
            <w:tcBorders>
              <w:top w:val="nil"/>
              <w:bottom w:val="single" w:sz="4" w:space="0" w:color="auto"/>
            </w:tcBorders>
            <w:noWrap/>
          </w:tcPr>
          <w:p w14:paraId="7B9F21A8" w14:textId="34F6BBDF" w:rsidR="00DD0392" w:rsidRPr="00E6635D" w:rsidRDefault="00DD0392" w:rsidP="0034061E">
            <w:pPr>
              <w:rPr>
                <w:rFonts w:ascii="Arial" w:hAnsi="Arial" w:cs="Arial"/>
                <w:b/>
                <w:bCs/>
                <w:sz w:val="20"/>
                <w:szCs w:val="20"/>
              </w:rPr>
            </w:pPr>
            <w:r w:rsidRPr="00DD0392">
              <w:rPr>
                <w:rFonts w:ascii="Arial" w:hAnsi="Arial" w:cs="Arial"/>
                <w:b/>
                <w:bCs/>
                <w:sz w:val="20"/>
                <w:szCs w:val="20"/>
              </w:rPr>
              <w:t>L04AC03</w:t>
            </w:r>
          </w:p>
        </w:tc>
        <w:tc>
          <w:tcPr>
            <w:tcW w:w="9355" w:type="dxa"/>
            <w:tcBorders>
              <w:top w:val="nil"/>
              <w:bottom w:val="single" w:sz="4" w:space="0" w:color="auto"/>
            </w:tcBorders>
          </w:tcPr>
          <w:p w14:paraId="22DB1A47" w14:textId="060C03C0" w:rsidR="00DD0392" w:rsidRPr="00E6635D" w:rsidRDefault="00DD0392" w:rsidP="001237BD">
            <w:pPr>
              <w:tabs>
                <w:tab w:val="left" w:pos="3500"/>
                <w:tab w:val="left" w:pos="3920"/>
              </w:tabs>
              <w:rPr>
                <w:rFonts w:ascii="Arial" w:hAnsi="Arial" w:cs="Arial"/>
                <w:b/>
                <w:bCs/>
                <w:sz w:val="20"/>
                <w:szCs w:val="20"/>
              </w:rPr>
            </w:pPr>
            <w:r w:rsidRPr="00DD0392">
              <w:rPr>
                <w:rFonts w:ascii="Arial" w:hAnsi="Arial" w:cs="Arial"/>
                <w:b/>
                <w:bCs/>
                <w:sz w:val="20"/>
                <w:szCs w:val="20"/>
              </w:rPr>
              <w:t>Anakinra s.c. 100 mg</w:t>
            </w:r>
          </w:p>
        </w:tc>
      </w:tr>
      <w:tr w:rsidR="00DD0392" w:rsidRPr="0000591E" w14:paraId="56ADD628" w14:textId="77777777" w:rsidTr="00670FEC">
        <w:trPr>
          <w:trHeight w:val="20"/>
        </w:trPr>
        <w:tc>
          <w:tcPr>
            <w:tcW w:w="1277" w:type="dxa"/>
            <w:tcBorders>
              <w:top w:val="single" w:sz="4" w:space="0" w:color="auto"/>
              <w:bottom w:val="nil"/>
            </w:tcBorders>
            <w:noWrap/>
          </w:tcPr>
          <w:p w14:paraId="274A4AB7" w14:textId="77777777" w:rsidR="00DD0392" w:rsidRPr="00E6635D" w:rsidRDefault="00DD0392" w:rsidP="0034061E">
            <w:pPr>
              <w:rPr>
                <w:rFonts w:ascii="Arial" w:hAnsi="Arial" w:cs="Arial"/>
                <w:b/>
                <w:bCs/>
                <w:sz w:val="20"/>
                <w:szCs w:val="20"/>
              </w:rPr>
            </w:pPr>
          </w:p>
        </w:tc>
        <w:tc>
          <w:tcPr>
            <w:tcW w:w="9355" w:type="dxa"/>
            <w:tcBorders>
              <w:top w:val="single" w:sz="4" w:space="0" w:color="auto"/>
              <w:bottom w:val="nil"/>
            </w:tcBorders>
          </w:tcPr>
          <w:p w14:paraId="2A3BC65C" w14:textId="1FA6BD04"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Hradená liečba sa môže indikovať v monoterapii alebo v kombinácii s inými protizápalovými</w:t>
            </w:r>
            <w:r>
              <w:rPr>
                <w:rFonts w:ascii="Arial" w:hAnsi="Arial" w:cs="Arial"/>
                <w:bCs/>
                <w:sz w:val="20"/>
                <w:szCs w:val="20"/>
              </w:rPr>
              <w:t xml:space="preserve"> </w:t>
            </w:r>
            <w:r w:rsidRPr="00DD0392">
              <w:rPr>
                <w:rFonts w:ascii="Arial" w:hAnsi="Arial" w:cs="Arial"/>
                <w:bCs/>
                <w:sz w:val="20"/>
                <w:szCs w:val="20"/>
              </w:rPr>
              <w:t>liekmi a antireumatickými liekmi modifikujúcimi ochorenie (DMARD) u dospelých, dospievajúcich, detí a dojčiat vo veku 8 mesiacov a starších s telesnou hmotnosťou od 10 kg na liečbu:</w:t>
            </w:r>
          </w:p>
          <w:p w14:paraId="52358678"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A. periodických syndrómov asociovaných s kryopyrínom (CAPS) vrátane:</w:t>
            </w:r>
          </w:p>
          <w:p w14:paraId="1683813A" w14:textId="3180914F"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 multisystémovej zápalovej choroby novorodencov (NOMID) / chronického neurologického, kožného</w:t>
            </w:r>
            <w:r>
              <w:rPr>
                <w:rFonts w:ascii="Arial" w:hAnsi="Arial" w:cs="Arial"/>
                <w:bCs/>
                <w:sz w:val="20"/>
                <w:szCs w:val="20"/>
              </w:rPr>
              <w:t xml:space="preserve"> </w:t>
            </w:r>
            <w:r w:rsidRPr="00DD0392">
              <w:rPr>
                <w:rFonts w:ascii="Arial" w:hAnsi="Arial" w:cs="Arial"/>
                <w:bCs/>
                <w:sz w:val="20"/>
                <w:szCs w:val="20"/>
              </w:rPr>
              <w:t>a kĺbového syndrómu u detí (CINCA),</w:t>
            </w:r>
          </w:p>
          <w:p w14:paraId="4E014CB6"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Muckleovho-Wellsovho syndrómu (MWS),</w:t>
            </w:r>
          </w:p>
          <w:p w14:paraId="22E8B644"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familiárneho chladového autoinflamačného syndrómu (FCAS).</w:t>
            </w:r>
          </w:p>
          <w:p w14:paraId="5937918C" w14:textId="1D499138"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B. Stillovej choroby s aktívnymi systémovými znakmi strednej až vysokej aktivity ochorenia, alebo u</w:t>
            </w:r>
            <w:r>
              <w:rPr>
                <w:rFonts w:ascii="Arial" w:hAnsi="Arial" w:cs="Arial"/>
                <w:bCs/>
                <w:sz w:val="20"/>
                <w:szCs w:val="20"/>
              </w:rPr>
              <w:t xml:space="preserve"> </w:t>
            </w:r>
            <w:r w:rsidRPr="00DD0392">
              <w:rPr>
                <w:rFonts w:ascii="Arial" w:hAnsi="Arial" w:cs="Arial"/>
                <w:bCs/>
                <w:sz w:val="20"/>
                <w:szCs w:val="20"/>
              </w:rPr>
              <w:t>pacientov s pokračujúcou aktivitou ochorenia po liečbe nesteroidnými protizápalovými liekmi (NSAID) alebo glukokortikoidmi, zahŕňajúcu:</w:t>
            </w:r>
          </w:p>
          <w:p w14:paraId="43D77FFA"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systémovú juvenilnú idiopatickú artritídu (Systemic Juvenile Idiopathic Arthritis, SJIA)</w:t>
            </w:r>
          </w:p>
          <w:p w14:paraId="3D5564AD"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Stillovu chorobu dospelých (Adult-Onset Still’s Disease, AOSD).</w:t>
            </w:r>
          </w:p>
          <w:p w14:paraId="100405EF" w14:textId="77777777" w:rsidR="00DD0392" w:rsidRPr="00DD0392" w:rsidRDefault="00DD0392" w:rsidP="00DD0392">
            <w:pPr>
              <w:tabs>
                <w:tab w:val="left" w:pos="3500"/>
                <w:tab w:val="left" w:pos="3920"/>
              </w:tabs>
              <w:rPr>
                <w:rFonts w:ascii="Arial" w:hAnsi="Arial" w:cs="Arial"/>
                <w:bCs/>
                <w:sz w:val="20"/>
                <w:szCs w:val="20"/>
              </w:rPr>
            </w:pPr>
          </w:p>
          <w:p w14:paraId="05646770"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Hradenú liečbu (CAPS+ AOSD) môže indikovať reumatológ bez ohľadu na pracovisko.</w:t>
            </w:r>
          </w:p>
          <w:p w14:paraId="77E0DD58"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Hradenú liečbu (CAPS+ SJIA) môže indikovať detský reumatológ bez ohľadu na pracovisko.</w:t>
            </w:r>
          </w:p>
          <w:p w14:paraId="089878E0" w14:textId="77777777" w:rsidR="00DD0392" w:rsidRPr="00DD0392" w:rsidRDefault="00DD0392" w:rsidP="00DD0392">
            <w:pPr>
              <w:tabs>
                <w:tab w:val="left" w:pos="3500"/>
                <w:tab w:val="left" w:pos="3920"/>
              </w:tabs>
              <w:rPr>
                <w:rFonts w:ascii="Arial" w:hAnsi="Arial" w:cs="Arial"/>
                <w:bCs/>
                <w:sz w:val="20"/>
                <w:szCs w:val="20"/>
              </w:rPr>
            </w:pPr>
          </w:p>
          <w:p w14:paraId="5C61DF3F" w14:textId="1FCD511A"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 xml:space="preserve">Ak je liečba (CAPS) indikovaná v Centre pre periodické horúčky Univerzitnej nemocnice Martin indikuje sa lekárom, ktorý poskytuje zdravotnú starostlivosť v špecializačnom odbore klinická imunológia </w:t>
            </w:r>
            <w:r>
              <w:rPr>
                <w:rFonts w:ascii="Arial" w:hAnsi="Arial" w:cs="Arial"/>
                <w:bCs/>
                <w:sz w:val="20"/>
                <w:szCs w:val="20"/>
              </w:rPr>
              <w:t xml:space="preserve">                           </w:t>
            </w:r>
            <w:r w:rsidRPr="00DD0392">
              <w:rPr>
                <w:rFonts w:ascii="Arial" w:hAnsi="Arial" w:cs="Arial"/>
                <w:bCs/>
                <w:sz w:val="20"/>
                <w:szCs w:val="20"/>
              </w:rPr>
              <w:t>a alergológia a antiinfekčná imunológia alebo v subšpecializačnom odbore pediatrická imunológia a alergiológia.</w:t>
            </w:r>
          </w:p>
          <w:p w14:paraId="31BE64BB" w14:textId="77777777" w:rsidR="00DD0392" w:rsidRPr="00DD0392" w:rsidRDefault="00DD0392" w:rsidP="00DD0392">
            <w:pPr>
              <w:tabs>
                <w:tab w:val="left" w:pos="3500"/>
                <w:tab w:val="left" w:pos="3920"/>
              </w:tabs>
              <w:rPr>
                <w:rFonts w:ascii="Arial" w:hAnsi="Arial" w:cs="Arial"/>
                <w:bCs/>
                <w:sz w:val="20"/>
                <w:szCs w:val="20"/>
              </w:rPr>
            </w:pPr>
          </w:p>
          <w:p w14:paraId="1FF360F6" w14:textId="77777777" w:rsid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Hradená liečba podlieha predchádzajúcemu súhlasu zdravotnej poisťovne.</w:t>
            </w:r>
          </w:p>
          <w:p w14:paraId="68210AF2" w14:textId="4E72AA12" w:rsidR="00DD0392" w:rsidRPr="00DD0392" w:rsidRDefault="00DD0392" w:rsidP="00DD0392">
            <w:pPr>
              <w:tabs>
                <w:tab w:val="left" w:pos="3500"/>
                <w:tab w:val="left" w:pos="3920"/>
              </w:tabs>
              <w:rPr>
                <w:rFonts w:ascii="Arial" w:hAnsi="Arial" w:cs="Arial"/>
                <w:bCs/>
                <w:sz w:val="20"/>
                <w:szCs w:val="20"/>
              </w:rPr>
            </w:pPr>
          </w:p>
        </w:tc>
      </w:tr>
      <w:tr w:rsidR="00D55C01" w:rsidRPr="0000591E" w14:paraId="6CB3671F" w14:textId="77777777" w:rsidTr="00670FEC">
        <w:trPr>
          <w:trHeight w:val="20"/>
        </w:trPr>
        <w:tc>
          <w:tcPr>
            <w:tcW w:w="1277" w:type="dxa"/>
            <w:tcBorders>
              <w:top w:val="nil"/>
              <w:bottom w:val="single" w:sz="4" w:space="0" w:color="auto"/>
            </w:tcBorders>
            <w:noWrap/>
          </w:tcPr>
          <w:p w14:paraId="44EB2601" w14:textId="7EEF9D02" w:rsidR="00D55C01" w:rsidRPr="00E6635D" w:rsidRDefault="00D55C01" w:rsidP="0034061E">
            <w:pPr>
              <w:rPr>
                <w:rFonts w:ascii="Arial" w:hAnsi="Arial" w:cs="Arial"/>
                <w:b/>
                <w:bCs/>
                <w:sz w:val="20"/>
                <w:szCs w:val="20"/>
              </w:rPr>
            </w:pPr>
            <w:r w:rsidRPr="00D55C01">
              <w:rPr>
                <w:rFonts w:ascii="Arial" w:hAnsi="Arial" w:cs="Arial"/>
                <w:b/>
                <w:bCs/>
                <w:sz w:val="20"/>
                <w:szCs w:val="20"/>
              </w:rPr>
              <w:t>L04AC05</w:t>
            </w:r>
          </w:p>
        </w:tc>
        <w:tc>
          <w:tcPr>
            <w:tcW w:w="9355" w:type="dxa"/>
            <w:tcBorders>
              <w:top w:val="nil"/>
              <w:bottom w:val="single" w:sz="4" w:space="0" w:color="auto"/>
            </w:tcBorders>
          </w:tcPr>
          <w:p w14:paraId="0C1DC24B" w14:textId="70CD9EC8" w:rsidR="00D55C01" w:rsidRPr="00E6635D" w:rsidRDefault="00D55C01" w:rsidP="001237BD">
            <w:pPr>
              <w:tabs>
                <w:tab w:val="left" w:pos="3500"/>
                <w:tab w:val="left" w:pos="3920"/>
              </w:tabs>
              <w:rPr>
                <w:rFonts w:ascii="Arial" w:hAnsi="Arial" w:cs="Arial"/>
                <w:b/>
                <w:bCs/>
                <w:sz w:val="20"/>
                <w:szCs w:val="20"/>
              </w:rPr>
            </w:pPr>
            <w:r w:rsidRPr="00D55C01">
              <w:rPr>
                <w:rFonts w:ascii="Arial" w:hAnsi="Arial" w:cs="Arial"/>
                <w:b/>
                <w:bCs/>
                <w:sz w:val="20"/>
                <w:szCs w:val="20"/>
              </w:rPr>
              <w:t>Ustekinumab parent. 45 mg</w:t>
            </w:r>
          </w:p>
        </w:tc>
      </w:tr>
      <w:tr w:rsidR="00D55C01" w:rsidRPr="0000591E" w14:paraId="5064AE30" w14:textId="77777777" w:rsidTr="00670FEC">
        <w:trPr>
          <w:trHeight w:val="20"/>
        </w:trPr>
        <w:tc>
          <w:tcPr>
            <w:tcW w:w="1277" w:type="dxa"/>
            <w:tcBorders>
              <w:top w:val="single" w:sz="4" w:space="0" w:color="auto"/>
              <w:bottom w:val="nil"/>
            </w:tcBorders>
            <w:noWrap/>
          </w:tcPr>
          <w:p w14:paraId="7674CB91" w14:textId="77777777" w:rsidR="00D55C01" w:rsidRPr="00E6635D" w:rsidRDefault="00D55C01" w:rsidP="0034061E">
            <w:pPr>
              <w:rPr>
                <w:rFonts w:ascii="Arial" w:hAnsi="Arial" w:cs="Arial"/>
                <w:b/>
                <w:bCs/>
                <w:sz w:val="20"/>
                <w:szCs w:val="20"/>
              </w:rPr>
            </w:pPr>
          </w:p>
        </w:tc>
        <w:tc>
          <w:tcPr>
            <w:tcW w:w="9355" w:type="dxa"/>
            <w:tcBorders>
              <w:top w:val="single" w:sz="4" w:space="0" w:color="auto"/>
              <w:bottom w:val="nil"/>
            </w:tcBorders>
          </w:tcPr>
          <w:p w14:paraId="2B085502" w14:textId="77777777" w:rsidR="00D55C01" w:rsidRPr="00D55C01" w:rsidRDefault="00D55C01" w:rsidP="00D55C01">
            <w:pPr>
              <w:tabs>
                <w:tab w:val="left" w:pos="3500"/>
                <w:tab w:val="left" w:pos="3920"/>
              </w:tabs>
              <w:jc w:val="both"/>
              <w:rPr>
                <w:rFonts w:ascii="Arial" w:hAnsi="Arial" w:cs="Arial"/>
                <w:bCs/>
                <w:sz w:val="20"/>
                <w:szCs w:val="20"/>
              </w:rPr>
            </w:pPr>
            <w:r w:rsidRPr="00D55C01">
              <w:rPr>
                <w:rFonts w:ascii="Arial" w:hAnsi="Arial" w:cs="Arial"/>
                <w:bCs/>
                <w:sz w:val="20"/>
                <w:szCs w:val="20"/>
              </w:rPr>
              <w:t>Hradenú liečbu môže indikovať po predchádzajúcom pneumologickom vyšetrení a vyšetrení IGRA testom</w:t>
            </w:r>
          </w:p>
          <w:p w14:paraId="79B1F38E" w14:textId="7E959BB4" w:rsidR="00D55C01" w:rsidRPr="00D55C01" w:rsidRDefault="00D55C01">
            <w:pPr>
              <w:pStyle w:val="Odsekzoznamu"/>
              <w:numPr>
                <w:ilvl w:val="1"/>
                <w:numId w:val="64"/>
              </w:numPr>
              <w:tabs>
                <w:tab w:val="left" w:pos="3500"/>
                <w:tab w:val="left" w:pos="3920"/>
              </w:tabs>
              <w:ind w:left="321" w:hanging="284"/>
              <w:rPr>
                <w:rFonts w:ascii="Arial" w:hAnsi="Arial" w:cs="Arial"/>
                <w:bCs/>
                <w:sz w:val="20"/>
                <w:szCs w:val="20"/>
              </w:rPr>
            </w:pPr>
            <w:r w:rsidRPr="00D55C01">
              <w:rPr>
                <w:rFonts w:ascii="Arial" w:hAnsi="Arial" w:cs="Arial"/>
                <w:bCs/>
                <w:sz w:val="20"/>
                <w:szCs w:val="20"/>
              </w:rPr>
              <w:t xml:space="preserve">dermatológ u dospelých pacientov so stredne závažnou až závažnou ložiskovou psoriázou, u ktorých iná liečba nebola dostatočne účinná, majú kontraindikácie alebo intoleranciu k iným systémovým terapiám, vrátane retinoidov, cyklosporínu, metotrexátu a PUVA.   </w:t>
            </w:r>
          </w:p>
          <w:p w14:paraId="3AD999E1" w14:textId="77777777" w:rsidR="00D55C01" w:rsidRPr="00D55C01" w:rsidRDefault="00D55C01" w:rsidP="00D55C01">
            <w:pPr>
              <w:tabs>
                <w:tab w:val="left" w:pos="3500"/>
                <w:tab w:val="left" w:pos="3920"/>
              </w:tabs>
              <w:jc w:val="both"/>
              <w:rPr>
                <w:rFonts w:ascii="Arial" w:hAnsi="Arial" w:cs="Arial"/>
                <w:bCs/>
                <w:sz w:val="20"/>
                <w:szCs w:val="20"/>
              </w:rPr>
            </w:pPr>
            <w:r w:rsidRPr="00D55C01">
              <w:rPr>
                <w:rFonts w:ascii="Arial" w:hAnsi="Arial" w:cs="Arial"/>
                <w:bCs/>
                <w:sz w:val="20"/>
                <w:szCs w:val="20"/>
              </w:rPr>
              <w:t xml:space="preserve">Hradená liečba podlieha predchádzajúcemu súhlasu zdravotnej poisťovne. Ďalšia liečba nie je hradenou liečbou, ak sa po šestnástich týždňoch podávania lieku s účinnou látkou ustekinumab nedostaví liečebný účinok. </w:t>
            </w:r>
          </w:p>
          <w:p w14:paraId="48F119FD" w14:textId="25515705" w:rsidR="00D55C01" w:rsidRPr="00D55C01" w:rsidRDefault="00D55C01">
            <w:pPr>
              <w:pStyle w:val="Odsekzoznamu"/>
              <w:numPr>
                <w:ilvl w:val="1"/>
                <w:numId w:val="64"/>
              </w:numPr>
              <w:tabs>
                <w:tab w:val="left" w:pos="3500"/>
                <w:tab w:val="left" w:pos="3920"/>
              </w:tabs>
              <w:ind w:left="321" w:hanging="321"/>
              <w:rPr>
                <w:rFonts w:ascii="Arial" w:hAnsi="Arial" w:cs="Arial"/>
                <w:bCs/>
                <w:sz w:val="20"/>
                <w:szCs w:val="20"/>
              </w:rPr>
            </w:pPr>
            <w:r w:rsidRPr="00D55C01">
              <w:rPr>
                <w:rFonts w:ascii="Arial" w:hAnsi="Arial" w:cs="Arial"/>
                <w:bCs/>
                <w:sz w:val="20"/>
                <w:szCs w:val="20"/>
              </w:rPr>
              <w:t xml:space="preserve">reumatológ pri aktívnej psoriatickej artritíde, u dospelých pacientov v monoterapii alebo v kombinácii s MTX, ak nebola odpoveď na predchádzajúcu liečbu anti-TNF inhibítormi a DMARDs dostatočná. </w:t>
            </w:r>
          </w:p>
          <w:p w14:paraId="23F79AC5" w14:textId="77777777" w:rsidR="00D55C01" w:rsidRDefault="00D55C01" w:rsidP="00D55C01">
            <w:pPr>
              <w:tabs>
                <w:tab w:val="left" w:pos="3500"/>
                <w:tab w:val="left" w:pos="3920"/>
              </w:tabs>
              <w:rPr>
                <w:rFonts w:ascii="Arial" w:hAnsi="Arial" w:cs="Arial"/>
                <w:bCs/>
                <w:sz w:val="20"/>
                <w:szCs w:val="20"/>
              </w:rPr>
            </w:pPr>
            <w:r w:rsidRPr="00D55C01">
              <w:rPr>
                <w:rFonts w:ascii="Arial" w:hAnsi="Arial" w:cs="Arial"/>
                <w:bCs/>
                <w:sz w:val="20"/>
                <w:szCs w:val="20"/>
              </w:rPr>
              <w:t>Hradená liečba podlieha predchádzajúcemu súhlasu zdravotnej poisťovne.</w:t>
            </w:r>
          </w:p>
          <w:p w14:paraId="79B28351" w14:textId="2D7CB34F" w:rsidR="00D55C01" w:rsidRPr="00D55C01" w:rsidRDefault="00D55C01" w:rsidP="00D55C01">
            <w:pPr>
              <w:tabs>
                <w:tab w:val="left" w:pos="3500"/>
                <w:tab w:val="left" w:pos="3920"/>
              </w:tabs>
              <w:rPr>
                <w:rFonts w:ascii="Arial" w:hAnsi="Arial" w:cs="Arial"/>
                <w:bCs/>
                <w:sz w:val="20"/>
                <w:szCs w:val="20"/>
              </w:rPr>
            </w:pPr>
          </w:p>
        </w:tc>
      </w:tr>
      <w:tr w:rsidR="00AE1F22" w:rsidRPr="0000591E" w14:paraId="11D0CCBF" w14:textId="77777777" w:rsidTr="00670FEC">
        <w:trPr>
          <w:trHeight w:val="20"/>
        </w:trPr>
        <w:tc>
          <w:tcPr>
            <w:tcW w:w="1277" w:type="dxa"/>
            <w:tcBorders>
              <w:top w:val="nil"/>
              <w:bottom w:val="single" w:sz="4" w:space="0" w:color="auto"/>
            </w:tcBorders>
            <w:noWrap/>
          </w:tcPr>
          <w:p w14:paraId="4FD13BE2" w14:textId="5247516A" w:rsidR="00AE1F22" w:rsidRPr="00E6635D" w:rsidRDefault="00AE1F22" w:rsidP="0034061E">
            <w:pPr>
              <w:rPr>
                <w:rFonts w:ascii="Arial" w:hAnsi="Arial" w:cs="Arial"/>
                <w:b/>
                <w:bCs/>
                <w:sz w:val="20"/>
                <w:szCs w:val="20"/>
              </w:rPr>
            </w:pPr>
            <w:r w:rsidRPr="00AE1F22">
              <w:rPr>
                <w:rFonts w:ascii="Arial" w:hAnsi="Arial" w:cs="Arial"/>
                <w:b/>
                <w:bCs/>
                <w:sz w:val="20"/>
                <w:szCs w:val="20"/>
              </w:rPr>
              <w:t>L04AC05</w:t>
            </w:r>
          </w:p>
        </w:tc>
        <w:tc>
          <w:tcPr>
            <w:tcW w:w="9355" w:type="dxa"/>
            <w:tcBorders>
              <w:top w:val="nil"/>
              <w:bottom w:val="single" w:sz="4" w:space="0" w:color="auto"/>
            </w:tcBorders>
          </w:tcPr>
          <w:p w14:paraId="28F31DF3" w14:textId="2E11D242" w:rsidR="00AE1F22" w:rsidRPr="00E6635D" w:rsidRDefault="00AE1F22" w:rsidP="001237BD">
            <w:pPr>
              <w:tabs>
                <w:tab w:val="left" w:pos="3500"/>
                <w:tab w:val="left" w:pos="3920"/>
              </w:tabs>
              <w:rPr>
                <w:rFonts w:ascii="Arial" w:hAnsi="Arial" w:cs="Arial"/>
                <w:b/>
                <w:bCs/>
                <w:sz w:val="20"/>
                <w:szCs w:val="20"/>
              </w:rPr>
            </w:pPr>
            <w:r w:rsidRPr="00AE1F22">
              <w:rPr>
                <w:rFonts w:ascii="Arial" w:hAnsi="Arial" w:cs="Arial"/>
                <w:b/>
                <w:bCs/>
                <w:sz w:val="20"/>
                <w:szCs w:val="20"/>
              </w:rPr>
              <w:t>Ustekinumab parent. 90 mg</w:t>
            </w:r>
          </w:p>
        </w:tc>
      </w:tr>
      <w:tr w:rsidR="00AE1F22" w:rsidRPr="0000591E" w14:paraId="0C985146" w14:textId="77777777" w:rsidTr="00670FEC">
        <w:trPr>
          <w:trHeight w:val="20"/>
        </w:trPr>
        <w:tc>
          <w:tcPr>
            <w:tcW w:w="1277" w:type="dxa"/>
            <w:tcBorders>
              <w:top w:val="single" w:sz="4" w:space="0" w:color="auto"/>
              <w:bottom w:val="nil"/>
            </w:tcBorders>
            <w:noWrap/>
          </w:tcPr>
          <w:p w14:paraId="6BBC0E51" w14:textId="77777777" w:rsidR="00AE1F22" w:rsidRPr="00E6635D" w:rsidRDefault="00AE1F22" w:rsidP="0034061E">
            <w:pPr>
              <w:rPr>
                <w:rFonts w:ascii="Arial" w:hAnsi="Arial" w:cs="Arial"/>
                <w:b/>
                <w:bCs/>
                <w:sz w:val="20"/>
                <w:szCs w:val="20"/>
              </w:rPr>
            </w:pPr>
          </w:p>
        </w:tc>
        <w:tc>
          <w:tcPr>
            <w:tcW w:w="9355" w:type="dxa"/>
            <w:tcBorders>
              <w:top w:val="single" w:sz="4" w:space="0" w:color="auto"/>
              <w:bottom w:val="nil"/>
            </w:tcBorders>
          </w:tcPr>
          <w:p w14:paraId="63297826"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 xml:space="preserve">Hradenú liečbu môže indikovať gastroenterológ </w:t>
            </w:r>
          </w:p>
          <w:p w14:paraId="48F33BB2" w14:textId="77777777" w:rsidR="00AE1F22" w:rsidRPr="00AE1F22" w:rsidRDefault="00AE1F22" w:rsidP="00AE1F22">
            <w:pPr>
              <w:tabs>
                <w:tab w:val="left" w:pos="3500"/>
                <w:tab w:val="left" w:pos="3920"/>
              </w:tabs>
              <w:rPr>
                <w:rFonts w:ascii="Arial" w:hAnsi="Arial" w:cs="Arial"/>
                <w:bCs/>
                <w:sz w:val="20"/>
                <w:szCs w:val="20"/>
              </w:rPr>
            </w:pPr>
          </w:p>
          <w:p w14:paraId="3645F91A"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a) na liečbu dospelých pacientov so stredne ťažkou až ťažkou aktívnou Crohnovou chorobou, </w:t>
            </w:r>
          </w:p>
          <w:p w14:paraId="35722154"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1. ktorí napriek úplnej a primeranej liečbe kortikosteroidmi alebo imunosupresívami na túto liečbu neodpovedali, alebo ktorí túto liečbu netolerujú alebo je u nich táto liečba z liečebných dôvodov kontraindikovaná a nie sú vhodní na liečbu infliximabom, alebo im je liečba infliximabom kontraindikovaná. </w:t>
            </w:r>
          </w:p>
          <w:p w14:paraId="767566E8"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2. alebo u ktorých odpoveď na terapiu infliximabom bola neadekvátna alebo došlo k strate odpovede alebo takúto terapiu infliximabom netolerujú. </w:t>
            </w:r>
          </w:p>
          <w:p w14:paraId="10F9D8DB" w14:textId="77777777" w:rsidR="00AE1F22" w:rsidRPr="00AE1F22" w:rsidRDefault="00AE1F22" w:rsidP="00AE1F22">
            <w:pPr>
              <w:tabs>
                <w:tab w:val="left" w:pos="3500"/>
                <w:tab w:val="left" w:pos="3920"/>
              </w:tabs>
              <w:rPr>
                <w:rFonts w:ascii="Arial" w:hAnsi="Arial" w:cs="Arial"/>
                <w:bCs/>
                <w:sz w:val="20"/>
                <w:szCs w:val="20"/>
              </w:rPr>
            </w:pPr>
          </w:p>
          <w:p w14:paraId="5C0105BA"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b) na liečbu dospelých pacientov so stredne ťažkou až ťažkou aktívnou ulceróznou kolitídou, u ktorých odpoveď buď na konvenčnú terapiu alebo na biologickú terapiu bola neadekvátna, alebo došlo k strate odpovede, alebo takúto terapiu netolerujú, alebo je im kontraindikovaná. </w:t>
            </w:r>
          </w:p>
          <w:p w14:paraId="2E4584F1" w14:textId="77777777" w:rsidR="00AE1F22" w:rsidRPr="00AE1F22" w:rsidRDefault="00AE1F22" w:rsidP="00AE1F22">
            <w:pPr>
              <w:tabs>
                <w:tab w:val="left" w:pos="3500"/>
                <w:tab w:val="left" w:pos="3920"/>
              </w:tabs>
              <w:rPr>
                <w:rFonts w:ascii="Arial" w:hAnsi="Arial" w:cs="Arial"/>
                <w:bCs/>
                <w:sz w:val="20"/>
                <w:szCs w:val="20"/>
              </w:rPr>
            </w:pPr>
          </w:p>
          <w:p w14:paraId="3C09D942"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Gastrocentre Nemocnice AGEL Košice-Šaca.</w:t>
            </w:r>
          </w:p>
          <w:p w14:paraId="60E08C4C" w14:textId="77777777" w:rsidR="00AE1F22" w:rsidRPr="00AE1F22" w:rsidRDefault="00AE1F22" w:rsidP="00AE1F22">
            <w:pPr>
              <w:tabs>
                <w:tab w:val="left" w:pos="3500"/>
                <w:tab w:val="left" w:pos="3920"/>
              </w:tabs>
              <w:rPr>
                <w:rFonts w:ascii="Arial" w:hAnsi="Arial" w:cs="Arial"/>
                <w:bCs/>
                <w:sz w:val="20"/>
                <w:szCs w:val="20"/>
              </w:rPr>
            </w:pPr>
          </w:p>
          <w:p w14:paraId="217318DA"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Hradená liečba podlieha predchádzajúcemu súhlasu zdravotnej poisťovne.</w:t>
            </w:r>
          </w:p>
          <w:p w14:paraId="578D237C" w14:textId="77777777" w:rsidR="00AE1F22" w:rsidRPr="00AE1F22" w:rsidRDefault="00AE1F22" w:rsidP="00AE1F22">
            <w:pPr>
              <w:tabs>
                <w:tab w:val="left" w:pos="3500"/>
                <w:tab w:val="left" w:pos="3920"/>
              </w:tabs>
              <w:rPr>
                <w:rFonts w:ascii="Arial" w:hAnsi="Arial" w:cs="Arial"/>
                <w:bCs/>
                <w:sz w:val="20"/>
                <w:szCs w:val="20"/>
              </w:rPr>
            </w:pPr>
          </w:p>
          <w:p w14:paraId="5C97200A"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Liečba ustekinumabom sa plne uhrádza na základe verejného zdravotného poistenia dospelým pacientom so stredne ťažkou až ťažkou aktívnou ulceróznou kolitídou.</w:t>
            </w:r>
          </w:p>
          <w:p w14:paraId="2CB5113A" w14:textId="77777777" w:rsidR="00AE1F22" w:rsidRPr="00AE1F22" w:rsidRDefault="00AE1F22" w:rsidP="00AE1F22">
            <w:pPr>
              <w:tabs>
                <w:tab w:val="left" w:pos="3500"/>
                <w:tab w:val="left" w:pos="3920"/>
              </w:tabs>
              <w:jc w:val="both"/>
              <w:rPr>
                <w:rFonts w:ascii="Arial" w:hAnsi="Arial" w:cs="Arial"/>
                <w:bCs/>
                <w:sz w:val="20"/>
                <w:szCs w:val="20"/>
              </w:rPr>
            </w:pPr>
          </w:p>
          <w:p w14:paraId="1792E139" w14:textId="268DAF78" w:rsidR="00AE1F22" w:rsidRPr="00AE1F22" w:rsidRDefault="00AE1F22" w:rsidP="00027737">
            <w:pPr>
              <w:tabs>
                <w:tab w:val="left" w:pos="3500"/>
                <w:tab w:val="left" w:pos="3920"/>
              </w:tabs>
              <w:jc w:val="both"/>
              <w:rPr>
                <w:rFonts w:ascii="Arial" w:hAnsi="Arial" w:cs="Arial"/>
                <w:bCs/>
                <w:sz w:val="20"/>
                <w:szCs w:val="20"/>
              </w:rPr>
            </w:pPr>
            <w:r w:rsidRPr="00AE1F22">
              <w:rPr>
                <w:rFonts w:ascii="Arial" w:hAnsi="Arial" w:cs="Arial"/>
                <w:bCs/>
                <w:sz w:val="20"/>
                <w:szCs w:val="20"/>
              </w:rPr>
              <w:t>Hradenú liečbu môže indikovať po predchádzajúcom pneumologickom vyšetrení a</w:t>
            </w:r>
            <w:r w:rsidR="00027737">
              <w:rPr>
                <w:rFonts w:ascii="Arial" w:hAnsi="Arial" w:cs="Arial"/>
                <w:bCs/>
                <w:sz w:val="20"/>
                <w:szCs w:val="20"/>
              </w:rPr>
              <w:t> </w:t>
            </w:r>
            <w:r w:rsidRPr="00AE1F22">
              <w:rPr>
                <w:rFonts w:ascii="Arial" w:hAnsi="Arial" w:cs="Arial"/>
                <w:bCs/>
                <w:sz w:val="20"/>
                <w:szCs w:val="20"/>
              </w:rPr>
              <w:t>vyšetrení</w:t>
            </w:r>
            <w:r w:rsidR="00027737">
              <w:rPr>
                <w:rFonts w:ascii="Arial" w:hAnsi="Arial" w:cs="Arial"/>
                <w:bCs/>
                <w:sz w:val="20"/>
                <w:szCs w:val="20"/>
              </w:rPr>
              <w:t xml:space="preserve"> </w:t>
            </w:r>
            <w:r w:rsidRPr="00AE1F22">
              <w:rPr>
                <w:rFonts w:ascii="Arial" w:hAnsi="Arial" w:cs="Arial"/>
                <w:bCs/>
                <w:sz w:val="20"/>
                <w:szCs w:val="20"/>
              </w:rPr>
              <w:t>IGRA testom</w:t>
            </w:r>
          </w:p>
          <w:p w14:paraId="3A2183A4" w14:textId="20B4BD26" w:rsidR="00027737"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a) dermatológ u dospelých pacientov so stredne závažnou až závažnou ložiskovou psoriázou, u ktorých iná liečba nebola dostatočne účinná, majú kontraindikácie alebo intoleranciu k iným systémovým terapiám, vrátane retinoidov, cyklosporínu, metotrexátu a PUVA. Hradená liečba podlieha predchádzajúcemu súhlasu zdravotnej poisťovne. Ďalšia liečba nie je hradenou liečbou, ak sa po šestnástich týždňoch podávania lieku s účinnou látkou ustekinumab nedostaví liečebný účinok.                              </w:t>
            </w:r>
          </w:p>
          <w:p w14:paraId="78D6F33D" w14:textId="0FAEA5F6"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b) reumatológ pri aktívnej psoriatickej artritíde, u dospelých pacientov v monoterapii alebo v kombinácii s MTX, ak nebola odpoveď na predchádzajúcu liečbu anti-TNF inhibítormi a DMARDs dostatočná.</w:t>
            </w:r>
          </w:p>
          <w:p w14:paraId="693E5974" w14:textId="77777777" w:rsidR="00AE1F22" w:rsidRPr="00AE1F22" w:rsidRDefault="00AE1F22" w:rsidP="00AE1F22">
            <w:pPr>
              <w:tabs>
                <w:tab w:val="left" w:pos="3500"/>
                <w:tab w:val="left" w:pos="3920"/>
              </w:tabs>
              <w:jc w:val="both"/>
              <w:rPr>
                <w:rFonts w:ascii="Arial" w:hAnsi="Arial" w:cs="Arial"/>
                <w:bCs/>
                <w:sz w:val="20"/>
                <w:szCs w:val="20"/>
              </w:rPr>
            </w:pPr>
          </w:p>
          <w:p w14:paraId="17FA9F5E"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Hradená liečba podlieha predchádzajúcemu súhlasu zdravotnej poisťovne. </w:t>
            </w:r>
          </w:p>
          <w:p w14:paraId="287E33DC" w14:textId="77777777" w:rsidR="00AE1F22" w:rsidRPr="00AE1F22" w:rsidRDefault="00AE1F22" w:rsidP="001237BD">
            <w:pPr>
              <w:tabs>
                <w:tab w:val="left" w:pos="3500"/>
                <w:tab w:val="left" w:pos="3920"/>
              </w:tabs>
              <w:rPr>
                <w:rFonts w:ascii="Arial" w:hAnsi="Arial" w:cs="Arial"/>
                <w:bCs/>
                <w:sz w:val="20"/>
                <w:szCs w:val="20"/>
              </w:rPr>
            </w:pPr>
          </w:p>
        </w:tc>
      </w:tr>
      <w:tr w:rsidR="00AE1F22" w:rsidRPr="0000591E" w14:paraId="3251CEFC" w14:textId="77777777" w:rsidTr="00670FEC">
        <w:trPr>
          <w:trHeight w:val="20"/>
        </w:trPr>
        <w:tc>
          <w:tcPr>
            <w:tcW w:w="1277" w:type="dxa"/>
            <w:tcBorders>
              <w:top w:val="nil"/>
              <w:bottom w:val="single" w:sz="4" w:space="0" w:color="auto"/>
            </w:tcBorders>
            <w:noWrap/>
          </w:tcPr>
          <w:p w14:paraId="4EFE45FB" w14:textId="2BEC30D2" w:rsidR="00AE1F22" w:rsidRPr="00E6635D" w:rsidRDefault="00AE1F22" w:rsidP="0034061E">
            <w:pPr>
              <w:rPr>
                <w:rFonts w:ascii="Arial" w:hAnsi="Arial" w:cs="Arial"/>
                <w:b/>
                <w:bCs/>
                <w:sz w:val="20"/>
                <w:szCs w:val="20"/>
              </w:rPr>
            </w:pPr>
            <w:r w:rsidRPr="00AE1F22">
              <w:rPr>
                <w:rFonts w:ascii="Arial" w:hAnsi="Arial" w:cs="Arial"/>
                <w:b/>
                <w:bCs/>
                <w:sz w:val="20"/>
                <w:szCs w:val="20"/>
              </w:rPr>
              <w:t>L04AC05</w:t>
            </w:r>
          </w:p>
        </w:tc>
        <w:tc>
          <w:tcPr>
            <w:tcW w:w="9355" w:type="dxa"/>
            <w:tcBorders>
              <w:top w:val="nil"/>
              <w:bottom w:val="single" w:sz="4" w:space="0" w:color="auto"/>
            </w:tcBorders>
          </w:tcPr>
          <w:p w14:paraId="0BCF7F42" w14:textId="60DCD9B1" w:rsidR="00AE1F22" w:rsidRPr="00E6635D" w:rsidRDefault="00AE1F22" w:rsidP="001237BD">
            <w:pPr>
              <w:tabs>
                <w:tab w:val="left" w:pos="3500"/>
                <w:tab w:val="left" w:pos="3920"/>
              </w:tabs>
              <w:rPr>
                <w:rFonts w:ascii="Arial" w:hAnsi="Arial" w:cs="Arial"/>
                <w:b/>
                <w:bCs/>
                <w:sz w:val="20"/>
                <w:szCs w:val="20"/>
              </w:rPr>
            </w:pPr>
            <w:r w:rsidRPr="00AE1F22">
              <w:rPr>
                <w:rFonts w:ascii="Arial" w:hAnsi="Arial" w:cs="Arial"/>
                <w:b/>
                <w:bCs/>
                <w:sz w:val="20"/>
                <w:szCs w:val="20"/>
              </w:rPr>
              <w:t>Ustekinumab parent. 130 mg</w:t>
            </w:r>
          </w:p>
        </w:tc>
      </w:tr>
      <w:tr w:rsidR="00AE1F22" w:rsidRPr="0000591E" w14:paraId="279DBE5E" w14:textId="77777777" w:rsidTr="00670FEC">
        <w:trPr>
          <w:trHeight w:val="20"/>
        </w:trPr>
        <w:tc>
          <w:tcPr>
            <w:tcW w:w="1277" w:type="dxa"/>
            <w:tcBorders>
              <w:top w:val="single" w:sz="4" w:space="0" w:color="auto"/>
              <w:bottom w:val="nil"/>
            </w:tcBorders>
            <w:noWrap/>
          </w:tcPr>
          <w:p w14:paraId="38A1214F" w14:textId="77777777" w:rsidR="00AE1F22" w:rsidRPr="00E6635D" w:rsidRDefault="00AE1F22" w:rsidP="0034061E">
            <w:pPr>
              <w:rPr>
                <w:rFonts w:ascii="Arial" w:hAnsi="Arial" w:cs="Arial"/>
                <w:b/>
                <w:bCs/>
                <w:sz w:val="20"/>
                <w:szCs w:val="20"/>
              </w:rPr>
            </w:pPr>
          </w:p>
        </w:tc>
        <w:tc>
          <w:tcPr>
            <w:tcW w:w="9355" w:type="dxa"/>
            <w:tcBorders>
              <w:top w:val="single" w:sz="4" w:space="0" w:color="auto"/>
              <w:bottom w:val="nil"/>
            </w:tcBorders>
          </w:tcPr>
          <w:p w14:paraId="686D41DC"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Hradenú liečbu môže indikovať gastroenterológ</w:t>
            </w:r>
          </w:p>
          <w:p w14:paraId="42848D2F" w14:textId="77777777" w:rsidR="00AE1F22" w:rsidRPr="00AE1F22" w:rsidRDefault="00AE1F22" w:rsidP="00AE1F22">
            <w:pPr>
              <w:tabs>
                <w:tab w:val="left" w:pos="3500"/>
                <w:tab w:val="left" w:pos="3920"/>
              </w:tabs>
              <w:rPr>
                <w:rFonts w:ascii="Arial" w:hAnsi="Arial" w:cs="Arial"/>
                <w:bCs/>
                <w:sz w:val="20"/>
                <w:szCs w:val="20"/>
              </w:rPr>
            </w:pPr>
          </w:p>
          <w:p w14:paraId="72290C01"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a) na liečbu dospelých pacientov so stredne ťažkou až ťažkou aktívnou Crohnovou chorobou,</w:t>
            </w:r>
          </w:p>
          <w:p w14:paraId="2BBE6A97"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1. ktorí napriek úplnej a primeranej liečbe kortikosteroidmi alebo imunosupresívami na túto liečbu neodpovedali, alebo ktorí túto liečbu netolerujú alebo je u nich táto liečba z liečebných dôvodov kontraindikovaná a nie sú vhodní na liečbu infliximabom, alebo im je liečba infliximabom kontraindikovaná.</w:t>
            </w:r>
          </w:p>
          <w:p w14:paraId="430BEFCF" w14:textId="77777777" w:rsidR="00AE1F22" w:rsidRPr="00AE1F22" w:rsidRDefault="00AE1F22" w:rsidP="00AE1F22">
            <w:pPr>
              <w:tabs>
                <w:tab w:val="left" w:pos="3500"/>
                <w:tab w:val="left" w:pos="3920"/>
              </w:tabs>
              <w:rPr>
                <w:rFonts w:ascii="Arial" w:hAnsi="Arial" w:cs="Arial"/>
                <w:bCs/>
                <w:sz w:val="20"/>
                <w:szCs w:val="20"/>
              </w:rPr>
            </w:pPr>
          </w:p>
          <w:p w14:paraId="3BFBA095"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2. alebo u ktorých odpoveď na terapiu infliximabom bola neadekvátna alebo došlo k strate odpovede alebo takúto terapiu infliximabom netolerujú.</w:t>
            </w:r>
          </w:p>
          <w:p w14:paraId="3F4C3970" w14:textId="77777777" w:rsidR="00AE1F22" w:rsidRPr="00AE1F22" w:rsidRDefault="00AE1F22" w:rsidP="00AE1F22">
            <w:pPr>
              <w:tabs>
                <w:tab w:val="left" w:pos="3500"/>
                <w:tab w:val="left" w:pos="3920"/>
              </w:tabs>
              <w:rPr>
                <w:rFonts w:ascii="Arial" w:hAnsi="Arial" w:cs="Arial"/>
                <w:bCs/>
                <w:sz w:val="20"/>
                <w:szCs w:val="20"/>
              </w:rPr>
            </w:pPr>
          </w:p>
          <w:p w14:paraId="6A445833"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b) na liečbu dospelých pacientov so stredne ťažkou až ťažkou aktívnou ulceróznou kolitídou, u ktorých odpoveď buď na konvenčnú terapiu alebo na biologickú terapiu bola neadekvátna, alebo došlo k strate odpovede, alebo takúto terapiu netolerujú, alebo je im kontraindikovaná.</w:t>
            </w:r>
          </w:p>
          <w:p w14:paraId="5AF8868D" w14:textId="77777777" w:rsidR="00AE1F22" w:rsidRPr="00AE1F22" w:rsidRDefault="00AE1F22" w:rsidP="00AE1F22">
            <w:pPr>
              <w:tabs>
                <w:tab w:val="left" w:pos="3500"/>
                <w:tab w:val="left" w:pos="3920"/>
              </w:tabs>
              <w:rPr>
                <w:rFonts w:ascii="Arial" w:hAnsi="Arial" w:cs="Arial"/>
                <w:bCs/>
                <w:sz w:val="20"/>
                <w:szCs w:val="20"/>
              </w:rPr>
            </w:pPr>
          </w:p>
          <w:p w14:paraId="0B4EA9E4"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Gastrocentre Nemocnice AGEL Košice-Šaca.</w:t>
            </w:r>
          </w:p>
          <w:p w14:paraId="63D83B0F" w14:textId="77777777" w:rsidR="00AE1F22" w:rsidRPr="00AE1F22" w:rsidRDefault="00AE1F22" w:rsidP="00AE1F22">
            <w:pPr>
              <w:tabs>
                <w:tab w:val="left" w:pos="3500"/>
                <w:tab w:val="left" w:pos="3920"/>
              </w:tabs>
              <w:jc w:val="both"/>
              <w:rPr>
                <w:rFonts w:ascii="Arial" w:hAnsi="Arial" w:cs="Arial"/>
                <w:bCs/>
                <w:sz w:val="20"/>
                <w:szCs w:val="20"/>
              </w:rPr>
            </w:pPr>
          </w:p>
          <w:p w14:paraId="795EA73B"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Liečba ustekinumabom sa plne uhrádza na základe verejného zdravotného poistenia dospelým pacientom so stredne ťažkou až ťažkou aktívnou ulceróznou kolitídou.</w:t>
            </w:r>
          </w:p>
          <w:p w14:paraId="3F427B25" w14:textId="77777777" w:rsidR="00AE1F22" w:rsidRPr="00AE1F22" w:rsidRDefault="00AE1F22" w:rsidP="00AE1F22">
            <w:pPr>
              <w:tabs>
                <w:tab w:val="left" w:pos="3500"/>
                <w:tab w:val="left" w:pos="3920"/>
              </w:tabs>
              <w:rPr>
                <w:rFonts w:ascii="Arial" w:hAnsi="Arial" w:cs="Arial"/>
                <w:bCs/>
                <w:sz w:val="20"/>
                <w:szCs w:val="20"/>
              </w:rPr>
            </w:pPr>
          </w:p>
          <w:p w14:paraId="747B05E4"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Hradená liečba podlieha predchádzajúcemu súhlasu zdravotnej poisťovne.</w:t>
            </w:r>
          </w:p>
          <w:p w14:paraId="1887AA52" w14:textId="77777777" w:rsidR="00AE1F22" w:rsidRPr="00AE1F22" w:rsidRDefault="00AE1F22" w:rsidP="001237BD">
            <w:pPr>
              <w:tabs>
                <w:tab w:val="left" w:pos="3500"/>
                <w:tab w:val="left" w:pos="3920"/>
              </w:tabs>
              <w:rPr>
                <w:rFonts w:ascii="Arial" w:hAnsi="Arial" w:cs="Arial"/>
                <w:bCs/>
                <w:sz w:val="20"/>
                <w:szCs w:val="20"/>
              </w:rPr>
            </w:pPr>
          </w:p>
        </w:tc>
      </w:tr>
      <w:tr w:rsidR="00670FEC" w:rsidRPr="0000591E" w14:paraId="2DE7D53E" w14:textId="77777777" w:rsidTr="00670FEC">
        <w:trPr>
          <w:trHeight w:val="20"/>
        </w:trPr>
        <w:tc>
          <w:tcPr>
            <w:tcW w:w="1277" w:type="dxa"/>
            <w:tcBorders>
              <w:top w:val="nil"/>
              <w:bottom w:val="single" w:sz="4" w:space="0" w:color="auto"/>
            </w:tcBorders>
            <w:noWrap/>
          </w:tcPr>
          <w:p w14:paraId="0B8A09A4" w14:textId="3A19EC25" w:rsidR="00670FEC" w:rsidRPr="00E6635D" w:rsidRDefault="00670FEC" w:rsidP="00670FEC">
            <w:pPr>
              <w:tabs>
                <w:tab w:val="left" w:pos="750"/>
              </w:tabs>
              <w:rPr>
                <w:rFonts w:ascii="Arial" w:hAnsi="Arial" w:cs="Arial"/>
                <w:b/>
                <w:bCs/>
                <w:sz w:val="20"/>
                <w:szCs w:val="20"/>
              </w:rPr>
            </w:pPr>
            <w:r w:rsidRPr="00670FEC">
              <w:rPr>
                <w:rFonts w:ascii="Arial" w:hAnsi="Arial" w:cs="Arial"/>
                <w:b/>
                <w:bCs/>
                <w:sz w:val="20"/>
                <w:szCs w:val="20"/>
              </w:rPr>
              <w:t>L04AC07</w:t>
            </w:r>
          </w:p>
        </w:tc>
        <w:tc>
          <w:tcPr>
            <w:tcW w:w="9355" w:type="dxa"/>
            <w:tcBorders>
              <w:top w:val="nil"/>
              <w:bottom w:val="single" w:sz="4" w:space="0" w:color="auto"/>
            </w:tcBorders>
          </w:tcPr>
          <w:p w14:paraId="49A083A9" w14:textId="3B3175D9" w:rsidR="00670FEC" w:rsidRPr="00E6635D" w:rsidRDefault="00670FEC" w:rsidP="001237BD">
            <w:pPr>
              <w:tabs>
                <w:tab w:val="left" w:pos="3500"/>
                <w:tab w:val="left" w:pos="3920"/>
              </w:tabs>
              <w:rPr>
                <w:rFonts w:ascii="Arial" w:hAnsi="Arial" w:cs="Arial"/>
                <w:b/>
                <w:bCs/>
                <w:sz w:val="20"/>
                <w:szCs w:val="20"/>
              </w:rPr>
            </w:pPr>
            <w:r w:rsidRPr="00670FEC">
              <w:rPr>
                <w:rFonts w:ascii="Arial" w:hAnsi="Arial" w:cs="Arial"/>
                <w:b/>
                <w:bCs/>
                <w:sz w:val="20"/>
                <w:szCs w:val="20"/>
              </w:rPr>
              <w:t>Tocilizumab s.c. 162 mg</w:t>
            </w:r>
          </w:p>
        </w:tc>
      </w:tr>
      <w:tr w:rsidR="00670FEC" w:rsidRPr="0000591E" w14:paraId="18DD1D69" w14:textId="77777777" w:rsidTr="00670FEC">
        <w:trPr>
          <w:trHeight w:val="20"/>
        </w:trPr>
        <w:tc>
          <w:tcPr>
            <w:tcW w:w="1277" w:type="dxa"/>
            <w:tcBorders>
              <w:top w:val="single" w:sz="4" w:space="0" w:color="auto"/>
              <w:bottom w:val="nil"/>
            </w:tcBorders>
            <w:noWrap/>
          </w:tcPr>
          <w:p w14:paraId="14D1B388" w14:textId="77777777" w:rsidR="00670FEC" w:rsidRPr="00E6635D" w:rsidRDefault="00670FEC" w:rsidP="0034061E">
            <w:pPr>
              <w:rPr>
                <w:rFonts w:ascii="Arial" w:hAnsi="Arial" w:cs="Arial"/>
                <w:b/>
                <w:bCs/>
                <w:sz w:val="20"/>
                <w:szCs w:val="20"/>
              </w:rPr>
            </w:pPr>
          </w:p>
        </w:tc>
        <w:tc>
          <w:tcPr>
            <w:tcW w:w="9355" w:type="dxa"/>
            <w:tcBorders>
              <w:top w:val="single" w:sz="4" w:space="0" w:color="auto"/>
              <w:bottom w:val="nil"/>
            </w:tcBorders>
          </w:tcPr>
          <w:p w14:paraId="2FE8CAED"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 xml:space="preserve">Hradenú liečbu v kombinácií s metotrexátom môže indikovať po predchádzajúcom pneumologickom vyšetrení a vyšetrení IGRA testom reumatológ na liečbu stredne ťažkej až ťažkej aktívnej reumatoidnej artritídy u dospelých pacientov, ktorí na predchádzajúcu liečbu jedným alebo viacerými antireumatikami modifikujúcimi priebeh choroby, alebo inhibítormi tumor nekrotizujúceho faktora buď neodpovedali dostatočne, alebo ju netolerovali. U týchto pacientov sa tocilizumab môže podávať v monoterapii v prípade intolerancie metotrexátu, alebo keď je pokračujúca liečba metotrexátom nevhodná. </w:t>
            </w:r>
          </w:p>
          <w:p w14:paraId="10BDB4A0" w14:textId="77777777" w:rsidR="00670FEC" w:rsidRPr="00670FEC" w:rsidRDefault="00670FEC" w:rsidP="00670FEC">
            <w:pPr>
              <w:tabs>
                <w:tab w:val="left" w:pos="3500"/>
                <w:tab w:val="left" w:pos="3920"/>
              </w:tabs>
              <w:jc w:val="both"/>
              <w:rPr>
                <w:rFonts w:ascii="Arial" w:hAnsi="Arial" w:cs="Arial"/>
                <w:bCs/>
                <w:sz w:val="20"/>
                <w:szCs w:val="20"/>
              </w:rPr>
            </w:pPr>
          </w:p>
          <w:p w14:paraId="58C71F63"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 xml:space="preserve">Ďalšia liečba nie je hradenou liečbou, ak sa po dvanástich týždňoch podávania lieku s účinnou látkou tocilizumab nedostaví liečebný účinok.  </w:t>
            </w:r>
          </w:p>
          <w:p w14:paraId="6A0BFAD2" w14:textId="77777777" w:rsidR="00670FEC" w:rsidRP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 xml:space="preserve">  </w:t>
            </w:r>
          </w:p>
          <w:p w14:paraId="5424CE88" w14:textId="77777777" w:rsid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Hradená liečba podlieha predchádzajúcemu súhlasu zdravotnej poisťovne.</w:t>
            </w:r>
          </w:p>
          <w:p w14:paraId="4BE12F37" w14:textId="3F08EACF" w:rsidR="00670FEC" w:rsidRPr="00670FEC" w:rsidRDefault="00670FEC" w:rsidP="00670FEC">
            <w:pPr>
              <w:tabs>
                <w:tab w:val="left" w:pos="3500"/>
                <w:tab w:val="left" w:pos="3920"/>
              </w:tabs>
              <w:rPr>
                <w:rFonts w:ascii="Arial" w:hAnsi="Arial" w:cs="Arial"/>
                <w:bCs/>
                <w:sz w:val="20"/>
                <w:szCs w:val="20"/>
              </w:rPr>
            </w:pPr>
          </w:p>
        </w:tc>
      </w:tr>
      <w:tr w:rsidR="00670FEC" w:rsidRPr="0000591E" w14:paraId="51C2761F" w14:textId="77777777" w:rsidTr="00670FEC">
        <w:trPr>
          <w:trHeight w:val="20"/>
        </w:trPr>
        <w:tc>
          <w:tcPr>
            <w:tcW w:w="1277" w:type="dxa"/>
            <w:tcBorders>
              <w:top w:val="nil"/>
              <w:bottom w:val="single" w:sz="4" w:space="0" w:color="auto"/>
            </w:tcBorders>
            <w:noWrap/>
          </w:tcPr>
          <w:p w14:paraId="13889E29" w14:textId="13BF5E93" w:rsidR="00670FEC" w:rsidRPr="00E6635D" w:rsidRDefault="00670FEC" w:rsidP="0034061E">
            <w:pPr>
              <w:rPr>
                <w:rFonts w:ascii="Arial" w:hAnsi="Arial" w:cs="Arial"/>
                <w:b/>
                <w:bCs/>
                <w:sz w:val="20"/>
                <w:szCs w:val="20"/>
              </w:rPr>
            </w:pPr>
            <w:r w:rsidRPr="00670FEC">
              <w:rPr>
                <w:rFonts w:ascii="Arial" w:hAnsi="Arial" w:cs="Arial"/>
                <w:b/>
                <w:bCs/>
                <w:sz w:val="20"/>
                <w:szCs w:val="20"/>
              </w:rPr>
              <w:t>L04AC07</w:t>
            </w:r>
          </w:p>
        </w:tc>
        <w:tc>
          <w:tcPr>
            <w:tcW w:w="9355" w:type="dxa"/>
            <w:tcBorders>
              <w:top w:val="nil"/>
              <w:bottom w:val="single" w:sz="4" w:space="0" w:color="auto"/>
            </w:tcBorders>
          </w:tcPr>
          <w:p w14:paraId="00D98622" w14:textId="77777777" w:rsidR="00670FEC" w:rsidRPr="00670FEC" w:rsidRDefault="00670FEC" w:rsidP="00670FEC">
            <w:pPr>
              <w:tabs>
                <w:tab w:val="left" w:pos="3500"/>
                <w:tab w:val="left" w:pos="3920"/>
              </w:tabs>
              <w:rPr>
                <w:rFonts w:ascii="Arial" w:hAnsi="Arial" w:cs="Arial"/>
                <w:b/>
                <w:bCs/>
                <w:sz w:val="20"/>
                <w:szCs w:val="20"/>
              </w:rPr>
            </w:pPr>
            <w:r w:rsidRPr="00670FEC">
              <w:rPr>
                <w:rFonts w:ascii="Arial" w:hAnsi="Arial" w:cs="Arial"/>
                <w:b/>
                <w:bCs/>
                <w:sz w:val="20"/>
                <w:szCs w:val="20"/>
              </w:rPr>
              <w:t>Tocilizumab parent. 80 mg</w:t>
            </w:r>
          </w:p>
          <w:p w14:paraId="33FB7B07" w14:textId="77777777" w:rsidR="00670FEC" w:rsidRPr="00670FEC" w:rsidRDefault="00670FEC" w:rsidP="00670FEC">
            <w:pPr>
              <w:tabs>
                <w:tab w:val="left" w:pos="3500"/>
                <w:tab w:val="left" w:pos="3920"/>
              </w:tabs>
              <w:rPr>
                <w:rFonts w:ascii="Arial" w:hAnsi="Arial" w:cs="Arial"/>
                <w:b/>
                <w:bCs/>
                <w:sz w:val="20"/>
                <w:szCs w:val="20"/>
              </w:rPr>
            </w:pPr>
            <w:r w:rsidRPr="00670FEC">
              <w:rPr>
                <w:rFonts w:ascii="Arial" w:hAnsi="Arial" w:cs="Arial"/>
                <w:b/>
                <w:bCs/>
                <w:sz w:val="20"/>
                <w:szCs w:val="20"/>
              </w:rPr>
              <w:t>Tocilizumab parent. 200 mg</w:t>
            </w:r>
          </w:p>
          <w:p w14:paraId="7B283D3E" w14:textId="51AB899E" w:rsidR="00670FEC" w:rsidRPr="00E6635D" w:rsidRDefault="00670FEC" w:rsidP="00670FEC">
            <w:pPr>
              <w:tabs>
                <w:tab w:val="left" w:pos="3500"/>
                <w:tab w:val="left" w:pos="3920"/>
              </w:tabs>
              <w:rPr>
                <w:rFonts w:ascii="Arial" w:hAnsi="Arial" w:cs="Arial"/>
                <w:b/>
                <w:bCs/>
                <w:sz w:val="20"/>
                <w:szCs w:val="20"/>
              </w:rPr>
            </w:pPr>
            <w:r w:rsidRPr="00670FEC">
              <w:rPr>
                <w:rFonts w:ascii="Arial" w:hAnsi="Arial" w:cs="Arial"/>
                <w:b/>
                <w:bCs/>
                <w:sz w:val="20"/>
                <w:szCs w:val="20"/>
              </w:rPr>
              <w:t>Tocilizumab parent. 400 mg</w:t>
            </w:r>
          </w:p>
        </w:tc>
      </w:tr>
      <w:tr w:rsidR="00670FEC" w:rsidRPr="0000591E" w14:paraId="6A573467" w14:textId="77777777" w:rsidTr="00670FEC">
        <w:trPr>
          <w:trHeight w:val="20"/>
        </w:trPr>
        <w:tc>
          <w:tcPr>
            <w:tcW w:w="1277" w:type="dxa"/>
            <w:tcBorders>
              <w:top w:val="single" w:sz="4" w:space="0" w:color="auto"/>
              <w:bottom w:val="nil"/>
            </w:tcBorders>
            <w:noWrap/>
          </w:tcPr>
          <w:p w14:paraId="0C10431C" w14:textId="77777777" w:rsidR="00670FEC" w:rsidRPr="00E6635D" w:rsidRDefault="00670FEC" w:rsidP="0034061E">
            <w:pPr>
              <w:rPr>
                <w:rFonts w:ascii="Arial" w:hAnsi="Arial" w:cs="Arial"/>
                <w:b/>
                <w:bCs/>
                <w:sz w:val="20"/>
                <w:szCs w:val="20"/>
              </w:rPr>
            </w:pPr>
          </w:p>
        </w:tc>
        <w:tc>
          <w:tcPr>
            <w:tcW w:w="9355" w:type="dxa"/>
            <w:tcBorders>
              <w:top w:val="single" w:sz="4" w:space="0" w:color="auto"/>
              <w:bottom w:val="nil"/>
            </w:tcBorders>
          </w:tcPr>
          <w:p w14:paraId="57CBBD79"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Hradenú liečbu môže indikovať po predchádzajúcom pneumologickom vyšetrení a vyšetrení IGRA testom reumatológ alebo detský reumatológ na liečbu</w:t>
            </w:r>
          </w:p>
          <w:p w14:paraId="3E30A120" w14:textId="2F607411" w:rsidR="00670FEC" w:rsidRPr="00670FEC" w:rsidRDefault="00670FEC" w:rsidP="00670FEC">
            <w:pPr>
              <w:tabs>
                <w:tab w:val="left" w:pos="321"/>
                <w:tab w:val="left" w:pos="3500"/>
                <w:tab w:val="left" w:pos="3920"/>
              </w:tabs>
              <w:jc w:val="both"/>
              <w:rPr>
                <w:rFonts w:ascii="Arial" w:hAnsi="Arial" w:cs="Arial"/>
                <w:bCs/>
                <w:sz w:val="20"/>
                <w:szCs w:val="20"/>
              </w:rPr>
            </w:pPr>
            <w:r w:rsidRPr="00670FEC">
              <w:rPr>
                <w:rFonts w:ascii="Arial" w:hAnsi="Arial" w:cs="Arial"/>
                <w:bCs/>
                <w:sz w:val="20"/>
                <w:szCs w:val="20"/>
              </w:rPr>
              <w:t>a)</w:t>
            </w:r>
            <w:r>
              <w:rPr>
                <w:rFonts w:ascii="Arial" w:hAnsi="Arial" w:cs="Arial"/>
                <w:bCs/>
                <w:sz w:val="20"/>
                <w:szCs w:val="20"/>
              </w:rPr>
              <w:t xml:space="preserve"> </w:t>
            </w:r>
            <w:r w:rsidRPr="00670FEC">
              <w:rPr>
                <w:rFonts w:ascii="Arial" w:hAnsi="Arial" w:cs="Arial"/>
                <w:bCs/>
                <w:sz w:val="20"/>
                <w:szCs w:val="20"/>
              </w:rPr>
              <w:t xml:space="preserve">stredne ťažkej až ťažkej aktívnej reumatoidnej artritídy u dospelých pacientov, ktorí na </w:t>
            </w:r>
            <w:r>
              <w:rPr>
                <w:rFonts w:ascii="Arial" w:hAnsi="Arial" w:cs="Arial"/>
                <w:bCs/>
                <w:sz w:val="20"/>
                <w:szCs w:val="20"/>
              </w:rPr>
              <w:tab/>
            </w:r>
            <w:r w:rsidRPr="00670FEC">
              <w:rPr>
                <w:rFonts w:ascii="Arial" w:hAnsi="Arial" w:cs="Arial"/>
                <w:bCs/>
                <w:sz w:val="20"/>
                <w:szCs w:val="20"/>
              </w:rPr>
              <w:t xml:space="preserve">predchádzajúcu liečbu jedným alebo viacerými antireumatikami modifikujúcimi priebeh choroby, </w:t>
            </w:r>
            <w:r>
              <w:rPr>
                <w:rFonts w:ascii="Arial" w:hAnsi="Arial" w:cs="Arial"/>
                <w:bCs/>
                <w:sz w:val="20"/>
                <w:szCs w:val="20"/>
              </w:rPr>
              <w:tab/>
            </w:r>
            <w:r w:rsidRPr="00670FEC">
              <w:rPr>
                <w:rFonts w:ascii="Arial" w:hAnsi="Arial" w:cs="Arial"/>
                <w:bCs/>
                <w:sz w:val="20"/>
                <w:szCs w:val="20"/>
              </w:rPr>
              <w:t>je pokračujúca liečba metotrexátom nevhodná,</w:t>
            </w:r>
          </w:p>
          <w:p w14:paraId="294D2F7A" w14:textId="6BA4B1C2" w:rsidR="00670FEC" w:rsidRDefault="00670FEC" w:rsidP="00670FEC">
            <w:pPr>
              <w:tabs>
                <w:tab w:val="left" w:pos="179"/>
                <w:tab w:val="left" w:pos="321"/>
                <w:tab w:val="left" w:pos="3500"/>
                <w:tab w:val="left" w:pos="3920"/>
              </w:tabs>
              <w:jc w:val="both"/>
              <w:rPr>
                <w:rFonts w:ascii="Arial" w:hAnsi="Arial" w:cs="Arial"/>
                <w:bCs/>
                <w:sz w:val="20"/>
                <w:szCs w:val="20"/>
              </w:rPr>
            </w:pPr>
            <w:r w:rsidRPr="00670FEC">
              <w:rPr>
                <w:rFonts w:ascii="Arial" w:hAnsi="Arial" w:cs="Arial"/>
                <w:bCs/>
                <w:sz w:val="20"/>
                <w:szCs w:val="20"/>
              </w:rPr>
              <w:t>b)</w:t>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ťažkej, aktívnej a progresívnej formy reumatoidnej artritídy u dospelých pacientov, ktorí v minulosti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neboli liečení metotrexátom. U týchto pacientov sa tocilizumab môže podávať v monoterapii v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prípade intolerancie metotrexátu, alebo keď je liečba metotrexátom nevhodná,</w:t>
            </w:r>
            <w:r>
              <w:rPr>
                <w:rFonts w:ascii="Arial" w:hAnsi="Arial" w:cs="Arial"/>
                <w:bCs/>
                <w:sz w:val="20"/>
                <w:szCs w:val="20"/>
              </w:rPr>
              <w:t xml:space="preserve"> </w:t>
            </w:r>
          </w:p>
          <w:p w14:paraId="686A4867" w14:textId="1FD5EB01" w:rsidR="00670FEC" w:rsidRPr="00670FEC" w:rsidRDefault="00670FEC" w:rsidP="00670FEC">
            <w:pPr>
              <w:tabs>
                <w:tab w:val="left" w:pos="179"/>
                <w:tab w:val="left" w:pos="321"/>
                <w:tab w:val="left" w:pos="3500"/>
                <w:tab w:val="left" w:pos="3920"/>
              </w:tabs>
              <w:jc w:val="both"/>
              <w:rPr>
                <w:rFonts w:ascii="Arial" w:hAnsi="Arial" w:cs="Arial"/>
                <w:bCs/>
                <w:sz w:val="20"/>
                <w:szCs w:val="20"/>
              </w:rPr>
            </w:pPr>
            <w:r w:rsidRPr="00670FEC">
              <w:rPr>
                <w:rFonts w:ascii="Arial" w:hAnsi="Arial" w:cs="Arial"/>
                <w:bCs/>
                <w:sz w:val="20"/>
                <w:szCs w:val="20"/>
              </w:rPr>
              <w:t>c)</w:t>
            </w:r>
            <w:r>
              <w:rPr>
                <w:rFonts w:ascii="Arial" w:hAnsi="Arial" w:cs="Arial"/>
                <w:bCs/>
                <w:sz w:val="20"/>
                <w:szCs w:val="20"/>
              </w:rPr>
              <w:t xml:space="preserve"> </w:t>
            </w:r>
            <w:r>
              <w:rPr>
                <w:rFonts w:ascii="Arial" w:hAnsi="Arial" w:cs="Arial"/>
                <w:bCs/>
                <w:sz w:val="20"/>
                <w:szCs w:val="20"/>
              </w:rPr>
              <w:tab/>
            </w:r>
            <w:r w:rsidRPr="00670FEC">
              <w:rPr>
                <w:rFonts w:ascii="Arial" w:hAnsi="Arial" w:cs="Arial"/>
                <w:bCs/>
                <w:sz w:val="20"/>
                <w:szCs w:val="20"/>
              </w:rPr>
              <w:t xml:space="preserve">aktívnej systémovej juvenilnej idiopatickej artritídy (sJIA) u pacientov od dvoch rokov veku a starších, </w:t>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ktorí nedostatočne odpovedali na predošlú liečbu NSAIDs a systémovými kortikosteroidmi v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monoterapii (v prípade intolerancie metotrexátu alebo ak je liečba metotrexátom nevhodná) alebo v </w:t>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kombinácii s metotrexátom,</w:t>
            </w:r>
          </w:p>
          <w:p w14:paraId="530FB42A" w14:textId="157D39D2" w:rsidR="00670FEC" w:rsidRPr="00670FEC" w:rsidRDefault="00670FEC" w:rsidP="00670FEC">
            <w:pPr>
              <w:tabs>
                <w:tab w:val="left" w:pos="290"/>
                <w:tab w:val="left" w:pos="3500"/>
                <w:tab w:val="left" w:pos="3920"/>
              </w:tabs>
              <w:jc w:val="both"/>
              <w:rPr>
                <w:rFonts w:ascii="Arial" w:hAnsi="Arial" w:cs="Arial"/>
                <w:bCs/>
                <w:sz w:val="20"/>
                <w:szCs w:val="20"/>
              </w:rPr>
            </w:pPr>
            <w:r w:rsidRPr="00670FEC">
              <w:rPr>
                <w:rFonts w:ascii="Arial" w:hAnsi="Arial" w:cs="Arial"/>
                <w:bCs/>
                <w:sz w:val="20"/>
                <w:szCs w:val="20"/>
              </w:rPr>
              <w:t>d)</w:t>
            </w:r>
            <w:r>
              <w:rPr>
                <w:rFonts w:ascii="Arial" w:hAnsi="Arial" w:cs="Arial"/>
                <w:bCs/>
                <w:sz w:val="20"/>
                <w:szCs w:val="20"/>
              </w:rPr>
              <w:t xml:space="preserve"> </w:t>
            </w:r>
            <w:r>
              <w:rPr>
                <w:rFonts w:ascii="Arial" w:hAnsi="Arial" w:cs="Arial"/>
                <w:bCs/>
                <w:sz w:val="20"/>
                <w:szCs w:val="20"/>
              </w:rPr>
              <w:tab/>
            </w:r>
            <w:r w:rsidRPr="00670FEC">
              <w:rPr>
                <w:rFonts w:ascii="Arial" w:hAnsi="Arial" w:cs="Arial"/>
                <w:bCs/>
                <w:sz w:val="20"/>
                <w:szCs w:val="20"/>
              </w:rPr>
              <w:t xml:space="preserve">polyartikulárnej juvenilnej idiopatickej artritídy (s pozitívnym alebo negatívnym reumatoidným </w:t>
            </w:r>
            <w:r>
              <w:rPr>
                <w:rFonts w:ascii="Arial" w:hAnsi="Arial" w:cs="Arial"/>
                <w:bCs/>
                <w:sz w:val="20"/>
                <w:szCs w:val="20"/>
              </w:rPr>
              <w:tab/>
            </w:r>
            <w:r w:rsidRPr="00670FEC">
              <w:rPr>
                <w:rFonts w:ascii="Arial" w:hAnsi="Arial" w:cs="Arial"/>
                <w:bCs/>
                <w:sz w:val="20"/>
                <w:szCs w:val="20"/>
              </w:rPr>
              <w:t xml:space="preserve">faktorom a pretrvávajúcou oligoatritídou) v kombinácii s metotrexátom (MTX) u pacientov vo veku 2 </w:t>
            </w:r>
            <w:r>
              <w:rPr>
                <w:rFonts w:ascii="Arial" w:hAnsi="Arial" w:cs="Arial"/>
                <w:bCs/>
                <w:sz w:val="20"/>
                <w:szCs w:val="20"/>
              </w:rPr>
              <w:tab/>
            </w:r>
            <w:r w:rsidRPr="00670FEC">
              <w:rPr>
                <w:rFonts w:ascii="Arial" w:hAnsi="Arial" w:cs="Arial"/>
                <w:bCs/>
                <w:sz w:val="20"/>
                <w:szCs w:val="20"/>
              </w:rPr>
              <w:t xml:space="preserve">rokov a starších, ktorí nedostatočne odpovedali na predošlú liečbu s MTX. Tocilizumab sa môže </w:t>
            </w:r>
            <w:r>
              <w:rPr>
                <w:rFonts w:ascii="Arial" w:hAnsi="Arial" w:cs="Arial"/>
                <w:bCs/>
                <w:sz w:val="20"/>
                <w:szCs w:val="20"/>
              </w:rPr>
              <w:tab/>
            </w:r>
            <w:r w:rsidRPr="00670FEC">
              <w:rPr>
                <w:rFonts w:ascii="Arial" w:hAnsi="Arial" w:cs="Arial"/>
                <w:bCs/>
                <w:sz w:val="20"/>
                <w:szCs w:val="20"/>
              </w:rPr>
              <w:t>podávať v monoterapii v prípade intolerancie MTX alebo ak pokračujúca liečba s MTX nie je vhodná.</w:t>
            </w:r>
          </w:p>
          <w:p w14:paraId="58BA9CF2" w14:textId="77777777" w:rsidR="00670FEC" w:rsidRDefault="00670FEC" w:rsidP="00670FEC">
            <w:pPr>
              <w:tabs>
                <w:tab w:val="left" w:pos="321"/>
                <w:tab w:val="left" w:pos="3500"/>
                <w:tab w:val="left" w:pos="3920"/>
              </w:tabs>
              <w:rPr>
                <w:rFonts w:ascii="Arial" w:hAnsi="Arial" w:cs="Arial"/>
                <w:bCs/>
                <w:sz w:val="20"/>
                <w:szCs w:val="20"/>
              </w:rPr>
            </w:pPr>
          </w:p>
          <w:p w14:paraId="1C7F8773" w14:textId="73D1F540" w:rsidR="00670FEC" w:rsidRPr="00670FEC" w:rsidRDefault="00670FEC" w:rsidP="00670FEC">
            <w:pPr>
              <w:tabs>
                <w:tab w:val="left" w:pos="321"/>
                <w:tab w:val="left" w:pos="3500"/>
                <w:tab w:val="left" w:pos="3920"/>
              </w:tabs>
              <w:rPr>
                <w:rFonts w:ascii="Arial" w:hAnsi="Arial" w:cs="Arial"/>
                <w:bCs/>
                <w:sz w:val="20"/>
                <w:szCs w:val="20"/>
              </w:rPr>
            </w:pPr>
            <w:r w:rsidRPr="00670FEC">
              <w:rPr>
                <w:rFonts w:ascii="Arial" w:hAnsi="Arial" w:cs="Arial"/>
                <w:bCs/>
                <w:sz w:val="20"/>
                <w:szCs w:val="20"/>
              </w:rPr>
              <w:t>Hradenú liečbu môže indikovať detský reumatológ.</w:t>
            </w:r>
          </w:p>
          <w:p w14:paraId="637C1899" w14:textId="77777777" w:rsidR="00670FEC" w:rsidRP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Hradená liečba u pediatrických pacientov je plne hradená.</w:t>
            </w:r>
          </w:p>
          <w:p w14:paraId="2AC88CE9" w14:textId="77777777" w:rsidR="00670FEC" w:rsidRP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Hradená liečba podlieha predchádzajúcemu súhlasu zdravotnej poisťovne.</w:t>
            </w:r>
          </w:p>
          <w:p w14:paraId="6AD28CA0" w14:textId="77777777" w:rsidR="00670FEC" w:rsidRPr="00670FEC" w:rsidRDefault="00670FEC" w:rsidP="00670FEC">
            <w:pPr>
              <w:tabs>
                <w:tab w:val="left" w:pos="3500"/>
                <w:tab w:val="left" w:pos="3920"/>
              </w:tabs>
              <w:rPr>
                <w:rFonts w:ascii="Arial" w:hAnsi="Arial" w:cs="Arial"/>
                <w:bCs/>
                <w:sz w:val="20"/>
                <w:szCs w:val="20"/>
              </w:rPr>
            </w:pPr>
          </w:p>
          <w:p w14:paraId="2A69C8FE"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Ďalšia liečba nie je hradenou liečbou, ak sa po dvanástich týždňoch podávania lieku s účinnou látkou tocilizumab nedostaví liečebný účinok.</w:t>
            </w:r>
          </w:p>
          <w:p w14:paraId="3F3C65DD" w14:textId="77777777" w:rsidR="00670FEC" w:rsidRDefault="00670FEC" w:rsidP="001237BD">
            <w:pPr>
              <w:tabs>
                <w:tab w:val="left" w:pos="3500"/>
                <w:tab w:val="left" w:pos="3920"/>
              </w:tabs>
              <w:rPr>
                <w:rFonts w:ascii="Arial" w:hAnsi="Arial" w:cs="Arial"/>
                <w:bCs/>
                <w:sz w:val="20"/>
                <w:szCs w:val="20"/>
              </w:rPr>
            </w:pPr>
          </w:p>
          <w:p w14:paraId="66EB4231" w14:textId="77777777" w:rsidR="00BB25DE" w:rsidRPr="00670FEC" w:rsidRDefault="00BB25DE" w:rsidP="001237BD">
            <w:pPr>
              <w:tabs>
                <w:tab w:val="left" w:pos="3500"/>
                <w:tab w:val="left" w:pos="3920"/>
              </w:tabs>
              <w:rPr>
                <w:rFonts w:ascii="Arial" w:hAnsi="Arial" w:cs="Arial"/>
                <w:bCs/>
                <w:sz w:val="20"/>
                <w:szCs w:val="20"/>
              </w:rPr>
            </w:pPr>
          </w:p>
        </w:tc>
      </w:tr>
      <w:tr w:rsidR="001D2833" w:rsidRPr="0000591E" w14:paraId="3EA77D98" w14:textId="77777777" w:rsidTr="001D2833">
        <w:trPr>
          <w:trHeight w:val="20"/>
        </w:trPr>
        <w:tc>
          <w:tcPr>
            <w:tcW w:w="1277" w:type="dxa"/>
            <w:tcBorders>
              <w:top w:val="nil"/>
              <w:bottom w:val="single" w:sz="4" w:space="0" w:color="auto"/>
            </w:tcBorders>
            <w:noWrap/>
          </w:tcPr>
          <w:p w14:paraId="783FAAFB" w14:textId="5F267000" w:rsidR="001D2833" w:rsidRPr="00E6635D" w:rsidRDefault="001D2833" w:rsidP="0034061E">
            <w:pPr>
              <w:rPr>
                <w:rFonts w:ascii="Arial" w:hAnsi="Arial" w:cs="Arial"/>
                <w:b/>
                <w:bCs/>
                <w:sz w:val="20"/>
                <w:szCs w:val="20"/>
              </w:rPr>
            </w:pPr>
            <w:r w:rsidRPr="001D2833">
              <w:rPr>
                <w:rFonts w:ascii="Arial" w:hAnsi="Arial" w:cs="Arial"/>
                <w:b/>
                <w:bCs/>
                <w:sz w:val="20"/>
                <w:szCs w:val="20"/>
              </w:rPr>
              <w:t>L04AC08</w:t>
            </w:r>
          </w:p>
        </w:tc>
        <w:tc>
          <w:tcPr>
            <w:tcW w:w="9355" w:type="dxa"/>
            <w:tcBorders>
              <w:top w:val="nil"/>
              <w:bottom w:val="single" w:sz="4" w:space="0" w:color="auto"/>
            </w:tcBorders>
          </w:tcPr>
          <w:p w14:paraId="3D8F5472" w14:textId="5D9B319C" w:rsidR="001D2833" w:rsidRPr="00E6635D" w:rsidRDefault="001D2833" w:rsidP="001237BD">
            <w:pPr>
              <w:tabs>
                <w:tab w:val="left" w:pos="3500"/>
                <w:tab w:val="left" w:pos="3920"/>
              </w:tabs>
              <w:rPr>
                <w:rFonts w:ascii="Arial" w:hAnsi="Arial" w:cs="Arial"/>
                <w:b/>
                <w:bCs/>
                <w:sz w:val="20"/>
                <w:szCs w:val="20"/>
              </w:rPr>
            </w:pPr>
            <w:r w:rsidRPr="001D2833">
              <w:rPr>
                <w:rFonts w:ascii="Arial" w:hAnsi="Arial" w:cs="Arial"/>
                <w:b/>
                <w:bCs/>
                <w:sz w:val="20"/>
                <w:szCs w:val="20"/>
              </w:rPr>
              <w:t>Kanakinumab parent. 150 mg</w:t>
            </w:r>
          </w:p>
        </w:tc>
      </w:tr>
      <w:tr w:rsidR="001D2833" w:rsidRPr="0000591E" w14:paraId="46CF735D" w14:textId="77777777" w:rsidTr="001D2833">
        <w:trPr>
          <w:trHeight w:val="20"/>
        </w:trPr>
        <w:tc>
          <w:tcPr>
            <w:tcW w:w="1277" w:type="dxa"/>
            <w:tcBorders>
              <w:top w:val="single" w:sz="4" w:space="0" w:color="auto"/>
              <w:bottom w:val="nil"/>
            </w:tcBorders>
            <w:noWrap/>
          </w:tcPr>
          <w:p w14:paraId="55B4EC59" w14:textId="77777777" w:rsidR="001D2833" w:rsidRPr="00E6635D" w:rsidRDefault="001D2833" w:rsidP="0034061E">
            <w:pPr>
              <w:rPr>
                <w:rFonts w:ascii="Arial" w:hAnsi="Arial" w:cs="Arial"/>
                <w:b/>
                <w:bCs/>
                <w:sz w:val="20"/>
                <w:szCs w:val="20"/>
              </w:rPr>
            </w:pPr>
          </w:p>
        </w:tc>
        <w:tc>
          <w:tcPr>
            <w:tcW w:w="9355" w:type="dxa"/>
            <w:tcBorders>
              <w:top w:val="single" w:sz="4" w:space="0" w:color="auto"/>
              <w:bottom w:val="nil"/>
            </w:tcBorders>
          </w:tcPr>
          <w:p w14:paraId="3ADE0615"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Hradená liečba sa môže indikovať:</w:t>
            </w:r>
          </w:p>
          <w:p w14:paraId="729C36AE"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w:t>
            </w:r>
          </w:p>
          <w:p w14:paraId="6DEAB65B"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A. Periodické syndrómy asociované s kryopyrínom (CAPS): na liečbu periodických syndrómov asociovaných s kryopyrínom (CAPS) vrátane:</w:t>
            </w:r>
          </w:p>
          <w:p w14:paraId="6062B8B8" w14:textId="77777777" w:rsidR="001D2833" w:rsidRPr="001D2833" w:rsidRDefault="001D2833" w:rsidP="001D2833">
            <w:pPr>
              <w:tabs>
                <w:tab w:val="left" w:pos="3500"/>
                <w:tab w:val="left" w:pos="3920"/>
              </w:tabs>
              <w:rPr>
                <w:rFonts w:ascii="Arial" w:hAnsi="Arial" w:cs="Arial"/>
                <w:bCs/>
                <w:sz w:val="20"/>
                <w:szCs w:val="20"/>
              </w:rPr>
            </w:pPr>
          </w:p>
          <w:p w14:paraId="465547D4"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Muckleovho-Wellsovho syndrómu (MWS), </w:t>
            </w:r>
          </w:p>
          <w:p w14:paraId="50B179D0"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multisystémovej zápalovej choroby novorodencov (NOMID) / chronického neurologického, kožného a kĺbového syndrómu u detí (CINCA), </w:t>
            </w:r>
          </w:p>
          <w:p w14:paraId="439B0CAF"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ťažkých foriem familiárneho chladového autoinflamačného syndrómu (FCAS) / familiárnej chladovej urtikárie (FCU), prejavujúcej sa príznakmi a prejavmi presahujúcimi kožný exantém typu urtikárie vyvolanej chladom. </w:t>
            </w:r>
          </w:p>
          <w:p w14:paraId="2E427389" w14:textId="77777777" w:rsidR="001D2833" w:rsidRPr="001D2833" w:rsidRDefault="001D2833" w:rsidP="001D2833">
            <w:pPr>
              <w:tabs>
                <w:tab w:val="left" w:pos="3500"/>
                <w:tab w:val="left" w:pos="3920"/>
              </w:tabs>
              <w:rPr>
                <w:rFonts w:ascii="Arial" w:hAnsi="Arial" w:cs="Arial"/>
                <w:bCs/>
                <w:sz w:val="20"/>
                <w:szCs w:val="20"/>
              </w:rPr>
            </w:pPr>
          </w:p>
          <w:p w14:paraId="46572011" w14:textId="3C171EB6" w:rsid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B. Periodický syndróm asociovaný s receptorom pre faktor nekrotizujúci nádory (tumour necrosis factor receptor associated periodic syndrome, TRAPS): na liečbu periodického syndrómu asociovaného s receptorom pre faktor nekrotizujúci nádory (tumour necrosis factor, TNF) (TRAPS). C. Syndróm hyperimunoglobulinémie D (hyperimmunoglobulin D syndrome, HIDS)/deficitu mevalonátkinázy (mevalonate kinase deficiency, MKD): na liečbu syndrómu hyperimunoglobulinémie D (HIDS)/deficitu mevalonátkinázy (MKD). </w:t>
            </w:r>
          </w:p>
          <w:p w14:paraId="5E01F1A6" w14:textId="77777777" w:rsidR="001D2833" w:rsidRPr="001D2833" w:rsidRDefault="001D2833" w:rsidP="001D2833">
            <w:pPr>
              <w:tabs>
                <w:tab w:val="left" w:pos="3500"/>
                <w:tab w:val="left" w:pos="3920"/>
              </w:tabs>
              <w:rPr>
                <w:rFonts w:ascii="Arial" w:hAnsi="Arial" w:cs="Arial"/>
                <w:bCs/>
                <w:sz w:val="20"/>
                <w:szCs w:val="20"/>
              </w:rPr>
            </w:pPr>
          </w:p>
          <w:p w14:paraId="17760917"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D. Familiárna stredozemská horúčka (familial mediterranean fever, FMF): na liečbu familiárnej stredozemskej horúčky (FMF). Liečba je hradená u pacientov s častými atakmi choroby napriek liečbe najvyššou znášanou dávkou kolchicínu. Hradená liečba sa môže indikovať v Centre pre periodické horúčky, Klinika detí a dorastu JLF UK a UNM Martin, Klinika pneumológie a ftizeológie JLF UK a UNM Martin, V. interná klinika LF UK a UNB-Ružinov, I. Interná klinika LF UPJŠ a UNLP v Košiciach, Klinika detí a dorastu LF UPJŠ a DFN Košice, Detská klinika LF UK a Národný ústav detských chorôb. </w:t>
            </w:r>
          </w:p>
          <w:p w14:paraId="264773D3" w14:textId="77777777" w:rsidR="001D2833" w:rsidRPr="001D2833" w:rsidRDefault="001D2833" w:rsidP="001D2833">
            <w:pPr>
              <w:tabs>
                <w:tab w:val="left" w:pos="3500"/>
                <w:tab w:val="left" w:pos="3920"/>
              </w:tabs>
              <w:rPr>
                <w:rFonts w:ascii="Arial" w:hAnsi="Arial" w:cs="Arial"/>
                <w:bCs/>
                <w:sz w:val="20"/>
                <w:szCs w:val="20"/>
              </w:rPr>
            </w:pPr>
          </w:p>
          <w:p w14:paraId="343E43E3" w14:textId="77777777" w:rsid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Hradená liečba podlieha predchádzajúcemu súhlasu zdravotnej poisťovne.</w:t>
            </w:r>
          </w:p>
          <w:p w14:paraId="18DBE43B" w14:textId="3D4C53F9" w:rsidR="001D2833" w:rsidRPr="001D2833" w:rsidRDefault="001D2833" w:rsidP="001D2833">
            <w:pPr>
              <w:tabs>
                <w:tab w:val="left" w:pos="3500"/>
                <w:tab w:val="left" w:pos="3920"/>
              </w:tabs>
              <w:rPr>
                <w:rFonts w:ascii="Arial" w:hAnsi="Arial" w:cs="Arial"/>
                <w:bCs/>
                <w:sz w:val="20"/>
                <w:szCs w:val="20"/>
              </w:rPr>
            </w:pPr>
          </w:p>
        </w:tc>
      </w:tr>
      <w:tr w:rsidR="00FB0E73" w:rsidRPr="0000591E" w14:paraId="4A772BEE" w14:textId="77777777" w:rsidTr="00FB0E73">
        <w:trPr>
          <w:trHeight w:val="20"/>
        </w:trPr>
        <w:tc>
          <w:tcPr>
            <w:tcW w:w="1277" w:type="dxa"/>
            <w:tcBorders>
              <w:top w:val="nil"/>
              <w:bottom w:val="single" w:sz="4" w:space="0" w:color="auto"/>
            </w:tcBorders>
            <w:noWrap/>
          </w:tcPr>
          <w:p w14:paraId="60E903E2" w14:textId="7F827F6B" w:rsidR="00FB0E73" w:rsidRPr="00E6635D" w:rsidRDefault="00FB0E73" w:rsidP="0034061E">
            <w:pPr>
              <w:rPr>
                <w:rFonts w:ascii="Arial" w:hAnsi="Arial" w:cs="Arial"/>
                <w:b/>
                <w:bCs/>
                <w:sz w:val="20"/>
                <w:szCs w:val="20"/>
              </w:rPr>
            </w:pPr>
            <w:r w:rsidRPr="00FB0E73">
              <w:rPr>
                <w:rFonts w:ascii="Arial" w:hAnsi="Arial" w:cs="Arial"/>
                <w:b/>
                <w:bCs/>
                <w:sz w:val="20"/>
                <w:szCs w:val="20"/>
              </w:rPr>
              <w:t>L04AC10</w:t>
            </w:r>
          </w:p>
        </w:tc>
        <w:tc>
          <w:tcPr>
            <w:tcW w:w="9355" w:type="dxa"/>
            <w:tcBorders>
              <w:top w:val="nil"/>
              <w:bottom w:val="single" w:sz="4" w:space="0" w:color="auto"/>
            </w:tcBorders>
          </w:tcPr>
          <w:p w14:paraId="6646F022" w14:textId="03F1F444" w:rsidR="00FB0E73" w:rsidRPr="00E6635D" w:rsidRDefault="00FB0E73" w:rsidP="001237BD">
            <w:pPr>
              <w:tabs>
                <w:tab w:val="left" w:pos="3500"/>
                <w:tab w:val="left" w:pos="3920"/>
              </w:tabs>
              <w:rPr>
                <w:rFonts w:ascii="Arial" w:hAnsi="Arial" w:cs="Arial"/>
                <w:b/>
                <w:bCs/>
                <w:sz w:val="20"/>
                <w:szCs w:val="20"/>
              </w:rPr>
            </w:pPr>
            <w:r w:rsidRPr="00FB0E73">
              <w:rPr>
                <w:rFonts w:ascii="Arial" w:hAnsi="Arial" w:cs="Arial"/>
                <w:b/>
                <w:bCs/>
                <w:sz w:val="20"/>
                <w:szCs w:val="20"/>
              </w:rPr>
              <w:t>Sekukinumab s.c. 150 mg</w:t>
            </w:r>
          </w:p>
        </w:tc>
      </w:tr>
      <w:tr w:rsidR="00FB0E73" w:rsidRPr="0000591E" w14:paraId="45717FC5" w14:textId="77777777" w:rsidTr="00FB0E73">
        <w:trPr>
          <w:trHeight w:val="20"/>
        </w:trPr>
        <w:tc>
          <w:tcPr>
            <w:tcW w:w="1277" w:type="dxa"/>
            <w:tcBorders>
              <w:top w:val="single" w:sz="4" w:space="0" w:color="auto"/>
              <w:bottom w:val="nil"/>
            </w:tcBorders>
            <w:noWrap/>
          </w:tcPr>
          <w:p w14:paraId="4585FC12" w14:textId="77777777" w:rsidR="00FB0E73" w:rsidRPr="00E6635D" w:rsidRDefault="00FB0E73" w:rsidP="0034061E">
            <w:pPr>
              <w:rPr>
                <w:rFonts w:ascii="Arial" w:hAnsi="Arial" w:cs="Arial"/>
                <w:b/>
                <w:bCs/>
                <w:sz w:val="20"/>
                <w:szCs w:val="20"/>
              </w:rPr>
            </w:pPr>
          </w:p>
        </w:tc>
        <w:tc>
          <w:tcPr>
            <w:tcW w:w="9355" w:type="dxa"/>
            <w:tcBorders>
              <w:top w:val="single" w:sz="4" w:space="0" w:color="auto"/>
              <w:bottom w:val="nil"/>
            </w:tcBorders>
          </w:tcPr>
          <w:p w14:paraId="175D06A1" w14:textId="36CA6018" w:rsidR="00FB0E73" w:rsidRDefault="00FB0E73" w:rsidP="00FB0E73">
            <w:pPr>
              <w:tabs>
                <w:tab w:val="left" w:pos="3500"/>
                <w:tab w:val="left" w:pos="3920"/>
              </w:tabs>
              <w:rPr>
                <w:rFonts w:ascii="Arial" w:hAnsi="Arial" w:cs="Arial"/>
                <w:bCs/>
                <w:sz w:val="20"/>
                <w:szCs w:val="20"/>
              </w:rPr>
            </w:pPr>
            <w:r w:rsidRPr="00FB0E73">
              <w:rPr>
                <w:rFonts w:ascii="Arial" w:hAnsi="Arial" w:cs="Arial"/>
                <w:bCs/>
                <w:sz w:val="20"/>
                <w:szCs w:val="20"/>
              </w:rPr>
              <w:t>Hradenú liečbu môže indikovať po predchádzajúcom pneumologickom vyšetrení IGRA testom:</w:t>
            </w:r>
          </w:p>
          <w:p w14:paraId="0CD54E24" w14:textId="77777777" w:rsidR="00FB0E73" w:rsidRPr="00FB0E73" w:rsidRDefault="00FB0E73" w:rsidP="00FB0E73">
            <w:pPr>
              <w:tabs>
                <w:tab w:val="left" w:pos="3500"/>
                <w:tab w:val="left" w:pos="3920"/>
              </w:tabs>
              <w:rPr>
                <w:rFonts w:ascii="Arial" w:hAnsi="Arial" w:cs="Arial"/>
                <w:bCs/>
                <w:sz w:val="20"/>
                <w:szCs w:val="20"/>
              </w:rPr>
            </w:pPr>
          </w:p>
          <w:p w14:paraId="66D409C1" w14:textId="52EA1D90" w:rsidR="00FB0E73" w:rsidRP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a)</w:t>
            </w:r>
            <w:r>
              <w:rPr>
                <w:rFonts w:ascii="Arial" w:hAnsi="Arial" w:cs="Arial"/>
                <w:bCs/>
                <w:sz w:val="20"/>
                <w:szCs w:val="20"/>
              </w:rPr>
              <w:t xml:space="preserve"> </w:t>
            </w:r>
            <w:r>
              <w:rPr>
                <w:rFonts w:ascii="Arial" w:hAnsi="Arial" w:cs="Arial"/>
                <w:bCs/>
                <w:sz w:val="20"/>
                <w:szCs w:val="20"/>
              </w:rPr>
              <w:tab/>
            </w:r>
            <w:r w:rsidRPr="00FB0E73">
              <w:rPr>
                <w:rFonts w:ascii="Arial" w:hAnsi="Arial" w:cs="Arial"/>
                <w:bCs/>
                <w:sz w:val="20"/>
                <w:szCs w:val="20"/>
              </w:rPr>
              <w:t xml:space="preserve">dermatológ u dospelých pacientov so stredne závažnou až závažnou ložiskovou psoriázou, u ktorých </w:t>
            </w:r>
            <w:r>
              <w:rPr>
                <w:rFonts w:ascii="Arial" w:hAnsi="Arial" w:cs="Arial"/>
                <w:bCs/>
                <w:sz w:val="20"/>
                <w:szCs w:val="20"/>
              </w:rPr>
              <w:tab/>
            </w:r>
            <w:r w:rsidRPr="00FB0E73">
              <w:rPr>
                <w:rFonts w:ascii="Arial" w:hAnsi="Arial" w:cs="Arial"/>
                <w:bCs/>
                <w:sz w:val="20"/>
                <w:szCs w:val="20"/>
              </w:rPr>
              <w:t xml:space="preserve">iná liečba nebola dostatočne účinná, majú kontraindikácie alebo intoleranciu k inej systémovej liečbe </w:t>
            </w:r>
            <w:r>
              <w:rPr>
                <w:rFonts w:ascii="Arial" w:hAnsi="Arial" w:cs="Arial"/>
                <w:bCs/>
                <w:sz w:val="20"/>
                <w:szCs w:val="20"/>
              </w:rPr>
              <w:tab/>
            </w:r>
            <w:r w:rsidRPr="00FB0E73">
              <w:rPr>
                <w:rFonts w:ascii="Arial" w:hAnsi="Arial" w:cs="Arial"/>
                <w:bCs/>
                <w:sz w:val="20"/>
                <w:szCs w:val="20"/>
              </w:rPr>
              <w:t>účinnými látkami skupín anti TNF alfa alebo anti 1L-12/23;</w:t>
            </w:r>
          </w:p>
          <w:p w14:paraId="6F8724F3" w14:textId="2C53C65C" w:rsidR="00FB0E73" w:rsidRP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b)</w:t>
            </w:r>
            <w:r>
              <w:rPr>
                <w:rFonts w:ascii="Arial" w:hAnsi="Arial" w:cs="Arial"/>
                <w:bCs/>
                <w:sz w:val="20"/>
                <w:szCs w:val="20"/>
              </w:rPr>
              <w:tab/>
            </w:r>
            <w:r w:rsidRPr="00FB0E73">
              <w:rPr>
                <w:rFonts w:ascii="Arial" w:hAnsi="Arial" w:cs="Arial"/>
                <w:bCs/>
                <w:sz w:val="20"/>
                <w:szCs w:val="20"/>
              </w:rPr>
              <w:t xml:space="preserve">reumatológ u dospelých pacientov pri aktívnej ankylozujúcej spondylitíde, ak nebola odpoveď na </w:t>
            </w:r>
            <w:r>
              <w:rPr>
                <w:rFonts w:ascii="Arial" w:hAnsi="Arial" w:cs="Arial"/>
                <w:bCs/>
                <w:sz w:val="20"/>
                <w:szCs w:val="20"/>
              </w:rPr>
              <w:tab/>
            </w:r>
            <w:r w:rsidRPr="00FB0E73">
              <w:rPr>
                <w:rFonts w:ascii="Arial" w:hAnsi="Arial" w:cs="Arial"/>
                <w:bCs/>
                <w:sz w:val="20"/>
                <w:szCs w:val="20"/>
              </w:rPr>
              <w:t>predchádzajúcu konvenčnú liečbu dostatočná,</w:t>
            </w:r>
          </w:p>
          <w:p w14:paraId="494DB607" w14:textId="33774489" w:rsid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c)</w:t>
            </w:r>
            <w:r>
              <w:rPr>
                <w:rFonts w:ascii="Arial" w:hAnsi="Arial" w:cs="Arial"/>
                <w:bCs/>
                <w:sz w:val="20"/>
                <w:szCs w:val="20"/>
              </w:rPr>
              <w:tab/>
            </w:r>
            <w:r w:rsidRPr="00FB0E73">
              <w:rPr>
                <w:rFonts w:ascii="Arial" w:hAnsi="Arial" w:cs="Arial"/>
                <w:bCs/>
                <w:sz w:val="20"/>
                <w:szCs w:val="20"/>
              </w:rPr>
              <w:t xml:space="preserve">reumatológ u dospelých pacientov pri aktívnej psoriatickej artritíde so sprievodnou miernou </w:t>
            </w:r>
            <w:r>
              <w:rPr>
                <w:rFonts w:ascii="Arial" w:hAnsi="Arial" w:cs="Arial"/>
                <w:bCs/>
                <w:sz w:val="20"/>
                <w:szCs w:val="20"/>
              </w:rPr>
              <w:tab/>
            </w:r>
            <w:r w:rsidRPr="00FB0E73">
              <w:rPr>
                <w:rFonts w:ascii="Arial" w:hAnsi="Arial" w:cs="Arial"/>
                <w:bCs/>
                <w:sz w:val="20"/>
                <w:szCs w:val="20"/>
              </w:rPr>
              <w:t xml:space="preserve">ložiskovou psoriázou alebo bez sprievodnej ložiskovej psoriázy v monoterapii alebo v kombinácii s </w:t>
            </w:r>
            <w:r>
              <w:rPr>
                <w:rFonts w:ascii="Arial" w:hAnsi="Arial" w:cs="Arial"/>
                <w:bCs/>
                <w:sz w:val="20"/>
                <w:szCs w:val="20"/>
              </w:rPr>
              <w:tab/>
            </w:r>
            <w:r w:rsidRPr="00FB0E73">
              <w:rPr>
                <w:rFonts w:ascii="Arial" w:hAnsi="Arial" w:cs="Arial"/>
                <w:bCs/>
                <w:sz w:val="20"/>
                <w:szCs w:val="20"/>
              </w:rPr>
              <w:t>MTX, ak nebola odpoveď na predchádzajúcu liečbu DMARDs dostatočná,</w:t>
            </w:r>
            <w:r>
              <w:rPr>
                <w:rFonts w:ascii="Arial" w:hAnsi="Arial" w:cs="Arial"/>
                <w:bCs/>
                <w:sz w:val="20"/>
                <w:szCs w:val="20"/>
              </w:rPr>
              <w:t xml:space="preserve"> </w:t>
            </w:r>
          </w:p>
          <w:p w14:paraId="036FD297" w14:textId="20E77F46" w:rsidR="00FB0E73" w:rsidRP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d)</w:t>
            </w:r>
            <w:r>
              <w:rPr>
                <w:rFonts w:ascii="Arial" w:hAnsi="Arial" w:cs="Arial"/>
                <w:bCs/>
                <w:sz w:val="20"/>
                <w:szCs w:val="20"/>
              </w:rPr>
              <w:tab/>
            </w:r>
            <w:r w:rsidRPr="00FB0E73">
              <w:rPr>
                <w:rFonts w:ascii="Arial" w:hAnsi="Arial" w:cs="Arial"/>
                <w:bCs/>
                <w:sz w:val="20"/>
                <w:szCs w:val="20"/>
              </w:rPr>
              <w:t xml:space="preserve">reumatológ u dospelých pacientov pri aktívnej psoriatickej artritíde so sprievodnou stredne závažnou </w:t>
            </w:r>
            <w:r>
              <w:rPr>
                <w:rFonts w:ascii="Arial" w:hAnsi="Arial" w:cs="Arial"/>
                <w:bCs/>
                <w:sz w:val="20"/>
                <w:szCs w:val="20"/>
              </w:rPr>
              <w:tab/>
            </w:r>
            <w:r w:rsidRPr="00FB0E73">
              <w:rPr>
                <w:rFonts w:ascii="Arial" w:hAnsi="Arial" w:cs="Arial"/>
                <w:bCs/>
                <w:sz w:val="20"/>
                <w:szCs w:val="20"/>
              </w:rPr>
              <w:t xml:space="preserve">až závažnou ložiskovou psoriázou v monoterapii alebo v kombinácii s MTX, ak nebola odpoveď na </w:t>
            </w:r>
            <w:r>
              <w:rPr>
                <w:rFonts w:ascii="Arial" w:hAnsi="Arial" w:cs="Arial"/>
                <w:bCs/>
                <w:sz w:val="20"/>
                <w:szCs w:val="20"/>
              </w:rPr>
              <w:tab/>
            </w:r>
            <w:r w:rsidRPr="00FB0E73">
              <w:rPr>
                <w:rFonts w:ascii="Arial" w:hAnsi="Arial" w:cs="Arial"/>
                <w:bCs/>
                <w:sz w:val="20"/>
                <w:szCs w:val="20"/>
              </w:rPr>
              <w:t>predchádzajúcu liečbu anti-TNF inhibítormi a DMARDs dostatočná.</w:t>
            </w:r>
          </w:p>
          <w:p w14:paraId="73EEA898" w14:textId="77777777" w:rsidR="00FB0E73" w:rsidRPr="00FB0E73" w:rsidRDefault="00FB0E73" w:rsidP="00FB0E73">
            <w:pPr>
              <w:tabs>
                <w:tab w:val="left" w:pos="3500"/>
                <w:tab w:val="left" w:pos="3920"/>
              </w:tabs>
              <w:rPr>
                <w:rFonts w:ascii="Arial" w:hAnsi="Arial" w:cs="Arial"/>
                <w:bCs/>
                <w:sz w:val="20"/>
                <w:szCs w:val="20"/>
              </w:rPr>
            </w:pPr>
          </w:p>
          <w:p w14:paraId="25C6C2D6" w14:textId="77777777" w:rsidR="00FB0E73" w:rsidRPr="00FB0E73" w:rsidRDefault="00FB0E73" w:rsidP="00FB0E73">
            <w:pPr>
              <w:tabs>
                <w:tab w:val="left" w:pos="3500"/>
                <w:tab w:val="left" w:pos="3920"/>
              </w:tabs>
              <w:rPr>
                <w:rFonts w:ascii="Arial" w:hAnsi="Arial" w:cs="Arial"/>
                <w:bCs/>
                <w:sz w:val="20"/>
                <w:szCs w:val="20"/>
              </w:rPr>
            </w:pPr>
            <w:r w:rsidRPr="00FB0E73">
              <w:rPr>
                <w:rFonts w:ascii="Arial" w:hAnsi="Arial" w:cs="Arial"/>
                <w:bCs/>
                <w:sz w:val="20"/>
                <w:szCs w:val="20"/>
              </w:rPr>
              <w:t>Ďalšia liečba nie je hradenou liečbou, ak sa po šestnástich týždňoch podávania lieku s účinnou látkou sekukinumab nedostaví liečebný účinok.</w:t>
            </w:r>
          </w:p>
          <w:p w14:paraId="552D49B5" w14:textId="1061D5A3" w:rsidR="00FB0E73" w:rsidRDefault="00AD1AEF" w:rsidP="00FB0E73">
            <w:pPr>
              <w:tabs>
                <w:tab w:val="left" w:pos="3500"/>
                <w:tab w:val="left" w:pos="3920"/>
              </w:tabs>
              <w:rPr>
                <w:rFonts w:ascii="Arial" w:hAnsi="Arial" w:cs="Arial"/>
                <w:bCs/>
                <w:sz w:val="20"/>
                <w:szCs w:val="20"/>
              </w:rPr>
            </w:pPr>
            <w:r w:rsidRPr="00AD1AEF">
              <w:rPr>
                <w:rFonts w:ascii="Arial" w:hAnsi="Arial" w:cs="Arial"/>
                <w:bCs/>
                <w:sz w:val="20"/>
                <w:szCs w:val="20"/>
              </w:rPr>
              <w:t>Hradená liečba podlieha predchádzajúcemu súhlasu zdravotnej poisťovne.</w:t>
            </w:r>
          </w:p>
          <w:p w14:paraId="7BF99A88" w14:textId="77777777" w:rsidR="00AD1AEF" w:rsidRDefault="00AD1AEF" w:rsidP="00FB0E73">
            <w:pPr>
              <w:tabs>
                <w:tab w:val="left" w:pos="3500"/>
                <w:tab w:val="left" w:pos="3920"/>
              </w:tabs>
              <w:rPr>
                <w:rFonts w:ascii="Arial" w:hAnsi="Arial" w:cs="Arial"/>
                <w:bCs/>
                <w:sz w:val="20"/>
                <w:szCs w:val="20"/>
              </w:rPr>
            </w:pPr>
          </w:p>
          <w:p w14:paraId="2267A469" w14:textId="77777777" w:rsidR="00AD1AEF" w:rsidRPr="00AD1AEF" w:rsidRDefault="00AD1AEF" w:rsidP="00AD1AEF">
            <w:pPr>
              <w:tabs>
                <w:tab w:val="left" w:pos="3500"/>
                <w:tab w:val="left" w:pos="3920"/>
              </w:tabs>
              <w:jc w:val="both"/>
              <w:rPr>
                <w:rFonts w:ascii="Arial" w:hAnsi="Arial" w:cs="Arial"/>
                <w:bCs/>
                <w:sz w:val="20"/>
                <w:szCs w:val="20"/>
              </w:rPr>
            </w:pPr>
            <w:r w:rsidRPr="00AD1AEF">
              <w:rPr>
                <w:rFonts w:ascii="Arial" w:hAnsi="Arial" w:cs="Arial"/>
                <w:bCs/>
                <w:sz w:val="20"/>
                <w:szCs w:val="20"/>
              </w:rPr>
              <w:t>e) dermatológ u dospelých s aktívnou stredne závažnou až závažnou Hidradenitis suppurativa (acne inversa), ktorí nedostatočne odpovedali, prestali odpovedať alebo netolerovali biologický liek v terapii HS, alebo podľa zhodnotenia ošetrujúceho lekára u nich liečba adalimumabom nie je vhodná alebo je kontraindikovaná.</w:t>
            </w:r>
          </w:p>
          <w:p w14:paraId="7D1B160D" w14:textId="6D5D5E43" w:rsidR="00AD1AEF" w:rsidRPr="00AD1AEF" w:rsidRDefault="00AD1AEF" w:rsidP="00AD1AEF">
            <w:pPr>
              <w:tabs>
                <w:tab w:val="left" w:pos="3500"/>
                <w:tab w:val="left" w:pos="3920"/>
              </w:tabs>
              <w:jc w:val="both"/>
              <w:rPr>
                <w:rFonts w:ascii="Arial" w:hAnsi="Arial" w:cs="Arial"/>
                <w:bCs/>
                <w:sz w:val="20"/>
                <w:szCs w:val="20"/>
              </w:rPr>
            </w:pPr>
            <w:r w:rsidRPr="00AD1AEF">
              <w:rPr>
                <w:rFonts w:ascii="Arial" w:hAnsi="Arial" w:cs="Arial"/>
                <w:bCs/>
                <w:sz w:val="20"/>
                <w:szCs w:val="20"/>
              </w:rPr>
              <w:t xml:space="preserve">Ďalšia liečba nie je hradenou liečbou, ak sa po 32 týždňoch podávania lieku zaznamenaná </w:t>
            </w:r>
            <w:r>
              <w:rPr>
                <w:rFonts w:ascii="Arial" w:hAnsi="Arial" w:cs="Arial"/>
                <w:bCs/>
                <w:sz w:val="20"/>
                <w:szCs w:val="20"/>
              </w:rPr>
              <w:t>n</w:t>
            </w:r>
            <w:r w:rsidRPr="00AD1AEF">
              <w:rPr>
                <w:rFonts w:ascii="Arial" w:hAnsi="Arial" w:cs="Arial"/>
                <w:bCs/>
                <w:sz w:val="20"/>
                <w:szCs w:val="20"/>
              </w:rPr>
              <w:t>edostatočná klinická odpoveď – redukcia abscesov a zápalových nodulov o menej ako 25 %.</w:t>
            </w:r>
          </w:p>
          <w:p w14:paraId="7DEA9795" w14:textId="77777777" w:rsidR="00AD1AEF" w:rsidRDefault="00AD1AEF" w:rsidP="00AD1AEF">
            <w:pPr>
              <w:tabs>
                <w:tab w:val="left" w:pos="3500"/>
                <w:tab w:val="left" w:pos="3920"/>
              </w:tabs>
              <w:jc w:val="both"/>
              <w:rPr>
                <w:rFonts w:ascii="Arial" w:hAnsi="Arial" w:cs="Arial"/>
                <w:bCs/>
                <w:sz w:val="20"/>
                <w:szCs w:val="20"/>
              </w:rPr>
            </w:pPr>
          </w:p>
          <w:p w14:paraId="57BCEBFF" w14:textId="480188D1" w:rsidR="00AD1AEF" w:rsidRDefault="00AD1AEF" w:rsidP="00AD1AEF">
            <w:pPr>
              <w:tabs>
                <w:tab w:val="left" w:pos="3500"/>
                <w:tab w:val="left" w:pos="3920"/>
              </w:tabs>
              <w:rPr>
                <w:rFonts w:ascii="Arial" w:hAnsi="Arial" w:cs="Arial"/>
                <w:bCs/>
                <w:sz w:val="20"/>
                <w:szCs w:val="20"/>
              </w:rPr>
            </w:pPr>
            <w:r w:rsidRPr="00AD1AEF">
              <w:rPr>
                <w:rFonts w:ascii="Arial" w:hAnsi="Arial" w:cs="Arial"/>
                <w:bCs/>
                <w:sz w:val="20"/>
                <w:szCs w:val="20"/>
              </w:rPr>
              <w:t>Hradená liečba podlieha predchádzajúcemu súhlasu zdravotnej poisťovne.</w:t>
            </w:r>
          </w:p>
          <w:p w14:paraId="65FE3D61" w14:textId="77777777" w:rsidR="00BB25DE" w:rsidRDefault="00BB25DE" w:rsidP="00AD1AEF">
            <w:pPr>
              <w:tabs>
                <w:tab w:val="left" w:pos="3500"/>
                <w:tab w:val="left" w:pos="3920"/>
              </w:tabs>
              <w:rPr>
                <w:rFonts w:ascii="Arial" w:hAnsi="Arial" w:cs="Arial"/>
                <w:bCs/>
                <w:sz w:val="20"/>
                <w:szCs w:val="20"/>
              </w:rPr>
            </w:pPr>
          </w:p>
          <w:p w14:paraId="549170EE" w14:textId="77777777" w:rsidR="00BB25DE" w:rsidRDefault="00BB25DE" w:rsidP="00AD1AEF">
            <w:pPr>
              <w:tabs>
                <w:tab w:val="left" w:pos="3500"/>
                <w:tab w:val="left" w:pos="3920"/>
              </w:tabs>
              <w:rPr>
                <w:rFonts w:ascii="Arial" w:hAnsi="Arial" w:cs="Arial"/>
                <w:bCs/>
                <w:sz w:val="20"/>
                <w:szCs w:val="20"/>
              </w:rPr>
            </w:pPr>
          </w:p>
          <w:p w14:paraId="0605F614" w14:textId="77777777" w:rsidR="00BB25DE" w:rsidRPr="00FB0E73" w:rsidRDefault="00BB25DE" w:rsidP="00AD1AEF">
            <w:pPr>
              <w:tabs>
                <w:tab w:val="left" w:pos="3500"/>
                <w:tab w:val="left" w:pos="3920"/>
              </w:tabs>
              <w:rPr>
                <w:rFonts w:ascii="Arial" w:hAnsi="Arial" w:cs="Arial"/>
                <w:bCs/>
                <w:sz w:val="20"/>
                <w:szCs w:val="20"/>
              </w:rPr>
            </w:pPr>
          </w:p>
          <w:p w14:paraId="40242378" w14:textId="3BA31C88" w:rsidR="00FB0E73" w:rsidRPr="00FB0E73" w:rsidRDefault="00FB0E73" w:rsidP="00AD1AEF">
            <w:pPr>
              <w:tabs>
                <w:tab w:val="left" w:pos="3500"/>
                <w:tab w:val="left" w:pos="3920"/>
              </w:tabs>
              <w:rPr>
                <w:rFonts w:ascii="Arial" w:hAnsi="Arial" w:cs="Arial"/>
                <w:bCs/>
                <w:sz w:val="20"/>
                <w:szCs w:val="20"/>
              </w:rPr>
            </w:pPr>
          </w:p>
        </w:tc>
      </w:tr>
      <w:tr w:rsidR="0057307A" w:rsidRPr="0000591E" w14:paraId="54E9D7D3" w14:textId="77777777" w:rsidTr="0057307A">
        <w:trPr>
          <w:trHeight w:val="20"/>
        </w:trPr>
        <w:tc>
          <w:tcPr>
            <w:tcW w:w="1277" w:type="dxa"/>
            <w:tcBorders>
              <w:top w:val="nil"/>
              <w:bottom w:val="single" w:sz="4" w:space="0" w:color="auto"/>
            </w:tcBorders>
            <w:noWrap/>
          </w:tcPr>
          <w:p w14:paraId="7295163E" w14:textId="77777777" w:rsidR="00247F80" w:rsidRDefault="00247F80" w:rsidP="0034061E">
            <w:pPr>
              <w:rPr>
                <w:rFonts w:ascii="Arial" w:hAnsi="Arial" w:cs="Arial"/>
                <w:b/>
                <w:bCs/>
                <w:sz w:val="20"/>
                <w:szCs w:val="20"/>
              </w:rPr>
            </w:pPr>
          </w:p>
          <w:p w14:paraId="500DE465" w14:textId="638EA677" w:rsidR="0057307A" w:rsidRPr="00372A02" w:rsidRDefault="00247F80" w:rsidP="0034061E">
            <w:pPr>
              <w:rPr>
                <w:rFonts w:ascii="Arial" w:hAnsi="Arial" w:cs="Arial"/>
                <w:b/>
                <w:bCs/>
                <w:sz w:val="20"/>
                <w:szCs w:val="20"/>
              </w:rPr>
            </w:pPr>
            <w:r w:rsidRPr="00247F80">
              <w:rPr>
                <w:rFonts w:ascii="Arial" w:hAnsi="Arial" w:cs="Arial"/>
                <w:b/>
                <w:bCs/>
                <w:sz w:val="20"/>
                <w:szCs w:val="20"/>
              </w:rPr>
              <w:t>L04AC11</w:t>
            </w:r>
          </w:p>
        </w:tc>
        <w:tc>
          <w:tcPr>
            <w:tcW w:w="9355" w:type="dxa"/>
            <w:tcBorders>
              <w:top w:val="nil"/>
              <w:bottom w:val="single" w:sz="4" w:space="0" w:color="auto"/>
            </w:tcBorders>
          </w:tcPr>
          <w:p w14:paraId="28D0E1DC" w14:textId="77777777" w:rsidR="0057307A" w:rsidRDefault="00247F80" w:rsidP="001237BD">
            <w:pPr>
              <w:tabs>
                <w:tab w:val="left" w:pos="3500"/>
                <w:tab w:val="left" w:pos="3920"/>
              </w:tabs>
              <w:rPr>
                <w:rFonts w:ascii="Arial" w:hAnsi="Arial" w:cs="Arial"/>
                <w:b/>
                <w:bCs/>
                <w:sz w:val="20"/>
                <w:szCs w:val="20"/>
              </w:rPr>
            </w:pPr>
            <w:r w:rsidRPr="00247F80">
              <w:rPr>
                <w:rFonts w:ascii="Arial" w:hAnsi="Arial" w:cs="Arial"/>
                <w:b/>
                <w:bCs/>
                <w:sz w:val="20"/>
                <w:szCs w:val="20"/>
              </w:rPr>
              <w:t>Siltuximab</w:t>
            </w:r>
            <w:r>
              <w:rPr>
                <w:rFonts w:ascii="Arial" w:hAnsi="Arial" w:cs="Arial"/>
                <w:b/>
                <w:bCs/>
                <w:sz w:val="20"/>
                <w:szCs w:val="20"/>
              </w:rPr>
              <w:t xml:space="preserve"> </w:t>
            </w:r>
            <w:r w:rsidRPr="00247F80">
              <w:rPr>
                <w:rFonts w:ascii="Arial" w:hAnsi="Arial" w:cs="Arial"/>
                <w:b/>
                <w:bCs/>
                <w:sz w:val="20"/>
                <w:szCs w:val="20"/>
              </w:rPr>
              <w:t>parent. 100 mg</w:t>
            </w:r>
          </w:p>
          <w:p w14:paraId="3FFFD70D" w14:textId="327E856C" w:rsidR="00247F80" w:rsidRPr="00372A02" w:rsidRDefault="00247F80" w:rsidP="001237BD">
            <w:pPr>
              <w:tabs>
                <w:tab w:val="left" w:pos="3500"/>
                <w:tab w:val="left" w:pos="3920"/>
              </w:tabs>
              <w:rPr>
                <w:rFonts w:ascii="Arial" w:hAnsi="Arial" w:cs="Arial"/>
                <w:b/>
                <w:bCs/>
                <w:sz w:val="20"/>
                <w:szCs w:val="20"/>
              </w:rPr>
            </w:pPr>
            <w:r w:rsidRPr="00247F80">
              <w:rPr>
                <w:rFonts w:ascii="Arial" w:hAnsi="Arial" w:cs="Arial"/>
                <w:b/>
                <w:bCs/>
                <w:sz w:val="20"/>
                <w:szCs w:val="20"/>
              </w:rPr>
              <w:t xml:space="preserve">Siltuximab parent. </w:t>
            </w:r>
            <w:r>
              <w:rPr>
                <w:rFonts w:ascii="Arial" w:hAnsi="Arial" w:cs="Arial"/>
                <w:b/>
                <w:bCs/>
                <w:sz w:val="20"/>
                <w:szCs w:val="20"/>
              </w:rPr>
              <w:t>4</w:t>
            </w:r>
            <w:r w:rsidRPr="00247F80">
              <w:rPr>
                <w:rFonts w:ascii="Arial" w:hAnsi="Arial" w:cs="Arial"/>
                <w:b/>
                <w:bCs/>
                <w:sz w:val="20"/>
                <w:szCs w:val="20"/>
              </w:rPr>
              <w:t>00 mg</w:t>
            </w:r>
          </w:p>
        </w:tc>
      </w:tr>
      <w:tr w:rsidR="0057307A" w:rsidRPr="0000591E" w14:paraId="4FF232F7" w14:textId="77777777" w:rsidTr="0057307A">
        <w:trPr>
          <w:trHeight w:val="20"/>
        </w:trPr>
        <w:tc>
          <w:tcPr>
            <w:tcW w:w="1277" w:type="dxa"/>
            <w:tcBorders>
              <w:top w:val="single" w:sz="4" w:space="0" w:color="auto"/>
              <w:bottom w:val="nil"/>
            </w:tcBorders>
            <w:noWrap/>
          </w:tcPr>
          <w:p w14:paraId="22BD76D5" w14:textId="77777777" w:rsidR="0057307A" w:rsidRPr="00372A02" w:rsidRDefault="0057307A" w:rsidP="0034061E">
            <w:pPr>
              <w:rPr>
                <w:rFonts w:ascii="Arial" w:hAnsi="Arial" w:cs="Arial"/>
                <w:b/>
                <w:bCs/>
                <w:sz w:val="20"/>
                <w:szCs w:val="20"/>
              </w:rPr>
            </w:pPr>
          </w:p>
        </w:tc>
        <w:tc>
          <w:tcPr>
            <w:tcW w:w="9355" w:type="dxa"/>
            <w:tcBorders>
              <w:top w:val="single" w:sz="4" w:space="0" w:color="auto"/>
              <w:bottom w:val="nil"/>
            </w:tcBorders>
          </w:tcPr>
          <w:p w14:paraId="747E8B62" w14:textId="77777777" w:rsidR="00247F80" w:rsidRPr="00247F80" w:rsidRDefault="00247F80" w:rsidP="00247F80">
            <w:pPr>
              <w:tabs>
                <w:tab w:val="left" w:pos="3500"/>
                <w:tab w:val="left" w:pos="3920"/>
              </w:tabs>
              <w:rPr>
                <w:rFonts w:ascii="Arial" w:hAnsi="Arial" w:cs="Arial"/>
                <w:sz w:val="20"/>
                <w:szCs w:val="20"/>
              </w:rPr>
            </w:pPr>
            <w:r w:rsidRPr="00247F80">
              <w:rPr>
                <w:rFonts w:ascii="Arial" w:hAnsi="Arial" w:cs="Arial"/>
                <w:sz w:val="20"/>
                <w:szCs w:val="20"/>
              </w:rPr>
              <w:t xml:space="preserve">Siltuximab   je hradený pri liečbe dospelých pacientov s multicentrickou Castlemanovou chorobou, ktorí sú negatívni na vírus ľudskej imunodeficiencie (HIV) a ľudský herpes vírus-8 (HHV-8). </w:t>
            </w:r>
          </w:p>
          <w:p w14:paraId="35B62297" w14:textId="77777777" w:rsidR="00247F80" w:rsidRPr="00247F80" w:rsidRDefault="00247F80" w:rsidP="00247F80">
            <w:pPr>
              <w:tabs>
                <w:tab w:val="left" w:pos="3500"/>
                <w:tab w:val="left" w:pos="3920"/>
              </w:tabs>
              <w:rPr>
                <w:rFonts w:ascii="Arial" w:hAnsi="Arial" w:cs="Arial"/>
                <w:sz w:val="20"/>
                <w:szCs w:val="20"/>
              </w:rPr>
            </w:pPr>
            <w:r w:rsidRPr="00247F80">
              <w:rPr>
                <w:rFonts w:ascii="Arial" w:hAnsi="Arial" w:cs="Arial"/>
                <w:sz w:val="20"/>
                <w:szCs w:val="20"/>
              </w:rPr>
              <w:t>Liečba je hradená do zlyhania liečby.</w:t>
            </w:r>
          </w:p>
          <w:p w14:paraId="59800492" w14:textId="77777777" w:rsidR="0057307A" w:rsidRDefault="00247F80" w:rsidP="00247F80">
            <w:pPr>
              <w:tabs>
                <w:tab w:val="left" w:pos="3500"/>
                <w:tab w:val="left" w:pos="3920"/>
              </w:tabs>
              <w:rPr>
                <w:rFonts w:ascii="Arial" w:hAnsi="Arial" w:cs="Arial"/>
                <w:sz w:val="20"/>
                <w:szCs w:val="20"/>
              </w:rPr>
            </w:pPr>
            <w:r w:rsidRPr="00247F80">
              <w:rPr>
                <w:rFonts w:ascii="Arial" w:hAnsi="Arial" w:cs="Arial"/>
                <w:sz w:val="20"/>
                <w:szCs w:val="20"/>
              </w:rPr>
              <w:t>Hradená liečba podlieha predchádzajúcemu súhlasu zdravotnej poisťovne.</w:t>
            </w:r>
          </w:p>
          <w:p w14:paraId="59849FC5" w14:textId="2759DB97" w:rsidR="00247F80" w:rsidRPr="00372A02" w:rsidRDefault="00247F80" w:rsidP="00247F80">
            <w:pPr>
              <w:tabs>
                <w:tab w:val="left" w:pos="3500"/>
                <w:tab w:val="left" w:pos="3920"/>
              </w:tabs>
              <w:rPr>
                <w:rFonts w:ascii="Arial" w:hAnsi="Arial" w:cs="Arial"/>
                <w:b/>
                <w:bCs/>
                <w:sz w:val="20"/>
                <w:szCs w:val="20"/>
              </w:rPr>
            </w:pPr>
          </w:p>
        </w:tc>
      </w:tr>
      <w:tr w:rsidR="00372A02" w:rsidRPr="0000591E" w14:paraId="31203113" w14:textId="77777777" w:rsidTr="0057307A">
        <w:trPr>
          <w:trHeight w:val="20"/>
        </w:trPr>
        <w:tc>
          <w:tcPr>
            <w:tcW w:w="1277" w:type="dxa"/>
            <w:tcBorders>
              <w:top w:val="nil"/>
              <w:bottom w:val="single" w:sz="4" w:space="0" w:color="auto"/>
            </w:tcBorders>
            <w:noWrap/>
          </w:tcPr>
          <w:p w14:paraId="5A227C8A" w14:textId="5D334F87" w:rsidR="00372A02" w:rsidRPr="00E6635D" w:rsidRDefault="00372A02" w:rsidP="0034061E">
            <w:pPr>
              <w:rPr>
                <w:rFonts w:ascii="Arial" w:hAnsi="Arial" w:cs="Arial"/>
                <w:b/>
                <w:bCs/>
                <w:sz w:val="20"/>
                <w:szCs w:val="20"/>
              </w:rPr>
            </w:pPr>
            <w:r w:rsidRPr="00372A02">
              <w:rPr>
                <w:rFonts w:ascii="Arial" w:hAnsi="Arial" w:cs="Arial"/>
                <w:b/>
                <w:bCs/>
                <w:sz w:val="20"/>
                <w:szCs w:val="20"/>
              </w:rPr>
              <w:t>L04AC12</w:t>
            </w:r>
          </w:p>
        </w:tc>
        <w:tc>
          <w:tcPr>
            <w:tcW w:w="9355" w:type="dxa"/>
            <w:tcBorders>
              <w:top w:val="nil"/>
              <w:bottom w:val="single" w:sz="4" w:space="0" w:color="auto"/>
            </w:tcBorders>
          </w:tcPr>
          <w:p w14:paraId="7810A1E8" w14:textId="2B7CCA4B" w:rsidR="00372A02" w:rsidRPr="00E6635D" w:rsidRDefault="00372A02" w:rsidP="001237BD">
            <w:pPr>
              <w:tabs>
                <w:tab w:val="left" w:pos="3500"/>
                <w:tab w:val="left" w:pos="3920"/>
              </w:tabs>
              <w:rPr>
                <w:rFonts w:ascii="Arial" w:hAnsi="Arial" w:cs="Arial"/>
                <w:b/>
                <w:bCs/>
                <w:sz w:val="20"/>
                <w:szCs w:val="20"/>
              </w:rPr>
            </w:pPr>
            <w:r w:rsidRPr="00372A02">
              <w:rPr>
                <w:rFonts w:ascii="Arial" w:hAnsi="Arial" w:cs="Arial"/>
                <w:b/>
                <w:bCs/>
                <w:sz w:val="20"/>
                <w:szCs w:val="20"/>
              </w:rPr>
              <w:t>Brodalumab s.c. 210 mg</w:t>
            </w:r>
          </w:p>
        </w:tc>
      </w:tr>
      <w:tr w:rsidR="00372A02" w:rsidRPr="0000591E" w14:paraId="244AD09A" w14:textId="77777777" w:rsidTr="00372A02">
        <w:trPr>
          <w:trHeight w:val="20"/>
        </w:trPr>
        <w:tc>
          <w:tcPr>
            <w:tcW w:w="1277" w:type="dxa"/>
            <w:tcBorders>
              <w:top w:val="single" w:sz="4" w:space="0" w:color="auto"/>
              <w:bottom w:val="nil"/>
            </w:tcBorders>
            <w:noWrap/>
          </w:tcPr>
          <w:p w14:paraId="38E3BCA7" w14:textId="77777777" w:rsidR="00372A02" w:rsidRPr="00E6635D" w:rsidRDefault="00372A02" w:rsidP="0034061E">
            <w:pPr>
              <w:rPr>
                <w:rFonts w:ascii="Arial" w:hAnsi="Arial" w:cs="Arial"/>
                <w:b/>
                <w:bCs/>
                <w:sz w:val="20"/>
                <w:szCs w:val="20"/>
              </w:rPr>
            </w:pPr>
          </w:p>
        </w:tc>
        <w:tc>
          <w:tcPr>
            <w:tcW w:w="9355" w:type="dxa"/>
            <w:tcBorders>
              <w:top w:val="single" w:sz="4" w:space="0" w:color="auto"/>
              <w:bottom w:val="nil"/>
            </w:tcBorders>
          </w:tcPr>
          <w:p w14:paraId="1FE4CFE4" w14:textId="77777777" w:rsidR="00372A02" w:rsidRPr="00372A02" w:rsidRDefault="00372A02" w:rsidP="00372A02">
            <w:pPr>
              <w:tabs>
                <w:tab w:val="left" w:pos="3500"/>
                <w:tab w:val="left" w:pos="3920"/>
              </w:tabs>
              <w:rPr>
                <w:rFonts w:ascii="Arial" w:hAnsi="Arial" w:cs="Arial"/>
                <w:bCs/>
                <w:sz w:val="20"/>
                <w:szCs w:val="20"/>
              </w:rPr>
            </w:pPr>
            <w:r w:rsidRPr="00372A02">
              <w:rPr>
                <w:rFonts w:ascii="Arial" w:hAnsi="Arial" w:cs="Arial"/>
                <w:bCs/>
                <w:sz w:val="20"/>
                <w:szCs w:val="20"/>
              </w:rPr>
              <w:t xml:space="preserve">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  </w:t>
            </w:r>
          </w:p>
          <w:p w14:paraId="28082F5A" w14:textId="77777777" w:rsidR="00372A02" w:rsidRPr="00372A02" w:rsidRDefault="00372A02" w:rsidP="00372A02">
            <w:pPr>
              <w:tabs>
                <w:tab w:val="left" w:pos="3500"/>
                <w:tab w:val="left" w:pos="3920"/>
              </w:tabs>
              <w:rPr>
                <w:rFonts w:ascii="Arial" w:hAnsi="Arial" w:cs="Arial"/>
                <w:bCs/>
                <w:sz w:val="20"/>
                <w:szCs w:val="20"/>
              </w:rPr>
            </w:pPr>
          </w:p>
          <w:p w14:paraId="5D0D5B26" w14:textId="77777777" w:rsidR="00372A02" w:rsidRPr="00372A02" w:rsidRDefault="00372A02" w:rsidP="00372A02">
            <w:pPr>
              <w:tabs>
                <w:tab w:val="left" w:pos="3500"/>
                <w:tab w:val="left" w:pos="3920"/>
              </w:tabs>
              <w:rPr>
                <w:rFonts w:ascii="Arial" w:hAnsi="Arial" w:cs="Arial"/>
                <w:bCs/>
                <w:sz w:val="20"/>
                <w:szCs w:val="20"/>
              </w:rPr>
            </w:pPr>
            <w:r w:rsidRPr="00372A02">
              <w:rPr>
                <w:rFonts w:ascii="Arial" w:hAnsi="Arial" w:cs="Arial"/>
                <w:bCs/>
                <w:sz w:val="20"/>
                <w:szCs w:val="20"/>
              </w:rPr>
              <w:t xml:space="preserve">Ďalšia liečba nie je hradenou liečbou, ak sa po dvanástich týždňoch podávania lieku s účinnou látkou brodalumab nedostaví liečebný účinok.  </w:t>
            </w:r>
          </w:p>
          <w:p w14:paraId="646E9745" w14:textId="77777777" w:rsidR="00372A02" w:rsidRPr="00372A02" w:rsidRDefault="00372A02" w:rsidP="00372A02">
            <w:pPr>
              <w:tabs>
                <w:tab w:val="left" w:pos="3500"/>
                <w:tab w:val="left" w:pos="3920"/>
              </w:tabs>
              <w:rPr>
                <w:rFonts w:ascii="Arial" w:hAnsi="Arial" w:cs="Arial"/>
                <w:bCs/>
                <w:sz w:val="20"/>
                <w:szCs w:val="20"/>
              </w:rPr>
            </w:pPr>
          </w:p>
          <w:p w14:paraId="798CECFF" w14:textId="77777777" w:rsidR="00372A02" w:rsidRDefault="00372A02" w:rsidP="00372A02">
            <w:pPr>
              <w:tabs>
                <w:tab w:val="left" w:pos="3500"/>
                <w:tab w:val="left" w:pos="3920"/>
              </w:tabs>
              <w:rPr>
                <w:rFonts w:ascii="Arial" w:hAnsi="Arial" w:cs="Arial"/>
                <w:bCs/>
                <w:sz w:val="20"/>
                <w:szCs w:val="20"/>
              </w:rPr>
            </w:pPr>
            <w:r w:rsidRPr="00372A02">
              <w:rPr>
                <w:rFonts w:ascii="Arial" w:hAnsi="Arial" w:cs="Arial"/>
                <w:bCs/>
                <w:sz w:val="20"/>
                <w:szCs w:val="20"/>
              </w:rPr>
              <w:t>Hradená liečba podlieha predchádzajúcemu súhlasu zdravotnej poisťovne.</w:t>
            </w:r>
          </w:p>
          <w:p w14:paraId="13C91582" w14:textId="06F17E74" w:rsidR="00372A02" w:rsidRPr="00372A02" w:rsidRDefault="00372A02" w:rsidP="00372A02">
            <w:pPr>
              <w:tabs>
                <w:tab w:val="left" w:pos="3500"/>
                <w:tab w:val="left" w:pos="3920"/>
              </w:tabs>
              <w:rPr>
                <w:rFonts w:ascii="Arial" w:hAnsi="Arial" w:cs="Arial"/>
                <w:bCs/>
                <w:sz w:val="20"/>
                <w:szCs w:val="20"/>
              </w:rPr>
            </w:pPr>
          </w:p>
        </w:tc>
      </w:tr>
      <w:tr w:rsidR="000C6532" w:rsidRPr="0000591E" w14:paraId="2F0D1F5F" w14:textId="77777777" w:rsidTr="000C6532">
        <w:trPr>
          <w:trHeight w:val="20"/>
        </w:trPr>
        <w:tc>
          <w:tcPr>
            <w:tcW w:w="1277" w:type="dxa"/>
            <w:tcBorders>
              <w:top w:val="nil"/>
              <w:bottom w:val="single" w:sz="4" w:space="0" w:color="auto"/>
            </w:tcBorders>
            <w:noWrap/>
          </w:tcPr>
          <w:p w14:paraId="7822609C" w14:textId="08F75EE2" w:rsidR="000C6532" w:rsidRPr="00E6635D" w:rsidRDefault="000C6532" w:rsidP="0034061E">
            <w:pPr>
              <w:rPr>
                <w:rFonts w:ascii="Arial" w:hAnsi="Arial" w:cs="Arial"/>
                <w:b/>
                <w:bCs/>
                <w:sz w:val="20"/>
                <w:szCs w:val="20"/>
              </w:rPr>
            </w:pPr>
            <w:r w:rsidRPr="000C6532">
              <w:rPr>
                <w:rFonts w:ascii="Arial" w:hAnsi="Arial" w:cs="Arial"/>
                <w:b/>
                <w:bCs/>
                <w:sz w:val="20"/>
                <w:szCs w:val="20"/>
              </w:rPr>
              <w:t>L04AC13</w:t>
            </w:r>
          </w:p>
        </w:tc>
        <w:tc>
          <w:tcPr>
            <w:tcW w:w="9355" w:type="dxa"/>
            <w:tcBorders>
              <w:top w:val="nil"/>
              <w:bottom w:val="single" w:sz="4" w:space="0" w:color="auto"/>
            </w:tcBorders>
          </w:tcPr>
          <w:p w14:paraId="59E13077" w14:textId="179CCE50" w:rsidR="000C6532" w:rsidRPr="00E6635D" w:rsidRDefault="000C6532" w:rsidP="001237BD">
            <w:pPr>
              <w:tabs>
                <w:tab w:val="left" w:pos="3500"/>
                <w:tab w:val="left" w:pos="3920"/>
              </w:tabs>
              <w:rPr>
                <w:rFonts w:ascii="Arial" w:hAnsi="Arial" w:cs="Arial"/>
                <w:b/>
                <w:bCs/>
                <w:sz w:val="20"/>
                <w:szCs w:val="20"/>
              </w:rPr>
            </w:pPr>
            <w:r w:rsidRPr="000C6532">
              <w:rPr>
                <w:rFonts w:ascii="Arial" w:hAnsi="Arial" w:cs="Arial"/>
                <w:b/>
                <w:bCs/>
                <w:sz w:val="20"/>
                <w:szCs w:val="20"/>
              </w:rPr>
              <w:t>Ixekizumab s.c. 80 mg</w:t>
            </w:r>
          </w:p>
        </w:tc>
      </w:tr>
      <w:tr w:rsidR="000C6532" w:rsidRPr="0000591E" w14:paraId="308CB6C8" w14:textId="77777777" w:rsidTr="000C6532">
        <w:trPr>
          <w:trHeight w:val="20"/>
        </w:trPr>
        <w:tc>
          <w:tcPr>
            <w:tcW w:w="1277" w:type="dxa"/>
            <w:tcBorders>
              <w:top w:val="single" w:sz="4" w:space="0" w:color="auto"/>
              <w:bottom w:val="nil"/>
            </w:tcBorders>
            <w:noWrap/>
          </w:tcPr>
          <w:p w14:paraId="73599F2B" w14:textId="77777777" w:rsidR="000C6532" w:rsidRPr="00E6635D" w:rsidRDefault="000C6532" w:rsidP="0034061E">
            <w:pPr>
              <w:rPr>
                <w:rFonts w:ascii="Arial" w:hAnsi="Arial" w:cs="Arial"/>
                <w:b/>
                <w:bCs/>
                <w:sz w:val="20"/>
                <w:szCs w:val="20"/>
              </w:rPr>
            </w:pPr>
          </w:p>
        </w:tc>
        <w:tc>
          <w:tcPr>
            <w:tcW w:w="9355" w:type="dxa"/>
            <w:tcBorders>
              <w:top w:val="single" w:sz="4" w:space="0" w:color="auto"/>
              <w:bottom w:val="nil"/>
            </w:tcBorders>
          </w:tcPr>
          <w:p w14:paraId="48726D60" w14:textId="77777777" w:rsidR="000C6532" w:rsidRPr="000C6532" w:rsidRDefault="000C6532" w:rsidP="000C6532">
            <w:pPr>
              <w:tabs>
                <w:tab w:val="left" w:pos="3500"/>
                <w:tab w:val="left" w:pos="3920"/>
              </w:tabs>
              <w:jc w:val="both"/>
              <w:rPr>
                <w:rFonts w:ascii="Arial" w:hAnsi="Arial" w:cs="Arial"/>
                <w:bCs/>
                <w:sz w:val="20"/>
                <w:szCs w:val="20"/>
              </w:rPr>
            </w:pPr>
            <w:r w:rsidRPr="000C6532">
              <w:rPr>
                <w:rFonts w:ascii="Arial" w:hAnsi="Arial" w:cs="Arial"/>
                <w:bCs/>
                <w:sz w:val="20"/>
                <w:szCs w:val="20"/>
              </w:rPr>
              <w:t>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IL-12/23.</w:t>
            </w:r>
          </w:p>
          <w:p w14:paraId="2FAA0F1E" w14:textId="77777777" w:rsidR="000C6532" w:rsidRPr="000C6532" w:rsidRDefault="000C6532" w:rsidP="000C6532">
            <w:pPr>
              <w:tabs>
                <w:tab w:val="left" w:pos="3500"/>
                <w:tab w:val="left" w:pos="3920"/>
              </w:tabs>
              <w:jc w:val="both"/>
              <w:rPr>
                <w:rFonts w:ascii="Arial" w:hAnsi="Arial" w:cs="Arial"/>
                <w:bCs/>
                <w:sz w:val="20"/>
                <w:szCs w:val="20"/>
              </w:rPr>
            </w:pPr>
            <w:r w:rsidRPr="000C6532">
              <w:rPr>
                <w:rFonts w:ascii="Arial" w:hAnsi="Arial" w:cs="Arial"/>
                <w:bCs/>
                <w:sz w:val="20"/>
                <w:szCs w:val="20"/>
              </w:rPr>
              <w:t>Ďalšia liečba nie je hradenou liečbou, ak sa po šestnástich až dvadsiatich týždňoch podávania lieku s účinnou látkou ixekizumab nedostaví liečebný účinok.</w:t>
            </w:r>
          </w:p>
          <w:p w14:paraId="2A12BF00" w14:textId="77777777" w:rsidR="000C6532" w:rsidRPr="000C6532" w:rsidRDefault="000C6532" w:rsidP="000C6532">
            <w:pPr>
              <w:tabs>
                <w:tab w:val="left" w:pos="3500"/>
                <w:tab w:val="left" w:pos="3920"/>
              </w:tabs>
              <w:rPr>
                <w:rFonts w:ascii="Arial" w:hAnsi="Arial" w:cs="Arial"/>
                <w:bCs/>
                <w:sz w:val="20"/>
                <w:szCs w:val="20"/>
              </w:rPr>
            </w:pPr>
          </w:p>
          <w:p w14:paraId="6FACD688" w14:textId="77777777" w:rsidR="000C6532" w:rsidRDefault="000C6532" w:rsidP="00B82927">
            <w:pPr>
              <w:tabs>
                <w:tab w:val="left" w:pos="3500"/>
                <w:tab w:val="left" w:pos="3920"/>
              </w:tabs>
              <w:rPr>
                <w:rFonts w:ascii="Arial" w:hAnsi="Arial" w:cs="Arial"/>
                <w:bCs/>
                <w:sz w:val="20"/>
                <w:szCs w:val="20"/>
              </w:rPr>
            </w:pPr>
            <w:r w:rsidRPr="000C6532">
              <w:rPr>
                <w:rFonts w:ascii="Arial" w:hAnsi="Arial" w:cs="Arial"/>
                <w:bCs/>
                <w:sz w:val="20"/>
                <w:szCs w:val="20"/>
              </w:rPr>
              <w:t>Hradená liečba podlieha predchádzajúcemu súhlasu zdravotnej poisťovne.</w:t>
            </w:r>
          </w:p>
          <w:p w14:paraId="503C3366" w14:textId="7C264CDA" w:rsidR="00C54A7B" w:rsidRPr="000C6532" w:rsidRDefault="00C54A7B" w:rsidP="00B82927">
            <w:pPr>
              <w:tabs>
                <w:tab w:val="left" w:pos="3500"/>
                <w:tab w:val="left" w:pos="3920"/>
              </w:tabs>
              <w:rPr>
                <w:rFonts w:ascii="Arial" w:hAnsi="Arial" w:cs="Arial"/>
                <w:bCs/>
                <w:sz w:val="20"/>
                <w:szCs w:val="20"/>
              </w:rPr>
            </w:pPr>
          </w:p>
        </w:tc>
      </w:tr>
      <w:tr w:rsidR="000C6532" w:rsidRPr="0000591E" w14:paraId="23E0C0A3" w14:textId="77777777" w:rsidTr="000C6532">
        <w:trPr>
          <w:trHeight w:val="20"/>
        </w:trPr>
        <w:tc>
          <w:tcPr>
            <w:tcW w:w="1277" w:type="dxa"/>
            <w:tcBorders>
              <w:top w:val="nil"/>
              <w:bottom w:val="single" w:sz="4" w:space="0" w:color="auto"/>
            </w:tcBorders>
            <w:noWrap/>
          </w:tcPr>
          <w:p w14:paraId="69AFF397" w14:textId="77777777" w:rsidR="00C54A7B" w:rsidRDefault="00C54A7B" w:rsidP="0034061E">
            <w:pPr>
              <w:rPr>
                <w:rFonts w:ascii="Arial" w:hAnsi="Arial" w:cs="Arial"/>
                <w:b/>
                <w:bCs/>
                <w:sz w:val="20"/>
                <w:szCs w:val="20"/>
              </w:rPr>
            </w:pPr>
          </w:p>
          <w:p w14:paraId="4D3CE726" w14:textId="7D16AB20" w:rsidR="000C6532" w:rsidRPr="00E6635D" w:rsidRDefault="000C6532" w:rsidP="0034061E">
            <w:pPr>
              <w:rPr>
                <w:rFonts w:ascii="Arial" w:hAnsi="Arial" w:cs="Arial"/>
                <w:b/>
                <w:bCs/>
                <w:sz w:val="20"/>
                <w:szCs w:val="20"/>
              </w:rPr>
            </w:pPr>
            <w:r w:rsidRPr="000C6532">
              <w:rPr>
                <w:rFonts w:ascii="Arial" w:hAnsi="Arial" w:cs="Arial"/>
                <w:b/>
                <w:bCs/>
                <w:sz w:val="20"/>
                <w:szCs w:val="20"/>
              </w:rPr>
              <w:t>L04AC14</w:t>
            </w:r>
          </w:p>
        </w:tc>
        <w:tc>
          <w:tcPr>
            <w:tcW w:w="9355" w:type="dxa"/>
            <w:tcBorders>
              <w:top w:val="nil"/>
              <w:bottom w:val="single" w:sz="4" w:space="0" w:color="auto"/>
            </w:tcBorders>
          </w:tcPr>
          <w:p w14:paraId="57165EDF" w14:textId="77777777" w:rsidR="000C6532" w:rsidRPr="000C6532" w:rsidRDefault="000C6532" w:rsidP="000C6532">
            <w:pPr>
              <w:tabs>
                <w:tab w:val="left" w:pos="3500"/>
                <w:tab w:val="left" w:pos="3920"/>
              </w:tabs>
              <w:rPr>
                <w:rFonts w:ascii="Arial" w:hAnsi="Arial" w:cs="Arial"/>
                <w:b/>
                <w:bCs/>
                <w:sz w:val="20"/>
                <w:szCs w:val="20"/>
              </w:rPr>
            </w:pPr>
            <w:r w:rsidRPr="000C6532">
              <w:rPr>
                <w:rFonts w:ascii="Arial" w:hAnsi="Arial" w:cs="Arial"/>
                <w:b/>
                <w:bCs/>
                <w:sz w:val="20"/>
                <w:szCs w:val="20"/>
              </w:rPr>
              <w:t>Sarilumab s.c. 150 mg</w:t>
            </w:r>
          </w:p>
          <w:p w14:paraId="347C694F" w14:textId="104283E1" w:rsidR="000C6532" w:rsidRPr="00E6635D" w:rsidRDefault="000C6532" w:rsidP="000C6532">
            <w:pPr>
              <w:tabs>
                <w:tab w:val="left" w:pos="3500"/>
                <w:tab w:val="left" w:pos="3920"/>
              </w:tabs>
              <w:rPr>
                <w:rFonts w:ascii="Arial" w:hAnsi="Arial" w:cs="Arial"/>
                <w:b/>
                <w:bCs/>
                <w:sz w:val="20"/>
                <w:szCs w:val="20"/>
              </w:rPr>
            </w:pPr>
            <w:r w:rsidRPr="000C6532">
              <w:rPr>
                <w:rFonts w:ascii="Arial" w:hAnsi="Arial" w:cs="Arial"/>
                <w:b/>
                <w:bCs/>
                <w:sz w:val="20"/>
                <w:szCs w:val="20"/>
              </w:rPr>
              <w:t>Sarilumab s.c. 200 mg</w:t>
            </w:r>
          </w:p>
        </w:tc>
      </w:tr>
      <w:tr w:rsidR="000C6532" w:rsidRPr="0000591E" w14:paraId="72FB6A43" w14:textId="77777777" w:rsidTr="000C6532">
        <w:trPr>
          <w:trHeight w:val="20"/>
        </w:trPr>
        <w:tc>
          <w:tcPr>
            <w:tcW w:w="1277" w:type="dxa"/>
            <w:tcBorders>
              <w:top w:val="single" w:sz="4" w:space="0" w:color="auto"/>
              <w:bottom w:val="nil"/>
            </w:tcBorders>
            <w:noWrap/>
          </w:tcPr>
          <w:p w14:paraId="5E3BDD5A" w14:textId="77777777" w:rsidR="000C6532" w:rsidRPr="00E6635D" w:rsidRDefault="000C6532" w:rsidP="0034061E">
            <w:pPr>
              <w:rPr>
                <w:rFonts w:ascii="Arial" w:hAnsi="Arial" w:cs="Arial"/>
                <w:b/>
                <w:bCs/>
                <w:sz w:val="20"/>
                <w:szCs w:val="20"/>
              </w:rPr>
            </w:pPr>
          </w:p>
        </w:tc>
        <w:tc>
          <w:tcPr>
            <w:tcW w:w="9355" w:type="dxa"/>
            <w:tcBorders>
              <w:top w:val="single" w:sz="4" w:space="0" w:color="auto"/>
              <w:bottom w:val="nil"/>
            </w:tcBorders>
          </w:tcPr>
          <w:p w14:paraId="20E7C950" w14:textId="77777777" w:rsidR="000C6532" w:rsidRPr="000C6532" w:rsidRDefault="000C6532" w:rsidP="000C6532">
            <w:pPr>
              <w:tabs>
                <w:tab w:val="left" w:pos="3500"/>
                <w:tab w:val="left" w:pos="3920"/>
              </w:tabs>
              <w:jc w:val="both"/>
              <w:rPr>
                <w:rFonts w:ascii="Arial" w:hAnsi="Arial" w:cs="Arial"/>
                <w:bCs/>
                <w:sz w:val="20"/>
                <w:szCs w:val="20"/>
              </w:rPr>
            </w:pPr>
            <w:r w:rsidRPr="000C6532">
              <w:rPr>
                <w:rFonts w:ascii="Arial" w:hAnsi="Arial" w:cs="Arial"/>
                <w:bCs/>
                <w:sz w:val="20"/>
                <w:szCs w:val="20"/>
              </w:rPr>
              <w:t>Hradená liečba sa môže indikovať v kombinácii s metotrexátom na liečbu mierne závažnej až závažnej aktívnej reumatoidnej artritídy u dospelých pacientov, ktorí nedostatočne odpovedali alebo netolerovali liečbu jedným alebo viacerými chorobu modifikujúcimi antireumatikami (disease modifying anti rheumatic drugs, DMARDs). Sarilumab sa môže podávať ako monoterapia v prípade intolerancie voči metotrexátu alebo vtedy, keď je liečba s metotrexátom nevhodná.</w:t>
            </w:r>
          </w:p>
          <w:p w14:paraId="7722BDED" w14:textId="77777777" w:rsidR="000C6532" w:rsidRPr="000C6532" w:rsidRDefault="000C6532" w:rsidP="000C6532">
            <w:pPr>
              <w:tabs>
                <w:tab w:val="left" w:pos="3500"/>
                <w:tab w:val="left" w:pos="3920"/>
              </w:tabs>
              <w:rPr>
                <w:rFonts w:ascii="Arial" w:hAnsi="Arial" w:cs="Arial"/>
                <w:bCs/>
                <w:sz w:val="20"/>
                <w:szCs w:val="20"/>
              </w:rPr>
            </w:pPr>
          </w:p>
          <w:p w14:paraId="03147262" w14:textId="77777777" w:rsidR="000C6532" w:rsidRDefault="000C6532" w:rsidP="000C6532">
            <w:pPr>
              <w:tabs>
                <w:tab w:val="left" w:pos="3500"/>
                <w:tab w:val="left" w:pos="3920"/>
              </w:tabs>
              <w:rPr>
                <w:rFonts w:ascii="Arial" w:hAnsi="Arial" w:cs="Arial"/>
                <w:bCs/>
                <w:sz w:val="20"/>
                <w:szCs w:val="20"/>
              </w:rPr>
            </w:pPr>
            <w:r w:rsidRPr="000C6532">
              <w:rPr>
                <w:rFonts w:ascii="Arial" w:hAnsi="Arial" w:cs="Arial"/>
                <w:bCs/>
                <w:sz w:val="20"/>
                <w:szCs w:val="20"/>
              </w:rPr>
              <w:t>Hradená liečba podlieha predchádzajúcemu súhlasu zdravotnej poisťovne.</w:t>
            </w:r>
          </w:p>
          <w:p w14:paraId="39A7BC9B" w14:textId="02654BAA" w:rsidR="000C6532" w:rsidRPr="000C6532" w:rsidRDefault="000C6532" w:rsidP="000C6532">
            <w:pPr>
              <w:tabs>
                <w:tab w:val="left" w:pos="3500"/>
                <w:tab w:val="left" w:pos="3920"/>
              </w:tabs>
              <w:rPr>
                <w:rFonts w:ascii="Arial" w:hAnsi="Arial" w:cs="Arial"/>
                <w:bCs/>
                <w:sz w:val="20"/>
                <w:szCs w:val="20"/>
              </w:rPr>
            </w:pPr>
          </w:p>
        </w:tc>
      </w:tr>
      <w:tr w:rsidR="00F1355F" w:rsidRPr="0000591E" w14:paraId="69D56EAF" w14:textId="77777777" w:rsidTr="00F1355F">
        <w:trPr>
          <w:trHeight w:val="20"/>
        </w:trPr>
        <w:tc>
          <w:tcPr>
            <w:tcW w:w="1277" w:type="dxa"/>
            <w:tcBorders>
              <w:top w:val="nil"/>
              <w:bottom w:val="single" w:sz="4" w:space="0" w:color="auto"/>
            </w:tcBorders>
            <w:noWrap/>
          </w:tcPr>
          <w:p w14:paraId="61B73AEC" w14:textId="58C34376" w:rsidR="00F1355F" w:rsidRPr="00E6635D" w:rsidRDefault="00F1355F" w:rsidP="0034061E">
            <w:pPr>
              <w:rPr>
                <w:rFonts w:ascii="Arial" w:hAnsi="Arial" w:cs="Arial"/>
                <w:b/>
                <w:bCs/>
                <w:sz w:val="20"/>
                <w:szCs w:val="20"/>
              </w:rPr>
            </w:pPr>
            <w:r w:rsidRPr="00F1355F">
              <w:rPr>
                <w:rFonts w:ascii="Arial" w:hAnsi="Arial" w:cs="Arial"/>
                <w:b/>
                <w:bCs/>
                <w:sz w:val="20"/>
                <w:szCs w:val="20"/>
              </w:rPr>
              <w:t>L04AC16</w:t>
            </w:r>
          </w:p>
        </w:tc>
        <w:tc>
          <w:tcPr>
            <w:tcW w:w="9355" w:type="dxa"/>
            <w:tcBorders>
              <w:top w:val="nil"/>
              <w:bottom w:val="single" w:sz="4" w:space="0" w:color="auto"/>
            </w:tcBorders>
          </w:tcPr>
          <w:p w14:paraId="4D5C527D" w14:textId="14C0D62A" w:rsidR="00F1355F" w:rsidRPr="00E6635D" w:rsidRDefault="00F1355F" w:rsidP="001237BD">
            <w:pPr>
              <w:tabs>
                <w:tab w:val="left" w:pos="3500"/>
                <w:tab w:val="left" w:pos="3920"/>
              </w:tabs>
              <w:rPr>
                <w:rFonts w:ascii="Arial" w:hAnsi="Arial" w:cs="Arial"/>
                <w:b/>
                <w:bCs/>
                <w:sz w:val="20"/>
                <w:szCs w:val="20"/>
              </w:rPr>
            </w:pPr>
            <w:r w:rsidRPr="00F1355F">
              <w:rPr>
                <w:rFonts w:ascii="Arial" w:hAnsi="Arial" w:cs="Arial"/>
                <w:b/>
                <w:bCs/>
                <w:sz w:val="20"/>
                <w:szCs w:val="20"/>
              </w:rPr>
              <w:t>Guselkumab s.c. 100 mg</w:t>
            </w:r>
          </w:p>
        </w:tc>
      </w:tr>
      <w:tr w:rsidR="00F1355F" w:rsidRPr="0000591E" w14:paraId="7403391F" w14:textId="77777777" w:rsidTr="00F1355F">
        <w:trPr>
          <w:trHeight w:val="20"/>
        </w:trPr>
        <w:tc>
          <w:tcPr>
            <w:tcW w:w="1277" w:type="dxa"/>
            <w:tcBorders>
              <w:top w:val="single" w:sz="4" w:space="0" w:color="auto"/>
              <w:bottom w:val="nil"/>
            </w:tcBorders>
            <w:noWrap/>
          </w:tcPr>
          <w:p w14:paraId="4713040D" w14:textId="77777777" w:rsidR="00F1355F" w:rsidRPr="00E6635D" w:rsidRDefault="00F1355F" w:rsidP="0034061E">
            <w:pPr>
              <w:rPr>
                <w:rFonts w:ascii="Arial" w:hAnsi="Arial" w:cs="Arial"/>
                <w:b/>
                <w:bCs/>
                <w:sz w:val="20"/>
                <w:szCs w:val="20"/>
              </w:rPr>
            </w:pPr>
          </w:p>
        </w:tc>
        <w:tc>
          <w:tcPr>
            <w:tcW w:w="9355" w:type="dxa"/>
            <w:tcBorders>
              <w:top w:val="single" w:sz="4" w:space="0" w:color="auto"/>
              <w:bottom w:val="nil"/>
            </w:tcBorders>
          </w:tcPr>
          <w:p w14:paraId="6FEF7198" w14:textId="6E4C70E2" w:rsidR="00F1355F" w:rsidRP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Hradenú liečbu môže indikovať po predchádzajúcom vyšetrení na prítomnosť tuberkulóznej</w:t>
            </w:r>
            <w:r>
              <w:rPr>
                <w:rFonts w:ascii="Arial" w:hAnsi="Arial" w:cs="Arial"/>
                <w:bCs/>
                <w:sz w:val="20"/>
                <w:szCs w:val="20"/>
              </w:rPr>
              <w:t xml:space="preserve"> </w:t>
            </w:r>
            <w:r w:rsidRPr="00F1355F">
              <w:rPr>
                <w:rFonts w:ascii="Arial" w:hAnsi="Arial" w:cs="Arial"/>
                <w:bCs/>
                <w:sz w:val="20"/>
                <w:szCs w:val="20"/>
              </w:rPr>
              <w:t>Infekcie</w:t>
            </w:r>
          </w:p>
          <w:p w14:paraId="4FE5C7E8" w14:textId="77777777" w:rsidR="00F1355F" w:rsidRPr="00F1355F" w:rsidRDefault="00F1355F" w:rsidP="00F1355F">
            <w:pPr>
              <w:tabs>
                <w:tab w:val="left" w:pos="3500"/>
                <w:tab w:val="left" w:pos="3920"/>
              </w:tabs>
              <w:jc w:val="both"/>
              <w:rPr>
                <w:rFonts w:ascii="Arial" w:hAnsi="Arial" w:cs="Arial"/>
                <w:bCs/>
                <w:sz w:val="20"/>
                <w:szCs w:val="20"/>
              </w:rPr>
            </w:pPr>
          </w:p>
          <w:p w14:paraId="71DA6FD8" w14:textId="5959629E" w:rsidR="00F1355F" w:rsidRP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a) dermatológ u dospelých pacientov so stredne závažnou až závažnou ložiskovou psoriázou,</w:t>
            </w:r>
            <w:r>
              <w:rPr>
                <w:rFonts w:ascii="Arial" w:hAnsi="Arial" w:cs="Arial"/>
                <w:bCs/>
                <w:sz w:val="20"/>
                <w:szCs w:val="20"/>
              </w:rPr>
              <w:t xml:space="preserve"> </w:t>
            </w:r>
            <w:r w:rsidRPr="00F1355F">
              <w:rPr>
                <w:rFonts w:ascii="Arial" w:hAnsi="Arial" w:cs="Arial"/>
                <w:bCs/>
                <w:sz w:val="20"/>
                <w:szCs w:val="20"/>
              </w:rPr>
              <w:t>ktorí neodpovedali na inú systémovú liečbu, vrátane cyklosporínu, metotrexátu alebo PUVA,</w:t>
            </w:r>
            <w:r>
              <w:rPr>
                <w:rFonts w:ascii="Arial" w:hAnsi="Arial" w:cs="Arial"/>
                <w:bCs/>
                <w:sz w:val="20"/>
                <w:szCs w:val="20"/>
              </w:rPr>
              <w:t xml:space="preserve"> </w:t>
            </w:r>
            <w:r w:rsidRPr="00F1355F">
              <w:rPr>
                <w:rFonts w:ascii="Arial" w:hAnsi="Arial" w:cs="Arial"/>
                <w:bCs/>
                <w:sz w:val="20"/>
                <w:szCs w:val="20"/>
              </w:rPr>
              <w:t>alebo u ktorých je táto liečba kontraindikovaná alebo ju netolerujú.</w:t>
            </w:r>
          </w:p>
          <w:p w14:paraId="6401B03F" w14:textId="77777777" w:rsidR="00F1355F" w:rsidRPr="00F1355F" w:rsidRDefault="00F1355F" w:rsidP="00F1355F">
            <w:pPr>
              <w:tabs>
                <w:tab w:val="left" w:pos="3500"/>
                <w:tab w:val="left" w:pos="3920"/>
              </w:tabs>
              <w:jc w:val="both"/>
              <w:rPr>
                <w:rFonts w:ascii="Arial" w:hAnsi="Arial" w:cs="Arial"/>
                <w:bCs/>
                <w:sz w:val="20"/>
                <w:szCs w:val="20"/>
              </w:rPr>
            </w:pPr>
          </w:p>
          <w:p w14:paraId="576F2CFF" w14:textId="5F92E072" w:rsidR="00F1355F" w:rsidRP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Ďalšia liečba nie je hradenou liečbou, ak sa po šestnástich týždňoch podávania lieku s</w:t>
            </w:r>
            <w:r>
              <w:rPr>
                <w:rFonts w:ascii="Arial" w:hAnsi="Arial" w:cs="Arial"/>
                <w:bCs/>
                <w:sz w:val="20"/>
                <w:szCs w:val="20"/>
              </w:rPr>
              <w:t> </w:t>
            </w:r>
            <w:r w:rsidRPr="00F1355F">
              <w:rPr>
                <w:rFonts w:ascii="Arial" w:hAnsi="Arial" w:cs="Arial"/>
                <w:bCs/>
                <w:sz w:val="20"/>
                <w:szCs w:val="20"/>
              </w:rPr>
              <w:t>účinnou</w:t>
            </w:r>
            <w:r>
              <w:rPr>
                <w:rFonts w:ascii="Arial" w:hAnsi="Arial" w:cs="Arial"/>
                <w:bCs/>
                <w:sz w:val="20"/>
                <w:szCs w:val="20"/>
              </w:rPr>
              <w:t xml:space="preserve"> </w:t>
            </w:r>
            <w:r w:rsidRPr="00F1355F">
              <w:rPr>
                <w:rFonts w:ascii="Arial" w:hAnsi="Arial" w:cs="Arial"/>
                <w:bCs/>
                <w:sz w:val="20"/>
                <w:szCs w:val="20"/>
              </w:rPr>
              <w:t>látkou guselkumab nedostaví liečebný účinok.</w:t>
            </w:r>
          </w:p>
          <w:p w14:paraId="5F1E201B" w14:textId="77777777" w:rsidR="00F1355F" w:rsidRPr="00F1355F" w:rsidRDefault="00F1355F" w:rsidP="00F1355F">
            <w:pPr>
              <w:tabs>
                <w:tab w:val="left" w:pos="3500"/>
                <w:tab w:val="left" w:pos="3920"/>
              </w:tabs>
              <w:jc w:val="both"/>
              <w:rPr>
                <w:rFonts w:ascii="Arial" w:hAnsi="Arial" w:cs="Arial"/>
                <w:bCs/>
                <w:sz w:val="20"/>
                <w:szCs w:val="20"/>
              </w:rPr>
            </w:pPr>
          </w:p>
          <w:p w14:paraId="40B8CA04" w14:textId="7A087F8A" w:rsid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b) reumatológ u dospelých pacientov pri aktívnej psoriatickej artritíde, v monoterapii alebo</w:t>
            </w:r>
            <w:r>
              <w:rPr>
                <w:rFonts w:ascii="Arial" w:hAnsi="Arial" w:cs="Arial"/>
                <w:bCs/>
                <w:sz w:val="20"/>
                <w:szCs w:val="20"/>
              </w:rPr>
              <w:t xml:space="preserve"> </w:t>
            </w:r>
            <w:r w:rsidRPr="00F1355F">
              <w:rPr>
                <w:rFonts w:ascii="Arial" w:hAnsi="Arial" w:cs="Arial"/>
                <w:bCs/>
                <w:sz w:val="20"/>
                <w:szCs w:val="20"/>
              </w:rPr>
              <w:t>v kombinácii s MTX, ak nebola odpoveď na predchádzajúcu liečbu DMARDs dostatočná.</w:t>
            </w:r>
          </w:p>
          <w:p w14:paraId="3311C965" w14:textId="77777777" w:rsidR="00F1355F" w:rsidRPr="00F1355F" w:rsidRDefault="00F1355F" w:rsidP="00F1355F">
            <w:pPr>
              <w:tabs>
                <w:tab w:val="left" w:pos="3500"/>
                <w:tab w:val="left" w:pos="3920"/>
              </w:tabs>
              <w:jc w:val="both"/>
              <w:rPr>
                <w:rFonts w:ascii="Arial" w:hAnsi="Arial" w:cs="Arial"/>
                <w:bCs/>
                <w:sz w:val="20"/>
                <w:szCs w:val="20"/>
              </w:rPr>
            </w:pPr>
          </w:p>
          <w:p w14:paraId="6C4D77B5" w14:textId="77777777" w:rsid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Hradená liečba podlieha predchádzajúcemu súhlasu zdravotnej poisťovne.</w:t>
            </w:r>
          </w:p>
          <w:p w14:paraId="3F8F3579" w14:textId="2483B898" w:rsidR="00F1355F" w:rsidRPr="00F1355F" w:rsidRDefault="00F1355F" w:rsidP="00F1355F">
            <w:pPr>
              <w:tabs>
                <w:tab w:val="left" w:pos="3500"/>
                <w:tab w:val="left" w:pos="3920"/>
              </w:tabs>
              <w:jc w:val="both"/>
              <w:rPr>
                <w:rFonts w:ascii="Arial" w:hAnsi="Arial" w:cs="Arial"/>
                <w:bCs/>
                <w:sz w:val="20"/>
                <w:szCs w:val="20"/>
              </w:rPr>
            </w:pPr>
          </w:p>
        </w:tc>
      </w:tr>
      <w:tr w:rsidR="00E51218" w:rsidRPr="0000591E" w14:paraId="16661C84" w14:textId="77777777" w:rsidTr="00E51218">
        <w:trPr>
          <w:trHeight w:val="20"/>
        </w:trPr>
        <w:tc>
          <w:tcPr>
            <w:tcW w:w="1277" w:type="dxa"/>
            <w:tcBorders>
              <w:top w:val="nil"/>
              <w:bottom w:val="single" w:sz="4" w:space="0" w:color="auto"/>
            </w:tcBorders>
            <w:noWrap/>
          </w:tcPr>
          <w:p w14:paraId="5C70C006" w14:textId="77777777" w:rsidR="00C54A7B" w:rsidRDefault="00C54A7B" w:rsidP="0034061E">
            <w:pPr>
              <w:rPr>
                <w:rFonts w:ascii="Arial" w:hAnsi="Arial" w:cs="Arial"/>
                <w:b/>
                <w:bCs/>
                <w:sz w:val="20"/>
                <w:szCs w:val="20"/>
              </w:rPr>
            </w:pPr>
          </w:p>
          <w:p w14:paraId="5A0ACA96" w14:textId="54AF1977" w:rsidR="00E51218" w:rsidRPr="00E6635D" w:rsidRDefault="00E51218" w:rsidP="0034061E">
            <w:pPr>
              <w:rPr>
                <w:rFonts w:ascii="Arial" w:hAnsi="Arial" w:cs="Arial"/>
                <w:b/>
                <w:bCs/>
                <w:sz w:val="20"/>
                <w:szCs w:val="20"/>
              </w:rPr>
            </w:pPr>
            <w:r w:rsidRPr="00E51218">
              <w:rPr>
                <w:rFonts w:ascii="Arial" w:hAnsi="Arial" w:cs="Arial"/>
                <w:b/>
                <w:bCs/>
                <w:sz w:val="20"/>
                <w:szCs w:val="20"/>
              </w:rPr>
              <w:t>L04AC17</w:t>
            </w:r>
          </w:p>
        </w:tc>
        <w:tc>
          <w:tcPr>
            <w:tcW w:w="9355" w:type="dxa"/>
            <w:tcBorders>
              <w:top w:val="nil"/>
              <w:bottom w:val="single" w:sz="4" w:space="0" w:color="auto"/>
            </w:tcBorders>
          </w:tcPr>
          <w:p w14:paraId="3772032A" w14:textId="77777777" w:rsidR="00E51218" w:rsidRPr="00E51218" w:rsidRDefault="00E51218" w:rsidP="00E51218">
            <w:pPr>
              <w:tabs>
                <w:tab w:val="left" w:pos="3500"/>
                <w:tab w:val="left" w:pos="3920"/>
              </w:tabs>
              <w:rPr>
                <w:rFonts w:ascii="Arial" w:hAnsi="Arial" w:cs="Arial"/>
                <w:b/>
                <w:bCs/>
                <w:sz w:val="20"/>
                <w:szCs w:val="20"/>
              </w:rPr>
            </w:pPr>
            <w:r w:rsidRPr="00E51218">
              <w:rPr>
                <w:rFonts w:ascii="Arial" w:hAnsi="Arial" w:cs="Arial"/>
                <w:b/>
                <w:bCs/>
                <w:sz w:val="20"/>
                <w:szCs w:val="20"/>
              </w:rPr>
              <w:t>Tildrakizumab s.c. 100 mg</w:t>
            </w:r>
          </w:p>
          <w:p w14:paraId="6B0ABF9F" w14:textId="2BF02864" w:rsidR="00E51218" w:rsidRPr="00E6635D" w:rsidRDefault="00E51218" w:rsidP="00E51218">
            <w:pPr>
              <w:tabs>
                <w:tab w:val="left" w:pos="3500"/>
                <w:tab w:val="left" w:pos="3920"/>
              </w:tabs>
              <w:rPr>
                <w:rFonts w:ascii="Arial" w:hAnsi="Arial" w:cs="Arial"/>
                <w:b/>
                <w:bCs/>
                <w:sz w:val="20"/>
                <w:szCs w:val="20"/>
              </w:rPr>
            </w:pPr>
            <w:r w:rsidRPr="00E51218">
              <w:rPr>
                <w:rFonts w:ascii="Arial" w:hAnsi="Arial" w:cs="Arial"/>
                <w:b/>
                <w:bCs/>
                <w:sz w:val="20"/>
                <w:szCs w:val="20"/>
              </w:rPr>
              <w:t>Tildrakizumab s.c. 200 mg</w:t>
            </w:r>
          </w:p>
        </w:tc>
      </w:tr>
      <w:tr w:rsidR="00E51218" w:rsidRPr="0000591E" w14:paraId="0E1F9D90" w14:textId="77777777" w:rsidTr="00E51218">
        <w:trPr>
          <w:trHeight w:val="20"/>
        </w:trPr>
        <w:tc>
          <w:tcPr>
            <w:tcW w:w="1277" w:type="dxa"/>
            <w:tcBorders>
              <w:top w:val="single" w:sz="4" w:space="0" w:color="auto"/>
              <w:bottom w:val="nil"/>
            </w:tcBorders>
            <w:noWrap/>
          </w:tcPr>
          <w:p w14:paraId="3D92CCEC" w14:textId="77777777" w:rsidR="00E51218" w:rsidRPr="00E6635D" w:rsidRDefault="00E51218" w:rsidP="0034061E">
            <w:pPr>
              <w:rPr>
                <w:rFonts w:ascii="Arial" w:hAnsi="Arial" w:cs="Arial"/>
                <w:b/>
                <w:bCs/>
                <w:sz w:val="20"/>
                <w:szCs w:val="20"/>
              </w:rPr>
            </w:pPr>
          </w:p>
        </w:tc>
        <w:tc>
          <w:tcPr>
            <w:tcW w:w="9355" w:type="dxa"/>
            <w:tcBorders>
              <w:top w:val="single" w:sz="4" w:space="0" w:color="auto"/>
              <w:bottom w:val="nil"/>
            </w:tcBorders>
          </w:tcPr>
          <w:p w14:paraId="7DB9A0FA" w14:textId="77777777" w:rsidR="00E51218" w:rsidRPr="00E51218" w:rsidRDefault="00E51218" w:rsidP="00E51218">
            <w:pPr>
              <w:tabs>
                <w:tab w:val="left" w:pos="3500"/>
                <w:tab w:val="left" w:pos="3920"/>
              </w:tabs>
              <w:jc w:val="both"/>
              <w:rPr>
                <w:rFonts w:ascii="Arial" w:hAnsi="Arial" w:cs="Arial"/>
                <w:bCs/>
                <w:sz w:val="20"/>
                <w:szCs w:val="20"/>
              </w:rPr>
            </w:pPr>
            <w:r w:rsidRPr="00E51218">
              <w:rPr>
                <w:rFonts w:ascii="Arial" w:hAnsi="Arial" w:cs="Arial"/>
                <w:bCs/>
                <w:sz w:val="20"/>
                <w:szCs w:val="20"/>
              </w:rPr>
              <w:t xml:space="preserve">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 </w:t>
            </w:r>
          </w:p>
          <w:p w14:paraId="5561A51C" w14:textId="77777777" w:rsidR="00E51218" w:rsidRPr="00E51218" w:rsidRDefault="00E51218" w:rsidP="00E51218">
            <w:pPr>
              <w:tabs>
                <w:tab w:val="left" w:pos="3500"/>
                <w:tab w:val="left" w:pos="3920"/>
              </w:tabs>
              <w:jc w:val="both"/>
              <w:rPr>
                <w:rFonts w:ascii="Arial" w:hAnsi="Arial" w:cs="Arial"/>
                <w:bCs/>
                <w:sz w:val="20"/>
                <w:szCs w:val="20"/>
              </w:rPr>
            </w:pPr>
          </w:p>
          <w:p w14:paraId="1E07FA9E" w14:textId="77777777" w:rsidR="00E51218" w:rsidRPr="00E51218" w:rsidRDefault="00E51218" w:rsidP="00E51218">
            <w:pPr>
              <w:tabs>
                <w:tab w:val="left" w:pos="3500"/>
                <w:tab w:val="left" w:pos="3920"/>
              </w:tabs>
              <w:jc w:val="both"/>
              <w:rPr>
                <w:rFonts w:ascii="Arial" w:hAnsi="Arial" w:cs="Arial"/>
                <w:bCs/>
                <w:sz w:val="20"/>
                <w:szCs w:val="20"/>
              </w:rPr>
            </w:pPr>
            <w:r w:rsidRPr="00E51218">
              <w:rPr>
                <w:rFonts w:ascii="Arial" w:hAnsi="Arial" w:cs="Arial"/>
                <w:bCs/>
                <w:sz w:val="20"/>
                <w:szCs w:val="20"/>
              </w:rPr>
              <w:t xml:space="preserve">Liečba je hradená v udržiavacej dávke maximálne 100 mg každých 12 týždňov. </w:t>
            </w:r>
          </w:p>
          <w:p w14:paraId="332631E7" w14:textId="77777777" w:rsidR="00E51218" w:rsidRPr="00E51218" w:rsidRDefault="00E51218" w:rsidP="00E51218">
            <w:pPr>
              <w:tabs>
                <w:tab w:val="left" w:pos="3500"/>
                <w:tab w:val="left" w:pos="3920"/>
              </w:tabs>
              <w:jc w:val="both"/>
              <w:rPr>
                <w:rFonts w:ascii="Arial" w:hAnsi="Arial" w:cs="Arial"/>
                <w:bCs/>
                <w:sz w:val="20"/>
                <w:szCs w:val="20"/>
              </w:rPr>
            </w:pPr>
          </w:p>
          <w:p w14:paraId="5B552EBA" w14:textId="77777777" w:rsidR="00E51218" w:rsidRPr="00E51218" w:rsidRDefault="00E51218" w:rsidP="00E51218">
            <w:pPr>
              <w:tabs>
                <w:tab w:val="left" w:pos="3500"/>
                <w:tab w:val="left" w:pos="3920"/>
              </w:tabs>
              <w:jc w:val="both"/>
              <w:rPr>
                <w:rFonts w:ascii="Arial" w:hAnsi="Arial" w:cs="Arial"/>
                <w:bCs/>
                <w:sz w:val="20"/>
                <w:szCs w:val="20"/>
              </w:rPr>
            </w:pPr>
            <w:r w:rsidRPr="00E51218">
              <w:rPr>
                <w:rFonts w:ascii="Arial" w:hAnsi="Arial" w:cs="Arial"/>
                <w:bCs/>
                <w:sz w:val="20"/>
                <w:szCs w:val="20"/>
              </w:rPr>
              <w:t xml:space="preserve">Ďalšia liečba nie je hradenou liečbou, ak sa po dvadsiatich ôsmych týždňoch podávania lieku s účinnou látkou tildrakizumab nedostaví liečebný účinok. </w:t>
            </w:r>
          </w:p>
          <w:p w14:paraId="6DEE7E2B" w14:textId="77777777" w:rsidR="00E51218" w:rsidRPr="00E51218" w:rsidRDefault="00E51218" w:rsidP="00E51218">
            <w:pPr>
              <w:tabs>
                <w:tab w:val="left" w:pos="3500"/>
                <w:tab w:val="left" w:pos="3920"/>
              </w:tabs>
              <w:jc w:val="both"/>
              <w:rPr>
                <w:rFonts w:ascii="Arial" w:hAnsi="Arial" w:cs="Arial"/>
                <w:bCs/>
                <w:sz w:val="20"/>
                <w:szCs w:val="20"/>
              </w:rPr>
            </w:pPr>
          </w:p>
          <w:p w14:paraId="7BBB4FBE" w14:textId="77777777" w:rsidR="00E51218" w:rsidRDefault="00E51218" w:rsidP="00743BAE">
            <w:pPr>
              <w:tabs>
                <w:tab w:val="left" w:pos="3500"/>
                <w:tab w:val="left" w:pos="3920"/>
              </w:tabs>
              <w:jc w:val="both"/>
              <w:rPr>
                <w:rFonts w:ascii="Arial" w:hAnsi="Arial" w:cs="Arial"/>
                <w:bCs/>
                <w:sz w:val="20"/>
                <w:szCs w:val="20"/>
              </w:rPr>
            </w:pPr>
            <w:r w:rsidRPr="00E51218">
              <w:rPr>
                <w:rFonts w:ascii="Arial" w:hAnsi="Arial" w:cs="Arial"/>
                <w:bCs/>
                <w:sz w:val="20"/>
                <w:szCs w:val="20"/>
              </w:rPr>
              <w:t>Hradená liečba podlieha predchádzajúcemu súhlasu zdravotnej poisťovne.</w:t>
            </w:r>
          </w:p>
          <w:p w14:paraId="43CC427D" w14:textId="686C1B76" w:rsidR="00420CA4" w:rsidRPr="00E51218" w:rsidRDefault="00420CA4" w:rsidP="00743BAE">
            <w:pPr>
              <w:tabs>
                <w:tab w:val="left" w:pos="3500"/>
                <w:tab w:val="left" w:pos="3920"/>
              </w:tabs>
              <w:jc w:val="both"/>
              <w:rPr>
                <w:rFonts w:ascii="Arial" w:hAnsi="Arial" w:cs="Arial"/>
                <w:bCs/>
                <w:sz w:val="20"/>
                <w:szCs w:val="20"/>
              </w:rPr>
            </w:pPr>
          </w:p>
        </w:tc>
      </w:tr>
      <w:tr w:rsidR="00E51218" w:rsidRPr="0000591E" w14:paraId="0BDD5694" w14:textId="77777777" w:rsidTr="00E51218">
        <w:trPr>
          <w:trHeight w:val="20"/>
        </w:trPr>
        <w:tc>
          <w:tcPr>
            <w:tcW w:w="1277" w:type="dxa"/>
            <w:tcBorders>
              <w:top w:val="nil"/>
              <w:bottom w:val="single" w:sz="4" w:space="0" w:color="auto"/>
            </w:tcBorders>
            <w:noWrap/>
          </w:tcPr>
          <w:p w14:paraId="3B29209D" w14:textId="6EC27B32" w:rsidR="00E51218" w:rsidRPr="00E6635D" w:rsidRDefault="00E51218" w:rsidP="0034061E">
            <w:pPr>
              <w:rPr>
                <w:rFonts w:ascii="Arial" w:hAnsi="Arial" w:cs="Arial"/>
                <w:b/>
                <w:bCs/>
                <w:sz w:val="20"/>
                <w:szCs w:val="20"/>
              </w:rPr>
            </w:pPr>
            <w:r w:rsidRPr="00E51218">
              <w:rPr>
                <w:rFonts w:ascii="Arial" w:hAnsi="Arial" w:cs="Arial"/>
                <w:b/>
                <w:bCs/>
                <w:sz w:val="20"/>
                <w:szCs w:val="20"/>
              </w:rPr>
              <w:t>L04AC18</w:t>
            </w:r>
          </w:p>
        </w:tc>
        <w:tc>
          <w:tcPr>
            <w:tcW w:w="9355" w:type="dxa"/>
            <w:tcBorders>
              <w:top w:val="nil"/>
              <w:bottom w:val="single" w:sz="4" w:space="0" w:color="auto"/>
            </w:tcBorders>
          </w:tcPr>
          <w:p w14:paraId="33D4F590" w14:textId="25664FB9" w:rsidR="00E51218" w:rsidRPr="00E6635D" w:rsidRDefault="00E51218" w:rsidP="001237BD">
            <w:pPr>
              <w:tabs>
                <w:tab w:val="left" w:pos="3500"/>
                <w:tab w:val="left" w:pos="3920"/>
              </w:tabs>
              <w:rPr>
                <w:rFonts w:ascii="Arial" w:hAnsi="Arial" w:cs="Arial"/>
                <w:b/>
                <w:bCs/>
                <w:sz w:val="20"/>
                <w:szCs w:val="20"/>
              </w:rPr>
            </w:pPr>
            <w:r w:rsidRPr="00E51218">
              <w:rPr>
                <w:rFonts w:ascii="Arial" w:hAnsi="Arial" w:cs="Arial"/>
                <w:b/>
                <w:bCs/>
                <w:sz w:val="20"/>
                <w:szCs w:val="20"/>
              </w:rPr>
              <w:t>Rizankizumab s.c. 150 mg</w:t>
            </w:r>
          </w:p>
        </w:tc>
      </w:tr>
      <w:tr w:rsidR="00E51218" w:rsidRPr="0000591E" w14:paraId="47731E50" w14:textId="77777777" w:rsidTr="00E51218">
        <w:trPr>
          <w:trHeight w:val="20"/>
        </w:trPr>
        <w:tc>
          <w:tcPr>
            <w:tcW w:w="1277" w:type="dxa"/>
            <w:tcBorders>
              <w:top w:val="single" w:sz="4" w:space="0" w:color="auto"/>
              <w:bottom w:val="nil"/>
            </w:tcBorders>
            <w:noWrap/>
          </w:tcPr>
          <w:p w14:paraId="283A2873" w14:textId="77777777" w:rsidR="00E51218" w:rsidRPr="00E6635D" w:rsidRDefault="00E51218" w:rsidP="0034061E">
            <w:pPr>
              <w:rPr>
                <w:rFonts w:ascii="Arial" w:hAnsi="Arial" w:cs="Arial"/>
                <w:b/>
                <w:bCs/>
                <w:sz w:val="20"/>
                <w:szCs w:val="20"/>
              </w:rPr>
            </w:pPr>
          </w:p>
        </w:tc>
        <w:tc>
          <w:tcPr>
            <w:tcW w:w="9355" w:type="dxa"/>
            <w:tcBorders>
              <w:top w:val="single" w:sz="4" w:space="0" w:color="auto"/>
              <w:bottom w:val="nil"/>
            </w:tcBorders>
          </w:tcPr>
          <w:p w14:paraId="633A71F7" w14:textId="77777777" w:rsidR="00E51218" w:rsidRPr="00E51218" w:rsidRDefault="00E51218" w:rsidP="00E51218">
            <w:pPr>
              <w:tabs>
                <w:tab w:val="left" w:pos="3500"/>
                <w:tab w:val="left" w:pos="3920"/>
              </w:tabs>
              <w:rPr>
                <w:rFonts w:ascii="Arial" w:hAnsi="Arial" w:cs="Arial"/>
                <w:bCs/>
                <w:sz w:val="20"/>
                <w:szCs w:val="20"/>
              </w:rPr>
            </w:pPr>
            <w:r w:rsidRPr="00E51218">
              <w:rPr>
                <w:rFonts w:ascii="Arial" w:hAnsi="Arial" w:cs="Arial"/>
                <w:bCs/>
                <w:sz w:val="20"/>
                <w:szCs w:val="20"/>
              </w:rPr>
              <w:t xml:space="preserve">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IL-12/23 alebo inými inhibítormi interleukínov. </w:t>
            </w:r>
          </w:p>
          <w:p w14:paraId="5432F668" w14:textId="77777777" w:rsidR="00E51218" w:rsidRPr="00E51218" w:rsidRDefault="00E51218" w:rsidP="00E51218">
            <w:pPr>
              <w:tabs>
                <w:tab w:val="left" w:pos="3500"/>
                <w:tab w:val="left" w:pos="3920"/>
              </w:tabs>
              <w:rPr>
                <w:rFonts w:ascii="Arial" w:hAnsi="Arial" w:cs="Arial"/>
                <w:bCs/>
                <w:sz w:val="20"/>
                <w:szCs w:val="20"/>
              </w:rPr>
            </w:pPr>
          </w:p>
          <w:p w14:paraId="4223E047" w14:textId="77777777" w:rsidR="00E51218" w:rsidRPr="00E51218" w:rsidRDefault="00E51218" w:rsidP="00E51218">
            <w:pPr>
              <w:tabs>
                <w:tab w:val="left" w:pos="3500"/>
                <w:tab w:val="left" w:pos="3920"/>
              </w:tabs>
              <w:rPr>
                <w:rFonts w:ascii="Arial" w:hAnsi="Arial" w:cs="Arial"/>
                <w:bCs/>
                <w:sz w:val="20"/>
                <w:szCs w:val="20"/>
              </w:rPr>
            </w:pPr>
            <w:r w:rsidRPr="00E51218">
              <w:rPr>
                <w:rFonts w:ascii="Arial" w:hAnsi="Arial" w:cs="Arial"/>
                <w:bCs/>
                <w:sz w:val="20"/>
                <w:szCs w:val="20"/>
              </w:rPr>
              <w:t xml:space="preserve">Ďalšia liečba nie je hradenou liečbou, ak sa po šestnástich týždňoch podávania lieku s účinnou látkou rizankizumab nedostaví liečebný účinok.  </w:t>
            </w:r>
          </w:p>
          <w:p w14:paraId="755FDE3A" w14:textId="77777777" w:rsidR="00E51218" w:rsidRPr="00E51218" w:rsidRDefault="00E51218" w:rsidP="00E51218">
            <w:pPr>
              <w:tabs>
                <w:tab w:val="left" w:pos="3500"/>
                <w:tab w:val="left" w:pos="3920"/>
              </w:tabs>
              <w:rPr>
                <w:rFonts w:ascii="Arial" w:hAnsi="Arial" w:cs="Arial"/>
                <w:bCs/>
                <w:sz w:val="20"/>
                <w:szCs w:val="20"/>
              </w:rPr>
            </w:pPr>
          </w:p>
          <w:p w14:paraId="22EF8C88" w14:textId="77777777" w:rsidR="00E51218" w:rsidRDefault="00E51218" w:rsidP="00E51218">
            <w:pPr>
              <w:tabs>
                <w:tab w:val="left" w:pos="3500"/>
                <w:tab w:val="left" w:pos="3920"/>
              </w:tabs>
              <w:rPr>
                <w:rFonts w:ascii="Arial" w:hAnsi="Arial" w:cs="Arial"/>
                <w:bCs/>
                <w:sz w:val="20"/>
                <w:szCs w:val="20"/>
              </w:rPr>
            </w:pPr>
            <w:r w:rsidRPr="00E51218">
              <w:rPr>
                <w:rFonts w:ascii="Arial" w:hAnsi="Arial" w:cs="Arial"/>
                <w:bCs/>
                <w:sz w:val="20"/>
                <w:szCs w:val="20"/>
              </w:rPr>
              <w:t>Hradená liečba podlieha predchádzajúcemu súhlasu zdravotnej poisťovne.</w:t>
            </w:r>
          </w:p>
          <w:p w14:paraId="5A2E90BA" w14:textId="1AA40F66" w:rsidR="00E51218" w:rsidRPr="00E51218" w:rsidRDefault="00E51218" w:rsidP="00E51218">
            <w:pPr>
              <w:tabs>
                <w:tab w:val="left" w:pos="3500"/>
                <w:tab w:val="left" w:pos="3920"/>
              </w:tabs>
              <w:rPr>
                <w:rFonts w:ascii="Arial" w:hAnsi="Arial" w:cs="Arial"/>
                <w:bCs/>
                <w:sz w:val="20"/>
                <w:szCs w:val="20"/>
              </w:rPr>
            </w:pPr>
          </w:p>
        </w:tc>
      </w:tr>
      <w:tr w:rsidR="00F82E0B" w:rsidRPr="0000591E" w14:paraId="0104B88F" w14:textId="77777777" w:rsidTr="00F82E0B">
        <w:trPr>
          <w:trHeight w:val="20"/>
        </w:trPr>
        <w:tc>
          <w:tcPr>
            <w:tcW w:w="1277" w:type="dxa"/>
            <w:tcBorders>
              <w:top w:val="nil"/>
              <w:bottom w:val="single" w:sz="4" w:space="0" w:color="auto"/>
            </w:tcBorders>
            <w:noWrap/>
          </w:tcPr>
          <w:p w14:paraId="3F99015A" w14:textId="451CB60A" w:rsidR="00F82E0B" w:rsidRPr="00E6635D" w:rsidRDefault="00F82E0B" w:rsidP="0034061E">
            <w:pPr>
              <w:rPr>
                <w:rFonts w:ascii="Arial" w:hAnsi="Arial" w:cs="Arial"/>
                <w:b/>
                <w:bCs/>
                <w:sz w:val="20"/>
                <w:szCs w:val="20"/>
              </w:rPr>
            </w:pPr>
            <w:r w:rsidRPr="00F82E0B">
              <w:rPr>
                <w:rFonts w:ascii="Arial" w:hAnsi="Arial" w:cs="Arial"/>
                <w:b/>
                <w:bCs/>
                <w:sz w:val="20"/>
                <w:szCs w:val="20"/>
              </w:rPr>
              <w:t>L04AC21</w:t>
            </w:r>
          </w:p>
        </w:tc>
        <w:tc>
          <w:tcPr>
            <w:tcW w:w="9355" w:type="dxa"/>
            <w:tcBorders>
              <w:top w:val="nil"/>
              <w:bottom w:val="single" w:sz="4" w:space="0" w:color="auto"/>
            </w:tcBorders>
          </w:tcPr>
          <w:p w14:paraId="6BD5B81A" w14:textId="50E18F0E" w:rsidR="00F82E0B" w:rsidRPr="00E6635D" w:rsidRDefault="00F82E0B" w:rsidP="001237BD">
            <w:pPr>
              <w:tabs>
                <w:tab w:val="left" w:pos="3500"/>
                <w:tab w:val="left" w:pos="3920"/>
              </w:tabs>
              <w:rPr>
                <w:rFonts w:ascii="Arial" w:hAnsi="Arial" w:cs="Arial"/>
                <w:b/>
                <w:bCs/>
                <w:sz w:val="20"/>
                <w:szCs w:val="20"/>
              </w:rPr>
            </w:pPr>
            <w:r w:rsidRPr="00F82E0B">
              <w:rPr>
                <w:rFonts w:ascii="Arial" w:hAnsi="Arial" w:cs="Arial"/>
                <w:b/>
                <w:bCs/>
                <w:sz w:val="20"/>
                <w:szCs w:val="20"/>
              </w:rPr>
              <w:t>Bimekizumab s.c. 160mg</w:t>
            </w:r>
          </w:p>
        </w:tc>
      </w:tr>
      <w:tr w:rsidR="00F82E0B" w:rsidRPr="0000591E" w14:paraId="46255C6F" w14:textId="77777777" w:rsidTr="00F82E0B">
        <w:trPr>
          <w:trHeight w:val="20"/>
        </w:trPr>
        <w:tc>
          <w:tcPr>
            <w:tcW w:w="1277" w:type="dxa"/>
            <w:tcBorders>
              <w:top w:val="single" w:sz="4" w:space="0" w:color="auto"/>
              <w:bottom w:val="nil"/>
            </w:tcBorders>
            <w:noWrap/>
          </w:tcPr>
          <w:p w14:paraId="47F31567" w14:textId="77777777" w:rsidR="00F82E0B" w:rsidRPr="00E6635D" w:rsidRDefault="00F82E0B" w:rsidP="0034061E">
            <w:pPr>
              <w:rPr>
                <w:rFonts w:ascii="Arial" w:hAnsi="Arial" w:cs="Arial"/>
                <w:b/>
                <w:bCs/>
                <w:sz w:val="20"/>
                <w:szCs w:val="20"/>
              </w:rPr>
            </w:pPr>
          </w:p>
        </w:tc>
        <w:tc>
          <w:tcPr>
            <w:tcW w:w="9355" w:type="dxa"/>
            <w:tcBorders>
              <w:top w:val="single" w:sz="4" w:space="0" w:color="auto"/>
              <w:bottom w:val="nil"/>
            </w:tcBorders>
          </w:tcPr>
          <w:p w14:paraId="4800D230" w14:textId="77777777" w:rsidR="0079719D"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Hradenú liečbu môže indikovať po predchádzajúcom pneumologickom vyšetrení a vyšetrení IGRA testom </w:t>
            </w:r>
          </w:p>
          <w:p w14:paraId="2E9AEC27" w14:textId="3E89AB7D" w:rsidR="00F82E0B" w:rsidRPr="00F82E0B" w:rsidRDefault="0079719D" w:rsidP="00F82E0B">
            <w:pPr>
              <w:tabs>
                <w:tab w:val="left" w:pos="3500"/>
                <w:tab w:val="left" w:pos="3920"/>
              </w:tabs>
              <w:jc w:val="both"/>
              <w:rPr>
                <w:rFonts w:ascii="Arial" w:hAnsi="Arial" w:cs="Arial"/>
                <w:bCs/>
                <w:sz w:val="20"/>
                <w:szCs w:val="20"/>
              </w:rPr>
            </w:pPr>
            <w:r>
              <w:rPr>
                <w:rFonts w:ascii="Arial" w:hAnsi="Arial" w:cs="Arial"/>
                <w:bCs/>
                <w:sz w:val="20"/>
                <w:szCs w:val="20"/>
              </w:rPr>
              <w:t xml:space="preserve">a) </w:t>
            </w:r>
            <w:r w:rsidR="00F82E0B" w:rsidRPr="00F82E0B">
              <w:rPr>
                <w:rFonts w:ascii="Arial" w:hAnsi="Arial" w:cs="Arial"/>
                <w:bCs/>
                <w:sz w:val="20"/>
                <w:szCs w:val="20"/>
              </w:rPr>
              <w:t>dermatológu dospelých pacientov so stredne závažnou až závažnou ložiskovou psoriázou, ktorí neodpovedali na inú systémovú liečbu, vrátane cyklosporínu, metotrexátu alebo PUVA, alebo u ktorých je táto liečba kontraindikovaná alebo ju netolerujú.</w:t>
            </w:r>
          </w:p>
          <w:p w14:paraId="08625941" w14:textId="77777777" w:rsidR="00F82E0B" w:rsidRPr="00F82E0B"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Ďalšia liečba nie je hradenou liečbou, ak sa po šestnástich týždňoch podávania lieku s účinnou látkou bimekizumab nedostaví liečebný účinok.</w:t>
            </w:r>
          </w:p>
          <w:p w14:paraId="33BA4722" w14:textId="77777777" w:rsidR="00F82E0B" w:rsidRDefault="00F82E0B" w:rsidP="00F82E0B">
            <w:pPr>
              <w:tabs>
                <w:tab w:val="left" w:pos="3500"/>
                <w:tab w:val="left" w:pos="3920"/>
              </w:tabs>
              <w:rPr>
                <w:rFonts w:ascii="Arial" w:hAnsi="Arial" w:cs="Arial"/>
                <w:bCs/>
                <w:sz w:val="20"/>
                <w:szCs w:val="20"/>
              </w:rPr>
            </w:pPr>
            <w:r w:rsidRPr="00F82E0B">
              <w:rPr>
                <w:rFonts w:ascii="Arial" w:hAnsi="Arial" w:cs="Arial"/>
                <w:bCs/>
                <w:sz w:val="20"/>
                <w:szCs w:val="20"/>
              </w:rPr>
              <w:t>Hradená liečba podlieha predchádzajúcemu súhlasu zdravotnej poisťovne.</w:t>
            </w:r>
          </w:p>
          <w:p w14:paraId="7AA030E3" w14:textId="77777777" w:rsidR="0079719D" w:rsidRDefault="0079719D" w:rsidP="0079719D">
            <w:pPr>
              <w:tabs>
                <w:tab w:val="left" w:pos="3500"/>
                <w:tab w:val="left" w:pos="3920"/>
              </w:tabs>
              <w:rPr>
                <w:rFonts w:ascii="Arial" w:hAnsi="Arial" w:cs="Arial"/>
                <w:bCs/>
                <w:sz w:val="20"/>
                <w:szCs w:val="20"/>
              </w:rPr>
            </w:pPr>
          </w:p>
          <w:p w14:paraId="7068EAD4" w14:textId="58601F5E"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b) reumatológ u dospelých pacientov pri aktívnej psoriatickej artritíde, v monoterapii alebo v kombinácii s metotrexátom, ktorí neodpovedajú adekvátne alebo netolerujú liečbu najmenej jedným antireumatikom modifikujúcim ochorenie (DMARD) a neboli ešte liečení systémovou liečbou účinnými látkami skupín anti-TNF alfa, anti IL alebo inhibítorov Janusovej kinázy, alebo v druhej a ďalších líniách liečby u pacientov, ktorí neodpovedali dostatočne na predchádzajúcu liečbu adalimumabom alebo ju netolerovali, alebo ak je u nich liečba adalimumabom kontraindikovaná.</w:t>
            </w:r>
          </w:p>
          <w:p w14:paraId="0405C5A6" w14:textId="77777777"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Ďalšia liečba nie je hradenou liečbou, ak sa po šestnástich týždňoch podávania lieku s účinnou látkou bimekizumab nedostaví liečebný účinok. </w:t>
            </w:r>
          </w:p>
          <w:p w14:paraId="6C7C23E1" w14:textId="77777777" w:rsidR="0079719D" w:rsidRDefault="0079719D" w:rsidP="0079719D">
            <w:pPr>
              <w:tabs>
                <w:tab w:val="left" w:pos="3500"/>
                <w:tab w:val="left" w:pos="3920"/>
              </w:tabs>
              <w:rPr>
                <w:rFonts w:ascii="Arial" w:hAnsi="Arial" w:cs="Arial"/>
                <w:bCs/>
                <w:sz w:val="20"/>
                <w:szCs w:val="20"/>
              </w:rPr>
            </w:pPr>
            <w:r w:rsidRPr="0079719D">
              <w:rPr>
                <w:rFonts w:ascii="Arial" w:hAnsi="Arial" w:cs="Arial"/>
                <w:bCs/>
                <w:sz w:val="20"/>
                <w:szCs w:val="20"/>
              </w:rPr>
              <w:t>Hradená liečba podlieha predchádzajúcemu súhlasu zdravotnej poisťovne. </w:t>
            </w:r>
          </w:p>
          <w:p w14:paraId="75A83F34" w14:textId="77777777" w:rsidR="0079719D" w:rsidRDefault="0079719D" w:rsidP="0079719D">
            <w:pPr>
              <w:tabs>
                <w:tab w:val="left" w:pos="3500"/>
                <w:tab w:val="left" w:pos="3920"/>
              </w:tabs>
              <w:rPr>
                <w:rFonts w:ascii="Arial" w:hAnsi="Arial" w:cs="Arial"/>
                <w:bCs/>
                <w:sz w:val="20"/>
                <w:szCs w:val="20"/>
              </w:rPr>
            </w:pPr>
          </w:p>
          <w:p w14:paraId="6B1ACFBE" w14:textId="63A2BFE2"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c) reumatológ u dospelých pacientov s aktívnou axiálnou spondylartritídou bez radiografického dôkazu s objektívnymi prejavmi zápalu, a to zvýšenou hladinou C-reaktívneho proteínu (CRP) a/alebo podľa vyšetrenia magnetickou rezonanciou (MR), ktorí neodpovedali adekvátne na ktorýkoľvek anti-TNF inhibítor a nesteroidné protizápalové lieky (NSAID) alebo ich netolerujú.</w:t>
            </w:r>
          </w:p>
          <w:p w14:paraId="7EA08FAD" w14:textId="77777777"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Ďalšia liečba nie je hradenou liečbou, ak sa po šestnástich týždňoch podávania lieku s účinnou látkou bimekizumab nedostaví liečebný účinok. </w:t>
            </w:r>
          </w:p>
          <w:p w14:paraId="70B4D02A" w14:textId="528DA2A1" w:rsidR="0079719D" w:rsidRDefault="0079719D" w:rsidP="0079719D">
            <w:pPr>
              <w:tabs>
                <w:tab w:val="left" w:pos="3500"/>
                <w:tab w:val="left" w:pos="3920"/>
              </w:tabs>
              <w:rPr>
                <w:rFonts w:ascii="Arial" w:hAnsi="Arial" w:cs="Arial"/>
                <w:bCs/>
                <w:sz w:val="20"/>
                <w:szCs w:val="20"/>
              </w:rPr>
            </w:pPr>
            <w:r w:rsidRPr="0079719D">
              <w:rPr>
                <w:rFonts w:ascii="Arial" w:hAnsi="Arial" w:cs="Arial"/>
                <w:bCs/>
                <w:sz w:val="20"/>
                <w:szCs w:val="20"/>
              </w:rPr>
              <w:t>Hradená liečba podlieha predchádzajúcemu súhlasu zdravotnej poisťovne.</w:t>
            </w:r>
          </w:p>
          <w:p w14:paraId="7B916A44" w14:textId="77777777" w:rsidR="0079719D" w:rsidRDefault="0079719D" w:rsidP="0079719D">
            <w:pPr>
              <w:tabs>
                <w:tab w:val="left" w:pos="3500"/>
                <w:tab w:val="left" w:pos="3920"/>
              </w:tabs>
              <w:rPr>
                <w:rFonts w:ascii="Arial" w:hAnsi="Arial" w:cs="Arial"/>
                <w:bCs/>
                <w:sz w:val="20"/>
                <w:szCs w:val="20"/>
              </w:rPr>
            </w:pPr>
          </w:p>
          <w:p w14:paraId="627B4394" w14:textId="7B0B4CE2"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d) reumatológ u dospelých pacientov s aktívnou ankylozujúcou spondylitídou, ktorí neodpovedali adekvátne na konvenčnú liečbu a adalimumab alebo ich netolerujú. </w:t>
            </w:r>
          </w:p>
          <w:p w14:paraId="2DDC5DB5" w14:textId="77777777"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Ďalšia liečba nie je hradenou liečbou, ak sa po šestnástich týždňoch podávania lieku s účinnou látkou bimekizumab nedostaví liečebný účinok. </w:t>
            </w:r>
          </w:p>
          <w:p w14:paraId="34726C30" w14:textId="14A6AFC3"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Hradená liečba podlieha predchádzajúcemu súhlasu zdravotnej poisťovne.</w:t>
            </w:r>
          </w:p>
          <w:p w14:paraId="5388E77C" w14:textId="1A7C75A7" w:rsidR="00F82E0B" w:rsidRPr="00F82E0B" w:rsidRDefault="00F82E0B" w:rsidP="00F82E0B">
            <w:pPr>
              <w:tabs>
                <w:tab w:val="left" w:pos="3500"/>
                <w:tab w:val="left" w:pos="3920"/>
              </w:tabs>
              <w:rPr>
                <w:rFonts w:ascii="Arial" w:hAnsi="Arial" w:cs="Arial"/>
                <w:bCs/>
                <w:sz w:val="20"/>
                <w:szCs w:val="20"/>
              </w:rPr>
            </w:pPr>
          </w:p>
        </w:tc>
      </w:tr>
      <w:tr w:rsidR="00F82E0B" w:rsidRPr="0000591E" w14:paraId="3BBFEAB8" w14:textId="77777777" w:rsidTr="00F82E0B">
        <w:trPr>
          <w:trHeight w:val="20"/>
        </w:trPr>
        <w:tc>
          <w:tcPr>
            <w:tcW w:w="1277" w:type="dxa"/>
            <w:tcBorders>
              <w:top w:val="nil"/>
              <w:bottom w:val="single" w:sz="4" w:space="0" w:color="auto"/>
            </w:tcBorders>
            <w:noWrap/>
          </w:tcPr>
          <w:p w14:paraId="0BB372EA" w14:textId="77777777" w:rsidR="00C54A7B" w:rsidRDefault="00C54A7B" w:rsidP="0034061E">
            <w:pPr>
              <w:rPr>
                <w:rFonts w:ascii="Arial" w:hAnsi="Arial" w:cs="Arial"/>
                <w:b/>
                <w:bCs/>
                <w:sz w:val="20"/>
                <w:szCs w:val="20"/>
              </w:rPr>
            </w:pPr>
          </w:p>
          <w:p w14:paraId="2E963875" w14:textId="6C837F31" w:rsidR="00F82E0B" w:rsidRPr="00E6635D" w:rsidRDefault="00F82E0B" w:rsidP="0034061E">
            <w:pPr>
              <w:rPr>
                <w:rFonts w:ascii="Arial" w:hAnsi="Arial" w:cs="Arial"/>
                <w:b/>
                <w:bCs/>
                <w:sz w:val="20"/>
                <w:szCs w:val="20"/>
              </w:rPr>
            </w:pPr>
            <w:r w:rsidRPr="00F82E0B">
              <w:rPr>
                <w:rFonts w:ascii="Arial" w:hAnsi="Arial" w:cs="Arial"/>
                <w:b/>
                <w:bCs/>
                <w:sz w:val="20"/>
                <w:szCs w:val="20"/>
              </w:rPr>
              <w:t>L04AC24</w:t>
            </w:r>
          </w:p>
        </w:tc>
        <w:tc>
          <w:tcPr>
            <w:tcW w:w="9355" w:type="dxa"/>
            <w:tcBorders>
              <w:top w:val="nil"/>
              <w:bottom w:val="single" w:sz="4" w:space="0" w:color="auto"/>
            </w:tcBorders>
          </w:tcPr>
          <w:p w14:paraId="5F17CCB1" w14:textId="77777777" w:rsidR="00F82E0B" w:rsidRDefault="00F82E0B" w:rsidP="001237BD">
            <w:pPr>
              <w:tabs>
                <w:tab w:val="left" w:pos="3500"/>
                <w:tab w:val="left" w:pos="3920"/>
              </w:tabs>
              <w:rPr>
                <w:rFonts w:ascii="Arial" w:hAnsi="Arial" w:cs="Arial"/>
                <w:b/>
                <w:bCs/>
                <w:sz w:val="20"/>
                <w:szCs w:val="20"/>
              </w:rPr>
            </w:pPr>
            <w:r w:rsidRPr="00F82E0B">
              <w:rPr>
                <w:rFonts w:ascii="Arial" w:hAnsi="Arial" w:cs="Arial"/>
                <w:b/>
                <w:bCs/>
                <w:sz w:val="20"/>
                <w:szCs w:val="20"/>
              </w:rPr>
              <w:t>Mirikizumab parent. 300 mg</w:t>
            </w:r>
          </w:p>
          <w:p w14:paraId="678675AF" w14:textId="1691E65C" w:rsidR="00C66109" w:rsidRDefault="00C66109" w:rsidP="001237BD">
            <w:pPr>
              <w:tabs>
                <w:tab w:val="left" w:pos="3500"/>
                <w:tab w:val="left" w:pos="3920"/>
              </w:tabs>
              <w:rPr>
                <w:rFonts w:ascii="Arial" w:hAnsi="Arial" w:cs="Arial"/>
                <w:b/>
                <w:bCs/>
                <w:sz w:val="20"/>
                <w:szCs w:val="20"/>
              </w:rPr>
            </w:pPr>
            <w:r w:rsidRPr="00F82E0B">
              <w:rPr>
                <w:rFonts w:ascii="Arial" w:hAnsi="Arial" w:cs="Arial"/>
                <w:b/>
                <w:bCs/>
                <w:sz w:val="20"/>
                <w:szCs w:val="20"/>
              </w:rPr>
              <w:t>Mirikizumab</w:t>
            </w:r>
            <w:r w:rsidRPr="00134FD5">
              <w:rPr>
                <w:rFonts w:ascii="Arial" w:hAnsi="Arial" w:cs="Arial"/>
                <w:b/>
                <w:bCs/>
                <w:sz w:val="20"/>
                <w:szCs w:val="20"/>
              </w:rPr>
              <w:t xml:space="preserve"> s.c. </w:t>
            </w:r>
            <w:r>
              <w:rPr>
                <w:rFonts w:ascii="Arial" w:hAnsi="Arial" w:cs="Arial"/>
                <w:b/>
                <w:bCs/>
                <w:sz w:val="20"/>
                <w:szCs w:val="20"/>
              </w:rPr>
              <w:t>2</w:t>
            </w:r>
            <w:r w:rsidRPr="00134FD5">
              <w:rPr>
                <w:rFonts w:ascii="Arial" w:hAnsi="Arial" w:cs="Arial"/>
                <w:b/>
                <w:bCs/>
                <w:sz w:val="20"/>
                <w:szCs w:val="20"/>
              </w:rPr>
              <w:t>00 mg</w:t>
            </w:r>
          </w:p>
          <w:p w14:paraId="5400BF83" w14:textId="1C8A75D1" w:rsidR="00BB5006" w:rsidRPr="00E6635D" w:rsidRDefault="00BB5006" w:rsidP="001237BD">
            <w:pPr>
              <w:tabs>
                <w:tab w:val="left" w:pos="3500"/>
                <w:tab w:val="left" w:pos="3920"/>
              </w:tabs>
              <w:rPr>
                <w:rFonts w:ascii="Arial" w:hAnsi="Arial" w:cs="Arial"/>
                <w:b/>
                <w:bCs/>
                <w:sz w:val="20"/>
                <w:szCs w:val="20"/>
              </w:rPr>
            </w:pPr>
            <w:r w:rsidRPr="00F82E0B">
              <w:rPr>
                <w:rFonts w:ascii="Arial" w:hAnsi="Arial" w:cs="Arial"/>
                <w:b/>
                <w:bCs/>
                <w:sz w:val="20"/>
                <w:szCs w:val="20"/>
              </w:rPr>
              <w:t>Mirikizumab</w:t>
            </w:r>
            <w:r w:rsidRPr="00134FD5">
              <w:rPr>
                <w:rFonts w:ascii="Arial" w:hAnsi="Arial" w:cs="Arial"/>
                <w:b/>
                <w:bCs/>
                <w:sz w:val="20"/>
                <w:szCs w:val="20"/>
              </w:rPr>
              <w:t xml:space="preserve"> s.c. 100 mg</w:t>
            </w:r>
          </w:p>
        </w:tc>
      </w:tr>
      <w:tr w:rsidR="00F82E0B" w:rsidRPr="0000591E" w14:paraId="00F60703" w14:textId="77777777" w:rsidTr="00F82E0B">
        <w:trPr>
          <w:trHeight w:val="20"/>
        </w:trPr>
        <w:tc>
          <w:tcPr>
            <w:tcW w:w="1277" w:type="dxa"/>
            <w:tcBorders>
              <w:top w:val="single" w:sz="4" w:space="0" w:color="auto"/>
              <w:bottom w:val="nil"/>
            </w:tcBorders>
            <w:noWrap/>
          </w:tcPr>
          <w:p w14:paraId="1D40C48D" w14:textId="77777777" w:rsidR="00F82E0B" w:rsidRPr="00E6635D" w:rsidRDefault="00F82E0B" w:rsidP="0034061E">
            <w:pPr>
              <w:rPr>
                <w:rFonts w:ascii="Arial" w:hAnsi="Arial" w:cs="Arial"/>
                <w:b/>
                <w:bCs/>
                <w:sz w:val="20"/>
                <w:szCs w:val="20"/>
              </w:rPr>
            </w:pPr>
          </w:p>
        </w:tc>
        <w:tc>
          <w:tcPr>
            <w:tcW w:w="9355" w:type="dxa"/>
            <w:tcBorders>
              <w:top w:val="single" w:sz="4" w:space="0" w:color="auto"/>
              <w:bottom w:val="nil"/>
            </w:tcBorders>
          </w:tcPr>
          <w:p w14:paraId="59A0C71B" w14:textId="77777777" w:rsidR="00F82E0B" w:rsidRPr="00F82E0B"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Hradenú liečbu môže indikovať gastroenterológ na liečbu stredne ťažkej až ťažkej aktívnej ulceróznej kolitídy u pacientov u ktorých došlo k zlyhaniu alebo nebola dosiahnutá adekvátna terapeutická odpoveď na aspoň jeden liek biologickej alebo cielenej syntetickej liečby alebo ktorí túto liečbu netolerujú alebo je u nich kontraindikovaná. </w:t>
            </w:r>
          </w:p>
          <w:p w14:paraId="080336B8" w14:textId="77777777" w:rsidR="00F82E0B" w:rsidRPr="00F82E0B"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v Gastroenterologickej ambulancii Nemocnice Poprad a.s., v Gastroenterologickej ambulancii ENDOMED s.r.o. Košice, na Gastroenterologickom pracovisku v Nemocnici BORY, a.s., Bratislava, na Gastroenterologickom oddelení, Interná klinika, Fakultná nemocnica Nitra,                                             v Gastroenterologickej ambulancii PAV-MED s.r.o. Košice a v Gastrocentre Nemocnice AGEL Košice-Šaca. </w:t>
            </w:r>
          </w:p>
          <w:p w14:paraId="7A5EB950" w14:textId="77777777" w:rsidR="00F82E0B" w:rsidRDefault="00F82E0B" w:rsidP="00F82E0B">
            <w:pPr>
              <w:tabs>
                <w:tab w:val="left" w:pos="3500"/>
                <w:tab w:val="left" w:pos="3920"/>
              </w:tabs>
              <w:rPr>
                <w:rFonts w:ascii="Arial" w:hAnsi="Arial" w:cs="Arial"/>
                <w:bCs/>
                <w:sz w:val="20"/>
                <w:szCs w:val="20"/>
              </w:rPr>
            </w:pPr>
            <w:r w:rsidRPr="00F82E0B">
              <w:rPr>
                <w:rFonts w:ascii="Arial" w:hAnsi="Arial" w:cs="Arial"/>
                <w:bCs/>
                <w:sz w:val="20"/>
                <w:szCs w:val="20"/>
              </w:rPr>
              <w:t>Hradená liečba podlieha predchádzajúcemu súhlasu zdravotnej poisťovne.</w:t>
            </w:r>
          </w:p>
          <w:p w14:paraId="58C10BFE" w14:textId="4AE62678" w:rsidR="00F82E0B" w:rsidRPr="00F82E0B" w:rsidRDefault="00F82E0B" w:rsidP="00F82E0B">
            <w:pPr>
              <w:tabs>
                <w:tab w:val="left" w:pos="3500"/>
                <w:tab w:val="left" w:pos="3920"/>
              </w:tabs>
              <w:rPr>
                <w:rFonts w:ascii="Arial" w:hAnsi="Arial" w:cs="Arial"/>
                <w:bCs/>
                <w:sz w:val="20"/>
                <w:szCs w:val="20"/>
              </w:rPr>
            </w:pPr>
          </w:p>
        </w:tc>
      </w:tr>
      <w:tr w:rsidR="00DE258E" w:rsidRPr="0000591E" w14:paraId="67683E9D" w14:textId="77777777" w:rsidTr="00DE258E">
        <w:trPr>
          <w:trHeight w:val="20"/>
        </w:trPr>
        <w:tc>
          <w:tcPr>
            <w:tcW w:w="1277" w:type="dxa"/>
            <w:tcBorders>
              <w:top w:val="nil"/>
              <w:bottom w:val="single" w:sz="4" w:space="0" w:color="auto"/>
            </w:tcBorders>
            <w:noWrap/>
          </w:tcPr>
          <w:p w14:paraId="21926735" w14:textId="77777777" w:rsidR="00BB5006" w:rsidRDefault="00BB5006" w:rsidP="0034061E">
            <w:pPr>
              <w:rPr>
                <w:rFonts w:ascii="Arial" w:hAnsi="Arial" w:cs="Arial"/>
                <w:b/>
                <w:bCs/>
                <w:sz w:val="20"/>
                <w:szCs w:val="20"/>
              </w:rPr>
            </w:pPr>
          </w:p>
          <w:p w14:paraId="064EF35F" w14:textId="77777777" w:rsidR="00BB5006" w:rsidRDefault="00BB5006" w:rsidP="0034061E">
            <w:pPr>
              <w:rPr>
                <w:rFonts w:ascii="Arial" w:hAnsi="Arial" w:cs="Arial"/>
                <w:b/>
                <w:bCs/>
                <w:sz w:val="20"/>
                <w:szCs w:val="20"/>
              </w:rPr>
            </w:pPr>
          </w:p>
          <w:p w14:paraId="7F20A701" w14:textId="77777777" w:rsidR="00BB5006" w:rsidRDefault="00BB5006" w:rsidP="0034061E">
            <w:pPr>
              <w:rPr>
                <w:rFonts w:ascii="Arial" w:hAnsi="Arial" w:cs="Arial"/>
                <w:b/>
                <w:bCs/>
                <w:sz w:val="20"/>
                <w:szCs w:val="20"/>
              </w:rPr>
            </w:pPr>
          </w:p>
          <w:p w14:paraId="2E13486D" w14:textId="0D869577" w:rsidR="00DE258E" w:rsidRPr="00E6635D" w:rsidRDefault="00DE258E" w:rsidP="0034061E">
            <w:pPr>
              <w:rPr>
                <w:rFonts w:ascii="Arial" w:hAnsi="Arial" w:cs="Arial"/>
                <w:b/>
                <w:bCs/>
                <w:sz w:val="20"/>
                <w:szCs w:val="20"/>
              </w:rPr>
            </w:pPr>
            <w:r w:rsidRPr="00DE258E">
              <w:rPr>
                <w:rFonts w:ascii="Arial" w:hAnsi="Arial" w:cs="Arial"/>
                <w:b/>
                <w:bCs/>
                <w:sz w:val="20"/>
                <w:szCs w:val="20"/>
              </w:rPr>
              <w:t>L04AD01</w:t>
            </w:r>
          </w:p>
        </w:tc>
        <w:tc>
          <w:tcPr>
            <w:tcW w:w="9355" w:type="dxa"/>
            <w:tcBorders>
              <w:top w:val="nil"/>
              <w:bottom w:val="single" w:sz="4" w:space="0" w:color="auto"/>
            </w:tcBorders>
          </w:tcPr>
          <w:p w14:paraId="2DE84C4B" w14:textId="77777777" w:rsidR="00DE258E" w:rsidRPr="00DE258E" w:rsidRDefault="00DE258E" w:rsidP="00DE258E">
            <w:pPr>
              <w:tabs>
                <w:tab w:val="left" w:pos="3500"/>
                <w:tab w:val="left" w:pos="3920"/>
              </w:tabs>
              <w:rPr>
                <w:rFonts w:ascii="Arial" w:hAnsi="Arial" w:cs="Arial"/>
                <w:b/>
                <w:bCs/>
                <w:sz w:val="20"/>
                <w:szCs w:val="20"/>
              </w:rPr>
            </w:pPr>
            <w:r w:rsidRPr="00DE258E">
              <w:rPr>
                <w:rFonts w:ascii="Arial" w:hAnsi="Arial" w:cs="Arial"/>
                <w:b/>
                <w:bCs/>
                <w:sz w:val="20"/>
                <w:szCs w:val="20"/>
              </w:rPr>
              <w:t xml:space="preserve">Cyklosporín p.o. mikroemulgované 25 mg, </w:t>
            </w:r>
          </w:p>
          <w:p w14:paraId="43C3AEE4" w14:textId="77777777" w:rsidR="00DE258E" w:rsidRPr="00DE258E" w:rsidRDefault="00DE258E" w:rsidP="00DE258E">
            <w:pPr>
              <w:tabs>
                <w:tab w:val="left" w:pos="3500"/>
                <w:tab w:val="left" w:pos="3920"/>
              </w:tabs>
              <w:rPr>
                <w:rFonts w:ascii="Arial" w:hAnsi="Arial" w:cs="Arial"/>
                <w:b/>
                <w:bCs/>
                <w:sz w:val="20"/>
                <w:szCs w:val="20"/>
              </w:rPr>
            </w:pPr>
            <w:r w:rsidRPr="00DE258E">
              <w:rPr>
                <w:rFonts w:ascii="Arial" w:hAnsi="Arial" w:cs="Arial"/>
                <w:b/>
                <w:bCs/>
                <w:sz w:val="20"/>
                <w:szCs w:val="20"/>
              </w:rPr>
              <w:t xml:space="preserve">Cyklosporín p.o. mikroemulgované 50 mg, </w:t>
            </w:r>
          </w:p>
          <w:p w14:paraId="45192BE8" w14:textId="77777777" w:rsidR="00DE258E" w:rsidRPr="00DE258E" w:rsidRDefault="00DE258E" w:rsidP="00DE258E">
            <w:pPr>
              <w:tabs>
                <w:tab w:val="left" w:pos="3500"/>
                <w:tab w:val="left" w:pos="3920"/>
              </w:tabs>
              <w:rPr>
                <w:rFonts w:ascii="Arial" w:hAnsi="Arial" w:cs="Arial"/>
                <w:b/>
                <w:bCs/>
                <w:sz w:val="20"/>
                <w:szCs w:val="20"/>
              </w:rPr>
            </w:pPr>
            <w:r w:rsidRPr="00DE258E">
              <w:rPr>
                <w:rFonts w:ascii="Arial" w:hAnsi="Arial" w:cs="Arial"/>
                <w:b/>
                <w:bCs/>
                <w:sz w:val="20"/>
                <w:szCs w:val="20"/>
              </w:rPr>
              <w:t xml:space="preserve">Cyklosporín p.o. mikroemulgované 100 mg, </w:t>
            </w:r>
          </w:p>
          <w:p w14:paraId="34CE3F89" w14:textId="71B63D44" w:rsidR="00DE258E" w:rsidRPr="00E6635D" w:rsidRDefault="00DE258E" w:rsidP="00DE258E">
            <w:pPr>
              <w:tabs>
                <w:tab w:val="left" w:pos="3500"/>
                <w:tab w:val="left" w:pos="3920"/>
              </w:tabs>
              <w:rPr>
                <w:rFonts w:ascii="Arial" w:hAnsi="Arial" w:cs="Arial"/>
                <w:b/>
                <w:bCs/>
                <w:sz w:val="20"/>
                <w:szCs w:val="20"/>
              </w:rPr>
            </w:pPr>
            <w:r w:rsidRPr="00DE258E">
              <w:rPr>
                <w:rFonts w:ascii="Arial" w:hAnsi="Arial" w:cs="Arial"/>
                <w:b/>
                <w:bCs/>
                <w:sz w:val="20"/>
                <w:szCs w:val="20"/>
              </w:rPr>
              <w:t>Cyklosporín p.o. tekuté LF</w:t>
            </w:r>
          </w:p>
        </w:tc>
      </w:tr>
      <w:tr w:rsidR="00DE258E" w:rsidRPr="0000591E" w14:paraId="1DB7BC5C" w14:textId="77777777" w:rsidTr="00DE258E">
        <w:trPr>
          <w:trHeight w:val="20"/>
        </w:trPr>
        <w:tc>
          <w:tcPr>
            <w:tcW w:w="1277" w:type="dxa"/>
            <w:tcBorders>
              <w:top w:val="single" w:sz="4" w:space="0" w:color="auto"/>
              <w:bottom w:val="nil"/>
            </w:tcBorders>
            <w:noWrap/>
          </w:tcPr>
          <w:p w14:paraId="3EB1BBAA" w14:textId="77777777" w:rsidR="00DE258E" w:rsidRPr="00E6635D" w:rsidRDefault="00DE258E" w:rsidP="0034061E">
            <w:pPr>
              <w:rPr>
                <w:rFonts w:ascii="Arial" w:hAnsi="Arial" w:cs="Arial"/>
                <w:b/>
                <w:bCs/>
                <w:sz w:val="20"/>
                <w:szCs w:val="20"/>
              </w:rPr>
            </w:pPr>
          </w:p>
        </w:tc>
        <w:tc>
          <w:tcPr>
            <w:tcW w:w="9355" w:type="dxa"/>
            <w:tcBorders>
              <w:top w:val="single" w:sz="4" w:space="0" w:color="auto"/>
              <w:bottom w:val="nil"/>
            </w:tcBorders>
          </w:tcPr>
          <w:p w14:paraId="2ABA7543" w14:textId="77777777" w:rsidR="00DE258E" w:rsidRPr="00DE258E" w:rsidRDefault="00DE258E" w:rsidP="00DE258E">
            <w:pPr>
              <w:tabs>
                <w:tab w:val="left" w:pos="3500"/>
                <w:tab w:val="left" w:pos="3920"/>
              </w:tabs>
              <w:rPr>
                <w:rFonts w:ascii="Arial" w:hAnsi="Arial" w:cs="Arial"/>
                <w:bCs/>
                <w:sz w:val="20"/>
                <w:szCs w:val="20"/>
              </w:rPr>
            </w:pPr>
            <w:r w:rsidRPr="00DE258E">
              <w:rPr>
                <w:rFonts w:ascii="Arial" w:hAnsi="Arial" w:cs="Arial"/>
                <w:bCs/>
                <w:sz w:val="20"/>
                <w:szCs w:val="20"/>
              </w:rPr>
              <w:t>Hradená liečba sa môže indikovať pri</w:t>
            </w:r>
          </w:p>
          <w:p w14:paraId="4E315C56" w14:textId="08755C7D" w:rsidR="00DE258E" w:rsidRPr="00DE258E" w:rsidRDefault="00DE258E" w:rsidP="00DE258E">
            <w:pPr>
              <w:tabs>
                <w:tab w:val="left" w:pos="3500"/>
                <w:tab w:val="left" w:pos="3920"/>
              </w:tabs>
              <w:rPr>
                <w:rFonts w:ascii="Arial" w:hAnsi="Arial" w:cs="Arial"/>
                <w:bCs/>
                <w:sz w:val="20"/>
                <w:szCs w:val="20"/>
              </w:rPr>
            </w:pPr>
            <w:r w:rsidRPr="00DE258E">
              <w:rPr>
                <w:rFonts w:ascii="Arial" w:hAnsi="Arial" w:cs="Arial"/>
                <w:bCs/>
                <w:sz w:val="20"/>
                <w:szCs w:val="20"/>
              </w:rPr>
              <w:t>a)</w:t>
            </w:r>
            <w:r>
              <w:rPr>
                <w:rFonts w:ascii="Arial" w:hAnsi="Arial" w:cs="Arial"/>
                <w:bCs/>
                <w:sz w:val="20"/>
                <w:szCs w:val="20"/>
              </w:rPr>
              <w:t xml:space="preserve"> </w:t>
            </w:r>
            <w:r w:rsidRPr="00DE258E">
              <w:rPr>
                <w:rFonts w:ascii="Arial" w:hAnsi="Arial" w:cs="Arial"/>
                <w:bCs/>
                <w:sz w:val="20"/>
                <w:szCs w:val="20"/>
              </w:rPr>
              <w:t xml:space="preserve">ťažkých autoimunitných chorobách, </w:t>
            </w:r>
          </w:p>
          <w:p w14:paraId="3B50B96E" w14:textId="77777777" w:rsidR="00DE258E" w:rsidRDefault="00DE258E" w:rsidP="00DE258E">
            <w:pPr>
              <w:tabs>
                <w:tab w:val="left" w:pos="3500"/>
                <w:tab w:val="left" w:pos="3920"/>
              </w:tabs>
              <w:rPr>
                <w:rFonts w:ascii="Arial" w:hAnsi="Arial" w:cs="Arial"/>
                <w:bCs/>
                <w:sz w:val="20"/>
                <w:szCs w:val="20"/>
              </w:rPr>
            </w:pPr>
            <w:r w:rsidRPr="00DE258E">
              <w:rPr>
                <w:rFonts w:ascii="Arial" w:hAnsi="Arial" w:cs="Arial"/>
                <w:bCs/>
                <w:sz w:val="20"/>
                <w:szCs w:val="20"/>
              </w:rPr>
              <w:t>b)</w:t>
            </w:r>
            <w:r>
              <w:rPr>
                <w:rFonts w:ascii="Arial" w:hAnsi="Arial" w:cs="Arial"/>
                <w:bCs/>
                <w:sz w:val="20"/>
                <w:szCs w:val="20"/>
              </w:rPr>
              <w:t xml:space="preserve"> </w:t>
            </w:r>
            <w:r w:rsidRPr="00DE258E">
              <w:rPr>
                <w:rFonts w:ascii="Arial" w:hAnsi="Arial" w:cs="Arial"/>
                <w:bCs/>
                <w:sz w:val="20"/>
                <w:szCs w:val="20"/>
              </w:rPr>
              <w:t>prevencii a liečbe rejekcie po transplantáciách.</w:t>
            </w:r>
          </w:p>
          <w:p w14:paraId="437940CC" w14:textId="7EBF377D" w:rsidR="00661AF2" w:rsidRPr="00DE258E" w:rsidRDefault="00661AF2" w:rsidP="00DE258E">
            <w:pPr>
              <w:tabs>
                <w:tab w:val="left" w:pos="3500"/>
                <w:tab w:val="left" w:pos="3920"/>
              </w:tabs>
              <w:rPr>
                <w:rFonts w:ascii="Arial" w:hAnsi="Arial" w:cs="Arial"/>
                <w:bCs/>
                <w:sz w:val="20"/>
                <w:szCs w:val="20"/>
              </w:rPr>
            </w:pPr>
          </w:p>
        </w:tc>
      </w:tr>
      <w:tr w:rsidR="00661AF2" w:rsidRPr="0000591E" w14:paraId="3AE6FA00" w14:textId="77777777" w:rsidTr="00661AF2">
        <w:trPr>
          <w:trHeight w:val="20"/>
        </w:trPr>
        <w:tc>
          <w:tcPr>
            <w:tcW w:w="1277" w:type="dxa"/>
            <w:tcBorders>
              <w:top w:val="nil"/>
              <w:bottom w:val="single" w:sz="4" w:space="0" w:color="auto"/>
            </w:tcBorders>
            <w:noWrap/>
          </w:tcPr>
          <w:p w14:paraId="1A5F9B1B" w14:textId="77777777" w:rsidR="00661AF2" w:rsidRDefault="00661AF2" w:rsidP="0034061E">
            <w:pPr>
              <w:rPr>
                <w:rFonts w:ascii="Arial" w:hAnsi="Arial" w:cs="Arial"/>
                <w:b/>
                <w:bCs/>
                <w:sz w:val="20"/>
                <w:szCs w:val="20"/>
              </w:rPr>
            </w:pPr>
          </w:p>
          <w:p w14:paraId="401C614D" w14:textId="28DF5228" w:rsidR="00661AF2" w:rsidRPr="00E6635D" w:rsidRDefault="00661AF2" w:rsidP="0034061E">
            <w:pPr>
              <w:rPr>
                <w:rFonts w:ascii="Arial" w:hAnsi="Arial" w:cs="Arial"/>
                <w:b/>
                <w:bCs/>
                <w:sz w:val="20"/>
                <w:szCs w:val="20"/>
              </w:rPr>
            </w:pPr>
            <w:r w:rsidRPr="00661AF2">
              <w:rPr>
                <w:rFonts w:ascii="Arial" w:hAnsi="Arial" w:cs="Arial"/>
                <w:b/>
                <w:bCs/>
                <w:sz w:val="20"/>
                <w:szCs w:val="20"/>
              </w:rPr>
              <w:t>L04AD02</w:t>
            </w:r>
          </w:p>
        </w:tc>
        <w:tc>
          <w:tcPr>
            <w:tcW w:w="9355" w:type="dxa"/>
            <w:tcBorders>
              <w:top w:val="nil"/>
              <w:bottom w:val="single" w:sz="4" w:space="0" w:color="auto"/>
            </w:tcBorders>
          </w:tcPr>
          <w:p w14:paraId="0DCD2C09" w14:textId="77777777" w:rsidR="00661AF2" w:rsidRPr="00661AF2" w:rsidRDefault="00661AF2" w:rsidP="00661AF2">
            <w:pPr>
              <w:tabs>
                <w:tab w:val="left" w:pos="3500"/>
                <w:tab w:val="left" w:pos="3920"/>
              </w:tabs>
              <w:rPr>
                <w:rFonts w:ascii="Arial" w:hAnsi="Arial" w:cs="Arial"/>
                <w:b/>
                <w:bCs/>
                <w:sz w:val="20"/>
                <w:szCs w:val="20"/>
              </w:rPr>
            </w:pPr>
            <w:r w:rsidRPr="00661AF2">
              <w:rPr>
                <w:rFonts w:ascii="Arial" w:hAnsi="Arial" w:cs="Arial"/>
                <w:b/>
                <w:bCs/>
                <w:sz w:val="20"/>
                <w:szCs w:val="20"/>
              </w:rPr>
              <w:t>Takrolimus p.o. 1 mg,</w:t>
            </w:r>
          </w:p>
          <w:p w14:paraId="1BCDA2B0" w14:textId="131F1F9A" w:rsidR="00661AF2" w:rsidRPr="00E6635D" w:rsidRDefault="00661AF2" w:rsidP="00661AF2">
            <w:pPr>
              <w:tabs>
                <w:tab w:val="left" w:pos="3500"/>
                <w:tab w:val="left" w:pos="3920"/>
              </w:tabs>
              <w:rPr>
                <w:rFonts w:ascii="Arial" w:hAnsi="Arial" w:cs="Arial"/>
                <w:b/>
                <w:bCs/>
                <w:sz w:val="20"/>
                <w:szCs w:val="20"/>
              </w:rPr>
            </w:pPr>
            <w:r w:rsidRPr="00661AF2">
              <w:rPr>
                <w:rFonts w:ascii="Arial" w:hAnsi="Arial" w:cs="Arial"/>
                <w:b/>
                <w:bCs/>
                <w:sz w:val="20"/>
                <w:szCs w:val="20"/>
              </w:rPr>
              <w:t>Takrolimus p.o. 5 mg</w:t>
            </w:r>
          </w:p>
        </w:tc>
      </w:tr>
      <w:tr w:rsidR="00661AF2" w:rsidRPr="0000591E" w14:paraId="14192278" w14:textId="77777777" w:rsidTr="00661AF2">
        <w:trPr>
          <w:trHeight w:val="20"/>
        </w:trPr>
        <w:tc>
          <w:tcPr>
            <w:tcW w:w="1277" w:type="dxa"/>
            <w:tcBorders>
              <w:top w:val="single" w:sz="4" w:space="0" w:color="auto"/>
              <w:bottom w:val="nil"/>
            </w:tcBorders>
            <w:noWrap/>
          </w:tcPr>
          <w:p w14:paraId="13985585" w14:textId="77777777" w:rsidR="00661AF2" w:rsidRPr="00E6635D" w:rsidRDefault="00661AF2" w:rsidP="0034061E">
            <w:pPr>
              <w:rPr>
                <w:rFonts w:ascii="Arial" w:hAnsi="Arial" w:cs="Arial"/>
                <w:b/>
                <w:bCs/>
                <w:sz w:val="20"/>
                <w:szCs w:val="20"/>
              </w:rPr>
            </w:pPr>
          </w:p>
        </w:tc>
        <w:tc>
          <w:tcPr>
            <w:tcW w:w="9355" w:type="dxa"/>
            <w:tcBorders>
              <w:top w:val="single" w:sz="4" w:space="0" w:color="auto"/>
              <w:bottom w:val="nil"/>
            </w:tcBorders>
          </w:tcPr>
          <w:p w14:paraId="058777DB" w14:textId="77777777" w:rsidR="00661AF2" w:rsidRPr="00661AF2" w:rsidRDefault="00661AF2" w:rsidP="00661AF2">
            <w:pPr>
              <w:tabs>
                <w:tab w:val="left" w:pos="3500"/>
                <w:tab w:val="left" w:pos="3920"/>
              </w:tabs>
              <w:jc w:val="both"/>
              <w:rPr>
                <w:rFonts w:ascii="Arial" w:hAnsi="Arial" w:cs="Arial"/>
                <w:bCs/>
                <w:sz w:val="20"/>
                <w:szCs w:val="20"/>
              </w:rPr>
            </w:pPr>
            <w:r w:rsidRPr="00661AF2">
              <w:rPr>
                <w:rFonts w:ascii="Arial" w:hAnsi="Arial" w:cs="Arial"/>
                <w:bCs/>
                <w:sz w:val="20"/>
                <w:szCs w:val="20"/>
              </w:rPr>
              <w:t>Hradenú liečbu môže indikovať lekár transplantačného centra, ktorý riadi imunosupresívnu liečbu pri transplantácii</w:t>
            </w:r>
          </w:p>
          <w:p w14:paraId="390DB4A5" w14:textId="509E4677" w:rsidR="00661AF2" w:rsidRPr="00661AF2" w:rsidRDefault="00661AF2" w:rsidP="00661AF2">
            <w:pPr>
              <w:tabs>
                <w:tab w:val="left" w:pos="3500"/>
                <w:tab w:val="left" w:pos="3920"/>
              </w:tabs>
              <w:rPr>
                <w:rFonts w:ascii="Arial" w:hAnsi="Arial" w:cs="Arial"/>
                <w:bCs/>
                <w:sz w:val="20"/>
                <w:szCs w:val="20"/>
              </w:rPr>
            </w:pPr>
            <w:r>
              <w:rPr>
                <w:rFonts w:ascii="Arial" w:hAnsi="Arial" w:cs="Arial"/>
                <w:bCs/>
                <w:sz w:val="20"/>
                <w:szCs w:val="20"/>
              </w:rPr>
              <w:t xml:space="preserve">a) </w:t>
            </w:r>
            <w:r w:rsidRPr="00661AF2">
              <w:rPr>
                <w:rFonts w:ascii="Arial" w:hAnsi="Arial" w:cs="Arial"/>
                <w:bCs/>
                <w:sz w:val="20"/>
                <w:szCs w:val="20"/>
              </w:rPr>
              <w:t xml:space="preserve">obličiek </w:t>
            </w:r>
          </w:p>
          <w:p w14:paraId="5DD7FE99" w14:textId="67D93613" w:rsidR="00661AF2" w:rsidRPr="00661AF2" w:rsidRDefault="00661AF2" w:rsidP="00A05332">
            <w:pPr>
              <w:tabs>
                <w:tab w:val="left" w:pos="463"/>
                <w:tab w:val="left" w:pos="3500"/>
                <w:tab w:val="left" w:pos="3920"/>
              </w:tabs>
              <w:ind w:firstLine="179"/>
              <w:jc w:val="both"/>
              <w:rPr>
                <w:rFonts w:ascii="Arial" w:hAnsi="Arial" w:cs="Arial"/>
                <w:bCs/>
                <w:sz w:val="20"/>
                <w:szCs w:val="20"/>
              </w:rPr>
            </w:pPr>
            <w:r>
              <w:rPr>
                <w:rFonts w:ascii="Arial" w:hAnsi="Arial" w:cs="Arial"/>
                <w:bCs/>
                <w:sz w:val="20"/>
                <w:szCs w:val="20"/>
              </w:rPr>
              <w:t>1.</w:t>
            </w:r>
            <w:r>
              <w:rPr>
                <w:rFonts w:ascii="Arial" w:hAnsi="Arial" w:cs="Arial"/>
                <w:bCs/>
                <w:sz w:val="20"/>
                <w:szCs w:val="20"/>
              </w:rPr>
              <w:tab/>
            </w:r>
            <w:r w:rsidRPr="00661AF2">
              <w:rPr>
                <w:rFonts w:ascii="Arial" w:hAnsi="Arial" w:cs="Arial"/>
                <w:bCs/>
                <w:sz w:val="20"/>
                <w:szCs w:val="20"/>
              </w:rPr>
              <w:t xml:space="preserve">primárna imunosupresia (prevencia rejekcií) u rizikových pacientiov s vysokou hladinou protilátok </w:t>
            </w:r>
            <w:r>
              <w:rPr>
                <w:rFonts w:ascii="Arial" w:hAnsi="Arial" w:cs="Arial"/>
                <w:bCs/>
                <w:sz w:val="20"/>
                <w:szCs w:val="20"/>
              </w:rPr>
              <w:tab/>
            </w:r>
            <w:r w:rsidRPr="00661AF2">
              <w:rPr>
                <w:rFonts w:ascii="Arial" w:hAnsi="Arial" w:cs="Arial"/>
                <w:bCs/>
                <w:sz w:val="20"/>
                <w:szCs w:val="20"/>
              </w:rPr>
              <w:t>(PRA 50% a viac),</w:t>
            </w:r>
          </w:p>
          <w:p w14:paraId="424F198F" w14:textId="5635F374" w:rsidR="00661AF2" w:rsidRPr="00661AF2" w:rsidRDefault="00661AF2" w:rsidP="00661AF2">
            <w:pPr>
              <w:tabs>
                <w:tab w:val="left" w:pos="179"/>
                <w:tab w:val="left" w:pos="463"/>
                <w:tab w:val="left" w:pos="3500"/>
                <w:tab w:val="left" w:pos="3920"/>
              </w:tabs>
              <w:rPr>
                <w:rFonts w:ascii="Arial" w:hAnsi="Arial" w:cs="Arial"/>
                <w:bCs/>
                <w:sz w:val="20"/>
                <w:szCs w:val="20"/>
              </w:rPr>
            </w:pPr>
            <w:r>
              <w:rPr>
                <w:rFonts w:ascii="Arial" w:hAnsi="Arial" w:cs="Arial"/>
                <w:bCs/>
                <w:sz w:val="20"/>
                <w:szCs w:val="20"/>
              </w:rPr>
              <w:tab/>
            </w:r>
            <w:r w:rsidRPr="00661AF2">
              <w:rPr>
                <w:rFonts w:ascii="Arial" w:hAnsi="Arial" w:cs="Arial"/>
                <w:bCs/>
                <w:sz w:val="20"/>
                <w:szCs w:val="20"/>
              </w:rPr>
              <w:t>2.</w:t>
            </w:r>
            <w:r>
              <w:rPr>
                <w:rFonts w:ascii="Arial" w:hAnsi="Arial" w:cs="Arial"/>
                <w:bCs/>
                <w:sz w:val="20"/>
                <w:szCs w:val="20"/>
              </w:rPr>
              <w:tab/>
            </w:r>
            <w:r w:rsidRPr="00661AF2">
              <w:rPr>
                <w:rFonts w:ascii="Arial" w:hAnsi="Arial" w:cs="Arial"/>
                <w:bCs/>
                <w:sz w:val="20"/>
                <w:szCs w:val="20"/>
              </w:rPr>
              <w:t>primárna imunosupresia (prevencia rejekcií) po retransplantáciach,</w:t>
            </w:r>
          </w:p>
          <w:p w14:paraId="6F9464F4" w14:textId="03BBEC09" w:rsidR="00661AF2" w:rsidRPr="00661AF2" w:rsidRDefault="00661AF2" w:rsidP="00661AF2">
            <w:pPr>
              <w:tabs>
                <w:tab w:val="left" w:pos="179"/>
                <w:tab w:val="left" w:pos="463"/>
                <w:tab w:val="left" w:pos="3500"/>
                <w:tab w:val="left" w:pos="3920"/>
              </w:tabs>
              <w:rPr>
                <w:rFonts w:ascii="Arial" w:hAnsi="Arial" w:cs="Arial"/>
                <w:bCs/>
                <w:sz w:val="20"/>
                <w:szCs w:val="20"/>
              </w:rPr>
            </w:pPr>
            <w:r>
              <w:rPr>
                <w:rFonts w:ascii="Arial" w:hAnsi="Arial" w:cs="Arial"/>
                <w:bCs/>
                <w:sz w:val="20"/>
                <w:szCs w:val="20"/>
              </w:rPr>
              <w:tab/>
            </w:r>
            <w:r w:rsidRPr="00661AF2">
              <w:rPr>
                <w:rFonts w:ascii="Arial" w:hAnsi="Arial" w:cs="Arial"/>
                <w:bCs/>
                <w:sz w:val="20"/>
                <w:szCs w:val="20"/>
              </w:rPr>
              <w:t>3.</w:t>
            </w:r>
            <w:r>
              <w:rPr>
                <w:rFonts w:ascii="Arial" w:hAnsi="Arial" w:cs="Arial"/>
                <w:bCs/>
                <w:sz w:val="20"/>
                <w:szCs w:val="20"/>
              </w:rPr>
              <w:tab/>
            </w:r>
            <w:r w:rsidRPr="00661AF2">
              <w:rPr>
                <w:rFonts w:ascii="Arial" w:hAnsi="Arial" w:cs="Arial"/>
                <w:bCs/>
                <w:sz w:val="20"/>
                <w:szCs w:val="20"/>
              </w:rPr>
              <w:t>liečba rejekcií,</w:t>
            </w:r>
          </w:p>
          <w:p w14:paraId="2AF1D4F6" w14:textId="103827A7" w:rsidR="00661AF2" w:rsidRPr="00661AF2" w:rsidRDefault="00661AF2" w:rsidP="00661AF2">
            <w:pPr>
              <w:tabs>
                <w:tab w:val="left" w:pos="3500"/>
                <w:tab w:val="left" w:pos="3920"/>
              </w:tabs>
              <w:rPr>
                <w:rFonts w:ascii="Arial" w:hAnsi="Arial" w:cs="Arial"/>
                <w:bCs/>
                <w:sz w:val="20"/>
                <w:szCs w:val="20"/>
              </w:rPr>
            </w:pPr>
            <w:r w:rsidRPr="00661AF2">
              <w:rPr>
                <w:rFonts w:ascii="Arial" w:hAnsi="Arial" w:cs="Arial"/>
                <w:bCs/>
                <w:sz w:val="20"/>
                <w:szCs w:val="20"/>
              </w:rPr>
              <w:t>b)</w:t>
            </w:r>
            <w:r>
              <w:rPr>
                <w:rFonts w:ascii="Arial" w:hAnsi="Arial" w:cs="Arial"/>
                <w:bCs/>
                <w:sz w:val="20"/>
                <w:szCs w:val="20"/>
              </w:rPr>
              <w:t xml:space="preserve"> </w:t>
            </w:r>
            <w:r w:rsidRPr="00661AF2">
              <w:rPr>
                <w:rFonts w:ascii="Arial" w:hAnsi="Arial" w:cs="Arial"/>
                <w:bCs/>
                <w:sz w:val="20"/>
                <w:szCs w:val="20"/>
              </w:rPr>
              <w:t>pečene bez obmedzenia v indikácii schválenej pri registrácii,</w:t>
            </w:r>
          </w:p>
          <w:p w14:paraId="70CFB304" w14:textId="77777777" w:rsidR="00661AF2" w:rsidRDefault="00661AF2" w:rsidP="00661AF2">
            <w:pPr>
              <w:tabs>
                <w:tab w:val="left" w:pos="3500"/>
                <w:tab w:val="left" w:pos="3920"/>
              </w:tabs>
              <w:rPr>
                <w:rFonts w:ascii="Arial" w:hAnsi="Arial" w:cs="Arial"/>
                <w:bCs/>
                <w:sz w:val="20"/>
                <w:szCs w:val="20"/>
              </w:rPr>
            </w:pPr>
            <w:r w:rsidRPr="00661AF2">
              <w:rPr>
                <w:rFonts w:ascii="Arial" w:hAnsi="Arial" w:cs="Arial"/>
                <w:bCs/>
                <w:sz w:val="20"/>
                <w:szCs w:val="20"/>
              </w:rPr>
              <w:t>c)</w:t>
            </w:r>
            <w:r>
              <w:rPr>
                <w:rFonts w:ascii="Arial" w:hAnsi="Arial" w:cs="Arial"/>
                <w:bCs/>
                <w:sz w:val="20"/>
                <w:szCs w:val="20"/>
              </w:rPr>
              <w:t xml:space="preserve"> </w:t>
            </w:r>
            <w:r w:rsidRPr="00661AF2">
              <w:rPr>
                <w:rFonts w:ascii="Arial" w:hAnsi="Arial" w:cs="Arial"/>
                <w:bCs/>
                <w:sz w:val="20"/>
                <w:szCs w:val="20"/>
              </w:rPr>
              <w:t>srdca bez obmedzenia v indikácii schválenej pri registrácii.</w:t>
            </w:r>
          </w:p>
          <w:p w14:paraId="56158EEE" w14:textId="45EEAF81" w:rsidR="00661AF2" w:rsidRPr="00661AF2" w:rsidRDefault="00661AF2" w:rsidP="00661AF2">
            <w:pPr>
              <w:tabs>
                <w:tab w:val="left" w:pos="3500"/>
                <w:tab w:val="left" w:pos="3920"/>
              </w:tabs>
              <w:rPr>
                <w:rFonts w:ascii="Arial" w:hAnsi="Arial" w:cs="Arial"/>
                <w:bCs/>
                <w:sz w:val="20"/>
                <w:szCs w:val="20"/>
              </w:rPr>
            </w:pPr>
          </w:p>
        </w:tc>
      </w:tr>
      <w:tr w:rsidR="00661AF2" w:rsidRPr="0000591E" w14:paraId="2B012E0C" w14:textId="77777777" w:rsidTr="00661AF2">
        <w:trPr>
          <w:trHeight w:val="20"/>
        </w:trPr>
        <w:tc>
          <w:tcPr>
            <w:tcW w:w="1277" w:type="dxa"/>
            <w:tcBorders>
              <w:top w:val="nil"/>
              <w:bottom w:val="single" w:sz="4" w:space="0" w:color="auto"/>
            </w:tcBorders>
            <w:noWrap/>
          </w:tcPr>
          <w:p w14:paraId="4C9D1156" w14:textId="77777777" w:rsidR="00C54A7B" w:rsidRDefault="00C54A7B" w:rsidP="0034061E">
            <w:pPr>
              <w:rPr>
                <w:rFonts w:ascii="Arial" w:hAnsi="Arial" w:cs="Arial"/>
                <w:b/>
                <w:bCs/>
                <w:sz w:val="20"/>
                <w:szCs w:val="20"/>
              </w:rPr>
            </w:pPr>
          </w:p>
          <w:p w14:paraId="1470559C" w14:textId="77777777" w:rsidR="00C54A7B" w:rsidRDefault="00C54A7B" w:rsidP="0034061E">
            <w:pPr>
              <w:rPr>
                <w:rFonts w:ascii="Arial" w:hAnsi="Arial" w:cs="Arial"/>
                <w:b/>
                <w:bCs/>
                <w:sz w:val="20"/>
                <w:szCs w:val="20"/>
              </w:rPr>
            </w:pPr>
          </w:p>
          <w:p w14:paraId="3A0DADF9" w14:textId="77777777" w:rsidR="00C54A7B" w:rsidRDefault="00C54A7B" w:rsidP="0034061E">
            <w:pPr>
              <w:rPr>
                <w:rFonts w:ascii="Arial" w:hAnsi="Arial" w:cs="Arial"/>
                <w:b/>
                <w:bCs/>
                <w:sz w:val="20"/>
                <w:szCs w:val="20"/>
              </w:rPr>
            </w:pPr>
          </w:p>
          <w:p w14:paraId="40A55B31" w14:textId="34910230" w:rsidR="00661AF2" w:rsidRPr="00E6635D" w:rsidRDefault="00661AF2" w:rsidP="0034061E">
            <w:pPr>
              <w:rPr>
                <w:rFonts w:ascii="Arial" w:hAnsi="Arial" w:cs="Arial"/>
                <w:b/>
                <w:bCs/>
                <w:sz w:val="20"/>
                <w:szCs w:val="20"/>
              </w:rPr>
            </w:pPr>
            <w:r w:rsidRPr="00661AF2">
              <w:rPr>
                <w:rFonts w:ascii="Arial" w:hAnsi="Arial" w:cs="Arial"/>
                <w:b/>
                <w:bCs/>
                <w:sz w:val="20"/>
                <w:szCs w:val="20"/>
              </w:rPr>
              <w:t>L04AD02</w:t>
            </w:r>
          </w:p>
        </w:tc>
        <w:tc>
          <w:tcPr>
            <w:tcW w:w="9355" w:type="dxa"/>
            <w:tcBorders>
              <w:top w:val="nil"/>
              <w:bottom w:val="single" w:sz="4" w:space="0" w:color="auto"/>
            </w:tcBorders>
          </w:tcPr>
          <w:p w14:paraId="58267DC9" w14:textId="2967D1ED" w:rsidR="00661AF2" w:rsidRPr="00661AF2" w:rsidRDefault="00661AF2" w:rsidP="00661AF2">
            <w:pPr>
              <w:tabs>
                <w:tab w:val="left" w:pos="3500"/>
                <w:tab w:val="left" w:pos="3920"/>
              </w:tabs>
              <w:rPr>
                <w:rFonts w:ascii="Arial" w:hAnsi="Arial" w:cs="Arial"/>
                <w:b/>
                <w:bCs/>
                <w:sz w:val="20"/>
                <w:szCs w:val="20"/>
              </w:rPr>
            </w:pPr>
            <w:r w:rsidRPr="00661AF2">
              <w:rPr>
                <w:rFonts w:ascii="Arial" w:hAnsi="Arial" w:cs="Arial"/>
                <w:b/>
                <w:bCs/>
                <w:sz w:val="20"/>
                <w:szCs w:val="20"/>
              </w:rPr>
              <w:t xml:space="preserve">Takrolimus p.o. </w:t>
            </w:r>
            <w:r w:rsidR="00A05332" w:rsidRPr="00A05332">
              <w:rPr>
                <w:rFonts w:ascii="Arial" w:hAnsi="Arial" w:cs="Arial"/>
                <w:b/>
                <w:bCs/>
                <w:sz w:val="20"/>
                <w:szCs w:val="20"/>
              </w:rPr>
              <w:t xml:space="preserve">predĺžené uvoľňovanie </w:t>
            </w:r>
            <w:r w:rsidRPr="00661AF2">
              <w:rPr>
                <w:rFonts w:ascii="Arial" w:hAnsi="Arial" w:cs="Arial"/>
                <w:b/>
                <w:bCs/>
                <w:sz w:val="20"/>
                <w:szCs w:val="20"/>
              </w:rPr>
              <w:t>0,5mg,</w:t>
            </w:r>
          </w:p>
          <w:p w14:paraId="57B47B42" w14:textId="2E64DDB1" w:rsidR="00661AF2" w:rsidRPr="00661AF2" w:rsidRDefault="00661AF2" w:rsidP="00661AF2">
            <w:pPr>
              <w:tabs>
                <w:tab w:val="left" w:pos="3500"/>
                <w:tab w:val="left" w:pos="3920"/>
              </w:tabs>
              <w:rPr>
                <w:rFonts w:ascii="Arial" w:hAnsi="Arial" w:cs="Arial"/>
                <w:b/>
                <w:bCs/>
                <w:sz w:val="20"/>
                <w:szCs w:val="20"/>
              </w:rPr>
            </w:pPr>
            <w:r w:rsidRPr="00661AF2">
              <w:rPr>
                <w:rFonts w:ascii="Arial" w:hAnsi="Arial" w:cs="Arial"/>
                <w:b/>
                <w:bCs/>
                <w:sz w:val="20"/>
                <w:szCs w:val="20"/>
              </w:rPr>
              <w:t xml:space="preserve">Takrolimus p.o. </w:t>
            </w:r>
            <w:r w:rsidR="00A05332" w:rsidRPr="00A05332">
              <w:rPr>
                <w:rFonts w:ascii="Arial" w:hAnsi="Arial" w:cs="Arial"/>
                <w:b/>
                <w:bCs/>
                <w:sz w:val="20"/>
                <w:szCs w:val="20"/>
              </w:rPr>
              <w:t>predĺžené uvoľňovanie</w:t>
            </w:r>
            <w:r w:rsidRPr="00661AF2">
              <w:rPr>
                <w:rFonts w:ascii="Arial" w:hAnsi="Arial" w:cs="Arial"/>
                <w:b/>
                <w:bCs/>
                <w:sz w:val="20"/>
                <w:szCs w:val="20"/>
              </w:rPr>
              <w:t xml:space="preserve"> 1mg,</w:t>
            </w:r>
          </w:p>
          <w:p w14:paraId="41E97AC1" w14:textId="34AD646A" w:rsidR="00661AF2" w:rsidRPr="00661AF2" w:rsidRDefault="00661AF2" w:rsidP="00661AF2">
            <w:pPr>
              <w:tabs>
                <w:tab w:val="left" w:pos="3500"/>
                <w:tab w:val="left" w:pos="3920"/>
              </w:tabs>
              <w:rPr>
                <w:rFonts w:ascii="Arial" w:hAnsi="Arial" w:cs="Arial"/>
                <w:b/>
                <w:bCs/>
                <w:sz w:val="20"/>
                <w:szCs w:val="20"/>
              </w:rPr>
            </w:pPr>
            <w:r w:rsidRPr="00661AF2">
              <w:rPr>
                <w:rFonts w:ascii="Arial" w:hAnsi="Arial" w:cs="Arial"/>
                <w:b/>
                <w:bCs/>
                <w:sz w:val="20"/>
                <w:szCs w:val="20"/>
              </w:rPr>
              <w:t xml:space="preserve">Takrolimus p.o. </w:t>
            </w:r>
            <w:r w:rsidR="00A05332" w:rsidRPr="00A05332">
              <w:rPr>
                <w:rFonts w:ascii="Arial" w:hAnsi="Arial" w:cs="Arial"/>
                <w:b/>
                <w:bCs/>
                <w:sz w:val="20"/>
                <w:szCs w:val="20"/>
              </w:rPr>
              <w:t>predĺžené uvoľňovanie</w:t>
            </w:r>
            <w:r w:rsidRPr="00661AF2">
              <w:rPr>
                <w:rFonts w:ascii="Arial" w:hAnsi="Arial" w:cs="Arial"/>
                <w:b/>
                <w:bCs/>
                <w:sz w:val="20"/>
                <w:szCs w:val="20"/>
              </w:rPr>
              <w:t xml:space="preserve"> 5mg, </w:t>
            </w:r>
          </w:p>
          <w:p w14:paraId="22A83B8C" w14:textId="370AFF88" w:rsidR="00661AF2" w:rsidRPr="00661AF2" w:rsidRDefault="00661AF2" w:rsidP="00A05332">
            <w:pPr>
              <w:tabs>
                <w:tab w:val="left" w:pos="3500"/>
                <w:tab w:val="left" w:pos="3920"/>
              </w:tabs>
              <w:rPr>
                <w:rFonts w:ascii="Arial" w:hAnsi="Arial" w:cs="Arial"/>
                <w:bCs/>
                <w:sz w:val="20"/>
                <w:szCs w:val="20"/>
              </w:rPr>
            </w:pPr>
            <w:r w:rsidRPr="00661AF2">
              <w:rPr>
                <w:rFonts w:ascii="Arial" w:hAnsi="Arial" w:cs="Arial"/>
                <w:b/>
                <w:bCs/>
                <w:sz w:val="20"/>
                <w:szCs w:val="20"/>
              </w:rPr>
              <w:t xml:space="preserve">Takrolimus p.o. </w:t>
            </w:r>
            <w:r w:rsidR="00A05332" w:rsidRPr="00A05332">
              <w:rPr>
                <w:rFonts w:ascii="Arial" w:hAnsi="Arial" w:cs="Arial"/>
                <w:b/>
                <w:bCs/>
                <w:sz w:val="20"/>
                <w:szCs w:val="20"/>
              </w:rPr>
              <w:t>predĺžené uvoľňovanie</w:t>
            </w:r>
            <w:r w:rsidRPr="00661AF2">
              <w:rPr>
                <w:rFonts w:ascii="Arial" w:hAnsi="Arial" w:cs="Arial"/>
                <w:b/>
                <w:bCs/>
                <w:sz w:val="20"/>
                <w:szCs w:val="20"/>
              </w:rPr>
              <w:t xml:space="preserve"> 3 mg</w:t>
            </w:r>
          </w:p>
        </w:tc>
      </w:tr>
      <w:tr w:rsidR="00661AF2" w:rsidRPr="0000591E" w14:paraId="7DC8FF7A" w14:textId="77777777" w:rsidTr="00661AF2">
        <w:trPr>
          <w:trHeight w:val="20"/>
        </w:trPr>
        <w:tc>
          <w:tcPr>
            <w:tcW w:w="1277" w:type="dxa"/>
            <w:tcBorders>
              <w:top w:val="single" w:sz="4" w:space="0" w:color="auto"/>
              <w:bottom w:val="nil"/>
            </w:tcBorders>
            <w:noWrap/>
          </w:tcPr>
          <w:p w14:paraId="7F35FFCE" w14:textId="77777777" w:rsidR="00661AF2" w:rsidRPr="00E6635D" w:rsidRDefault="00661AF2" w:rsidP="0034061E">
            <w:pPr>
              <w:rPr>
                <w:rFonts w:ascii="Arial" w:hAnsi="Arial" w:cs="Arial"/>
                <w:b/>
                <w:bCs/>
                <w:sz w:val="20"/>
                <w:szCs w:val="20"/>
              </w:rPr>
            </w:pPr>
          </w:p>
        </w:tc>
        <w:tc>
          <w:tcPr>
            <w:tcW w:w="9355" w:type="dxa"/>
            <w:tcBorders>
              <w:top w:val="single" w:sz="4" w:space="0" w:color="auto"/>
              <w:bottom w:val="nil"/>
            </w:tcBorders>
          </w:tcPr>
          <w:p w14:paraId="15289693" w14:textId="77777777" w:rsidR="00661AF2" w:rsidRPr="00661AF2" w:rsidRDefault="00661AF2" w:rsidP="00661AF2">
            <w:pPr>
              <w:tabs>
                <w:tab w:val="left" w:pos="3500"/>
                <w:tab w:val="left" w:pos="3920"/>
              </w:tabs>
              <w:jc w:val="both"/>
              <w:rPr>
                <w:rFonts w:ascii="Arial" w:hAnsi="Arial" w:cs="Arial"/>
                <w:bCs/>
                <w:sz w:val="20"/>
                <w:szCs w:val="20"/>
              </w:rPr>
            </w:pPr>
            <w:r w:rsidRPr="00661AF2">
              <w:rPr>
                <w:rFonts w:ascii="Arial" w:hAnsi="Arial" w:cs="Arial"/>
                <w:bCs/>
                <w:sz w:val="20"/>
                <w:szCs w:val="20"/>
              </w:rPr>
              <w:t>Hradenú liečbu môže indikovať lekár transplantačného centra, ktorý riadi imunosupresívnu liečbu pri transplantácii</w:t>
            </w:r>
          </w:p>
          <w:p w14:paraId="51254551" w14:textId="55056099" w:rsidR="00661AF2" w:rsidRPr="00661AF2" w:rsidRDefault="00661AF2" w:rsidP="00661AF2">
            <w:pPr>
              <w:tabs>
                <w:tab w:val="left" w:pos="321"/>
                <w:tab w:val="left" w:pos="3500"/>
                <w:tab w:val="left" w:pos="3920"/>
              </w:tabs>
              <w:rPr>
                <w:rFonts w:ascii="Arial" w:hAnsi="Arial" w:cs="Arial"/>
                <w:bCs/>
                <w:sz w:val="20"/>
                <w:szCs w:val="20"/>
              </w:rPr>
            </w:pPr>
            <w:r w:rsidRPr="00661AF2">
              <w:rPr>
                <w:rFonts w:ascii="Arial" w:hAnsi="Arial" w:cs="Arial"/>
                <w:bCs/>
                <w:sz w:val="20"/>
                <w:szCs w:val="20"/>
              </w:rPr>
              <w:t>a)</w:t>
            </w:r>
            <w:r>
              <w:rPr>
                <w:rFonts w:ascii="Arial" w:hAnsi="Arial" w:cs="Arial"/>
                <w:bCs/>
                <w:sz w:val="20"/>
                <w:szCs w:val="20"/>
              </w:rPr>
              <w:tab/>
            </w:r>
            <w:r w:rsidRPr="00661AF2">
              <w:rPr>
                <w:rFonts w:ascii="Arial" w:hAnsi="Arial" w:cs="Arial"/>
                <w:bCs/>
                <w:sz w:val="20"/>
                <w:szCs w:val="20"/>
              </w:rPr>
              <w:t xml:space="preserve">obličiek </w:t>
            </w:r>
          </w:p>
          <w:p w14:paraId="1DE10BF2" w14:textId="1012F7CA" w:rsidR="00661AF2" w:rsidRPr="00661AF2" w:rsidRDefault="00661AF2" w:rsidP="00661AF2">
            <w:pPr>
              <w:tabs>
                <w:tab w:val="left" w:pos="321"/>
                <w:tab w:val="left" w:pos="620"/>
                <w:tab w:val="left" w:pos="3500"/>
                <w:tab w:val="left" w:pos="3920"/>
              </w:tabs>
              <w:jc w:val="both"/>
              <w:rPr>
                <w:rFonts w:ascii="Arial" w:hAnsi="Arial" w:cs="Arial"/>
                <w:bCs/>
                <w:sz w:val="20"/>
                <w:szCs w:val="20"/>
              </w:rPr>
            </w:pPr>
            <w:r>
              <w:rPr>
                <w:rFonts w:ascii="Arial" w:hAnsi="Arial" w:cs="Arial"/>
                <w:bCs/>
                <w:sz w:val="20"/>
                <w:szCs w:val="20"/>
              </w:rPr>
              <w:tab/>
            </w:r>
            <w:r w:rsidRPr="00661AF2">
              <w:rPr>
                <w:rFonts w:ascii="Arial" w:hAnsi="Arial" w:cs="Arial"/>
                <w:bCs/>
                <w:sz w:val="20"/>
                <w:szCs w:val="20"/>
              </w:rPr>
              <w:t>1.</w:t>
            </w:r>
            <w:r>
              <w:rPr>
                <w:rFonts w:ascii="Arial" w:hAnsi="Arial" w:cs="Arial"/>
                <w:bCs/>
                <w:sz w:val="20"/>
                <w:szCs w:val="20"/>
              </w:rPr>
              <w:tab/>
            </w:r>
            <w:r w:rsidRPr="00661AF2">
              <w:rPr>
                <w:rFonts w:ascii="Arial" w:hAnsi="Arial" w:cs="Arial"/>
                <w:bCs/>
                <w:sz w:val="20"/>
                <w:szCs w:val="20"/>
              </w:rPr>
              <w:t xml:space="preserve">primárna imunosupresia (prevencia rejekcií) u rizikových pacientov s vysokou hladinou protilátok </w:t>
            </w:r>
            <w:r>
              <w:rPr>
                <w:rFonts w:ascii="Arial" w:hAnsi="Arial" w:cs="Arial"/>
                <w:bCs/>
                <w:sz w:val="20"/>
                <w:szCs w:val="20"/>
              </w:rPr>
              <w:tab/>
            </w:r>
            <w:r w:rsidR="00A05332">
              <w:rPr>
                <w:rFonts w:ascii="Arial" w:hAnsi="Arial" w:cs="Arial"/>
                <w:bCs/>
                <w:sz w:val="20"/>
                <w:szCs w:val="20"/>
              </w:rPr>
              <w:tab/>
            </w:r>
            <w:r w:rsidRPr="00661AF2">
              <w:rPr>
                <w:rFonts w:ascii="Arial" w:hAnsi="Arial" w:cs="Arial"/>
                <w:bCs/>
                <w:sz w:val="20"/>
                <w:szCs w:val="20"/>
              </w:rPr>
              <w:t>(PRA 50% a viac),</w:t>
            </w:r>
          </w:p>
          <w:p w14:paraId="5D93FC62" w14:textId="2DA7A76B" w:rsidR="00661AF2" w:rsidRPr="00661AF2" w:rsidRDefault="00A05332" w:rsidP="00A05332">
            <w:pPr>
              <w:tabs>
                <w:tab w:val="left" w:pos="321"/>
                <w:tab w:val="left" w:pos="620"/>
                <w:tab w:val="left" w:pos="3500"/>
                <w:tab w:val="left" w:pos="3920"/>
              </w:tabs>
              <w:rPr>
                <w:rFonts w:ascii="Arial" w:hAnsi="Arial" w:cs="Arial"/>
                <w:bCs/>
                <w:sz w:val="20"/>
                <w:szCs w:val="20"/>
              </w:rPr>
            </w:pPr>
            <w:r>
              <w:rPr>
                <w:rFonts w:ascii="Arial" w:hAnsi="Arial" w:cs="Arial"/>
                <w:bCs/>
                <w:sz w:val="20"/>
                <w:szCs w:val="20"/>
              </w:rPr>
              <w:tab/>
            </w:r>
            <w:r w:rsidR="00661AF2" w:rsidRPr="00661AF2">
              <w:rPr>
                <w:rFonts w:ascii="Arial" w:hAnsi="Arial" w:cs="Arial"/>
                <w:bCs/>
                <w:sz w:val="20"/>
                <w:szCs w:val="20"/>
              </w:rPr>
              <w:t>2.</w:t>
            </w:r>
            <w:r>
              <w:rPr>
                <w:rFonts w:ascii="Arial" w:hAnsi="Arial" w:cs="Arial"/>
                <w:bCs/>
                <w:sz w:val="20"/>
                <w:szCs w:val="20"/>
              </w:rPr>
              <w:tab/>
            </w:r>
            <w:r w:rsidR="00661AF2" w:rsidRPr="00661AF2">
              <w:rPr>
                <w:rFonts w:ascii="Arial" w:hAnsi="Arial" w:cs="Arial"/>
                <w:bCs/>
                <w:sz w:val="20"/>
                <w:szCs w:val="20"/>
              </w:rPr>
              <w:t>primárna imunosupresia (prevencia rejekcií) po retransplantáciach,</w:t>
            </w:r>
          </w:p>
          <w:p w14:paraId="114621A8" w14:textId="3B65A090" w:rsidR="00661AF2" w:rsidRPr="00661AF2" w:rsidRDefault="00A05332" w:rsidP="00A05332">
            <w:pPr>
              <w:tabs>
                <w:tab w:val="left" w:pos="321"/>
                <w:tab w:val="left" w:pos="604"/>
                <w:tab w:val="left" w:pos="3500"/>
                <w:tab w:val="left" w:pos="3920"/>
              </w:tabs>
              <w:rPr>
                <w:rFonts w:ascii="Arial" w:hAnsi="Arial" w:cs="Arial"/>
                <w:bCs/>
                <w:sz w:val="20"/>
                <w:szCs w:val="20"/>
              </w:rPr>
            </w:pPr>
            <w:r>
              <w:rPr>
                <w:rFonts w:ascii="Arial" w:hAnsi="Arial" w:cs="Arial"/>
                <w:bCs/>
                <w:sz w:val="20"/>
                <w:szCs w:val="20"/>
              </w:rPr>
              <w:tab/>
            </w:r>
            <w:r w:rsidR="00661AF2" w:rsidRPr="00661AF2">
              <w:rPr>
                <w:rFonts w:ascii="Arial" w:hAnsi="Arial" w:cs="Arial"/>
                <w:bCs/>
                <w:sz w:val="20"/>
                <w:szCs w:val="20"/>
              </w:rPr>
              <w:t>3.</w:t>
            </w:r>
            <w:r>
              <w:rPr>
                <w:rFonts w:ascii="Arial" w:hAnsi="Arial" w:cs="Arial"/>
                <w:bCs/>
                <w:sz w:val="20"/>
                <w:szCs w:val="20"/>
              </w:rPr>
              <w:tab/>
            </w:r>
            <w:r w:rsidR="00661AF2" w:rsidRPr="00661AF2">
              <w:rPr>
                <w:rFonts w:ascii="Arial" w:hAnsi="Arial" w:cs="Arial"/>
                <w:bCs/>
                <w:sz w:val="20"/>
                <w:szCs w:val="20"/>
              </w:rPr>
              <w:t>liečba rejekcií,</w:t>
            </w:r>
          </w:p>
          <w:p w14:paraId="322D3B82" w14:textId="77777777" w:rsidR="00A05332" w:rsidRDefault="00661AF2" w:rsidP="00420CA4">
            <w:pPr>
              <w:tabs>
                <w:tab w:val="left" w:pos="321"/>
                <w:tab w:val="left" w:pos="3500"/>
                <w:tab w:val="left" w:pos="3920"/>
              </w:tabs>
              <w:rPr>
                <w:rFonts w:ascii="Arial" w:hAnsi="Arial" w:cs="Arial"/>
                <w:bCs/>
                <w:sz w:val="20"/>
                <w:szCs w:val="20"/>
              </w:rPr>
            </w:pPr>
            <w:r w:rsidRPr="00661AF2">
              <w:rPr>
                <w:rFonts w:ascii="Arial" w:hAnsi="Arial" w:cs="Arial"/>
                <w:bCs/>
                <w:sz w:val="20"/>
                <w:szCs w:val="20"/>
              </w:rPr>
              <w:t>b)</w:t>
            </w:r>
            <w:r w:rsidR="00A05332">
              <w:rPr>
                <w:rFonts w:ascii="Arial" w:hAnsi="Arial" w:cs="Arial"/>
                <w:bCs/>
                <w:sz w:val="20"/>
                <w:szCs w:val="20"/>
              </w:rPr>
              <w:tab/>
            </w:r>
            <w:r w:rsidRPr="00661AF2">
              <w:rPr>
                <w:rFonts w:ascii="Arial" w:hAnsi="Arial" w:cs="Arial"/>
                <w:bCs/>
                <w:sz w:val="20"/>
                <w:szCs w:val="20"/>
              </w:rPr>
              <w:t>pečene bez obmedzenia v indikácii schválenej pri registrácii.</w:t>
            </w:r>
          </w:p>
          <w:p w14:paraId="55A388EE" w14:textId="5BEF22C9" w:rsidR="0079719D" w:rsidRPr="00661AF2" w:rsidRDefault="0079719D" w:rsidP="00420CA4">
            <w:pPr>
              <w:tabs>
                <w:tab w:val="left" w:pos="321"/>
                <w:tab w:val="left" w:pos="3500"/>
                <w:tab w:val="left" w:pos="3920"/>
              </w:tabs>
              <w:rPr>
                <w:rFonts w:ascii="Arial" w:hAnsi="Arial" w:cs="Arial"/>
                <w:bCs/>
                <w:sz w:val="20"/>
                <w:szCs w:val="20"/>
              </w:rPr>
            </w:pPr>
          </w:p>
        </w:tc>
      </w:tr>
      <w:tr w:rsidR="00E3677A" w:rsidRPr="0000591E" w14:paraId="0F6DC5FE" w14:textId="77777777" w:rsidTr="00E3677A">
        <w:trPr>
          <w:trHeight w:val="20"/>
        </w:trPr>
        <w:tc>
          <w:tcPr>
            <w:tcW w:w="1277" w:type="dxa"/>
            <w:tcBorders>
              <w:top w:val="nil"/>
              <w:bottom w:val="single" w:sz="4" w:space="0" w:color="auto"/>
            </w:tcBorders>
            <w:noWrap/>
          </w:tcPr>
          <w:p w14:paraId="5F4B6EFB" w14:textId="7B9933E3" w:rsidR="00E3677A" w:rsidRPr="00E6635D" w:rsidRDefault="00E3677A" w:rsidP="0034061E">
            <w:pPr>
              <w:rPr>
                <w:rFonts w:ascii="Arial" w:hAnsi="Arial" w:cs="Arial"/>
                <w:b/>
                <w:bCs/>
                <w:sz w:val="20"/>
                <w:szCs w:val="20"/>
              </w:rPr>
            </w:pPr>
            <w:r w:rsidRPr="00E3677A">
              <w:rPr>
                <w:rFonts w:ascii="Arial" w:hAnsi="Arial" w:cs="Arial"/>
                <w:b/>
                <w:bCs/>
                <w:sz w:val="20"/>
                <w:szCs w:val="20"/>
              </w:rPr>
              <w:t>L04AE01</w:t>
            </w:r>
          </w:p>
        </w:tc>
        <w:tc>
          <w:tcPr>
            <w:tcW w:w="9355" w:type="dxa"/>
            <w:tcBorders>
              <w:top w:val="nil"/>
              <w:bottom w:val="single" w:sz="4" w:space="0" w:color="auto"/>
            </w:tcBorders>
          </w:tcPr>
          <w:p w14:paraId="6BED7350" w14:textId="15C6BFE4" w:rsidR="00E3677A" w:rsidRPr="00E6635D" w:rsidRDefault="00E3677A" w:rsidP="001237BD">
            <w:pPr>
              <w:tabs>
                <w:tab w:val="left" w:pos="3500"/>
                <w:tab w:val="left" w:pos="3920"/>
              </w:tabs>
              <w:rPr>
                <w:rFonts w:ascii="Arial" w:hAnsi="Arial" w:cs="Arial"/>
                <w:b/>
                <w:bCs/>
                <w:sz w:val="20"/>
                <w:szCs w:val="20"/>
              </w:rPr>
            </w:pPr>
            <w:r w:rsidRPr="00E3677A">
              <w:rPr>
                <w:rFonts w:ascii="Arial" w:hAnsi="Arial" w:cs="Arial"/>
                <w:b/>
                <w:bCs/>
                <w:sz w:val="20"/>
                <w:szCs w:val="20"/>
              </w:rPr>
              <w:t>Fingolimod p.o. 0,5 mg</w:t>
            </w:r>
          </w:p>
        </w:tc>
      </w:tr>
      <w:tr w:rsidR="00E3677A" w:rsidRPr="0000591E" w14:paraId="31DB371F" w14:textId="77777777" w:rsidTr="00E3677A">
        <w:trPr>
          <w:trHeight w:val="20"/>
        </w:trPr>
        <w:tc>
          <w:tcPr>
            <w:tcW w:w="1277" w:type="dxa"/>
            <w:tcBorders>
              <w:top w:val="single" w:sz="4" w:space="0" w:color="auto"/>
              <w:bottom w:val="nil"/>
            </w:tcBorders>
            <w:noWrap/>
          </w:tcPr>
          <w:p w14:paraId="415479F1" w14:textId="77777777" w:rsidR="00E3677A" w:rsidRPr="00E6635D" w:rsidRDefault="00E3677A" w:rsidP="0034061E">
            <w:pPr>
              <w:rPr>
                <w:rFonts w:ascii="Arial" w:hAnsi="Arial" w:cs="Arial"/>
                <w:b/>
                <w:bCs/>
                <w:sz w:val="20"/>
                <w:szCs w:val="20"/>
              </w:rPr>
            </w:pPr>
          </w:p>
        </w:tc>
        <w:tc>
          <w:tcPr>
            <w:tcW w:w="9355" w:type="dxa"/>
            <w:tcBorders>
              <w:top w:val="single" w:sz="4" w:space="0" w:color="auto"/>
              <w:bottom w:val="nil"/>
            </w:tcBorders>
          </w:tcPr>
          <w:p w14:paraId="04AD50B9" w14:textId="77777777" w:rsidR="00E3677A" w:rsidRPr="00E3677A" w:rsidRDefault="00E3677A" w:rsidP="00E3677A">
            <w:pPr>
              <w:tabs>
                <w:tab w:val="left" w:pos="3500"/>
                <w:tab w:val="left" w:pos="3920"/>
              </w:tabs>
              <w:rPr>
                <w:rFonts w:ascii="Arial" w:hAnsi="Arial" w:cs="Arial"/>
                <w:bCs/>
                <w:sz w:val="20"/>
                <w:szCs w:val="20"/>
              </w:rPr>
            </w:pPr>
            <w:r w:rsidRPr="00E3677A">
              <w:rPr>
                <w:rFonts w:ascii="Arial" w:hAnsi="Arial" w:cs="Arial"/>
                <w:bCs/>
                <w:sz w:val="20"/>
                <w:szCs w:val="20"/>
              </w:rPr>
              <w:t xml:space="preserve">Hradená liečba sa môže indikovať: </w:t>
            </w:r>
          </w:p>
          <w:p w14:paraId="07FE6D8D" w14:textId="3795C88A" w:rsidR="00E3677A" w:rsidRDefault="00E3677A" w:rsidP="00E3677A">
            <w:pPr>
              <w:tabs>
                <w:tab w:val="left" w:pos="420"/>
                <w:tab w:val="left" w:pos="3500"/>
                <w:tab w:val="left" w:pos="3920"/>
              </w:tabs>
              <w:jc w:val="both"/>
              <w:rPr>
                <w:rFonts w:ascii="Arial" w:hAnsi="Arial" w:cs="Arial"/>
                <w:bCs/>
                <w:sz w:val="20"/>
                <w:szCs w:val="20"/>
              </w:rPr>
            </w:pPr>
            <w:r w:rsidRPr="00E3677A">
              <w:rPr>
                <w:rFonts w:ascii="Arial" w:hAnsi="Arial" w:cs="Arial"/>
                <w:bCs/>
                <w:sz w:val="20"/>
                <w:szCs w:val="20"/>
              </w:rPr>
              <w:t>1.</w:t>
            </w:r>
            <w:r>
              <w:rPr>
                <w:rFonts w:ascii="Arial" w:hAnsi="Arial" w:cs="Arial"/>
                <w:bCs/>
                <w:sz w:val="20"/>
                <w:szCs w:val="20"/>
              </w:rPr>
              <w:tab/>
            </w:r>
            <w:r w:rsidRPr="00E3677A">
              <w:rPr>
                <w:rFonts w:ascii="Arial" w:hAnsi="Arial" w:cs="Arial"/>
                <w:bCs/>
                <w:sz w:val="20"/>
                <w:szCs w:val="20"/>
              </w:rPr>
              <w:t xml:space="preserve">u pacientov s diagnózou relapsujúco-remitujúcej formy SM podľa McDonaldových kritérií (2010), ak ich neurologický deficit je do 5,0 EDSS vrátane a u ktorých zlyhala plná a adekvátna imunomodulačná liečba (obvykle najmenej jeden rok podávania) minimálne dvomi liekmi prvej línie s rozdielnym mechanizmom účinku. U týchto pacientov sa napriek imunomodulačnej liečbe minimálne dvomi liekmi prvej línie s rozdielnym mechanizmom účinku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         </w:t>
            </w:r>
          </w:p>
          <w:p w14:paraId="46BD715F" w14:textId="67934B57" w:rsidR="00E3677A" w:rsidRDefault="00E3677A" w:rsidP="00E3677A">
            <w:pPr>
              <w:tabs>
                <w:tab w:val="left" w:pos="420"/>
                <w:tab w:val="left" w:pos="3500"/>
                <w:tab w:val="left" w:pos="3920"/>
              </w:tabs>
              <w:jc w:val="both"/>
              <w:rPr>
                <w:rFonts w:ascii="Arial" w:hAnsi="Arial" w:cs="Arial"/>
                <w:bCs/>
                <w:sz w:val="20"/>
                <w:szCs w:val="20"/>
              </w:rPr>
            </w:pPr>
            <w:r w:rsidRPr="00E3677A">
              <w:rPr>
                <w:rFonts w:ascii="Arial" w:hAnsi="Arial" w:cs="Arial"/>
                <w:bCs/>
                <w:sz w:val="20"/>
                <w:szCs w:val="20"/>
              </w:rPr>
              <w:t>2.</w:t>
            </w:r>
            <w:r>
              <w:rPr>
                <w:rFonts w:ascii="Arial" w:hAnsi="Arial" w:cs="Arial"/>
                <w:bCs/>
                <w:sz w:val="20"/>
                <w:szCs w:val="20"/>
              </w:rPr>
              <w:tab/>
            </w:r>
            <w:r w:rsidRPr="00E3677A">
              <w:rPr>
                <w:rFonts w:ascii="Arial" w:hAnsi="Arial" w:cs="Arial"/>
                <w:bCs/>
                <w:sz w:val="20"/>
                <w:szCs w:val="20"/>
              </w:rPr>
              <w:t xml:space="preserve">u dospelých pacientov nad 18 rokov s rýchlo sa vyvíjajúcou závažnou relapsujúco-remitujúcou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Pre potvrdenie diagnózy SM je potrebné vyšetrenie likvoru. </w:t>
            </w:r>
          </w:p>
          <w:p w14:paraId="6CB3175C" w14:textId="77777777" w:rsidR="00E3677A" w:rsidRPr="00E3677A" w:rsidRDefault="00E3677A" w:rsidP="00E3677A">
            <w:pPr>
              <w:tabs>
                <w:tab w:val="left" w:pos="3500"/>
                <w:tab w:val="left" w:pos="3920"/>
              </w:tabs>
              <w:jc w:val="both"/>
              <w:rPr>
                <w:rFonts w:ascii="Arial" w:hAnsi="Arial" w:cs="Arial"/>
                <w:bCs/>
                <w:sz w:val="20"/>
                <w:szCs w:val="20"/>
              </w:rPr>
            </w:pPr>
            <w:r w:rsidRPr="00E3677A">
              <w:rPr>
                <w:rFonts w:ascii="Arial" w:hAnsi="Arial" w:cs="Arial"/>
                <w:bCs/>
                <w:sz w:val="20"/>
                <w:szCs w:val="20"/>
              </w:rPr>
              <w:t xml:space="preserve">Ďalšia liečba nie je hradenou liečbou, ak je zistené aspoň jedno z týchto kritérií: </w:t>
            </w:r>
          </w:p>
          <w:p w14:paraId="2D941A10" w14:textId="5918481B" w:rsidR="00E3677A" w:rsidRPr="00E3677A" w:rsidRDefault="00E3677A" w:rsidP="00E3677A">
            <w:pPr>
              <w:tabs>
                <w:tab w:val="left" w:pos="420"/>
                <w:tab w:val="left" w:pos="3500"/>
                <w:tab w:val="left" w:pos="3920"/>
              </w:tabs>
              <w:rPr>
                <w:rFonts w:ascii="Arial" w:hAnsi="Arial" w:cs="Arial"/>
                <w:bCs/>
                <w:sz w:val="20"/>
                <w:szCs w:val="20"/>
              </w:rPr>
            </w:pPr>
            <w:r w:rsidRPr="00E3677A">
              <w:rPr>
                <w:rFonts w:ascii="Arial" w:hAnsi="Arial" w:cs="Arial"/>
                <w:bCs/>
                <w:sz w:val="20"/>
                <w:szCs w:val="20"/>
              </w:rPr>
              <w:t>a)</w:t>
            </w:r>
            <w:r>
              <w:rPr>
                <w:rFonts w:ascii="Arial" w:hAnsi="Arial" w:cs="Arial"/>
                <w:bCs/>
                <w:sz w:val="20"/>
                <w:szCs w:val="20"/>
              </w:rPr>
              <w:tab/>
            </w:r>
            <w:r w:rsidRPr="00E3677A">
              <w:rPr>
                <w:rFonts w:ascii="Arial" w:hAnsi="Arial" w:cs="Arial"/>
                <w:bCs/>
                <w:sz w:val="20"/>
                <w:szCs w:val="20"/>
              </w:rPr>
              <w:t>v priebehu 12 mesiacov nezmenený alebo zvýšený počet relapsov ako na predchádzajúcej liečbe,</w:t>
            </w:r>
          </w:p>
          <w:p w14:paraId="25B8922F" w14:textId="68C40E90" w:rsidR="00E3677A" w:rsidRPr="00E3677A" w:rsidRDefault="00E3677A" w:rsidP="00E3677A">
            <w:pPr>
              <w:tabs>
                <w:tab w:val="left" w:pos="410"/>
                <w:tab w:val="left" w:pos="3500"/>
                <w:tab w:val="left" w:pos="3920"/>
              </w:tabs>
              <w:rPr>
                <w:rFonts w:ascii="Arial" w:hAnsi="Arial" w:cs="Arial"/>
                <w:bCs/>
                <w:sz w:val="20"/>
                <w:szCs w:val="20"/>
              </w:rPr>
            </w:pPr>
            <w:r w:rsidRPr="00E3677A">
              <w:rPr>
                <w:rFonts w:ascii="Arial" w:hAnsi="Arial" w:cs="Arial"/>
                <w:bCs/>
                <w:sz w:val="20"/>
                <w:szCs w:val="20"/>
              </w:rPr>
              <w:t>b)</w:t>
            </w:r>
            <w:r>
              <w:rPr>
                <w:rFonts w:ascii="Arial" w:hAnsi="Arial" w:cs="Arial"/>
                <w:bCs/>
                <w:sz w:val="20"/>
                <w:szCs w:val="20"/>
              </w:rPr>
              <w:tab/>
            </w:r>
            <w:r w:rsidRPr="00E3677A">
              <w:rPr>
                <w:rFonts w:ascii="Arial" w:hAnsi="Arial" w:cs="Arial"/>
                <w:bCs/>
                <w:sz w:val="20"/>
                <w:szCs w:val="20"/>
              </w:rPr>
              <w:t xml:space="preserve">zvýšenie EDSS o jeden stupeň v priebehu jedného roka, </w:t>
            </w:r>
          </w:p>
          <w:p w14:paraId="34CCDBA8" w14:textId="18D9C1BF" w:rsidR="00E3677A" w:rsidRPr="00E3677A" w:rsidRDefault="00E3677A" w:rsidP="00E3677A">
            <w:pPr>
              <w:tabs>
                <w:tab w:val="left" w:pos="440"/>
                <w:tab w:val="left" w:pos="3500"/>
                <w:tab w:val="left" w:pos="3920"/>
              </w:tabs>
              <w:jc w:val="both"/>
              <w:rPr>
                <w:rFonts w:ascii="Arial" w:hAnsi="Arial" w:cs="Arial"/>
                <w:bCs/>
                <w:sz w:val="20"/>
                <w:szCs w:val="20"/>
              </w:rPr>
            </w:pPr>
            <w:r w:rsidRPr="00E3677A">
              <w:rPr>
                <w:rFonts w:ascii="Arial" w:hAnsi="Arial" w:cs="Arial"/>
                <w:bCs/>
                <w:sz w:val="20"/>
                <w:szCs w:val="20"/>
              </w:rPr>
              <w:t>c)</w:t>
            </w:r>
            <w:r>
              <w:rPr>
                <w:rFonts w:ascii="Arial" w:hAnsi="Arial" w:cs="Arial"/>
                <w:bCs/>
                <w:sz w:val="20"/>
                <w:szCs w:val="20"/>
              </w:rPr>
              <w:tab/>
            </w:r>
            <w:r w:rsidRPr="00E3677A">
              <w:rPr>
                <w:rFonts w:ascii="Arial" w:hAnsi="Arial" w:cs="Arial"/>
                <w:bCs/>
                <w:sz w:val="20"/>
                <w:szCs w:val="20"/>
              </w:rPr>
              <w:t xml:space="preserve">pribudnutie 2 a viac T2 hyperintenzitných lézií alebo 1 a viac gadolíniom zvýrazňujúcich sa T1 lézií </w:t>
            </w:r>
            <w:r>
              <w:rPr>
                <w:rFonts w:ascii="Arial" w:hAnsi="Arial" w:cs="Arial"/>
                <w:bCs/>
                <w:sz w:val="20"/>
                <w:szCs w:val="20"/>
              </w:rPr>
              <w:tab/>
            </w:r>
            <w:r w:rsidRPr="00E3677A">
              <w:rPr>
                <w:rFonts w:ascii="Arial" w:hAnsi="Arial" w:cs="Arial"/>
                <w:bCs/>
                <w:sz w:val="20"/>
                <w:szCs w:val="20"/>
              </w:rPr>
              <w:t>za predchádzajúcich 12 mesiacov liečby,</w:t>
            </w:r>
          </w:p>
          <w:p w14:paraId="321399EB" w14:textId="55DF6823" w:rsidR="00E3677A" w:rsidRPr="00E3677A" w:rsidRDefault="00E3677A" w:rsidP="00E3677A">
            <w:pPr>
              <w:tabs>
                <w:tab w:val="left" w:pos="380"/>
                <w:tab w:val="left" w:pos="3500"/>
                <w:tab w:val="left" w:pos="3920"/>
              </w:tabs>
              <w:rPr>
                <w:rFonts w:ascii="Arial" w:hAnsi="Arial" w:cs="Arial"/>
                <w:bCs/>
                <w:sz w:val="20"/>
                <w:szCs w:val="20"/>
              </w:rPr>
            </w:pPr>
            <w:r w:rsidRPr="00E3677A">
              <w:rPr>
                <w:rFonts w:ascii="Arial" w:hAnsi="Arial" w:cs="Arial"/>
                <w:bCs/>
                <w:sz w:val="20"/>
                <w:szCs w:val="20"/>
              </w:rPr>
              <w:t>d)</w:t>
            </w:r>
            <w:r w:rsidRPr="00E3677A">
              <w:rPr>
                <w:rFonts w:ascii="Arial" w:hAnsi="Arial" w:cs="Arial"/>
                <w:bCs/>
                <w:sz w:val="20"/>
                <w:szCs w:val="20"/>
              </w:rPr>
              <w:tab/>
              <w:t>EDSS 6 a viac.</w:t>
            </w:r>
          </w:p>
          <w:p w14:paraId="350496B3" w14:textId="77777777" w:rsidR="00E3677A" w:rsidRPr="00E3677A" w:rsidRDefault="00E3677A" w:rsidP="00E3677A">
            <w:pPr>
              <w:tabs>
                <w:tab w:val="left" w:pos="3500"/>
                <w:tab w:val="left" w:pos="3920"/>
              </w:tabs>
              <w:rPr>
                <w:rFonts w:ascii="Arial" w:hAnsi="Arial" w:cs="Arial"/>
                <w:bCs/>
                <w:sz w:val="20"/>
                <w:szCs w:val="20"/>
              </w:rPr>
            </w:pPr>
          </w:p>
          <w:p w14:paraId="0C163210" w14:textId="77777777" w:rsidR="00E3677A" w:rsidRPr="00E3677A" w:rsidRDefault="00E3677A" w:rsidP="00E3677A">
            <w:pPr>
              <w:tabs>
                <w:tab w:val="left" w:pos="3500"/>
                <w:tab w:val="left" w:pos="3920"/>
              </w:tabs>
              <w:jc w:val="both"/>
              <w:rPr>
                <w:rFonts w:ascii="Arial" w:hAnsi="Arial" w:cs="Arial"/>
                <w:bCs/>
                <w:sz w:val="20"/>
                <w:szCs w:val="20"/>
              </w:rPr>
            </w:pPr>
            <w:r w:rsidRPr="00E3677A">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a na Špecializovanej neurologickej ambulancii, Liptovská nemocnica s poliklinikou MUDr. Ivana Stodolu Liptovský Mikuláš, na Neurologickom oddelení Nemocnice AGEL Levoča a.s. a na Špecializovanej neurologickej ambulancii Nemocnice AGEL Komárno s.r.o..</w:t>
            </w:r>
          </w:p>
          <w:p w14:paraId="60D6F754" w14:textId="0524A803" w:rsidR="00420CA4" w:rsidRPr="00E3677A" w:rsidRDefault="00420CA4" w:rsidP="007A3904">
            <w:pPr>
              <w:tabs>
                <w:tab w:val="left" w:pos="3500"/>
                <w:tab w:val="left" w:pos="3920"/>
              </w:tabs>
              <w:rPr>
                <w:rFonts w:ascii="Arial" w:hAnsi="Arial" w:cs="Arial"/>
                <w:bCs/>
                <w:sz w:val="20"/>
                <w:szCs w:val="20"/>
              </w:rPr>
            </w:pPr>
          </w:p>
        </w:tc>
      </w:tr>
      <w:tr w:rsidR="00E4353A" w:rsidRPr="0000591E" w14:paraId="54EBC304" w14:textId="77777777" w:rsidTr="00E4353A">
        <w:trPr>
          <w:trHeight w:val="20"/>
        </w:trPr>
        <w:tc>
          <w:tcPr>
            <w:tcW w:w="1277" w:type="dxa"/>
            <w:tcBorders>
              <w:top w:val="nil"/>
              <w:bottom w:val="single" w:sz="4" w:space="0" w:color="auto"/>
            </w:tcBorders>
            <w:noWrap/>
          </w:tcPr>
          <w:p w14:paraId="1F35330C" w14:textId="77777777" w:rsidR="00E4353A" w:rsidRDefault="00E4353A" w:rsidP="0034061E">
            <w:pPr>
              <w:rPr>
                <w:rFonts w:ascii="Arial" w:hAnsi="Arial" w:cs="Arial"/>
                <w:b/>
                <w:bCs/>
                <w:sz w:val="20"/>
                <w:szCs w:val="20"/>
              </w:rPr>
            </w:pPr>
          </w:p>
          <w:p w14:paraId="21F62FA5" w14:textId="77777777" w:rsidR="00E4353A" w:rsidRDefault="00E4353A" w:rsidP="0034061E">
            <w:pPr>
              <w:rPr>
                <w:rFonts w:ascii="Arial" w:hAnsi="Arial" w:cs="Arial"/>
                <w:b/>
                <w:bCs/>
                <w:sz w:val="20"/>
                <w:szCs w:val="20"/>
              </w:rPr>
            </w:pPr>
          </w:p>
          <w:p w14:paraId="707BAB39" w14:textId="75F3B867" w:rsidR="00E4353A" w:rsidRPr="00E6635D" w:rsidRDefault="00E4353A" w:rsidP="0034061E">
            <w:pPr>
              <w:rPr>
                <w:rFonts w:ascii="Arial" w:hAnsi="Arial" w:cs="Arial"/>
                <w:b/>
                <w:bCs/>
                <w:sz w:val="20"/>
                <w:szCs w:val="20"/>
              </w:rPr>
            </w:pPr>
            <w:r w:rsidRPr="00E4353A">
              <w:rPr>
                <w:rFonts w:ascii="Arial" w:hAnsi="Arial" w:cs="Arial"/>
                <w:b/>
                <w:bCs/>
                <w:sz w:val="20"/>
                <w:szCs w:val="20"/>
              </w:rPr>
              <w:t>L04AE03</w:t>
            </w:r>
          </w:p>
        </w:tc>
        <w:tc>
          <w:tcPr>
            <w:tcW w:w="9355" w:type="dxa"/>
            <w:tcBorders>
              <w:top w:val="nil"/>
              <w:bottom w:val="single" w:sz="4" w:space="0" w:color="auto"/>
            </w:tcBorders>
          </w:tcPr>
          <w:p w14:paraId="3FEB4560" w14:textId="77777777" w:rsidR="00E4353A" w:rsidRPr="00E4353A" w:rsidRDefault="00E4353A" w:rsidP="00E4353A">
            <w:pPr>
              <w:tabs>
                <w:tab w:val="left" w:pos="2620"/>
                <w:tab w:val="left" w:pos="3500"/>
                <w:tab w:val="left" w:pos="3920"/>
              </w:tabs>
              <w:rPr>
                <w:rFonts w:ascii="Arial" w:hAnsi="Arial" w:cs="Arial"/>
                <w:b/>
                <w:bCs/>
                <w:sz w:val="20"/>
                <w:szCs w:val="20"/>
              </w:rPr>
            </w:pPr>
            <w:r w:rsidRPr="00E4353A">
              <w:rPr>
                <w:rFonts w:ascii="Arial" w:hAnsi="Arial" w:cs="Arial"/>
                <w:b/>
                <w:bCs/>
                <w:sz w:val="20"/>
                <w:szCs w:val="20"/>
              </w:rPr>
              <w:t>Siponimod p.o. 0,25 mg</w:t>
            </w:r>
          </w:p>
          <w:p w14:paraId="3FD14805" w14:textId="77777777" w:rsidR="00E4353A" w:rsidRPr="00E4353A" w:rsidRDefault="00E4353A" w:rsidP="00E4353A">
            <w:pPr>
              <w:tabs>
                <w:tab w:val="left" w:pos="2620"/>
                <w:tab w:val="left" w:pos="3500"/>
                <w:tab w:val="left" w:pos="3920"/>
              </w:tabs>
              <w:rPr>
                <w:rFonts w:ascii="Arial" w:hAnsi="Arial" w:cs="Arial"/>
                <w:b/>
                <w:bCs/>
                <w:sz w:val="20"/>
                <w:szCs w:val="20"/>
              </w:rPr>
            </w:pPr>
            <w:r w:rsidRPr="00E4353A">
              <w:rPr>
                <w:rFonts w:ascii="Arial" w:hAnsi="Arial" w:cs="Arial"/>
                <w:b/>
                <w:bCs/>
                <w:sz w:val="20"/>
                <w:szCs w:val="20"/>
              </w:rPr>
              <w:t>Siponimod p.o. 1 mg</w:t>
            </w:r>
          </w:p>
          <w:p w14:paraId="5364966D" w14:textId="5AC4C0FB" w:rsidR="00E4353A" w:rsidRPr="00E6635D" w:rsidRDefault="00E4353A" w:rsidP="00E4353A">
            <w:pPr>
              <w:tabs>
                <w:tab w:val="left" w:pos="2620"/>
                <w:tab w:val="left" w:pos="3500"/>
                <w:tab w:val="left" w:pos="3920"/>
              </w:tabs>
              <w:rPr>
                <w:rFonts w:ascii="Arial" w:hAnsi="Arial" w:cs="Arial"/>
                <w:b/>
                <w:bCs/>
                <w:sz w:val="20"/>
                <w:szCs w:val="20"/>
              </w:rPr>
            </w:pPr>
            <w:r w:rsidRPr="00E4353A">
              <w:rPr>
                <w:rFonts w:ascii="Arial" w:hAnsi="Arial" w:cs="Arial"/>
                <w:b/>
                <w:bCs/>
                <w:sz w:val="20"/>
                <w:szCs w:val="20"/>
              </w:rPr>
              <w:t>Siponimod p.o. 2 mg</w:t>
            </w:r>
          </w:p>
        </w:tc>
      </w:tr>
      <w:tr w:rsidR="00E4353A" w:rsidRPr="0000591E" w14:paraId="7FD83A2D" w14:textId="77777777" w:rsidTr="00E4353A">
        <w:trPr>
          <w:trHeight w:val="20"/>
        </w:trPr>
        <w:tc>
          <w:tcPr>
            <w:tcW w:w="1277" w:type="dxa"/>
            <w:tcBorders>
              <w:top w:val="single" w:sz="4" w:space="0" w:color="auto"/>
              <w:bottom w:val="nil"/>
            </w:tcBorders>
            <w:noWrap/>
          </w:tcPr>
          <w:p w14:paraId="0833B60C" w14:textId="77777777" w:rsidR="00E4353A" w:rsidRPr="00E6635D" w:rsidRDefault="00E4353A" w:rsidP="0034061E">
            <w:pPr>
              <w:rPr>
                <w:rFonts w:ascii="Arial" w:hAnsi="Arial" w:cs="Arial"/>
                <w:b/>
                <w:bCs/>
                <w:sz w:val="20"/>
                <w:szCs w:val="20"/>
              </w:rPr>
            </w:pPr>
          </w:p>
        </w:tc>
        <w:tc>
          <w:tcPr>
            <w:tcW w:w="9355" w:type="dxa"/>
            <w:tcBorders>
              <w:top w:val="single" w:sz="4" w:space="0" w:color="auto"/>
              <w:bottom w:val="nil"/>
            </w:tcBorders>
          </w:tcPr>
          <w:p w14:paraId="4DBB7E66"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Hradená liečba sa môže indikovať u pacientov so sekundárne progresívnou sklerózou multiplex s aktívnym ochorením prejavujúcim sa relapsami (minimálne jeden zdokumentovaný a liečený atak za posledný rok) alebo zápalovou aktivitou na zobrazovacích vyšetreniach (1 T1 Gd+ léziou alebo viacerými T2 léziami) alebo preukázanými neurodegeneratívnymi zmenami (progresia atrofie mozgu potvrdená volumetriou o viac ako 0,7 % za rok alebo zvýšenie plazmatickej hladiny neurofilamentov o viac ako 20% v porovnaní s predchádzajúcim meraním), pričom ich neurologický deficit je do 5,5 EDSS vrátane.</w:t>
            </w:r>
          </w:p>
          <w:p w14:paraId="2CECE0BA" w14:textId="77777777" w:rsidR="00E4353A" w:rsidRPr="00E4353A" w:rsidRDefault="00E4353A" w:rsidP="00E4353A">
            <w:pPr>
              <w:tabs>
                <w:tab w:val="left" w:pos="2620"/>
                <w:tab w:val="left" w:pos="3500"/>
                <w:tab w:val="left" w:pos="3920"/>
              </w:tabs>
              <w:rPr>
                <w:rFonts w:ascii="Arial" w:hAnsi="Arial" w:cs="Arial"/>
                <w:bCs/>
                <w:sz w:val="20"/>
                <w:szCs w:val="20"/>
              </w:rPr>
            </w:pPr>
          </w:p>
          <w:p w14:paraId="167618F6"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Ďalšia liečba nie je hradenou liečbou, ak je zistené aspoň jedno z týchto kritérií:</w:t>
            </w:r>
          </w:p>
          <w:p w14:paraId="4BA86398"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a) v priebehu 12 mesiacov nezmenený alebo zvýšený počet relapsov ako na predchádzajúcej liečbe,</w:t>
            </w:r>
          </w:p>
          <w:p w14:paraId="160189F9"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 xml:space="preserve">b) zvýšenie EDSS o jeden stupeň v priebehu jedného roka, </w:t>
            </w:r>
          </w:p>
          <w:p w14:paraId="5416E16F" w14:textId="0C84850F" w:rsidR="00E4353A" w:rsidRPr="00E4353A" w:rsidRDefault="00E4353A" w:rsidP="00E4353A">
            <w:pPr>
              <w:tabs>
                <w:tab w:val="left" w:pos="260"/>
                <w:tab w:val="left" w:pos="2620"/>
                <w:tab w:val="left" w:pos="3500"/>
                <w:tab w:val="left" w:pos="3920"/>
              </w:tabs>
              <w:jc w:val="both"/>
              <w:rPr>
                <w:rFonts w:ascii="Arial" w:hAnsi="Arial" w:cs="Arial"/>
                <w:bCs/>
                <w:sz w:val="20"/>
                <w:szCs w:val="20"/>
              </w:rPr>
            </w:pPr>
            <w:r w:rsidRPr="00E4353A">
              <w:rPr>
                <w:rFonts w:ascii="Arial" w:hAnsi="Arial" w:cs="Arial"/>
                <w:bCs/>
                <w:sz w:val="20"/>
                <w:szCs w:val="20"/>
              </w:rPr>
              <w:t xml:space="preserve">c) pribudnutie 2 a viac T2 hyperintenzitných lézií alebo 1 a viac gadolíniom zvýrazňujúcich sa T1 lézií za </w:t>
            </w:r>
            <w:r>
              <w:rPr>
                <w:rFonts w:ascii="Arial" w:hAnsi="Arial" w:cs="Arial"/>
                <w:bCs/>
                <w:sz w:val="20"/>
                <w:szCs w:val="20"/>
              </w:rPr>
              <w:tab/>
            </w:r>
            <w:r w:rsidRPr="00E4353A">
              <w:rPr>
                <w:rFonts w:ascii="Arial" w:hAnsi="Arial" w:cs="Arial"/>
                <w:bCs/>
                <w:sz w:val="20"/>
                <w:szCs w:val="20"/>
              </w:rPr>
              <w:t xml:space="preserve">predchádzajúcich 12 mesiacov liečby, </w:t>
            </w:r>
          </w:p>
          <w:p w14:paraId="0CD34036"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d) EDSS 6,5 a viac.</w:t>
            </w:r>
          </w:p>
          <w:p w14:paraId="1F5305C6" w14:textId="77777777" w:rsidR="00E4353A" w:rsidRPr="00E4353A" w:rsidRDefault="00E4353A" w:rsidP="00E4353A">
            <w:pPr>
              <w:tabs>
                <w:tab w:val="left" w:pos="2620"/>
                <w:tab w:val="left" w:pos="3500"/>
                <w:tab w:val="left" w:pos="3920"/>
              </w:tabs>
              <w:rPr>
                <w:rFonts w:ascii="Arial" w:hAnsi="Arial" w:cs="Arial"/>
                <w:bCs/>
                <w:sz w:val="20"/>
                <w:szCs w:val="20"/>
              </w:rPr>
            </w:pPr>
          </w:p>
          <w:p w14:paraId="4F115292" w14:textId="332D2754" w:rsid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Univerzitnej nemocnice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 </w:t>
            </w:r>
          </w:p>
          <w:p w14:paraId="664A9E0D" w14:textId="77777777" w:rsidR="00E4353A" w:rsidRPr="00E4353A" w:rsidRDefault="00E4353A" w:rsidP="00E4353A">
            <w:pPr>
              <w:tabs>
                <w:tab w:val="left" w:pos="2620"/>
                <w:tab w:val="left" w:pos="3500"/>
                <w:tab w:val="left" w:pos="3920"/>
              </w:tabs>
              <w:jc w:val="both"/>
              <w:rPr>
                <w:rFonts w:ascii="Arial" w:hAnsi="Arial" w:cs="Arial"/>
                <w:bCs/>
                <w:sz w:val="20"/>
                <w:szCs w:val="20"/>
              </w:rPr>
            </w:pPr>
          </w:p>
          <w:p w14:paraId="66999C7A"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Hradená liečba podlieha predchádzajúcemu súhlasu zdravotnej poisťovne.</w:t>
            </w:r>
          </w:p>
          <w:p w14:paraId="42DBA866" w14:textId="77777777" w:rsidR="00E4353A" w:rsidRPr="00E6635D" w:rsidRDefault="00E4353A" w:rsidP="00E4353A">
            <w:pPr>
              <w:tabs>
                <w:tab w:val="left" w:pos="2620"/>
                <w:tab w:val="left" w:pos="3500"/>
                <w:tab w:val="left" w:pos="3920"/>
              </w:tabs>
              <w:rPr>
                <w:rFonts w:ascii="Arial" w:hAnsi="Arial" w:cs="Arial"/>
                <w:b/>
                <w:bCs/>
                <w:sz w:val="20"/>
                <w:szCs w:val="20"/>
              </w:rPr>
            </w:pPr>
          </w:p>
        </w:tc>
      </w:tr>
      <w:tr w:rsidR="00834375" w:rsidRPr="0000591E" w14:paraId="1096A223" w14:textId="77777777" w:rsidTr="00834375">
        <w:trPr>
          <w:trHeight w:val="20"/>
        </w:trPr>
        <w:tc>
          <w:tcPr>
            <w:tcW w:w="1277" w:type="dxa"/>
            <w:tcBorders>
              <w:top w:val="nil"/>
              <w:bottom w:val="single" w:sz="4" w:space="0" w:color="auto"/>
            </w:tcBorders>
            <w:noWrap/>
          </w:tcPr>
          <w:p w14:paraId="61AD240B" w14:textId="77777777" w:rsidR="005F5E63" w:rsidRDefault="005F5E63" w:rsidP="0034061E">
            <w:pPr>
              <w:rPr>
                <w:rFonts w:ascii="Arial" w:hAnsi="Arial" w:cs="Arial"/>
                <w:b/>
                <w:bCs/>
                <w:sz w:val="20"/>
                <w:szCs w:val="20"/>
              </w:rPr>
            </w:pPr>
          </w:p>
          <w:p w14:paraId="79F7FDFE" w14:textId="77777777" w:rsidR="005F5E63" w:rsidRDefault="005F5E63" w:rsidP="0034061E">
            <w:pPr>
              <w:rPr>
                <w:rFonts w:ascii="Arial" w:hAnsi="Arial" w:cs="Arial"/>
                <w:b/>
                <w:bCs/>
                <w:sz w:val="20"/>
                <w:szCs w:val="20"/>
              </w:rPr>
            </w:pPr>
          </w:p>
          <w:p w14:paraId="1CC3E07B" w14:textId="77777777" w:rsidR="005F5E63" w:rsidRDefault="005F5E63" w:rsidP="0034061E">
            <w:pPr>
              <w:rPr>
                <w:rFonts w:ascii="Arial" w:hAnsi="Arial" w:cs="Arial"/>
                <w:b/>
                <w:bCs/>
                <w:sz w:val="20"/>
                <w:szCs w:val="20"/>
              </w:rPr>
            </w:pPr>
          </w:p>
          <w:p w14:paraId="1DD5D08A" w14:textId="77777777" w:rsidR="005F5E63" w:rsidRDefault="005F5E63" w:rsidP="0034061E">
            <w:pPr>
              <w:rPr>
                <w:rFonts w:ascii="Arial" w:hAnsi="Arial" w:cs="Arial"/>
                <w:b/>
                <w:bCs/>
                <w:sz w:val="20"/>
                <w:szCs w:val="20"/>
              </w:rPr>
            </w:pPr>
          </w:p>
          <w:p w14:paraId="332A7FDD" w14:textId="77777777" w:rsidR="005F5E63" w:rsidRDefault="005F5E63" w:rsidP="0034061E">
            <w:pPr>
              <w:rPr>
                <w:rFonts w:ascii="Arial" w:hAnsi="Arial" w:cs="Arial"/>
                <w:b/>
                <w:bCs/>
                <w:sz w:val="20"/>
                <w:szCs w:val="20"/>
              </w:rPr>
            </w:pPr>
          </w:p>
          <w:p w14:paraId="16DFB0BB" w14:textId="77777777" w:rsidR="005F5E63" w:rsidRDefault="005F5E63" w:rsidP="0034061E">
            <w:pPr>
              <w:rPr>
                <w:rFonts w:ascii="Arial" w:hAnsi="Arial" w:cs="Arial"/>
                <w:b/>
                <w:bCs/>
                <w:sz w:val="20"/>
                <w:szCs w:val="20"/>
              </w:rPr>
            </w:pPr>
          </w:p>
          <w:p w14:paraId="3FBA5C42" w14:textId="77777777" w:rsidR="005F5E63" w:rsidRDefault="005F5E63" w:rsidP="0034061E">
            <w:pPr>
              <w:rPr>
                <w:rFonts w:ascii="Arial" w:hAnsi="Arial" w:cs="Arial"/>
                <w:b/>
                <w:bCs/>
                <w:sz w:val="20"/>
                <w:szCs w:val="20"/>
              </w:rPr>
            </w:pPr>
          </w:p>
          <w:p w14:paraId="42F6A958" w14:textId="77777777" w:rsidR="005F5E63" w:rsidRDefault="005F5E63" w:rsidP="0034061E">
            <w:pPr>
              <w:rPr>
                <w:rFonts w:ascii="Arial" w:hAnsi="Arial" w:cs="Arial"/>
                <w:b/>
                <w:bCs/>
                <w:sz w:val="20"/>
                <w:szCs w:val="20"/>
              </w:rPr>
            </w:pPr>
          </w:p>
          <w:p w14:paraId="4FB86FBC" w14:textId="77777777" w:rsidR="005F5E63" w:rsidRDefault="005F5E63" w:rsidP="0034061E">
            <w:pPr>
              <w:rPr>
                <w:rFonts w:ascii="Arial" w:hAnsi="Arial" w:cs="Arial"/>
                <w:b/>
                <w:bCs/>
                <w:sz w:val="20"/>
                <w:szCs w:val="20"/>
              </w:rPr>
            </w:pPr>
          </w:p>
          <w:p w14:paraId="546BCD6B" w14:textId="732AE5A2" w:rsidR="00834375" w:rsidRPr="00E6635D" w:rsidRDefault="00834375" w:rsidP="0034061E">
            <w:pPr>
              <w:rPr>
                <w:rFonts w:ascii="Arial" w:hAnsi="Arial" w:cs="Arial"/>
                <w:b/>
                <w:bCs/>
                <w:sz w:val="20"/>
                <w:szCs w:val="20"/>
              </w:rPr>
            </w:pPr>
            <w:r w:rsidRPr="00834375">
              <w:rPr>
                <w:rFonts w:ascii="Arial" w:hAnsi="Arial" w:cs="Arial"/>
                <w:b/>
                <w:bCs/>
                <w:sz w:val="20"/>
                <w:szCs w:val="20"/>
              </w:rPr>
              <w:t>L04AE04</w:t>
            </w:r>
          </w:p>
        </w:tc>
        <w:tc>
          <w:tcPr>
            <w:tcW w:w="9355" w:type="dxa"/>
            <w:tcBorders>
              <w:top w:val="nil"/>
              <w:bottom w:val="single" w:sz="4" w:space="0" w:color="auto"/>
            </w:tcBorders>
          </w:tcPr>
          <w:p w14:paraId="76C7E261"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Ponesimod p.o. 2 mg</w:t>
            </w:r>
          </w:p>
          <w:p w14:paraId="6D448A90"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3 mg </w:t>
            </w:r>
          </w:p>
          <w:p w14:paraId="7984A2BB"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4 mg </w:t>
            </w:r>
          </w:p>
          <w:p w14:paraId="7063D9D7"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5 mg </w:t>
            </w:r>
          </w:p>
          <w:p w14:paraId="41A8FB53"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6 mg </w:t>
            </w:r>
          </w:p>
          <w:p w14:paraId="0ABE807D"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7 mg </w:t>
            </w:r>
          </w:p>
          <w:p w14:paraId="4953ED03"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8 mg </w:t>
            </w:r>
          </w:p>
          <w:p w14:paraId="33B86F5F"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 xml:space="preserve">Ponesimod p.o. 9 mg </w:t>
            </w:r>
          </w:p>
          <w:p w14:paraId="45955CD6"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Ponesimod p.o. 10 mg</w:t>
            </w:r>
          </w:p>
          <w:p w14:paraId="46B45E68" w14:textId="0E1768F8" w:rsidR="00834375" w:rsidRPr="00E6635D" w:rsidRDefault="005F5E63" w:rsidP="005F5E63">
            <w:pPr>
              <w:tabs>
                <w:tab w:val="left" w:pos="2560"/>
                <w:tab w:val="left" w:pos="2620"/>
                <w:tab w:val="left" w:pos="3500"/>
                <w:tab w:val="left" w:pos="3920"/>
              </w:tabs>
              <w:rPr>
                <w:rFonts w:ascii="Arial" w:hAnsi="Arial" w:cs="Arial"/>
                <w:b/>
                <w:bCs/>
                <w:sz w:val="20"/>
                <w:szCs w:val="20"/>
              </w:rPr>
            </w:pPr>
            <w:r w:rsidRPr="005F5E63">
              <w:rPr>
                <w:rFonts w:ascii="Arial" w:hAnsi="Arial" w:cs="Arial"/>
                <w:b/>
                <w:bCs/>
                <w:sz w:val="20"/>
                <w:szCs w:val="20"/>
              </w:rPr>
              <w:t>Ponesimod p.o. 20 mg</w:t>
            </w:r>
          </w:p>
        </w:tc>
      </w:tr>
      <w:tr w:rsidR="00834375" w:rsidRPr="0000591E" w14:paraId="51D7BA6E" w14:textId="77777777" w:rsidTr="00834375">
        <w:trPr>
          <w:trHeight w:val="20"/>
        </w:trPr>
        <w:tc>
          <w:tcPr>
            <w:tcW w:w="1277" w:type="dxa"/>
            <w:tcBorders>
              <w:top w:val="single" w:sz="4" w:space="0" w:color="auto"/>
              <w:bottom w:val="nil"/>
            </w:tcBorders>
            <w:noWrap/>
          </w:tcPr>
          <w:p w14:paraId="74A3A1F3" w14:textId="77777777" w:rsidR="00834375" w:rsidRPr="00E6635D" w:rsidRDefault="00834375" w:rsidP="0034061E">
            <w:pPr>
              <w:rPr>
                <w:rFonts w:ascii="Arial" w:hAnsi="Arial" w:cs="Arial"/>
                <w:b/>
                <w:bCs/>
                <w:sz w:val="20"/>
                <w:szCs w:val="20"/>
              </w:rPr>
            </w:pPr>
          </w:p>
        </w:tc>
        <w:tc>
          <w:tcPr>
            <w:tcW w:w="9355" w:type="dxa"/>
            <w:tcBorders>
              <w:top w:val="single" w:sz="4" w:space="0" w:color="auto"/>
              <w:bottom w:val="nil"/>
            </w:tcBorders>
          </w:tcPr>
          <w:p w14:paraId="438E3F31" w14:textId="77777777" w:rsidR="005F5E63" w:rsidRPr="005F5E63" w:rsidRDefault="005F5E63" w:rsidP="005F5E63">
            <w:pPr>
              <w:tabs>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Hradená liečba sa môže indikovať u pacientov s diagnózou relapsujúcich foriem RS podľa aktuálnych McDonaldových kritérií s aktivitou ochorenia definovanou klinickými alebo zobrazovacími metódami, ktorých neurologický deficit je do 4,0 EDSS vrátane. </w:t>
            </w:r>
          </w:p>
          <w:p w14:paraId="431B0FC5"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p>
          <w:p w14:paraId="0038D1A9"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Pre potvrdenie diagnózy SM je potrebné vyšetrenie likvoru.</w:t>
            </w:r>
          </w:p>
          <w:p w14:paraId="1ECFF2C0"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p>
          <w:p w14:paraId="2AA065A0"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 xml:space="preserve">Ďalšia liečba nie je hradenou liečbou, ak je zistené aspoň jedno z týchto kritérií: </w:t>
            </w:r>
          </w:p>
          <w:p w14:paraId="666783FD" w14:textId="4DF6B1CD" w:rsidR="005F5E63" w:rsidRPr="005F5E63" w:rsidRDefault="005F5E63" w:rsidP="005F5E63">
            <w:pPr>
              <w:tabs>
                <w:tab w:val="left" w:pos="321"/>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a) </w:t>
            </w:r>
            <w:r>
              <w:rPr>
                <w:rFonts w:ascii="Arial" w:hAnsi="Arial" w:cs="Arial"/>
                <w:bCs/>
                <w:sz w:val="20"/>
                <w:szCs w:val="20"/>
              </w:rPr>
              <w:tab/>
            </w:r>
            <w:r w:rsidRPr="005F5E63">
              <w:rPr>
                <w:rFonts w:ascii="Arial" w:hAnsi="Arial" w:cs="Arial"/>
                <w:bCs/>
                <w:sz w:val="20"/>
                <w:szCs w:val="20"/>
              </w:rPr>
              <w:t xml:space="preserve">progresia atrofie mozgu potvrdená volumetriou o viac ako 0,7% za rok, </w:t>
            </w:r>
          </w:p>
          <w:p w14:paraId="2C3F6B16" w14:textId="7EECEE1C" w:rsidR="005F5E63" w:rsidRPr="005F5E63" w:rsidRDefault="005F5E63" w:rsidP="005F5E63">
            <w:pPr>
              <w:tabs>
                <w:tab w:val="left" w:pos="160"/>
                <w:tab w:val="left" w:pos="310"/>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b)</w:t>
            </w:r>
            <w:r>
              <w:rPr>
                <w:rFonts w:ascii="Arial" w:hAnsi="Arial" w:cs="Arial"/>
                <w:bCs/>
                <w:sz w:val="20"/>
                <w:szCs w:val="20"/>
              </w:rPr>
              <w:tab/>
            </w:r>
            <w:r w:rsidRPr="005F5E63">
              <w:rPr>
                <w:rFonts w:ascii="Arial" w:hAnsi="Arial" w:cs="Arial"/>
                <w:bCs/>
                <w:sz w:val="20"/>
                <w:szCs w:val="20"/>
              </w:rPr>
              <w:t xml:space="preserve">zvýšenie plazmatickej hladiny neurofilamentov o viac ako 20 % v porovnaní s predchádzajúcim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F5E63">
              <w:rPr>
                <w:rFonts w:ascii="Arial" w:hAnsi="Arial" w:cs="Arial"/>
                <w:bCs/>
                <w:sz w:val="20"/>
                <w:szCs w:val="20"/>
              </w:rPr>
              <w:t xml:space="preserve">meraním, </w:t>
            </w:r>
          </w:p>
          <w:p w14:paraId="17FBED3B" w14:textId="29BA5D65" w:rsidR="005F5E63" w:rsidRPr="005F5E63" w:rsidRDefault="005F5E63" w:rsidP="005F5E63">
            <w:pPr>
              <w:tabs>
                <w:tab w:val="left" w:pos="300"/>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c) </w:t>
            </w:r>
            <w:r>
              <w:rPr>
                <w:rFonts w:ascii="Arial" w:hAnsi="Arial" w:cs="Arial"/>
                <w:bCs/>
                <w:sz w:val="20"/>
                <w:szCs w:val="20"/>
              </w:rPr>
              <w:tab/>
            </w:r>
            <w:r w:rsidRPr="005F5E63">
              <w:rPr>
                <w:rFonts w:ascii="Arial" w:hAnsi="Arial" w:cs="Arial"/>
                <w:bCs/>
                <w:sz w:val="20"/>
                <w:szCs w:val="20"/>
              </w:rPr>
              <w:t xml:space="preserve">v priebehu 12 mesiacov nezmenený alebo zvýšený počet relapsov ako na predchádzajúcej liečbe, </w:t>
            </w:r>
          </w:p>
          <w:p w14:paraId="36C8B9CA" w14:textId="0172F0B8" w:rsidR="005F5E63" w:rsidRPr="005F5E63" w:rsidRDefault="005F5E63" w:rsidP="005F5E63">
            <w:pPr>
              <w:tabs>
                <w:tab w:val="left" w:pos="300"/>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d) </w:t>
            </w:r>
            <w:r>
              <w:rPr>
                <w:rFonts w:ascii="Arial" w:hAnsi="Arial" w:cs="Arial"/>
                <w:bCs/>
                <w:sz w:val="20"/>
                <w:szCs w:val="20"/>
              </w:rPr>
              <w:tab/>
            </w:r>
            <w:r w:rsidRPr="005F5E63">
              <w:rPr>
                <w:rFonts w:ascii="Arial" w:hAnsi="Arial" w:cs="Arial"/>
                <w:bCs/>
                <w:sz w:val="20"/>
                <w:szCs w:val="20"/>
              </w:rPr>
              <w:t xml:space="preserve">zvýšenie EDSS o jeden stupeň v priebehu jedného roka, </w:t>
            </w:r>
          </w:p>
          <w:p w14:paraId="4D8C4D8D" w14:textId="29C5A38D" w:rsidR="005F5E63" w:rsidRPr="005F5E63" w:rsidRDefault="005F5E63" w:rsidP="005F5E63">
            <w:pPr>
              <w:tabs>
                <w:tab w:val="left" w:pos="321"/>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e) </w:t>
            </w:r>
            <w:r>
              <w:rPr>
                <w:rFonts w:ascii="Arial" w:hAnsi="Arial" w:cs="Arial"/>
                <w:bCs/>
                <w:sz w:val="20"/>
                <w:szCs w:val="20"/>
              </w:rPr>
              <w:tab/>
            </w:r>
            <w:r w:rsidRPr="005F5E63">
              <w:rPr>
                <w:rFonts w:ascii="Arial" w:hAnsi="Arial" w:cs="Arial"/>
                <w:bCs/>
                <w:sz w:val="20"/>
                <w:szCs w:val="20"/>
              </w:rPr>
              <w:t xml:space="preserve">pribudnutie 2 a viac T2 hyperintenzitných lézií alebo 1 a viac gadolíniom zvýrazňujúcich sa T1 lézií </w:t>
            </w:r>
            <w:r>
              <w:rPr>
                <w:rFonts w:ascii="Arial" w:hAnsi="Arial" w:cs="Arial"/>
                <w:bCs/>
                <w:sz w:val="20"/>
                <w:szCs w:val="20"/>
              </w:rPr>
              <w:tab/>
            </w:r>
            <w:r w:rsidRPr="005F5E63">
              <w:rPr>
                <w:rFonts w:ascii="Arial" w:hAnsi="Arial" w:cs="Arial"/>
                <w:bCs/>
                <w:sz w:val="20"/>
                <w:szCs w:val="20"/>
              </w:rPr>
              <w:t xml:space="preserve">za predchádzajúcich 12 mesiacov liečby, </w:t>
            </w:r>
          </w:p>
          <w:p w14:paraId="1A880BE4" w14:textId="3EBDF261" w:rsidR="005F5E63" w:rsidRPr="005F5E63" w:rsidRDefault="005F5E63" w:rsidP="005F5E63">
            <w:pPr>
              <w:tabs>
                <w:tab w:val="left" w:pos="290"/>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 xml:space="preserve">f) </w:t>
            </w:r>
            <w:r>
              <w:rPr>
                <w:rFonts w:ascii="Arial" w:hAnsi="Arial" w:cs="Arial"/>
                <w:bCs/>
                <w:sz w:val="20"/>
                <w:szCs w:val="20"/>
              </w:rPr>
              <w:tab/>
            </w:r>
            <w:r w:rsidRPr="005F5E63">
              <w:rPr>
                <w:rFonts w:ascii="Arial" w:hAnsi="Arial" w:cs="Arial"/>
                <w:bCs/>
                <w:sz w:val="20"/>
                <w:szCs w:val="20"/>
              </w:rPr>
              <w:t>EDSS 6 a viac.</w:t>
            </w:r>
          </w:p>
          <w:p w14:paraId="703CF25B"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p>
          <w:p w14:paraId="6D2A86AA" w14:textId="77777777" w:rsidR="005F5E63" w:rsidRPr="005F5E63" w:rsidRDefault="005F5E63" w:rsidP="005F5E63">
            <w:pPr>
              <w:tabs>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 </w:t>
            </w:r>
          </w:p>
          <w:p w14:paraId="137D2078"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Hradená liečba podlieha predchádzajúcemu súhlasu zdravotnej poisťovne.</w:t>
            </w:r>
          </w:p>
          <w:p w14:paraId="4488DECA" w14:textId="77777777" w:rsidR="00834375" w:rsidRPr="005F5E63" w:rsidRDefault="00834375" w:rsidP="00834375">
            <w:pPr>
              <w:tabs>
                <w:tab w:val="left" w:pos="2560"/>
                <w:tab w:val="left" w:pos="2620"/>
                <w:tab w:val="left" w:pos="3500"/>
                <w:tab w:val="left" w:pos="3920"/>
              </w:tabs>
              <w:rPr>
                <w:rFonts w:ascii="Arial" w:hAnsi="Arial" w:cs="Arial"/>
                <w:bCs/>
                <w:sz w:val="20"/>
                <w:szCs w:val="20"/>
              </w:rPr>
            </w:pPr>
          </w:p>
        </w:tc>
      </w:tr>
      <w:tr w:rsidR="00E6635D" w:rsidRPr="0000591E" w14:paraId="429939EB" w14:textId="77777777" w:rsidTr="00834375">
        <w:trPr>
          <w:trHeight w:val="20"/>
        </w:trPr>
        <w:tc>
          <w:tcPr>
            <w:tcW w:w="1277" w:type="dxa"/>
            <w:tcBorders>
              <w:top w:val="nil"/>
              <w:bottom w:val="single" w:sz="4" w:space="0" w:color="auto"/>
            </w:tcBorders>
            <w:noWrap/>
          </w:tcPr>
          <w:p w14:paraId="18272DB1" w14:textId="77777777" w:rsidR="00E6635D" w:rsidRPr="0000591E" w:rsidRDefault="00E6635D" w:rsidP="0034061E">
            <w:pPr>
              <w:rPr>
                <w:rFonts w:ascii="Arial" w:hAnsi="Arial" w:cs="Arial"/>
                <w:b/>
                <w:bCs/>
                <w:sz w:val="20"/>
                <w:szCs w:val="20"/>
              </w:rPr>
            </w:pPr>
            <w:r w:rsidRPr="00E6635D">
              <w:rPr>
                <w:rFonts w:ascii="Arial" w:hAnsi="Arial" w:cs="Arial"/>
                <w:b/>
                <w:bCs/>
                <w:sz w:val="20"/>
                <w:szCs w:val="20"/>
              </w:rPr>
              <w:t>L04AF08</w:t>
            </w:r>
          </w:p>
        </w:tc>
        <w:tc>
          <w:tcPr>
            <w:tcW w:w="9355" w:type="dxa"/>
            <w:tcBorders>
              <w:top w:val="nil"/>
              <w:bottom w:val="single" w:sz="4" w:space="0" w:color="auto"/>
            </w:tcBorders>
          </w:tcPr>
          <w:p w14:paraId="32109E64" w14:textId="737F308E" w:rsidR="00E6635D" w:rsidRPr="0000591E" w:rsidRDefault="00E6635D" w:rsidP="00834375">
            <w:pPr>
              <w:tabs>
                <w:tab w:val="left" w:pos="2560"/>
                <w:tab w:val="left" w:pos="2620"/>
                <w:tab w:val="left" w:pos="3500"/>
                <w:tab w:val="left" w:pos="3920"/>
              </w:tabs>
              <w:rPr>
                <w:rFonts w:ascii="Arial" w:hAnsi="Arial" w:cs="Arial"/>
                <w:b/>
                <w:bCs/>
                <w:sz w:val="20"/>
                <w:szCs w:val="20"/>
              </w:rPr>
            </w:pPr>
            <w:r w:rsidRPr="00E6635D">
              <w:rPr>
                <w:rFonts w:ascii="Arial" w:hAnsi="Arial" w:cs="Arial"/>
                <w:b/>
                <w:bCs/>
                <w:sz w:val="20"/>
                <w:szCs w:val="20"/>
              </w:rPr>
              <w:t>Ritlecitinib</w:t>
            </w:r>
            <w:r>
              <w:rPr>
                <w:rFonts w:ascii="Arial" w:hAnsi="Arial" w:cs="Arial"/>
                <w:b/>
                <w:bCs/>
                <w:sz w:val="20"/>
                <w:szCs w:val="20"/>
              </w:rPr>
              <w:t xml:space="preserve"> p.o. 50 mg </w:t>
            </w:r>
            <w:r w:rsidR="001757EA">
              <w:rPr>
                <w:rFonts w:ascii="Arial" w:hAnsi="Arial" w:cs="Arial"/>
                <w:b/>
                <w:bCs/>
                <w:sz w:val="20"/>
                <w:szCs w:val="20"/>
              </w:rPr>
              <w:tab/>
            </w:r>
            <w:r w:rsidR="00834375">
              <w:rPr>
                <w:rFonts w:ascii="Arial" w:hAnsi="Arial" w:cs="Arial"/>
                <w:b/>
                <w:bCs/>
                <w:sz w:val="20"/>
                <w:szCs w:val="20"/>
              </w:rPr>
              <w:tab/>
            </w:r>
            <w:r w:rsidR="00E4353A">
              <w:rPr>
                <w:rFonts w:ascii="Arial" w:hAnsi="Arial" w:cs="Arial"/>
                <w:b/>
                <w:bCs/>
                <w:sz w:val="20"/>
                <w:szCs w:val="20"/>
              </w:rPr>
              <w:tab/>
            </w:r>
            <w:r w:rsidR="001237BD">
              <w:rPr>
                <w:rFonts w:ascii="Arial" w:hAnsi="Arial" w:cs="Arial"/>
                <w:b/>
                <w:bCs/>
                <w:sz w:val="20"/>
                <w:szCs w:val="20"/>
              </w:rPr>
              <w:tab/>
            </w:r>
          </w:p>
        </w:tc>
      </w:tr>
      <w:tr w:rsidR="00E6635D" w:rsidRPr="0000591E" w14:paraId="46BD353E" w14:textId="77777777" w:rsidTr="00670FEC">
        <w:trPr>
          <w:trHeight w:val="20"/>
        </w:trPr>
        <w:tc>
          <w:tcPr>
            <w:tcW w:w="1277" w:type="dxa"/>
            <w:tcBorders>
              <w:top w:val="single" w:sz="4" w:space="0" w:color="auto"/>
              <w:bottom w:val="single" w:sz="4" w:space="0" w:color="BFBFBF" w:themeColor="background1" w:themeShade="BF"/>
            </w:tcBorders>
            <w:noWrap/>
          </w:tcPr>
          <w:p w14:paraId="0B4FD32D" w14:textId="77777777" w:rsidR="00E6635D" w:rsidRPr="0000591E" w:rsidRDefault="00E6635D" w:rsidP="0034061E">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106520EB" w14:textId="77777777" w:rsidR="005D598A" w:rsidRDefault="00E6635D" w:rsidP="005D598A">
            <w:pPr>
              <w:jc w:val="both"/>
              <w:rPr>
                <w:rFonts w:ascii="Arial" w:hAnsi="Arial" w:cs="Arial"/>
                <w:bCs/>
                <w:sz w:val="20"/>
                <w:szCs w:val="20"/>
              </w:rPr>
            </w:pPr>
            <w:r w:rsidRPr="00E6635D">
              <w:rPr>
                <w:rFonts w:ascii="Arial" w:hAnsi="Arial" w:cs="Arial"/>
                <w:bCs/>
                <w:sz w:val="20"/>
                <w:szCs w:val="20"/>
              </w:rPr>
              <w:t xml:space="preserve">Hradená liečba sa môže indikovať dospelým a dospievajúcim vo veku 12 rokov a starším na liečbu ťažkej alopecie areata, ktorí sú kandidátmi na systémovú liečbu. Kandidátmi na systémovú liečbu sú pacienti, u ktorých pri liečbe topickými kortikosteroidmi nedošlo k zlepšeniu stavu, alebo nie sú na liečbu topickými kortikosteroidmi vhodní. </w:t>
            </w:r>
          </w:p>
          <w:p w14:paraId="12AC9A5C" w14:textId="77777777" w:rsidR="00E6635D" w:rsidRDefault="00E6635D" w:rsidP="005D598A">
            <w:pPr>
              <w:jc w:val="both"/>
              <w:rPr>
                <w:rFonts w:ascii="Arial" w:hAnsi="Arial" w:cs="Arial"/>
                <w:bCs/>
                <w:sz w:val="20"/>
                <w:szCs w:val="20"/>
              </w:rPr>
            </w:pPr>
            <w:r w:rsidRPr="00E6635D">
              <w:rPr>
                <w:rFonts w:ascii="Arial" w:hAnsi="Arial" w:cs="Arial"/>
                <w:bCs/>
                <w:sz w:val="20"/>
                <w:szCs w:val="20"/>
              </w:rPr>
              <w:t xml:space="preserve">Ďalšia liečba nie je hradenou liečbou u pacientov, ktorí po 36 týždňoch nedosiahnu skóre SALT 20 alebo menej. </w:t>
            </w:r>
          </w:p>
          <w:p w14:paraId="02AA7DBD" w14:textId="77777777" w:rsidR="00E6635D" w:rsidRPr="00E6635D" w:rsidRDefault="00E6635D" w:rsidP="00E6635D">
            <w:pPr>
              <w:rPr>
                <w:rFonts w:ascii="Arial" w:hAnsi="Arial" w:cs="Arial"/>
                <w:bCs/>
                <w:sz w:val="20"/>
                <w:szCs w:val="20"/>
              </w:rPr>
            </w:pPr>
          </w:p>
          <w:p w14:paraId="61A6659E" w14:textId="77777777" w:rsidR="00E6635D" w:rsidRDefault="00E6635D" w:rsidP="00E6635D">
            <w:pPr>
              <w:rPr>
                <w:rFonts w:ascii="Arial" w:hAnsi="Arial" w:cs="Arial"/>
                <w:bCs/>
                <w:sz w:val="20"/>
                <w:szCs w:val="20"/>
              </w:rPr>
            </w:pPr>
            <w:r w:rsidRPr="00E6635D">
              <w:rPr>
                <w:rFonts w:ascii="Arial" w:hAnsi="Arial" w:cs="Arial"/>
                <w:bCs/>
                <w:sz w:val="20"/>
                <w:szCs w:val="20"/>
              </w:rPr>
              <w:t>Hradená liečba podlieha predchádzajúcemu súhlasu zdravotnej poisťovne.</w:t>
            </w:r>
          </w:p>
          <w:p w14:paraId="479553D0" w14:textId="77777777" w:rsidR="00E6635D" w:rsidRPr="0000591E" w:rsidRDefault="00E6635D" w:rsidP="00E6635D">
            <w:pPr>
              <w:rPr>
                <w:rFonts w:ascii="Arial" w:hAnsi="Arial" w:cs="Arial"/>
                <w:b/>
                <w:bCs/>
                <w:sz w:val="20"/>
                <w:szCs w:val="20"/>
              </w:rPr>
            </w:pPr>
          </w:p>
        </w:tc>
      </w:tr>
      <w:tr w:rsidR="00806651" w:rsidRPr="0000591E" w14:paraId="74A18989" w14:textId="77777777" w:rsidTr="00670FEC">
        <w:trPr>
          <w:trHeight w:val="20"/>
        </w:trPr>
        <w:tc>
          <w:tcPr>
            <w:tcW w:w="1277" w:type="dxa"/>
            <w:tcBorders>
              <w:bottom w:val="single" w:sz="4" w:space="0" w:color="auto"/>
            </w:tcBorders>
            <w:noWrap/>
          </w:tcPr>
          <w:p w14:paraId="63B06DD4" w14:textId="77777777" w:rsidR="00806651" w:rsidRPr="0000591E" w:rsidRDefault="00806651" w:rsidP="0034061E">
            <w:pPr>
              <w:rPr>
                <w:rFonts w:ascii="Arial" w:hAnsi="Arial" w:cs="Arial"/>
                <w:b/>
                <w:bCs/>
                <w:sz w:val="20"/>
                <w:szCs w:val="20"/>
                <w:lang w:eastAsia="cs-CZ"/>
              </w:rPr>
            </w:pPr>
            <w:r w:rsidRPr="0000591E">
              <w:rPr>
                <w:rFonts w:ascii="Arial" w:hAnsi="Arial" w:cs="Arial"/>
                <w:b/>
                <w:bCs/>
                <w:sz w:val="20"/>
                <w:szCs w:val="20"/>
              </w:rPr>
              <w:t>L04A</w:t>
            </w:r>
            <w:r w:rsidR="0034061E">
              <w:rPr>
                <w:rFonts w:ascii="Arial" w:hAnsi="Arial" w:cs="Arial"/>
                <w:b/>
                <w:bCs/>
                <w:sz w:val="20"/>
                <w:szCs w:val="20"/>
              </w:rPr>
              <w:t>G0</w:t>
            </w:r>
            <w:r w:rsidRPr="0000591E">
              <w:rPr>
                <w:rFonts w:ascii="Arial" w:hAnsi="Arial" w:cs="Arial"/>
                <w:b/>
                <w:bCs/>
                <w:sz w:val="20"/>
                <w:szCs w:val="20"/>
              </w:rPr>
              <w:t>3</w:t>
            </w:r>
          </w:p>
        </w:tc>
        <w:tc>
          <w:tcPr>
            <w:tcW w:w="9355" w:type="dxa"/>
            <w:tcBorders>
              <w:bottom w:val="single" w:sz="4" w:space="0" w:color="auto"/>
            </w:tcBorders>
          </w:tcPr>
          <w:p w14:paraId="027243D9" w14:textId="77777777"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Natalizumab parent.</w:t>
            </w:r>
            <w:r w:rsidR="00180E41">
              <w:rPr>
                <w:rFonts w:ascii="Arial" w:hAnsi="Arial" w:cs="Arial"/>
                <w:b/>
                <w:bCs/>
                <w:sz w:val="20"/>
                <w:szCs w:val="20"/>
              </w:rPr>
              <w:t xml:space="preserve"> 300 mg</w:t>
            </w:r>
          </w:p>
        </w:tc>
      </w:tr>
      <w:tr w:rsidR="00806651" w:rsidRPr="0000591E" w14:paraId="3FD7C129" w14:textId="77777777" w:rsidTr="00670FEC">
        <w:trPr>
          <w:trHeight w:val="20"/>
        </w:trPr>
        <w:tc>
          <w:tcPr>
            <w:tcW w:w="1277" w:type="dxa"/>
            <w:tcBorders>
              <w:top w:val="single" w:sz="4" w:space="0" w:color="auto"/>
            </w:tcBorders>
            <w:noWrap/>
          </w:tcPr>
          <w:p w14:paraId="74264554"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tcBorders>
          </w:tcPr>
          <w:p w14:paraId="7B3EA252" w14:textId="77777777" w:rsidR="00806651" w:rsidRPr="003A14E9" w:rsidRDefault="00806651" w:rsidP="00806651">
            <w:pPr>
              <w:jc w:val="both"/>
              <w:rPr>
                <w:rFonts w:ascii="Arial" w:hAnsi="Arial" w:cs="Arial"/>
                <w:sz w:val="20"/>
                <w:szCs w:val="20"/>
              </w:rPr>
            </w:pPr>
            <w:r w:rsidRPr="003A14E9">
              <w:rPr>
                <w:rFonts w:ascii="Arial" w:hAnsi="Arial" w:cs="Arial"/>
                <w:sz w:val="20"/>
                <w:szCs w:val="20"/>
              </w:rPr>
              <w:t xml:space="preserve">Hradená liečba sa môže indikovať: </w:t>
            </w:r>
          </w:p>
          <w:p w14:paraId="2CE618E7" w14:textId="77777777" w:rsidR="00806651" w:rsidRPr="003A14E9" w:rsidRDefault="00806651">
            <w:pPr>
              <w:numPr>
                <w:ilvl w:val="0"/>
                <w:numId w:val="103"/>
              </w:numPr>
              <w:jc w:val="both"/>
              <w:rPr>
                <w:rFonts w:ascii="Arial" w:hAnsi="Arial" w:cs="Arial"/>
                <w:sz w:val="20"/>
                <w:szCs w:val="20"/>
              </w:rPr>
            </w:pPr>
            <w:r w:rsidRPr="003A14E9">
              <w:rPr>
                <w:rFonts w:ascii="Arial" w:hAnsi="Arial" w:cs="Arial"/>
                <w:sz w:val="20"/>
                <w:szCs w:val="20"/>
              </w:rPr>
              <w:t xml:space="preserve">u pacientov s diagnózou relapsujúco-remitujúcej formy SM podľa McDonaldových kritérií (2010), ak ich neurologický deficit je do 5,0 EDSS vrátane a u ktorých zlyhala plná a adekvátna imunomodulačná liečba (obvykle najmenej jeden rok podávania) minimálne dvomi liekmi prvej línie s rozdielnym mechanizmom účinku. U týchto pacientov sa napriek imunomodulačnej liečbe minimálne dvomi liekmi prvej línie s rozdielnym mechanizmom účinku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 </w:t>
            </w:r>
          </w:p>
          <w:p w14:paraId="12562C2A" w14:textId="77777777" w:rsidR="00806651" w:rsidRPr="003A14E9" w:rsidRDefault="00806651">
            <w:pPr>
              <w:numPr>
                <w:ilvl w:val="0"/>
                <w:numId w:val="103"/>
              </w:numPr>
              <w:jc w:val="both"/>
              <w:rPr>
                <w:rFonts w:ascii="Arial" w:hAnsi="Arial" w:cs="Arial"/>
                <w:sz w:val="20"/>
                <w:szCs w:val="20"/>
              </w:rPr>
            </w:pPr>
            <w:r w:rsidRPr="003A14E9">
              <w:rPr>
                <w:rFonts w:ascii="Arial" w:hAnsi="Arial" w:cs="Arial"/>
                <w:sz w:val="20"/>
                <w:szCs w:val="20"/>
              </w:rPr>
              <w:t xml:space="preserve">u dospelých pacientov nad 18 rokov s rýchlo sa vyvíjajúcou závažnou relapsujúco-remitujúcou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Pre potvrdenie diagnózy SM je potrebné vyšetrenie likvoru. </w:t>
            </w:r>
          </w:p>
          <w:p w14:paraId="0EE8FD5C" w14:textId="77777777" w:rsidR="00806651" w:rsidRPr="003A14E9" w:rsidRDefault="00806651" w:rsidP="00806651">
            <w:pPr>
              <w:jc w:val="both"/>
              <w:rPr>
                <w:rFonts w:ascii="Arial" w:hAnsi="Arial" w:cs="Arial"/>
                <w:sz w:val="20"/>
                <w:szCs w:val="20"/>
              </w:rPr>
            </w:pPr>
            <w:r w:rsidRPr="003A14E9">
              <w:rPr>
                <w:rFonts w:ascii="Arial" w:hAnsi="Arial" w:cs="Arial"/>
                <w:sz w:val="20"/>
                <w:szCs w:val="20"/>
              </w:rPr>
              <w:t xml:space="preserve">Ďalšia liečba nie je hradenou liečbou, ak je zistené aspoň jedno z týchto kritérií: </w:t>
            </w:r>
          </w:p>
          <w:p w14:paraId="1B4C6B72" w14:textId="77777777" w:rsidR="00806651" w:rsidRPr="003A14E9" w:rsidRDefault="00806651">
            <w:pPr>
              <w:numPr>
                <w:ilvl w:val="0"/>
                <w:numId w:val="104"/>
              </w:numPr>
              <w:jc w:val="both"/>
              <w:rPr>
                <w:rFonts w:ascii="Arial" w:hAnsi="Arial" w:cs="Arial"/>
                <w:sz w:val="20"/>
                <w:szCs w:val="20"/>
              </w:rPr>
            </w:pPr>
            <w:r w:rsidRPr="003A14E9">
              <w:rPr>
                <w:rFonts w:ascii="Arial" w:hAnsi="Arial" w:cs="Arial"/>
                <w:sz w:val="20"/>
                <w:szCs w:val="20"/>
              </w:rPr>
              <w:t xml:space="preserve">v priebehu 12 mesiacov nezmenený alebo zvýšený počet relapsov ako na predchádzajúcej liečbe, </w:t>
            </w:r>
          </w:p>
          <w:p w14:paraId="5DC2B0A8" w14:textId="77777777" w:rsidR="00806651" w:rsidRPr="003A14E9" w:rsidRDefault="00806651">
            <w:pPr>
              <w:numPr>
                <w:ilvl w:val="0"/>
                <w:numId w:val="104"/>
              </w:numPr>
              <w:jc w:val="both"/>
              <w:rPr>
                <w:rFonts w:ascii="Arial" w:hAnsi="Arial" w:cs="Arial"/>
                <w:sz w:val="20"/>
                <w:szCs w:val="20"/>
              </w:rPr>
            </w:pPr>
            <w:r w:rsidRPr="003A14E9">
              <w:rPr>
                <w:rFonts w:ascii="Arial" w:hAnsi="Arial" w:cs="Arial"/>
                <w:sz w:val="20"/>
                <w:szCs w:val="20"/>
              </w:rPr>
              <w:t xml:space="preserve">zvýšenie EDSS o jeden stupeň v priebehu jedného roka, </w:t>
            </w:r>
          </w:p>
          <w:p w14:paraId="10FFF85F" w14:textId="77777777" w:rsidR="00806651" w:rsidRDefault="00806651">
            <w:pPr>
              <w:numPr>
                <w:ilvl w:val="0"/>
                <w:numId w:val="104"/>
              </w:numPr>
              <w:jc w:val="both"/>
              <w:rPr>
                <w:rFonts w:ascii="Arial" w:hAnsi="Arial" w:cs="Arial"/>
                <w:sz w:val="20"/>
                <w:szCs w:val="20"/>
              </w:rPr>
            </w:pPr>
            <w:r w:rsidRPr="003A14E9">
              <w:rPr>
                <w:rFonts w:ascii="Arial" w:hAnsi="Arial" w:cs="Arial"/>
                <w:sz w:val="20"/>
                <w:szCs w:val="20"/>
              </w:rPr>
              <w:t xml:space="preserve">pribudnutie 2 a viac T2 hyperintenzitných lézií alebo 1 a viac gadolíniom zvýrazňujúcich sa T1 lézií za predchádzajúcich 12 mesiacov liečby, </w:t>
            </w:r>
          </w:p>
          <w:p w14:paraId="46E81819" w14:textId="77777777" w:rsidR="00806651" w:rsidRPr="003A14E9" w:rsidRDefault="00806651">
            <w:pPr>
              <w:numPr>
                <w:ilvl w:val="0"/>
                <w:numId w:val="104"/>
              </w:numPr>
              <w:jc w:val="both"/>
              <w:rPr>
                <w:rFonts w:ascii="Arial" w:hAnsi="Arial" w:cs="Arial"/>
                <w:sz w:val="20"/>
                <w:szCs w:val="20"/>
              </w:rPr>
            </w:pPr>
            <w:r w:rsidRPr="003A14E9">
              <w:rPr>
                <w:rFonts w:ascii="Arial" w:hAnsi="Arial" w:cs="Arial"/>
                <w:sz w:val="20"/>
                <w:szCs w:val="20"/>
              </w:rPr>
              <w:t>EDSS 6 a viac.</w:t>
            </w:r>
          </w:p>
          <w:p w14:paraId="50F14AC7" w14:textId="77777777" w:rsidR="00806651" w:rsidRDefault="00806651" w:rsidP="00806651">
            <w:pPr>
              <w:jc w:val="both"/>
              <w:rPr>
                <w:rFonts w:ascii="Arial" w:hAnsi="Arial" w:cs="Arial"/>
                <w:sz w:val="20"/>
                <w:szCs w:val="20"/>
              </w:rPr>
            </w:pPr>
          </w:p>
          <w:p w14:paraId="53CE8A03" w14:textId="77777777" w:rsidR="00806651" w:rsidRDefault="00806651" w:rsidP="00D46E8E">
            <w:pPr>
              <w:jc w:val="both"/>
              <w:rPr>
                <w:rFonts w:ascii="Arial" w:hAnsi="Arial" w:cs="Arial"/>
                <w:sz w:val="20"/>
                <w:szCs w:val="20"/>
              </w:rPr>
            </w:pPr>
            <w:r>
              <w:rPr>
                <w:rFonts w:ascii="Arial" w:hAnsi="Arial" w:cs="Arial"/>
                <w:sz w:val="20"/>
                <w:szCs w:val="2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w:t>
            </w:r>
            <w:r w:rsidRPr="003C7DFA">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34061E">
              <w:rPr>
                <w:rFonts w:ascii="Arial" w:hAnsi="Arial" w:cs="Arial"/>
                <w:sz w:val="20"/>
                <w:szCs w:val="20"/>
              </w:rPr>
              <w:t xml:space="preserve"> </w:t>
            </w:r>
            <w:r w:rsidR="0034061E" w:rsidRPr="0034061E">
              <w:rPr>
                <w:rFonts w:ascii="Arial" w:hAnsi="Arial" w:cs="Arial"/>
                <w:sz w:val="20"/>
                <w:szCs w:val="20"/>
              </w:rPr>
              <w:t>na Špecializovanej neurologickej ambulancii, Liptovská nemocnica s poliklinikou MUDr. Ivana Stodolu Liptovský Mikuláš</w:t>
            </w:r>
            <w:r w:rsidR="00D46E8E">
              <w:rPr>
                <w:rFonts w:ascii="Arial" w:hAnsi="Arial" w:cs="Arial"/>
                <w:sz w:val="20"/>
                <w:szCs w:val="20"/>
              </w:rPr>
              <w:t xml:space="preserve">, </w:t>
            </w:r>
            <w:r w:rsidR="00D46E8E" w:rsidRPr="00D46E8E">
              <w:rPr>
                <w:rFonts w:ascii="Arial" w:hAnsi="Arial" w:cs="Arial"/>
                <w:sz w:val="20"/>
                <w:szCs w:val="20"/>
              </w:rPr>
              <w:t>na Neurologickom oddelení Nemocnice AGEL Levoča a.s. a na Špecializovanej neurologickej ambulancii Nemocnice AGEL Komárno s.r.o.</w:t>
            </w:r>
            <w:r w:rsidR="00D46E8E">
              <w:rPr>
                <w:rFonts w:ascii="Arial" w:hAnsi="Arial" w:cs="Arial"/>
                <w:sz w:val="20"/>
                <w:szCs w:val="20"/>
              </w:rPr>
              <w:t>.</w:t>
            </w:r>
          </w:p>
          <w:p w14:paraId="35916723" w14:textId="77777777" w:rsidR="00D46E8E" w:rsidRDefault="00D46E8E" w:rsidP="00D46E8E">
            <w:pPr>
              <w:jc w:val="both"/>
              <w:rPr>
                <w:rFonts w:ascii="Arial" w:hAnsi="Arial" w:cs="Arial"/>
                <w:sz w:val="20"/>
                <w:szCs w:val="20"/>
              </w:rPr>
            </w:pPr>
          </w:p>
          <w:p w14:paraId="262E7F96" w14:textId="77777777" w:rsidR="00806651" w:rsidRDefault="00806651" w:rsidP="00806651">
            <w:pPr>
              <w:jc w:val="both"/>
              <w:rPr>
                <w:rFonts w:ascii="Arial" w:hAnsi="Arial" w:cs="Arial"/>
                <w:sz w:val="20"/>
                <w:szCs w:val="20"/>
              </w:rPr>
            </w:pPr>
            <w:r>
              <w:rPr>
                <w:rFonts w:ascii="Arial" w:hAnsi="Arial" w:cs="Arial"/>
                <w:sz w:val="20"/>
                <w:szCs w:val="20"/>
              </w:rPr>
              <w:t>Hradená liečba podlieha predchádzajúcemu súhlasu zdravotnej poisťovne.</w:t>
            </w:r>
          </w:p>
          <w:p w14:paraId="2E698F6C" w14:textId="77777777" w:rsidR="00BD4717" w:rsidRPr="0000591E" w:rsidRDefault="00BD4717" w:rsidP="00806651">
            <w:pPr>
              <w:jc w:val="both"/>
              <w:rPr>
                <w:rFonts w:ascii="Arial" w:hAnsi="Arial" w:cs="Arial"/>
                <w:sz w:val="20"/>
              </w:rPr>
            </w:pPr>
          </w:p>
          <w:p w14:paraId="60E1571C" w14:textId="77777777" w:rsidR="00806651" w:rsidRPr="0000591E" w:rsidRDefault="00806651" w:rsidP="00806651">
            <w:pPr>
              <w:jc w:val="both"/>
              <w:rPr>
                <w:rFonts w:ascii="Arial" w:hAnsi="Arial" w:cs="Arial"/>
                <w:sz w:val="20"/>
                <w:szCs w:val="20"/>
              </w:rPr>
            </w:pPr>
          </w:p>
        </w:tc>
      </w:tr>
      <w:tr w:rsidR="00592493" w:rsidRPr="0000591E" w14:paraId="5A602D6C" w14:textId="77777777" w:rsidTr="00670FEC">
        <w:trPr>
          <w:trHeight w:val="20"/>
        </w:trPr>
        <w:tc>
          <w:tcPr>
            <w:tcW w:w="1277" w:type="dxa"/>
            <w:noWrap/>
          </w:tcPr>
          <w:p w14:paraId="531A22A0" w14:textId="77777777" w:rsidR="00592493" w:rsidRPr="0000591E" w:rsidRDefault="00592493" w:rsidP="00951563">
            <w:pPr>
              <w:jc w:val="both"/>
              <w:rPr>
                <w:rFonts w:ascii="Arial" w:hAnsi="Arial" w:cs="Arial"/>
                <w:b/>
                <w:bCs/>
                <w:sz w:val="20"/>
                <w:szCs w:val="20"/>
              </w:rPr>
            </w:pPr>
            <w:r w:rsidRPr="00592493">
              <w:rPr>
                <w:rFonts w:ascii="Arial" w:hAnsi="Arial" w:cs="Arial"/>
                <w:b/>
                <w:bCs/>
                <w:sz w:val="20"/>
                <w:szCs w:val="20"/>
              </w:rPr>
              <w:t>L04A</w:t>
            </w:r>
            <w:r w:rsidR="00951563">
              <w:rPr>
                <w:rFonts w:ascii="Arial" w:hAnsi="Arial" w:cs="Arial"/>
                <w:b/>
                <w:bCs/>
                <w:sz w:val="20"/>
                <w:szCs w:val="20"/>
              </w:rPr>
              <w:t>G0</w:t>
            </w:r>
            <w:r w:rsidRPr="00592493">
              <w:rPr>
                <w:rFonts w:ascii="Arial" w:hAnsi="Arial" w:cs="Arial"/>
                <w:b/>
                <w:bCs/>
                <w:sz w:val="20"/>
                <w:szCs w:val="20"/>
              </w:rPr>
              <w:t>3</w:t>
            </w:r>
          </w:p>
        </w:tc>
        <w:tc>
          <w:tcPr>
            <w:tcW w:w="9355" w:type="dxa"/>
          </w:tcPr>
          <w:p w14:paraId="2CAF4112" w14:textId="77777777" w:rsidR="00592493" w:rsidRPr="0000591E" w:rsidRDefault="003E2202" w:rsidP="00592493">
            <w:pPr>
              <w:rPr>
                <w:b/>
                <w:bCs/>
              </w:rPr>
            </w:pPr>
            <w:r>
              <w:rPr>
                <w:rFonts w:ascii="Arial" w:hAnsi="Arial" w:cs="Arial"/>
                <w:b/>
                <w:bCs/>
                <w:sz w:val="20"/>
                <w:szCs w:val="20"/>
                <w:lang w:eastAsia="cs-CZ"/>
              </w:rPr>
              <w:t>Natalizumab parent</w:t>
            </w:r>
            <w:r w:rsidR="00592493" w:rsidRPr="00592493">
              <w:rPr>
                <w:rFonts w:ascii="Arial" w:hAnsi="Arial" w:cs="Arial"/>
                <w:b/>
                <w:bCs/>
                <w:sz w:val="20"/>
                <w:szCs w:val="20"/>
                <w:lang w:eastAsia="cs-CZ"/>
              </w:rPr>
              <w:t xml:space="preserve">. 150 mg </w:t>
            </w:r>
          </w:p>
        </w:tc>
      </w:tr>
      <w:tr w:rsidR="00592493" w:rsidRPr="0000591E" w14:paraId="1D0EC554" w14:textId="77777777" w:rsidTr="00A47A3C">
        <w:trPr>
          <w:trHeight w:val="20"/>
        </w:trPr>
        <w:tc>
          <w:tcPr>
            <w:tcW w:w="1277" w:type="dxa"/>
            <w:tcBorders>
              <w:bottom w:val="single" w:sz="4" w:space="0" w:color="BFBFBF" w:themeColor="background1" w:themeShade="BF"/>
            </w:tcBorders>
            <w:noWrap/>
          </w:tcPr>
          <w:p w14:paraId="36BB78ED" w14:textId="77777777" w:rsidR="00592493" w:rsidRDefault="00592493" w:rsidP="00806651">
            <w:pPr>
              <w:jc w:val="both"/>
              <w:rPr>
                <w:rFonts w:ascii="Arial" w:hAnsi="Arial" w:cs="Arial"/>
                <w:b/>
                <w:bCs/>
                <w:sz w:val="20"/>
                <w:szCs w:val="20"/>
              </w:rPr>
            </w:pPr>
          </w:p>
          <w:p w14:paraId="511AFD21" w14:textId="77777777" w:rsidR="00592493" w:rsidRDefault="00592493" w:rsidP="00806651">
            <w:pPr>
              <w:jc w:val="both"/>
              <w:rPr>
                <w:rFonts w:ascii="Arial" w:hAnsi="Arial" w:cs="Arial"/>
                <w:b/>
                <w:bCs/>
                <w:sz w:val="20"/>
                <w:szCs w:val="20"/>
              </w:rPr>
            </w:pPr>
          </w:p>
          <w:p w14:paraId="136DBD72" w14:textId="77777777" w:rsidR="00592493" w:rsidRDefault="00592493" w:rsidP="00806651">
            <w:pPr>
              <w:jc w:val="both"/>
              <w:rPr>
                <w:rFonts w:ascii="Arial" w:hAnsi="Arial" w:cs="Arial"/>
                <w:b/>
                <w:bCs/>
                <w:sz w:val="20"/>
                <w:szCs w:val="20"/>
              </w:rPr>
            </w:pPr>
          </w:p>
          <w:p w14:paraId="74098BD0" w14:textId="77777777" w:rsidR="00592493" w:rsidRDefault="00592493" w:rsidP="00806651">
            <w:pPr>
              <w:jc w:val="both"/>
              <w:rPr>
                <w:rFonts w:ascii="Arial" w:hAnsi="Arial" w:cs="Arial"/>
                <w:b/>
                <w:bCs/>
                <w:sz w:val="20"/>
                <w:szCs w:val="20"/>
              </w:rPr>
            </w:pPr>
          </w:p>
          <w:p w14:paraId="2D459CC1" w14:textId="77777777" w:rsidR="00592493" w:rsidRPr="0000591E" w:rsidRDefault="00592493" w:rsidP="00806651">
            <w:pPr>
              <w:jc w:val="both"/>
              <w:rPr>
                <w:rFonts w:ascii="Arial" w:hAnsi="Arial" w:cs="Arial"/>
                <w:b/>
                <w:bCs/>
                <w:sz w:val="20"/>
                <w:szCs w:val="20"/>
              </w:rPr>
            </w:pPr>
          </w:p>
        </w:tc>
        <w:tc>
          <w:tcPr>
            <w:tcW w:w="9355" w:type="dxa"/>
            <w:tcBorders>
              <w:bottom w:val="single" w:sz="4" w:space="0" w:color="BFBFBF" w:themeColor="background1" w:themeShade="BF"/>
            </w:tcBorders>
          </w:tcPr>
          <w:p w14:paraId="629B6B0F" w14:textId="77777777" w:rsidR="00592493" w:rsidRPr="00592493" w:rsidRDefault="00592493" w:rsidP="00592493">
            <w:pPr>
              <w:jc w:val="both"/>
              <w:rPr>
                <w:rFonts w:ascii="Arial" w:hAnsi="Arial" w:cs="Arial"/>
                <w:sz w:val="20"/>
                <w:szCs w:val="20"/>
              </w:rPr>
            </w:pPr>
            <w:r w:rsidRPr="00592493">
              <w:rPr>
                <w:rFonts w:ascii="Arial" w:hAnsi="Arial" w:cs="Arial"/>
                <w:sz w:val="20"/>
                <w:szCs w:val="20"/>
              </w:rPr>
              <w:t xml:space="preserve">Hradená liečba sa môže indikovať: </w:t>
            </w:r>
          </w:p>
          <w:p w14:paraId="7F66FB35" w14:textId="77777777" w:rsidR="00592493" w:rsidRPr="00592493" w:rsidRDefault="00592493">
            <w:pPr>
              <w:pStyle w:val="Odsekzoznamu"/>
              <w:numPr>
                <w:ilvl w:val="0"/>
                <w:numId w:val="117"/>
              </w:numPr>
              <w:spacing w:after="0" w:line="240" w:lineRule="auto"/>
              <w:rPr>
                <w:rFonts w:ascii="Arial" w:hAnsi="Arial" w:cs="Arial"/>
                <w:sz w:val="20"/>
                <w:szCs w:val="20"/>
              </w:rPr>
            </w:pPr>
            <w:r w:rsidRPr="00592493">
              <w:rPr>
                <w:rFonts w:ascii="Arial" w:hAnsi="Arial" w:cs="Arial"/>
                <w:sz w:val="20"/>
                <w:szCs w:val="20"/>
              </w:rPr>
              <w:t>u pacientov s diagnózou relapsujúco-remitujúcej formy SM podľa McDonaldových kritérií (2010), ak ich neurologický deficit je do 5,0 EDSS vrátane a u ktorých zlyhala plná a adekvátna imunomodulačná liečba (obvykle najmenej jeden rok podávania) minimálne dvomi liekmi prvej línie s rozdielnym mechanizmom účinku. U týchto pacientov sa napriek imun</w:t>
            </w:r>
            <w:r w:rsidR="004F5CBB">
              <w:rPr>
                <w:rFonts w:ascii="Arial" w:hAnsi="Arial" w:cs="Arial"/>
                <w:sz w:val="20"/>
                <w:szCs w:val="20"/>
              </w:rPr>
              <w:t>omodulačnej liečbe minimálne dvo</w:t>
            </w:r>
            <w:r w:rsidRPr="00592493">
              <w:rPr>
                <w:rFonts w:ascii="Arial" w:hAnsi="Arial" w:cs="Arial"/>
                <w:sz w:val="20"/>
                <w:szCs w:val="20"/>
              </w:rPr>
              <w:t xml:space="preserve">mi liekmi prvej línie s rozdielnym mechanizmom účinku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 </w:t>
            </w:r>
          </w:p>
          <w:p w14:paraId="2CC01B83" w14:textId="77777777" w:rsidR="00592493" w:rsidRPr="00592493" w:rsidRDefault="00592493">
            <w:pPr>
              <w:pStyle w:val="Odsekzoznamu"/>
              <w:numPr>
                <w:ilvl w:val="0"/>
                <w:numId w:val="117"/>
              </w:numPr>
              <w:spacing w:after="0" w:line="240" w:lineRule="auto"/>
              <w:rPr>
                <w:rFonts w:ascii="Arial" w:hAnsi="Arial" w:cs="Arial"/>
                <w:sz w:val="20"/>
                <w:szCs w:val="20"/>
              </w:rPr>
            </w:pPr>
            <w:r w:rsidRPr="00592493">
              <w:rPr>
                <w:rFonts w:ascii="Arial" w:hAnsi="Arial" w:cs="Arial"/>
                <w:sz w:val="20"/>
                <w:szCs w:val="20"/>
              </w:rPr>
              <w:t xml:space="preserve">u dospelých pacientov nad 18 rokov s rýchlo sa vyvíjajúcou závažnou relapsujúco-remitujúcou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Pre potvrdenie diagnózy SM je potrebné vyšetrenie likvoru. </w:t>
            </w:r>
          </w:p>
          <w:p w14:paraId="60EC42C9" w14:textId="77777777" w:rsidR="00592493" w:rsidRPr="00592493" w:rsidRDefault="00592493" w:rsidP="00592493">
            <w:pPr>
              <w:ind w:left="360"/>
              <w:jc w:val="both"/>
              <w:rPr>
                <w:rFonts w:ascii="Arial" w:hAnsi="Arial" w:cs="Arial"/>
                <w:sz w:val="20"/>
                <w:szCs w:val="20"/>
              </w:rPr>
            </w:pPr>
          </w:p>
          <w:p w14:paraId="62CAFCD2" w14:textId="77777777" w:rsidR="00592493" w:rsidRPr="00592493" w:rsidRDefault="00592493" w:rsidP="00592493">
            <w:pPr>
              <w:ind w:left="360" w:hanging="360"/>
              <w:jc w:val="both"/>
              <w:rPr>
                <w:rFonts w:ascii="Arial" w:hAnsi="Arial" w:cs="Arial"/>
                <w:sz w:val="20"/>
                <w:szCs w:val="20"/>
              </w:rPr>
            </w:pPr>
            <w:r w:rsidRPr="00592493">
              <w:rPr>
                <w:rFonts w:ascii="Arial" w:hAnsi="Arial" w:cs="Arial"/>
                <w:sz w:val="20"/>
                <w:szCs w:val="20"/>
              </w:rPr>
              <w:t xml:space="preserve">Ďalšia liečba nie je hradenou liečbou, ak je zistené aspoň jedno z týchto kritérií: </w:t>
            </w:r>
          </w:p>
          <w:p w14:paraId="20520265"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v priebehu 12 mesiacov nezmenený alebo zvýšený počet relapsov ako na predchádzajúcej liečbe, </w:t>
            </w:r>
          </w:p>
          <w:p w14:paraId="0532AB12"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zvýšenie EDSS o jeden stupeň v priebehu jedného roka, </w:t>
            </w:r>
          </w:p>
          <w:p w14:paraId="03D984DE"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pribudnutie 2 a viac T2 hyperintenzitných lézií alebo 1 a viac gadolíniom zvýrazňujúcich sa T1 lézií za predchádzajúcich 12 mesiacov liečby, </w:t>
            </w:r>
          </w:p>
          <w:p w14:paraId="4ACAFC62"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EDSS 6 a viac. </w:t>
            </w:r>
          </w:p>
          <w:p w14:paraId="68411D3B" w14:textId="77777777" w:rsidR="00592493" w:rsidRPr="00592493" w:rsidRDefault="00592493" w:rsidP="00592493">
            <w:pPr>
              <w:ind w:left="360" w:hanging="360"/>
              <w:jc w:val="both"/>
              <w:rPr>
                <w:rFonts w:ascii="Arial" w:hAnsi="Arial" w:cs="Arial"/>
                <w:sz w:val="20"/>
                <w:szCs w:val="20"/>
              </w:rPr>
            </w:pPr>
          </w:p>
          <w:p w14:paraId="250B5446" w14:textId="77777777" w:rsidR="00592493" w:rsidRPr="00592493" w:rsidRDefault="00592493" w:rsidP="002E38A8">
            <w:pPr>
              <w:jc w:val="both"/>
              <w:rPr>
                <w:rFonts w:ascii="Arial" w:hAnsi="Arial" w:cs="Arial"/>
                <w:sz w:val="20"/>
                <w:szCs w:val="20"/>
              </w:rPr>
            </w:pPr>
            <w:r w:rsidRPr="00592493">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w:t>
            </w:r>
            <w:r w:rsidR="00643F00">
              <w:rPr>
                <w:rFonts w:ascii="Arial" w:hAnsi="Arial" w:cs="Arial"/>
                <w:sz w:val="20"/>
                <w:szCs w:val="20"/>
              </w:rPr>
              <w:t xml:space="preserve">vätého Michala a.s. Bratislava a </w:t>
            </w:r>
            <w:r w:rsidR="00643F00" w:rsidRPr="00643F00">
              <w:rPr>
                <w:rFonts w:ascii="Arial" w:hAnsi="Arial" w:cs="Arial"/>
                <w:sz w:val="20"/>
                <w:szCs w:val="20"/>
              </w:rPr>
              <w:t>na Neurologickej klinike Fakultnej nemocnice s poliklinikou Nové Zámky</w:t>
            </w:r>
            <w:r w:rsidR="00951563">
              <w:rPr>
                <w:rFonts w:ascii="Arial" w:hAnsi="Arial" w:cs="Arial"/>
                <w:sz w:val="20"/>
                <w:szCs w:val="20"/>
              </w:rPr>
              <w:t xml:space="preserve"> </w:t>
            </w:r>
            <w:r w:rsidR="00951563" w:rsidRPr="00951563">
              <w:rPr>
                <w:rFonts w:ascii="Arial" w:hAnsi="Arial" w:cs="Arial"/>
                <w:sz w:val="20"/>
                <w:szCs w:val="20"/>
              </w:rPr>
              <w:t>na Špecializovanej neurologickej ambulancii, Liptovská nemocnica s poliklinikou MUDr. Ivana Stodolu Liptovský Mikuláš</w:t>
            </w:r>
            <w:r w:rsidR="002E38A8">
              <w:rPr>
                <w:rFonts w:ascii="Arial" w:hAnsi="Arial" w:cs="Arial"/>
                <w:sz w:val="20"/>
                <w:szCs w:val="20"/>
              </w:rPr>
              <w:t xml:space="preserve">, </w:t>
            </w:r>
            <w:r w:rsidR="002E38A8" w:rsidRPr="002E38A8">
              <w:rPr>
                <w:rFonts w:ascii="Arial" w:hAnsi="Arial" w:cs="Arial"/>
                <w:sz w:val="20"/>
                <w:szCs w:val="20"/>
              </w:rPr>
              <w:t>na Neurologickom oddelení Nemocnice AGEL Levoča a.s. a na Špecializovanej neurologickej ambulancii Nemocnice AGEL Komárno s.r.o.</w:t>
            </w:r>
            <w:r w:rsidR="00643F00" w:rsidRPr="00643F00">
              <w:rPr>
                <w:rFonts w:ascii="Arial" w:hAnsi="Arial" w:cs="Arial"/>
                <w:sz w:val="20"/>
                <w:szCs w:val="20"/>
              </w:rPr>
              <w:t>.</w:t>
            </w:r>
            <w:r w:rsidR="00643F00" w:rsidRPr="00643F00">
              <w:rPr>
                <w:rFonts w:ascii="Arial" w:hAnsi="Arial" w:cs="Arial"/>
                <w:sz w:val="20"/>
                <w:szCs w:val="20"/>
              </w:rPr>
              <w:cr/>
            </w:r>
          </w:p>
          <w:p w14:paraId="3EACD43A" w14:textId="77777777" w:rsidR="00592493" w:rsidRPr="00592493" w:rsidRDefault="00592493" w:rsidP="00592493">
            <w:pPr>
              <w:jc w:val="both"/>
              <w:rPr>
                <w:rFonts w:ascii="Arial" w:hAnsi="Arial" w:cs="Arial"/>
                <w:sz w:val="20"/>
                <w:szCs w:val="20"/>
              </w:rPr>
            </w:pPr>
            <w:r w:rsidRPr="00592493">
              <w:rPr>
                <w:rFonts w:ascii="Arial" w:hAnsi="Arial" w:cs="Arial"/>
                <w:sz w:val="20"/>
                <w:szCs w:val="20"/>
              </w:rPr>
              <w:t>Hradená liečba podlieha predchádzajúcemu súhlasu zdravotnej poisťovne.</w:t>
            </w:r>
          </w:p>
          <w:p w14:paraId="075683E6" w14:textId="77777777" w:rsidR="00592493" w:rsidRPr="00592493" w:rsidRDefault="00592493" w:rsidP="00806651">
            <w:pPr>
              <w:pStyle w:val="BodyTextIndent1"/>
              <w:ind w:left="0" w:firstLine="0"/>
              <w:jc w:val="both"/>
              <w:rPr>
                <w:b/>
                <w:bCs/>
              </w:rPr>
            </w:pPr>
          </w:p>
        </w:tc>
      </w:tr>
      <w:tr w:rsidR="00A47A3C" w:rsidRPr="0000591E" w14:paraId="24A8CDEF" w14:textId="77777777" w:rsidTr="00A47A3C">
        <w:trPr>
          <w:trHeight w:val="20"/>
        </w:trPr>
        <w:tc>
          <w:tcPr>
            <w:tcW w:w="1277" w:type="dxa"/>
            <w:tcBorders>
              <w:bottom w:val="single" w:sz="4" w:space="0" w:color="auto"/>
            </w:tcBorders>
            <w:noWrap/>
          </w:tcPr>
          <w:p w14:paraId="125C5F9A" w14:textId="77777777" w:rsidR="00A47A3C" w:rsidRDefault="00A47A3C" w:rsidP="009A366B">
            <w:pPr>
              <w:jc w:val="both"/>
              <w:rPr>
                <w:rFonts w:ascii="Arial" w:hAnsi="Arial" w:cs="Arial"/>
                <w:b/>
                <w:bCs/>
                <w:sz w:val="20"/>
                <w:szCs w:val="20"/>
                <w:lang w:eastAsia="cs-CZ"/>
              </w:rPr>
            </w:pPr>
          </w:p>
          <w:p w14:paraId="44A814C3" w14:textId="0FDFA8D3" w:rsidR="00A47A3C" w:rsidRDefault="00A47A3C" w:rsidP="009A366B">
            <w:pPr>
              <w:jc w:val="both"/>
              <w:rPr>
                <w:rFonts w:ascii="Arial" w:hAnsi="Arial" w:cs="Arial"/>
                <w:b/>
                <w:bCs/>
                <w:sz w:val="20"/>
                <w:szCs w:val="20"/>
                <w:lang w:eastAsia="cs-CZ"/>
              </w:rPr>
            </w:pPr>
            <w:r w:rsidRPr="00A47A3C">
              <w:rPr>
                <w:rFonts w:ascii="Arial" w:hAnsi="Arial" w:cs="Arial"/>
                <w:b/>
                <w:bCs/>
                <w:sz w:val="20"/>
                <w:szCs w:val="20"/>
                <w:lang w:eastAsia="cs-CZ"/>
              </w:rPr>
              <w:t>L04AG05</w:t>
            </w:r>
          </w:p>
        </w:tc>
        <w:tc>
          <w:tcPr>
            <w:tcW w:w="9355" w:type="dxa"/>
            <w:tcBorders>
              <w:bottom w:val="single" w:sz="4" w:space="0" w:color="auto"/>
            </w:tcBorders>
          </w:tcPr>
          <w:p w14:paraId="18BA6369" w14:textId="77777777" w:rsidR="00A47A3C" w:rsidRPr="00A47A3C" w:rsidRDefault="00A47A3C" w:rsidP="00A47A3C">
            <w:pPr>
              <w:jc w:val="both"/>
              <w:rPr>
                <w:rFonts w:ascii="Arial" w:hAnsi="Arial" w:cs="Arial"/>
                <w:b/>
                <w:sz w:val="20"/>
                <w:szCs w:val="20"/>
              </w:rPr>
            </w:pPr>
            <w:r w:rsidRPr="00A47A3C">
              <w:rPr>
                <w:rFonts w:ascii="Arial" w:hAnsi="Arial" w:cs="Arial"/>
                <w:b/>
                <w:sz w:val="20"/>
                <w:szCs w:val="20"/>
              </w:rPr>
              <w:t>Vedolizumab parent. 108 mg</w:t>
            </w:r>
          </w:p>
          <w:p w14:paraId="7F3162D0" w14:textId="41847AA0" w:rsidR="00A47A3C" w:rsidRPr="00A274D4" w:rsidRDefault="00A47A3C" w:rsidP="00A47A3C">
            <w:pPr>
              <w:jc w:val="both"/>
              <w:rPr>
                <w:rFonts w:ascii="Arial" w:hAnsi="Arial" w:cs="Arial"/>
                <w:b/>
                <w:sz w:val="20"/>
                <w:szCs w:val="20"/>
              </w:rPr>
            </w:pPr>
            <w:r w:rsidRPr="00A47A3C">
              <w:rPr>
                <w:rFonts w:ascii="Arial" w:hAnsi="Arial" w:cs="Arial"/>
                <w:b/>
                <w:sz w:val="20"/>
                <w:szCs w:val="20"/>
              </w:rPr>
              <w:t>Vedolizumab parent. 300 mg</w:t>
            </w:r>
          </w:p>
        </w:tc>
      </w:tr>
      <w:tr w:rsidR="00A47A3C" w:rsidRPr="0000591E" w14:paraId="09257E96" w14:textId="77777777" w:rsidTr="00912FA6">
        <w:trPr>
          <w:trHeight w:val="20"/>
        </w:trPr>
        <w:tc>
          <w:tcPr>
            <w:tcW w:w="1277" w:type="dxa"/>
            <w:tcBorders>
              <w:top w:val="single" w:sz="4" w:space="0" w:color="auto"/>
              <w:bottom w:val="nil"/>
            </w:tcBorders>
            <w:noWrap/>
          </w:tcPr>
          <w:p w14:paraId="783CECFF" w14:textId="77777777" w:rsidR="00A47A3C" w:rsidRDefault="00A47A3C" w:rsidP="009A366B">
            <w:pPr>
              <w:jc w:val="both"/>
              <w:rPr>
                <w:rFonts w:ascii="Arial" w:hAnsi="Arial" w:cs="Arial"/>
                <w:b/>
                <w:bCs/>
                <w:sz w:val="20"/>
                <w:szCs w:val="20"/>
                <w:lang w:eastAsia="cs-CZ"/>
              </w:rPr>
            </w:pPr>
          </w:p>
        </w:tc>
        <w:tc>
          <w:tcPr>
            <w:tcW w:w="9355" w:type="dxa"/>
            <w:tcBorders>
              <w:top w:val="single" w:sz="4" w:space="0" w:color="auto"/>
              <w:bottom w:val="nil"/>
            </w:tcBorders>
          </w:tcPr>
          <w:p w14:paraId="4085FA9A"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Hradenú liečbu môže indikovať gastroenterológ</w:t>
            </w:r>
          </w:p>
          <w:p w14:paraId="6EEBC22E"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a) na liečbu dospelých pacientov so  stredne ťažkou až ťažkou  aktívnou ulceróznou kolitídou, ktorí napriek úplnej a primeranej liečbe kortikosteroidmi alebo imunosupresívami alebo antagonistom tumor nekrotizujúceho faktoru alfa (tumour necrosis factor alpha, TNFα) na túto liečbu neodpovedali, alebo ktorí túto liečbu netolerujú alebo je u nich táto liečba  kontraindikovaná,</w:t>
            </w:r>
          </w:p>
          <w:p w14:paraId="01AC6F65" w14:textId="77777777" w:rsidR="00A47A3C" w:rsidRDefault="00A47A3C" w:rsidP="00A47A3C">
            <w:pPr>
              <w:jc w:val="both"/>
              <w:rPr>
                <w:rFonts w:ascii="Arial" w:hAnsi="Arial" w:cs="Arial"/>
                <w:sz w:val="20"/>
                <w:szCs w:val="20"/>
              </w:rPr>
            </w:pPr>
          </w:p>
          <w:p w14:paraId="65854F8D" w14:textId="44A82551" w:rsidR="00A47A3C" w:rsidRPr="00A47A3C" w:rsidRDefault="00A47A3C" w:rsidP="00A47A3C">
            <w:pPr>
              <w:jc w:val="both"/>
              <w:rPr>
                <w:rFonts w:ascii="Arial" w:hAnsi="Arial" w:cs="Arial"/>
                <w:sz w:val="20"/>
                <w:szCs w:val="20"/>
              </w:rPr>
            </w:pPr>
            <w:r w:rsidRPr="00A47A3C">
              <w:rPr>
                <w:rFonts w:ascii="Arial" w:hAnsi="Arial" w:cs="Arial"/>
                <w:sz w:val="20"/>
                <w:szCs w:val="20"/>
              </w:rPr>
              <w:t>b)   na liečbu dospelých pacientov stredne ťažkou až ťažkou  aktívnou Crohnovou chorobou:</w:t>
            </w:r>
          </w:p>
          <w:p w14:paraId="4649C357"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1. ktorí napriek úplnej a primeranej liečbe kortikosteroidmi alebo imunosupresívami na túto liečbu neodpovedali, alebo ktorí túto liečbu netolerujú alebo je u nich táto liečba kontraindikovaná a nie sú vhodní na liečbu antagonistom tumor nekrotizujúceho faktoru alfa (tumour necrosis factor alpha, TNFα), alebo je u nich táto liečba kontraindikovaná</w:t>
            </w:r>
          </w:p>
          <w:p w14:paraId="16D7C8C2"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2.  alebo, u ktorých odpoveď na liečbu antagonistom tumor nekrotizujúceho faktoru alfa bola neadekvátna alebo došlo k strate odpovede alebo takúto liečbu netolerujú.</w:t>
            </w:r>
          </w:p>
          <w:p w14:paraId="6B9322CA" w14:textId="77777777" w:rsidR="00A47A3C" w:rsidRDefault="00A47A3C" w:rsidP="00A47A3C">
            <w:pPr>
              <w:jc w:val="both"/>
              <w:rPr>
                <w:rFonts w:ascii="Arial" w:hAnsi="Arial" w:cs="Arial"/>
                <w:sz w:val="20"/>
                <w:szCs w:val="20"/>
              </w:rPr>
            </w:pPr>
          </w:p>
          <w:p w14:paraId="6F3D8062" w14:textId="1065AF09" w:rsidR="00A47A3C" w:rsidRDefault="00A47A3C" w:rsidP="00A47A3C">
            <w:pPr>
              <w:jc w:val="both"/>
              <w:rPr>
                <w:rFonts w:ascii="Arial" w:hAnsi="Arial" w:cs="Arial"/>
                <w:sz w:val="20"/>
                <w:szCs w:val="20"/>
              </w:rPr>
            </w:pPr>
            <w:r w:rsidRPr="00A47A3C">
              <w:rPr>
                <w:rFonts w:ascii="Arial" w:hAnsi="Arial" w:cs="Arial"/>
                <w:sz w:val="20"/>
                <w:szCs w:val="20"/>
              </w:rPr>
              <w:t>Hradená liečba sa môže indikovať na Gastroenterologickej klinike Univerzitnej nemocnice Bratislava – nemocnica sv. Cyrila a Metoda, Gastroenterologickom oddelení NOVAMED s.r.o. Banská Bystrica, I. internej klinike LF UP JŠ a FN L. P. Košice, Gastroenterohepatologickom centre THALION, Bratislava, na V. Internej klinike LF UK Univerzitnej nemocnice Bratislava – Ružinov, Gastroenterologickom oddelení NZZ KM Management spol. s r.o., Nitra, v Centre pre liečbu IBD, na Gastro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Hepatologicko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digestívnej endoskopie Nemocnice svätého Michala, a.s., Bratislava; v Gastroenterologickom centre Fakultnej nemocnice s poliklinikou Žilina, v Gastroenterologickej ambulancii Gastro LM s.r.o., Prešov, v Gastroenterologickej ambulancii Cliniq,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Gastrocentre Nemocnice AGEL Košice-Šaca.</w:t>
            </w:r>
          </w:p>
          <w:p w14:paraId="27F8AB23" w14:textId="77777777" w:rsidR="00A47A3C" w:rsidRPr="00A47A3C" w:rsidRDefault="00A47A3C" w:rsidP="00A47A3C">
            <w:pPr>
              <w:jc w:val="both"/>
              <w:rPr>
                <w:rFonts w:ascii="Arial" w:hAnsi="Arial" w:cs="Arial"/>
                <w:sz w:val="20"/>
                <w:szCs w:val="20"/>
              </w:rPr>
            </w:pPr>
          </w:p>
          <w:p w14:paraId="5D021B54" w14:textId="77777777" w:rsidR="00A47A3C" w:rsidRDefault="00A47A3C" w:rsidP="00A47A3C">
            <w:pPr>
              <w:jc w:val="both"/>
              <w:rPr>
                <w:rFonts w:ascii="Arial" w:hAnsi="Arial" w:cs="Arial"/>
                <w:sz w:val="20"/>
                <w:szCs w:val="20"/>
              </w:rPr>
            </w:pPr>
            <w:r w:rsidRPr="00A47A3C">
              <w:rPr>
                <w:rFonts w:ascii="Arial" w:hAnsi="Arial" w:cs="Arial"/>
                <w:sz w:val="20"/>
                <w:szCs w:val="20"/>
              </w:rPr>
              <w:t>Hradená liečba podlieha predchádzajúcemu súhlasu zdravotnej poisťovne.</w:t>
            </w:r>
          </w:p>
          <w:p w14:paraId="545CDA09" w14:textId="7049DF22" w:rsidR="00A47A3C" w:rsidRPr="00A47A3C" w:rsidRDefault="00A47A3C" w:rsidP="00A47A3C">
            <w:pPr>
              <w:jc w:val="both"/>
              <w:rPr>
                <w:rFonts w:ascii="Arial" w:hAnsi="Arial" w:cs="Arial"/>
                <w:sz w:val="20"/>
                <w:szCs w:val="20"/>
              </w:rPr>
            </w:pPr>
          </w:p>
        </w:tc>
      </w:tr>
      <w:tr w:rsidR="00912FA6" w:rsidRPr="0000591E" w14:paraId="085AB50D" w14:textId="77777777" w:rsidTr="00912FA6">
        <w:trPr>
          <w:trHeight w:val="20"/>
        </w:trPr>
        <w:tc>
          <w:tcPr>
            <w:tcW w:w="1277" w:type="dxa"/>
            <w:tcBorders>
              <w:top w:val="nil"/>
              <w:bottom w:val="single" w:sz="4" w:space="0" w:color="auto"/>
            </w:tcBorders>
            <w:noWrap/>
          </w:tcPr>
          <w:p w14:paraId="6DBE6EC2" w14:textId="6290741D" w:rsidR="00912FA6" w:rsidRDefault="00912FA6" w:rsidP="009A366B">
            <w:pPr>
              <w:jc w:val="both"/>
              <w:rPr>
                <w:rFonts w:ascii="Arial" w:hAnsi="Arial" w:cs="Arial"/>
                <w:b/>
                <w:bCs/>
                <w:sz w:val="20"/>
                <w:szCs w:val="20"/>
                <w:lang w:eastAsia="cs-CZ"/>
              </w:rPr>
            </w:pPr>
            <w:r w:rsidRPr="00912FA6">
              <w:rPr>
                <w:rFonts w:ascii="Arial" w:hAnsi="Arial" w:cs="Arial"/>
                <w:b/>
                <w:bCs/>
                <w:sz w:val="20"/>
                <w:szCs w:val="20"/>
                <w:lang w:eastAsia="cs-CZ"/>
              </w:rPr>
              <w:t>L04AG06</w:t>
            </w:r>
          </w:p>
        </w:tc>
        <w:tc>
          <w:tcPr>
            <w:tcW w:w="9355" w:type="dxa"/>
            <w:tcBorders>
              <w:top w:val="nil"/>
              <w:bottom w:val="single" w:sz="4" w:space="0" w:color="auto"/>
            </w:tcBorders>
          </w:tcPr>
          <w:p w14:paraId="3DABF174" w14:textId="3D28D975" w:rsidR="00912FA6" w:rsidRPr="00A274D4" w:rsidRDefault="00912FA6" w:rsidP="00912FA6">
            <w:pPr>
              <w:tabs>
                <w:tab w:val="left" w:pos="2760"/>
              </w:tabs>
              <w:jc w:val="both"/>
              <w:rPr>
                <w:rFonts w:ascii="Arial" w:hAnsi="Arial" w:cs="Arial"/>
                <w:b/>
                <w:sz w:val="20"/>
                <w:szCs w:val="20"/>
              </w:rPr>
            </w:pPr>
            <w:r w:rsidRPr="00912FA6">
              <w:rPr>
                <w:rFonts w:ascii="Arial" w:hAnsi="Arial" w:cs="Arial"/>
                <w:b/>
                <w:sz w:val="20"/>
                <w:szCs w:val="20"/>
              </w:rPr>
              <w:t>Alemtuzumab parent. 12 mg</w:t>
            </w:r>
          </w:p>
        </w:tc>
      </w:tr>
      <w:tr w:rsidR="00912FA6" w:rsidRPr="0000591E" w14:paraId="5A9198B7" w14:textId="77777777" w:rsidTr="0077388D">
        <w:trPr>
          <w:trHeight w:val="20"/>
        </w:trPr>
        <w:tc>
          <w:tcPr>
            <w:tcW w:w="1277" w:type="dxa"/>
            <w:tcBorders>
              <w:top w:val="single" w:sz="4" w:space="0" w:color="auto"/>
              <w:bottom w:val="single" w:sz="4" w:space="0" w:color="BFBFBF" w:themeColor="background1" w:themeShade="BF"/>
            </w:tcBorders>
            <w:noWrap/>
          </w:tcPr>
          <w:p w14:paraId="11EF64A0" w14:textId="77777777" w:rsidR="00912FA6" w:rsidRDefault="00912FA6" w:rsidP="009A366B">
            <w:pPr>
              <w:jc w:val="both"/>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tcPr>
          <w:p w14:paraId="22C1A135" w14:textId="77777777"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 xml:space="preserve">Hradená liečba sa môže indikovať: </w:t>
            </w:r>
          </w:p>
          <w:p w14:paraId="7952362F" w14:textId="77777777"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 xml:space="preserve">1. u dospelých pacientov s diagnózou relaps-remitujúcej sklerózou multiplex (v súlade s aktuálnymi McDonaldovými kritériami) s aktívnym ochorením definovaným výsledkami klinických alebo zobrazovacích vyšetrení a ak ich neurologický deficit je do 5,0 EDSS vrátane a u ktorých zlyhala plná a adekvátna liečba minimálne dvoma imunomodulačnými liekmi s rozdielnym mechanizmom účinku, </w:t>
            </w:r>
          </w:p>
          <w:p w14:paraId="235769FF" w14:textId="77777777" w:rsidR="00912FA6" w:rsidRDefault="00912FA6" w:rsidP="00912FA6">
            <w:pPr>
              <w:tabs>
                <w:tab w:val="left" w:pos="2760"/>
              </w:tabs>
              <w:jc w:val="both"/>
              <w:rPr>
                <w:rFonts w:ascii="Arial" w:hAnsi="Arial" w:cs="Arial"/>
                <w:sz w:val="20"/>
                <w:szCs w:val="20"/>
              </w:rPr>
            </w:pPr>
          </w:p>
          <w:p w14:paraId="61F5914C" w14:textId="28DF8E00"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 xml:space="preserve">2. u dospelých pacientov nad 18 rokov s rýchlo sa vyvíjajúcou závažnou relaps-remitujúcou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w:t>
            </w:r>
          </w:p>
          <w:p w14:paraId="24D403ED" w14:textId="77777777" w:rsidR="00912FA6" w:rsidRPr="00912FA6" w:rsidRDefault="00912FA6" w:rsidP="00912FA6">
            <w:pPr>
              <w:tabs>
                <w:tab w:val="left" w:pos="2760"/>
              </w:tabs>
              <w:jc w:val="both"/>
              <w:rPr>
                <w:rFonts w:ascii="Arial" w:hAnsi="Arial" w:cs="Arial"/>
                <w:sz w:val="20"/>
                <w:szCs w:val="20"/>
              </w:rPr>
            </w:pPr>
          </w:p>
          <w:p w14:paraId="74A7637A" w14:textId="77777777" w:rsidR="00912FA6" w:rsidRPr="00912FA6" w:rsidRDefault="00912FA6" w:rsidP="00912FA6">
            <w:pPr>
              <w:tabs>
                <w:tab w:val="left" w:pos="370"/>
                <w:tab w:val="left" w:pos="2760"/>
              </w:tabs>
              <w:jc w:val="both"/>
              <w:rPr>
                <w:rFonts w:ascii="Arial" w:hAnsi="Arial" w:cs="Arial"/>
                <w:sz w:val="20"/>
                <w:szCs w:val="20"/>
              </w:rPr>
            </w:pPr>
            <w:r w:rsidRPr="00912FA6">
              <w:rPr>
                <w:rFonts w:ascii="Arial" w:hAnsi="Arial" w:cs="Arial"/>
                <w:sz w:val="20"/>
                <w:szCs w:val="20"/>
              </w:rPr>
              <w:t xml:space="preserve">Ďalšie maximálne dva cykly liečby (t.j. 3. a 4. cyklus liečby) sú hradené, ak po podaní prvých dvoch cyklov liečby je EDSS nižšie ako 6 a ak je zistené aspoň jedno z týchto kritérií: </w:t>
            </w:r>
          </w:p>
          <w:p w14:paraId="54A02AFE" w14:textId="0533D8F4" w:rsidR="00912FA6" w:rsidRPr="00912FA6" w:rsidRDefault="00912FA6" w:rsidP="00912FA6">
            <w:pPr>
              <w:tabs>
                <w:tab w:val="left" w:pos="370"/>
                <w:tab w:val="left" w:pos="2760"/>
              </w:tabs>
              <w:jc w:val="both"/>
              <w:rPr>
                <w:rFonts w:ascii="Arial" w:hAnsi="Arial" w:cs="Arial"/>
                <w:sz w:val="20"/>
                <w:szCs w:val="20"/>
              </w:rPr>
            </w:pPr>
            <w:r>
              <w:rPr>
                <w:rFonts w:ascii="Arial" w:hAnsi="Arial" w:cs="Arial"/>
                <w:sz w:val="20"/>
                <w:szCs w:val="20"/>
              </w:rPr>
              <w:tab/>
            </w:r>
            <w:r w:rsidRPr="00912FA6">
              <w:rPr>
                <w:rFonts w:ascii="Arial" w:hAnsi="Arial" w:cs="Arial"/>
                <w:sz w:val="20"/>
                <w:szCs w:val="20"/>
              </w:rPr>
              <w:t xml:space="preserve">a) minimálne 1 závažný relaps liečený kortikosteroidmi </w:t>
            </w:r>
          </w:p>
          <w:p w14:paraId="1F9E2CDD" w14:textId="77777777" w:rsidR="00912FA6" w:rsidRPr="00912FA6" w:rsidRDefault="00912FA6" w:rsidP="00912FA6">
            <w:pPr>
              <w:tabs>
                <w:tab w:val="left" w:pos="370"/>
                <w:tab w:val="left" w:pos="2760"/>
              </w:tabs>
              <w:jc w:val="both"/>
              <w:rPr>
                <w:rFonts w:ascii="Arial" w:hAnsi="Arial" w:cs="Arial"/>
                <w:sz w:val="20"/>
                <w:szCs w:val="20"/>
              </w:rPr>
            </w:pPr>
            <w:r w:rsidRPr="00912FA6">
              <w:rPr>
                <w:rFonts w:ascii="Arial" w:hAnsi="Arial" w:cs="Arial"/>
                <w:sz w:val="20"/>
                <w:szCs w:val="20"/>
              </w:rPr>
              <w:tab/>
              <w:t xml:space="preserve">b) pribudnutie 2 a viac lézií za predchádzajúcich 12 mesiacov liečby. </w:t>
            </w:r>
          </w:p>
          <w:p w14:paraId="122BE4EB" w14:textId="77777777" w:rsidR="00912FA6" w:rsidRPr="00912FA6" w:rsidRDefault="00912FA6" w:rsidP="00912FA6">
            <w:pPr>
              <w:tabs>
                <w:tab w:val="left" w:pos="2760"/>
              </w:tabs>
              <w:jc w:val="both"/>
              <w:rPr>
                <w:rFonts w:ascii="Arial" w:hAnsi="Arial" w:cs="Arial"/>
                <w:sz w:val="20"/>
                <w:szCs w:val="20"/>
              </w:rPr>
            </w:pPr>
          </w:p>
          <w:p w14:paraId="38F9BB8D" w14:textId="77777777"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na Neurologickom oddelení Nemocnice AGEL Levoča a.s. a na Špecializovanej neurologickej ambulancii Nemocnice AGEL Komárno s.r.o..</w:t>
            </w:r>
          </w:p>
          <w:p w14:paraId="5F9CE231" w14:textId="77777777" w:rsidR="00912FA6" w:rsidRPr="00912FA6" w:rsidRDefault="00912FA6" w:rsidP="00912FA6">
            <w:pPr>
              <w:tabs>
                <w:tab w:val="left" w:pos="2760"/>
              </w:tabs>
              <w:jc w:val="both"/>
              <w:rPr>
                <w:rFonts w:ascii="Arial" w:hAnsi="Arial" w:cs="Arial"/>
                <w:sz w:val="20"/>
                <w:szCs w:val="20"/>
              </w:rPr>
            </w:pPr>
          </w:p>
          <w:p w14:paraId="41FEC8FE" w14:textId="77777777" w:rsidR="00912FA6" w:rsidRDefault="00912FA6" w:rsidP="00C54A7B">
            <w:pPr>
              <w:tabs>
                <w:tab w:val="left" w:pos="2760"/>
              </w:tabs>
              <w:jc w:val="both"/>
              <w:rPr>
                <w:rFonts w:ascii="Arial" w:hAnsi="Arial" w:cs="Arial"/>
                <w:sz w:val="20"/>
                <w:szCs w:val="20"/>
              </w:rPr>
            </w:pPr>
            <w:r w:rsidRPr="00912FA6">
              <w:rPr>
                <w:rFonts w:ascii="Arial" w:hAnsi="Arial" w:cs="Arial"/>
                <w:sz w:val="20"/>
                <w:szCs w:val="20"/>
              </w:rPr>
              <w:t>Hradená liečba podlieha predchádzajúcemu súhlasu zdravotnej poisťovne.</w:t>
            </w:r>
          </w:p>
          <w:p w14:paraId="27F419E1" w14:textId="39D80EB0" w:rsidR="00BD4717" w:rsidRPr="00912FA6" w:rsidRDefault="00BD4717" w:rsidP="00C54A7B">
            <w:pPr>
              <w:tabs>
                <w:tab w:val="left" w:pos="2760"/>
              </w:tabs>
              <w:jc w:val="both"/>
              <w:rPr>
                <w:rFonts w:ascii="Arial" w:hAnsi="Arial" w:cs="Arial"/>
                <w:sz w:val="20"/>
                <w:szCs w:val="20"/>
              </w:rPr>
            </w:pPr>
          </w:p>
        </w:tc>
      </w:tr>
      <w:tr w:rsidR="0077388D" w:rsidRPr="0000591E" w14:paraId="51218B60" w14:textId="77777777" w:rsidTr="0077388D">
        <w:trPr>
          <w:trHeight w:val="20"/>
        </w:trPr>
        <w:tc>
          <w:tcPr>
            <w:tcW w:w="1277" w:type="dxa"/>
            <w:tcBorders>
              <w:top w:val="single" w:sz="4" w:space="0" w:color="BFBFBF" w:themeColor="background1" w:themeShade="BF"/>
              <w:bottom w:val="single" w:sz="4" w:space="0" w:color="auto"/>
            </w:tcBorders>
            <w:noWrap/>
          </w:tcPr>
          <w:p w14:paraId="5BB9C4E2" w14:textId="170B9ADE" w:rsidR="0077388D" w:rsidRDefault="0077388D" w:rsidP="009A366B">
            <w:pPr>
              <w:jc w:val="both"/>
              <w:rPr>
                <w:rFonts w:ascii="Arial" w:hAnsi="Arial" w:cs="Arial"/>
                <w:b/>
                <w:bCs/>
                <w:sz w:val="20"/>
                <w:szCs w:val="20"/>
                <w:lang w:eastAsia="cs-CZ"/>
              </w:rPr>
            </w:pPr>
            <w:r w:rsidRPr="0077388D">
              <w:rPr>
                <w:rFonts w:ascii="Arial" w:hAnsi="Arial" w:cs="Arial"/>
                <w:b/>
                <w:bCs/>
                <w:sz w:val="20"/>
                <w:szCs w:val="20"/>
                <w:lang w:eastAsia="cs-CZ"/>
              </w:rPr>
              <w:t>L04AG08</w:t>
            </w:r>
          </w:p>
        </w:tc>
        <w:tc>
          <w:tcPr>
            <w:tcW w:w="9355" w:type="dxa"/>
            <w:tcBorders>
              <w:top w:val="single" w:sz="4" w:space="0" w:color="BFBFBF" w:themeColor="background1" w:themeShade="BF"/>
              <w:bottom w:val="single" w:sz="4" w:space="0" w:color="auto"/>
            </w:tcBorders>
          </w:tcPr>
          <w:p w14:paraId="00C2ED98" w14:textId="48083272" w:rsidR="0077388D" w:rsidRPr="00A274D4" w:rsidRDefault="0077388D" w:rsidP="00912FA6">
            <w:pPr>
              <w:tabs>
                <w:tab w:val="left" w:pos="2760"/>
              </w:tabs>
              <w:jc w:val="both"/>
              <w:rPr>
                <w:rFonts w:ascii="Arial" w:hAnsi="Arial" w:cs="Arial"/>
                <w:b/>
                <w:sz w:val="20"/>
                <w:szCs w:val="20"/>
              </w:rPr>
            </w:pPr>
            <w:r w:rsidRPr="0077388D">
              <w:rPr>
                <w:rFonts w:ascii="Arial" w:hAnsi="Arial" w:cs="Arial"/>
                <w:b/>
                <w:sz w:val="20"/>
                <w:szCs w:val="20"/>
              </w:rPr>
              <w:t>Okrelizumab parent. 300 mg</w:t>
            </w:r>
          </w:p>
        </w:tc>
      </w:tr>
      <w:tr w:rsidR="0077388D" w:rsidRPr="0000591E" w14:paraId="08229CEE" w14:textId="77777777" w:rsidTr="00DD7296">
        <w:trPr>
          <w:trHeight w:val="20"/>
        </w:trPr>
        <w:tc>
          <w:tcPr>
            <w:tcW w:w="1277" w:type="dxa"/>
            <w:tcBorders>
              <w:top w:val="single" w:sz="4" w:space="0" w:color="auto"/>
              <w:bottom w:val="single" w:sz="4" w:space="0" w:color="BFBFBF" w:themeColor="background1" w:themeShade="BF"/>
            </w:tcBorders>
            <w:noWrap/>
          </w:tcPr>
          <w:p w14:paraId="62750A2D" w14:textId="77777777" w:rsidR="0077388D" w:rsidRDefault="0077388D" w:rsidP="009A366B">
            <w:pPr>
              <w:jc w:val="both"/>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tcPr>
          <w:p w14:paraId="47D5BBBF"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Hradená liečba sa môže indikovať: </w:t>
            </w:r>
          </w:p>
          <w:p w14:paraId="6D9074D0"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1. u dospelých pacientov s aktívnou relapsujúcou formou SM (v súlade s aktuálnymi McDonaldovými kritériami), ak ich neurologický deficit je do 5,0 EDSS vrátane a u ktorých zlyhala plná a adekvátna imunomodulačná liečba minimálne dvomi liekmi prvej línie s rozdielnym mechanizmom účinku (obvykle najmenej jeden rok podávania). U týchto pacientov sa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w:t>
            </w:r>
          </w:p>
          <w:p w14:paraId="24767A7F" w14:textId="77777777" w:rsidR="0077388D" w:rsidRDefault="0077388D" w:rsidP="0077388D">
            <w:pPr>
              <w:tabs>
                <w:tab w:val="left" w:pos="2760"/>
              </w:tabs>
              <w:jc w:val="both"/>
              <w:rPr>
                <w:rFonts w:ascii="Arial" w:hAnsi="Arial" w:cs="Arial"/>
                <w:sz w:val="20"/>
                <w:szCs w:val="20"/>
              </w:rPr>
            </w:pPr>
          </w:p>
          <w:p w14:paraId="59DE3504" w14:textId="725388BE" w:rsidR="0077388D" w:rsidRDefault="0077388D" w:rsidP="0077388D">
            <w:pPr>
              <w:tabs>
                <w:tab w:val="left" w:pos="2760"/>
              </w:tabs>
              <w:jc w:val="both"/>
              <w:rPr>
                <w:rFonts w:ascii="Arial" w:hAnsi="Arial" w:cs="Arial"/>
                <w:sz w:val="20"/>
                <w:szCs w:val="20"/>
              </w:rPr>
            </w:pPr>
            <w:r w:rsidRPr="0077388D">
              <w:rPr>
                <w:rFonts w:ascii="Arial" w:hAnsi="Arial" w:cs="Arial"/>
                <w:sz w:val="20"/>
                <w:szCs w:val="20"/>
              </w:rPr>
              <w:t>2. u dospelých pacientov s rýchlo sa vyvíjajúcou závažnou relapsujúcou formou SM, definovanou 2 alebo viacerými nespôsobilosť spôsobujúcimi relapsami liečenými kortikosteroidmi počas jedného roku a s 1 alebo viacerými gadolíniom sa zvýrazňujúcimi léziami na MR mozgu alebo 2 alebo viacerými nespôsobilosť spôsobujúcimi relapsami liečenými kortikosteroidmi počas jedného roku a signifikantným nárastom počtu T2 lézií v porovnaní s predchádzajúcimi nedávnymi MR. Pre potvrdenie diagnózy SM je potrebné vyšetrenie likvoru.</w:t>
            </w:r>
          </w:p>
          <w:p w14:paraId="09B1E520" w14:textId="77777777" w:rsidR="0077388D" w:rsidRPr="0077388D" w:rsidRDefault="0077388D" w:rsidP="0077388D">
            <w:pPr>
              <w:tabs>
                <w:tab w:val="left" w:pos="2760"/>
              </w:tabs>
              <w:jc w:val="both"/>
              <w:rPr>
                <w:rFonts w:ascii="Arial" w:hAnsi="Arial" w:cs="Arial"/>
                <w:sz w:val="20"/>
                <w:szCs w:val="20"/>
              </w:rPr>
            </w:pPr>
          </w:p>
          <w:p w14:paraId="3CA4B232"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Ďalšia liečba relapsujúcich foriem SM nie je hradenou liečbou, ak je zistené aspoň jedno z týchto kritérií: </w:t>
            </w:r>
          </w:p>
          <w:p w14:paraId="1554F68B" w14:textId="77049F76" w:rsidR="0077388D" w:rsidRPr="0077388D" w:rsidRDefault="0077388D" w:rsidP="0077388D">
            <w:pPr>
              <w:tabs>
                <w:tab w:val="left" w:pos="280"/>
                <w:tab w:val="left" w:pos="2760"/>
              </w:tabs>
              <w:jc w:val="both"/>
              <w:rPr>
                <w:rFonts w:ascii="Arial" w:hAnsi="Arial" w:cs="Arial"/>
                <w:sz w:val="20"/>
                <w:szCs w:val="20"/>
              </w:rPr>
            </w:pPr>
            <w:r w:rsidRPr="0077388D">
              <w:rPr>
                <w:rFonts w:ascii="Arial" w:hAnsi="Arial" w:cs="Arial"/>
                <w:sz w:val="20"/>
                <w:szCs w:val="20"/>
              </w:rPr>
              <w:t>a)</w:t>
            </w:r>
            <w:r>
              <w:rPr>
                <w:rFonts w:ascii="Arial" w:hAnsi="Arial" w:cs="Arial"/>
                <w:sz w:val="20"/>
                <w:szCs w:val="20"/>
              </w:rPr>
              <w:tab/>
            </w:r>
            <w:r w:rsidRPr="0077388D">
              <w:rPr>
                <w:rFonts w:ascii="Arial" w:hAnsi="Arial" w:cs="Arial"/>
                <w:sz w:val="20"/>
                <w:szCs w:val="20"/>
              </w:rPr>
              <w:t xml:space="preserve">v priebehu 12 mesiacov nezmenený alebo zvýšený počet relapsov ako na predchádzajúcej liečbe, </w:t>
            </w:r>
          </w:p>
          <w:p w14:paraId="7782E5D2" w14:textId="346880D7" w:rsidR="0077388D" w:rsidRPr="0077388D" w:rsidRDefault="0077388D" w:rsidP="0077388D">
            <w:pPr>
              <w:tabs>
                <w:tab w:val="left" w:pos="260"/>
                <w:tab w:val="left" w:pos="2760"/>
              </w:tabs>
              <w:jc w:val="both"/>
              <w:rPr>
                <w:rFonts w:ascii="Arial" w:hAnsi="Arial" w:cs="Arial"/>
                <w:sz w:val="20"/>
                <w:szCs w:val="20"/>
              </w:rPr>
            </w:pPr>
            <w:r w:rsidRPr="0077388D">
              <w:rPr>
                <w:rFonts w:ascii="Arial" w:hAnsi="Arial" w:cs="Arial"/>
                <w:sz w:val="20"/>
                <w:szCs w:val="20"/>
              </w:rPr>
              <w:t>b)</w:t>
            </w:r>
            <w:r>
              <w:rPr>
                <w:rFonts w:ascii="Arial" w:hAnsi="Arial" w:cs="Arial"/>
                <w:sz w:val="20"/>
                <w:szCs w:val="20"/>
              </w:rPr>
              <w:tab/>
            </w:r>
            <w:r w:rsidRPr="0077388D">
              <w:rPr>
                <w:rFonts w:ascii="Arial" w:hAnsi="Arial" w:cs="Arial"/>
                <w:sz w:val="20"/>
                <w:szCs w:val="20"/>
              </w:rPr>
              <w:t xml:space="preserve">zvýšenie EDSS o jeden stupeň v priebehu jedného roka, </w:t>
            </w:r>
          </w:p>
          <w:p w14:paraId="73B79362" w14:textId="3C214A4A" w:rsidR="0077388D" w:rsidRPr="0077388D" w:rsidRDefault="0077388D" w:rsidP="0077388D">
            <w:pPr>
              <w:tabs>
                <w:tab w:val="left" w:pos="270"/>
                <w:tab w:val="left" w:pos="2760"/>
              </w:tabs>
              <w:jc w:val="both"/>
              <w:rPr>
                <w:rFonts w:ascii="Arial" w:hAnsi="Arial" w:cs="Arial"/>
                <w:sz w:val="20"/>
                <w:szCs w:val="20"/>
              </w:rPr>
            </w:pPr>
            <w:r w:rsidRPr="0077388D">
              <w:rPr>
                <w:rFonts w:ascii="Arial" w:hAnsi="Arial" w:cs="Arial"/>
                <w:sz w:val="20"/>
                <w:szCs w:val="20"/>
              </w:rPr>
              <w:t>c)</w:t>
            </w:r>
            <w:r>
              <w:rPr>
                <w:rFonts w:ascii="Arial" w:hAnsi="Arial" w:cs="Arial"/>
                <w:sz w:val="20"/>
                <w:szCs w:val="20"/>
              </w:rPr>
              <w:tab/>
            </w:r>
            <w:r w:rsidRPr="0077388D">
              <w:rPr>
                <w:rFonts w:ascii="Arial" w:hAnsi="Arial" w:cs="Arial"/>
                <w:sz w:val="20"/>
                <w:szCs w:val="20"/>
              </w:rPr>
              <w:t xml:space="preserve">pribudnutie 2 a viac T2 hyperintenzitných lézií alebo 1 a viac gadolíniom zvýrazňujúcich sa T1 lézií </w:t>
            </w:r>
            <w:r>
              <w:rPr>
                <w:rFonts w:ascii="Arial" w:hAnsi="Arial" w:cs="Arial"/>
                <w:sz w:val="20"/>
                <w:szCs w:val="20"/>
              </w:rPr>
              <w:tab/>
            </w:r>
            <w:r w:rsidRPr="0077388D">
              <w:rPr>
                <w:rFonts w:ascii="Arial" w:hAnsi="Arial" w:cs="Arial"/>
                <w:sz w:val="20"/>
                <w:szCs w:val="20"/>
              </w:rPr>
              <w:t xml:space="preserve">za predchádzajúcich 12 mesiacov liečby, </w:t>
            </w:r>
          </w:p>
          <w:p w14:paraId="649E1E98"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d) EDSS 6 a viac.</w:t>
            </w:r>
          </w:p>
          <w:p w14:paraId="2108A123" w14:textId="77777777" w:rsidR="0077388D" w:rsidRPr="0077388D" w:rsidRDefault="0077388D" w:rsidP="0077388D">
            <w:pPr>
              <w:tabs>
                <w:tab w:val="left" w:pos="2760"/>
              </w:tabs>
              <w:jc w:val="both"/>
              <w:rPr>
                <w:rFonts w:ascii="Arial" w:hAnsi="Arial" w:cs="Arial"/>
                <w:sz w:val="20"/>
                <w:szCs w:val="20"/>
              </w:rPr>
            </w:pPr>
          </w:p>
          <w:p w14:paraId="631A6F1D"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w:t>
            </w:r>
          </w:p>
          <w:p w14:paraId="08259C9B" w14:textId="77777777" w:rsidR="0077388D" w:rsidRPr="0077388D" w:rsidRDefault="0077388D" w:rsidP="0077388D">
            <w:pPr>
              <w:tabs>
                <w:tab w:val="left" w:pos="2760"/>
              </w:tabs>
              <w:jc w:val="both"/>
              <w:rPr>
                <w:rFonts w:ascii="Arial" w:hAnsi="Arial" w:cs="Arial"/>
                <w:sz w:val="20"/>
                <w:szCs w:val="20"/>
              </w:rPr>
            </w:pPr>
          </w:p>
          <w:p w14:paraId="25F59D75"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Hradená liečba podlieha predchádzajúcemu súhlasu zdravotnej poisťovne.</w:t>
            </w:r>
          </w:p>
          <w:p w14:paraId="3F144833" w14:textId="77777777" w:rsidR="0077388D" w:rsidRPr="0077388D" w:rsidRDefault="0077388D" w:rsidP="00912FA6">
            <w:pPr>
              <w:tabs>
                <w:tab w:val="left" w:pos="2760"/>
              </w:tabs>
              <w:jc w:val="both"/>
              <w:rPr>
                <w:rFonts w:ascii="Arial" w:hAnsi="Arial" w:cs="Arial"/>
                <w:sz w:val="20"/>
                <w:szCs w:val="20"/>
              </w:rPr>
            </w:pPr>
          </w:p>
        </w:tc>
      </w:tr>
      <w:tr w:rsidR="00DD7296" w:rsidRPr="00EC543C" w14:paraId="753906DF" w14:textId="77777777" w:rsidTr="00DD7296">
        <w:trPr>
          <w:trHeight w:val="20"/>
        </w:trPr>
        <w:tc>
          <w:tcPr>
            <w:tcW w:w="1277" w:type="dxa"/>
            <w:tcBorders>
              <w:bottom w:val="single" w:sz="4" w:space="0" w:color="auto"/>
            </w:tcBorders>
            <w:noWrap/>
          </w:tcPr>
          <w:p w14:paraId="3C83DFD9" w14:textId="09B12DC0" w:rsidR="00DD7296" w:rsidRDefault="00DD7296" w:rsidP="00962F74">
            <w:pPr>
              <w:rPr>
                <w:rFonts w:ascii="Arial" w:hAnsi="Arial" w:cs="Arial"/>
                <w:b/>
                <w:bCs/>
                <w:sz w:val="20"/>
                <w:szCs w:val="20"/>
                <w:lang w:eastAsia="cs-CZ"/>
              </w:rPr>
            </w:pPr>
            <w:r>
              <w:rPr>
                <w:rFonts w:ascii="Arial" w:hAnsi="Arial" w:cs="Arial"/>
                <w:b/>
                <w:bCs/>
                <w:sz w:val="20"/>
                <w:szCs w:val="20"/>
                <w:lang w:eastAsia="cs-CZ"/>
              </w:rPr>
              <w:t>L04AG10</w:t>
            </w:r>
          </w:p>
        </w:tc>
        <w:tc>
          <w:tcPr>
            <w:tcW w:w="9355" w:type="dxa"/>
            <w:tcBorders>
              <w:bottom w:val="single" w:sz="4" w:space="0" w:color="auto"/>
            </w:tcBorders>
          </w:tcPr>
          <w:p w14:paraId="2A2F5768" w14:textId="34B62180" w:rsidR="00DD7296" w:rsidRDefault="00DD7296" w:rsidP="00AA08AE">
            <w:pPr>
              <w:rPr>
                <w:rFonts w:ascii="Arial" w:hAnsi="Arial" w:cs="Arial"/>
                <w:b/>
                <w:bCs/>
                <w:sz w:val="20"/>
                <w:szCs w:val="20"/>
              </w:rPr>
            </w:pPr>
            <w:r w:rsidRPr="00DD7296">
              <w:rPr>
                <w:rFonts w:ascii="Arial" w:hAnsi="Arial" w:cs="Arial"/>
                <w:b/>
                <w:bCs/>
                <w:sz w:val="20"/>
                <w:szCs w:val="20"/>
              </w:rPr>
              <w:t>Inebilizumab</w:t>
            </w:r>
            <w:r>
              <w:rPr>
                <w:rFonts w:ascii="Arial" w:hAnsi="Arial" w:cs="Arial"/>
                <w:b/>
                <w:bCs/>
                <w:sz w:val="20"/>
                <w:szCs w:val="20"/>
              </w:rPr>
              <w:t xml:space="preserve"> </w:t>
            </w:r>
            <w:r w:rsidRPr="00DD7296">
              <w:rPr>
                <w:rFonts w:ascii="Arial" w:hAnsi="Arial" w:cs="Arial"/>
                <w:b/>
                <w:bCs/>
                <w:sz w:val="20"/>
                <w:szCs w:val="20"/>
              </w:rPr>
              <w:t>parent. 100 mg</w:t>
            </w:r>
          </w:p>
        </w:tc>
      </w:tr>
      <w:tr w:rsidR="00DD7296" w:rsidRPr="00EC543C" w14:paraId="3A163CA0" w14:textId="77777777" w:rsidTr="00DD7296">
        <w:trPr>
          <w:trHeight w:val="20"/>
        </w:trPr>
        <w:tc>
          <w:tcPr>
            <w:tcW w:w="1277" w:type="dxa"/>
            <w:tcBorders>
              <w:top w:val="single" w:sz="4" w:space="0" w:color="auto"/>
            </w:tcBorders>
            <w:noWrap/>
          </w:tcPr>
          <w:p w14:paraId="40BBFE91" w14:textId="77777777" w:rsidR="00DD7296" w:rsidRDefault="00DD7296" w:rsidP="00962F74">
            <w:pPr>
              <w:rPr>
                <w:rFonts w:ascii="Arial" w:hAnsi="Arial" w:cs="Arial"/>
                <w:b/>
                <w:bCs/>
                <w:sz w:val="20"/>
                <w:szCs w:val="20"/>
                <w:lang w:eastAsia="cs-CZ"/>
              </w:rPr>
            </w:pPr>
          </w:p>
        </w:tc>
        <w:tc>
          <w:tcPr>
            <w:tcW w:w="9355" w:type="dxa"/>
            <w:tcBorders>
              <w:top w:val="single" w:sz="4" w:space="0" w:color="auto"/>
            </w:tcBorders>
          </w:tcPr>
          <w:p w14:paraId="4A232AF6" w14:textId="77777777" w:rsidR="00DD7296" w:rsidRPr="00DD7296" w:rsidRDefault="00DD7296" w:rsidP="00DD7296">
            <w:pPr>
              <w:jc w:val="both"/>
              <w:rPr>
                <w:rFonts w:ascii="Arial" w:hAnsi="Arial" w:cs="Arial"/>
                <w:sz w:val="20"/>
                <w:szCs w:val="20"/>
              </w:rPr>
            </w:pPr>
            <w:r w:rsidRPr="00DD7296">
              <w:rPr>
                <w:rFonts w:ascii="Arial" w:hAnsi="Arial" w:cs="Arial"/>
                <w:sz w:val="20"/>
                <w:szCs w:val="20"/>
              </w:rPr>
              <w:t xml:space="preserve">Hradená liečba je indikovaná ako monoterapia na liečbu dospelých pacientov s relapsujúcou formou spektra ochorení neuromyelitis optica (neuromyelitis optica spectrum disorders, NMOSD), ktorí sú séropozitívni na imunoglobulín G proti akvaporínu-4 (AQP4-IgG). </w:t>
            </w:r>
          </w:p>
          <w:p w14:paraId="4233E99F" w14:textId="77777777" w:rsidR="00DD7296" w:rsidRPr="00DD7296" w:rsidRDefault="00DD7296" w:rsidP="00DD7296">
            <w:pPr>
              <w:jc w:val="both"/>
              <w:rPr>
                <w:rFonts w:ascii="Arial" w:hAnsi="Arial" w:cs="Arial"/>
                <w:sz w:val="20"/>
                <w:szCs w:val="20"/>
              </w:rPr>
            </w:pPr>
          </w:p>
          <w:p w14:paraId="5C9652D3" w14:textId="77777777" w:rsidR="00DD7296" w:rsidRPr="00DD7296" w:rsidRDefault="00DD7296" w:rsidP="00DD7296">
            <w:pPr>
              <w:jc w:val="both"/>
              <w:rPr>
                <w:rFonts w:ascii="Arial" w:hAnsi="Arial" w:cs="Arial"/>
                <w:sz w:val="20"/>
                <w:szCs w:val="20"/>
              </w:rPr>
            </w:pPr>
            <w:r w:rsidRPr="00DD7296">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s poliklinikou Trnava, v Univerzitnej nemocnici Martin, na Neurologickej klinike Ústrednej vojenskej nemocnice SNP Ružomberok, na neurologickom oddelení Fakultnej nemocnice Trenčín a v Univerzitnej nemocnici svätého Michala a.s. Bratislava.</w:t>
            </w:r>
          </w:p>
          <w:p w14:paraId="0DF44F3C" w14:textId="77777777" w:rsidR="00DD7296" w:rsidRPr="00DD7296" w:rsidRDefault="00DD7296" w:rsidP="00DD7296">
            <w:pPr>
              <w:jc w:val="both"/>
              <w:rPr>
                <w:rFonts w:ascii="Arial" w:hAnsi="Arial" w:cs="Arial"/>
                <w:sz w:val="20"/>
                <w:szCs w:val="20"/>
              </w:rPr>
            </w:pPr>
          </w:p>
          <w:p w14:paraId="566C3A9B" w14:textId="77777777" w:rsidR="00DD7296" w:rsidRDefault="00DD7296" w:rsidP="00DD7296">
            <w:pPr>
              <w:jc w:val="both"/>
              <w:rPr>
                <w:rFonts w:ascii="Arial" w:hAnsi="Arial" w:cs="Arial"/>
                <w:sz w:val="20"/>
                <w:szCs w:val="20"/>
              </w:rPr>
            </w:pPr>
            <w:r w:rsidRPr="00DD7296">
              <w:rPr>
                <w:rFonts w:ascii="Arial" w:hAnsi="Arial" w:cs="Arial"/>
                <w:sz w:val="20"/>
                <w:szCs w:val="20"/>
              </w:rPr>
              <w:t>Hradená liečba podlieha predchádzajúcemu súhlasu zdravotnej poisťovne.</w:t>
            </w:r>
          </w:p>
          <w:p w14:paraId="0721E336" w14:textId="70905775" w:rsidR="00DD7296" w:rsidRPr="00DD7296" w:rsidRDefault="00DD7296" w:rsidP="00DD7296">
            <w:pPr>
              <w:rPr>
                <w:rFonts w:ascii="Arial" w:hAnsi="Arial" w:cs="Arial"/>
                <w:sz w:val="20"/>
                <w:szCs w:val="20"/>
              </w:rPr>
            </w:pPr>
          </w:p>
        </w:tc>
      </w:tr>
      <w:tr w:rsidR="00AA08AE" w:rsidRPr="00EC543C" w14:paraId="4C33DAC6" w14:textId="77777777" w:rsidTr="00670FEC">
        <w:trPr>
          <w:trHeight w:val="20"/>
        </w:trPr>
        <w:tc>
          <w:tcPr>
            <w:tcW w:w="1277" w:type="dxa"/>
            <w:noWrap/>
          </w:tcPr>
          <w:p w14:paraId="4EB69814" w14:textId="77777777" w:rsidR="00AA08AE" w:rsidRPr="00EC543C" w:rsidRDefault="00AA08AE" w:rsidP="00962F74">
            <w:pPr>
              <w:rPr>
                <w:rFonts w:ascii="Arial" w:hAnsi="Arial" w:cs="Arial"/>
                <w:b/>
                <w:bCs/>
                <w:sz w:val="20"/>
                <w:szCs w:val="20"/>
                <w:lang w:eastAsia="cs-CZ"/>
              </w:rPr>
            </w:pPr>
            <w:r>
              <w:rPr>
                <w:rFonts w:ascii="Arial" w:hAnsi="Arial" w:cs="Arial"/>
                <w:b/>
                <w:bCs/>
                <w:sz w:val="20"/>
                <w:szCs w:val="20"/>
                <w:lang w:eastAsia="cs-CZ"/>
              </w:rPr>
              <w:t>L04A</w:t>
            </w:r>
            <w:r w:rsidR="00962F74">
              <w:rPr>
                <w:rFonts w:ascii="Arial" w:hAnsi="Arial" w:cs="Arial"/>
                <w:b/>
                <w:bCs/>
                <w:sz w:val="20"/>
                <w:szCs w:val="20"/>
                <w:lang w:eastAsia="cs-CZ"/>
              </w:rPr>
              <w:t>G12</w:t>
            </w:r>
          </w:p>
        </w:tc>
        <w:tc>
          <w:tcPr>
            <w:tcW w:w="9355" w:type="dxa"/>
          </w:tcPr>
          <w:p w14:paraId="4DF507AA" w14:textId="77777777" w:rsidR="00AA08AE" w:rsidRPr="00EC543C" w:rsidRDefault="00AA08AE" w:rsidP="00AA08AE">
            <w:pPr>
              <w:rPr>
                <w:rFonts w:ascii="Arial" w:hAnsi="Arial" w:cs="Arial"/>
                <w:b/>
                <w:bCs/>
                <w:sz w:val="20"/>
                <w:szCs w:val="20"/>
              </w:rPr>
            </w:pPr>
            <w:r>
              <w:rPr>
                <w:rFonts w:ascii="Arial" w:hAnsi="Arial" w:cs="Arial"/>
                <w:b/>
                <w:bCs/>
                <w:sz w:val="20"/>
                <w:szCs w:val="20"/>
              </w:rPr>
              <w:t>O</w:t>
            </w:r>
            <w:r w:rsidRPr="00CA5EFC">
              <w:rPr>
                <w:rFonts w:ascii="Arial" w:hAnsi="Arial" w:cs="Arial"/>
                <w:b/>
                <w:bCs/>
                <w:sz w:val="20"/>
                <w:szCs w:val="20"/>
              </w:rPr>
              <w:t>fatumumab</w:t>
            </w:r>
            <w:r>
              <w:rPr>
                <w:rFonts w:ascii="Arial" w:hAnsi="Arial" w:cs="Arial"/>
                <w:b/>
                <w:bCs/>
                <w:sz w:val="20"/>
                <w:szCs w:val="20"/>
              </w:rPr>
              <w:t xml:space="preserve"> </w:t>
            </w:r>
            <w:r w:rsidRPr="00CA5EFC">
              <w:rPr>
                <w:rFonts w:ascii="Arial" w:hAnsi="Arial" w:cs="Arial"/>
                <w:b/>
                <w:bCs/>
                <w:sz w:val="20"/>
                <w:szCs w:val="20"/>
              </w:rPr>
              <w:t>s.c. 20 mg</w:t>
            </w:r>
          </w:p>
        </w:tc>
      </w:tr>
      <w:tr w:rsidR="00AA08AE" w:rsidRPr="00EC543C" w14:paraId="6A36E957" w14:textId="77777777" w:rsidTr="00670FEC">
        <w:trPr>
          <w:trHeight w:val="20"/>
        </w:trPr>
        <w:tc>
          <w:tcPr>
            <w:tcW w:w="1277" w:type="dxa"/>
            <w:noWrap/>
          </w:tcPr>
          <w:p w14:paraId="7C5CCBD9" w14:textId="77777777" w:rsidR="00AA08AE" w:rsidRPr="00EC543C" w:rsidRDefault="00AA08AE" w:rsidP="00AA08AE">
            <w:pPr>
              <w:rPr>
                <w:rFonts w:ascii="Arial" w:hAnsi="Arial" w:cs="Arial"/>
                <w:b/>
                <w:bCs/>
                <w:sz w:val="20"/>
                <w:szCs w:val="20"/>
                <w:lang w:eastAsia="cs-CZ"/>
              </w:rPr>
            </w:pPr>
          </w:p>
        </w:tc>
        <w:tc>
          <w:tcPr>
            <w:tcW w:w="9355" w:type="dxa"/>
          </w:tcPr>
          <w:p w14:paraId="54FF2265" w14:textId="77777777" w:rsidR="00AA08AE" w:rsidRDefault="00AA08AE" w:rsidP="00AA08AE">
            <w:pPr>
              <w:jc w:val="both"/>
              <w:rPr>
                <w:rFonts w:ascii="Arial" w:hAnsi="Arial" w:cs="Arial"/>
                <w:bCs/>
                <w:sz w:val="20"/>
                <w:szCs w:val="20"/>
              </w:rPr>
            </w:pPr>
            <w:r w:rsidRPr="00CA5EFC">
              <w:rPr>
                <w:rFonts w:ascii="Arial" w:hAnsi="Arial" w:cs="Arial"/>
                <w:bCs/>
                <w:sz w:val="20"/>
                <w:szCs w:val="20"/>
              </w:rPr>
              <w:t>Hradená liečba sa môže indikovať u dospelých pacientov s diagnózou relapsujúcich foriem RS podľa aktuálnych</w:t>
            </w:r>
            <w:r>
              <w:rPr>
                <w:rFonts w:ascii="Arial" w:hAnsi="Arial" w:cs="Arial"/>
                <w:bCs/>
                <w:sz w:val="20"/>
                <w:szCs w:val="20"/>
              </w:rPr>
              <w:t xml:space="preserve"> </w:t>
            </w:r>
            <w:r w:rsidRPr="00CA5EFC">
              <w:rPr>
                <w:rFonts w:ascii="Arial" w:hAnsi="Arial" w:cs="Arial"/>
                <w:bCs/>
                <w:sz w:val="20"/>
                <w:szCs w:val="20"/>
              </w:rPr>
              <w:t>McDonaldových kritérií s aktivitou ochorenia definovanou klinickými alebo zobrazovacími metódami, ktorých</w:t>
            </w:r>
            <w:r>
              <w:rPr>
                <w:rFonts w:ascii="Arial" w:hAnsi="Arial" w:cs="Arial"/>
                <w:bCs/>
                <w:sz w:val="20"/>
                <w:szCs w:val="20"/>
              </w:rPr>
              <w:t xml:space="preserve"> </w:t>
            </w:r>
            <w:r w:rsidRPr="00CA5EFC">
              <w:rPr>
                <w:rFonts w:ascii="Arial" w:hAnsi="Arial" w:cs="Arial"/>
                <w:bCs/>
                <w:sz w:val="20"/>
                <w:szCs w:val="20"/>
              </w:rPr>
              <w:t>neurologický deficit je do 4,0 EDSS vrátane. Pre potvrdenie diagnózy SM je potrebné vyšetrenie likvoru.</w:t>
            </w:r>
          </w:p>
          <w:p w14:paraId="5AD77087" w14:textId="77777777" w:rsidR="00AA08AE" w:rsidRPr="00CA5EFC" w:rsidRDefault="00AA08AE" w:rsidP="00AA08AE">
            <w:pPr>
              <w:jc w:val="both"/>
              <w:rPr>
                <w:rFonts w:ascii="Arial" w:hAnsi="Arial" w:cs="Arial"/>
                <w:bCs/>
                <w:sz w:val="20"/>
                <w:szCs w:val="20"/>
              </w:rPr>
            </w:pPr>
          </w:p>
          <w:p w14:paraId="1604E434" w14:textId="77777777" w:rsidR="00AA08AE" w:rsidRDefault="00AA08AE" w:rsidP="00AA08AE">
            <w:pPr>
              <w:jc w:val="both"/>
              <w:rPr>
                <w:rFonts w:ascii="Arial" w:hAnsi="Arial" w:cs="Arial"/>
                <w:bCs/>
                <w:sz w:val="20"/>
                <w:szCs w:val="20"/>
              </w:rPr>
            </w:pPr>
            <w:r w:rsidRPr="00CA5EFC">
              <w:rPr>
                <w:rFonts w:ascii="Arial" w:hAnsi="Arial" w:cs="Arial"/>
                <w:bCs/>
                <w:sz w:val="20"/>
                <w:szCs w:val="20"/>
              </w:rPr>
              <w:t>Ďalšia liečba nie je hradenou liečbou, ak je zistené aspoň jedno z týchto kritérií:</w:t>
            </w:r>
          </w:p>
          <w:p w14:paraId="0284E29F" w14:textId="2629A828" w:rsidR="00AA08AE" w:rsidRPr="00CA5EFC" w:rsidRDefault="00AA08AE" w:rsidP="0067445B">
            <w:pPr>
              <w:tabs>
                <w:tab w:val="left" w:pos="240"/>
              </w:tabs>
              <w:jc w:val="both"/>
              <w:rPr>
                <w:rFonts w:ascii="Arial" w:hAnsi="Arial" w:cs="Arial"/>
                <w:bCs/>
                <w:sz w:val="20"/>
                <w:szCs w:val="20"/>
              </w:rPr>
            </w:pPr>
            <w:r w:rsidRPr="00CA5EFC">
              <w:rPr>
                <w:rFonts w:ascii="Arial" w:hAnsi="Arial" w:cs="Arial"/>
                <w:bCs/>
                <w:sz w:val="20"/>
                <w:szCs w:val="20"/>
              </w:rPr>
              <w:t>a)</w:t>
            </w:r>
            <w:r w:rsidR="0067445B">
              <w:rPr>
                <w:rFonts w:ascii="Arial" w:hAnsi="Arial" w:cs="Arial"/>
                <w:bCs/>
                <w:sz w:val="20"/>
                <w:szCs w:val="20"/>
              </w:rPr>
              <w:tab/>
            </w:r>
            <w:r w:rsidRPr="00CA5EFC">
              <w:rPr>
                <w:rFonts w:ascii="Arial" w:hAnsi="Arial" w:cs="Arial"/>
                <w:bCs/>
                <w:sz w:val="20"/>
                <w:szCs w:val="20"/>
              </w:rPr>
              <w:t>progresia atrofie mozgu potvrdená volumetriou o viac ako 0,7%,</w:t>
            </w:r>
          </w:p>
          <w:p w14:paraId="3EF698C5" w14:textId="26079304" w:rsidR="00AA08AE" w:rsidRPr="00CA5EFC" w:rsidRDefault="00AA08AE" w:rsidP="0067445B">
            <w:pPr>
              <w:tabs>
                <w:tab w:val="left" w:pos="300"/>
              </w:tabs>
              <w:jc w:val="both"/>
              <w:rPr>
                <w:rFonts w:ascii="Arial" w:hAnsi="Arial" w:cs="Arial"/>
                <w:bCs/>
                <w:sz w:val="20"/>
                <w:szCs w:val="20"/>
              </w:rPr>
            </w:pPr>
            <w:r w:rsidRPr="00CA5EFC">
              <w:rPr>
                <w:rFonts w:ascii="Arial" w:hAnsi="Arial" w:cs="Arial"/>
                <w:bCs/>
                <w:sz w:val="20"/>
                <w:szCs w:val="20"/>
              </w:rPr>
              <w:t>b)</w:t>
            </w:r>
            <w:r w:rsidR="0067445B">
              <w:rPr>
                <w:rFonts w:ascii="Arial" w:hAnsi="Arial" w:cs="Arial"/>
                <w:bCs/>
                <w:sz w:val="20"/>
                <w:szCs w:val="20"/>
              </w:rPr>
              <w:tab/>
            </w:r>
            <w:r w:rsidRPr="00CA5EFC">
              <w:rPr>
                <w:rFonts w:ascii="Arial" w:hAnsi="Arial" w:cs="Arial"/>
                <w:bCs/>
                <w:sz w:val="20"/>
                <w:szCs w:val="20"/>
              </w:rPr>
              <w:t xml:space="preserve">zvýšenie plazmatickej hladiny neurofilamentov o viac ako 20 % v porovnaní s predchádzajúcim </w:t>
            </w:r>
            <w:r w:rsidR="0067445B">
              <w:rPr>
                <w:rFonts w:ascii="Arial" w:hAnsi="Arial" w:cs="Arial"/>
                <w:bCs/>
                <w:sz w:val="20"/>
                <w:szCs w:val="20"/>
              </w:rPr>
              <w:tab/>
            </w:r>
            <w:r w:rsidRPr="00CA5EFC">
              <w:rPr>
                <w:rFonts w:ascii="Arial" w:hAnsi="Arial" w:cs="Arial"/>
                <w:bCs/>
                <w:sz w:val="20"/>
                <w:szCs w:val="20"/>
              </w:rPr>
              <w:t>meraním,</w:t>
            </w:r>
          </w:p>
          <w:p w14:paraId="154FA173" w14:textId="77777777" w:rsidR="00AA08AE" w:rsidRPr="00CA5EFC" w:rsidRDefault="00AA08AE" w:rsidP="00AA08AE">
            <w:pPr>
              <w:jc w:val="both"/>
              <w:rPr>
                <w:rFonts w:ascii="Arial" w:hAnsi="Arial" w:cs="Arial"/>
                <w:bCs/>
                <w:sz w:val="20"/>
                <w:szCs w:val="20"/>
              </w:rPr>
            </w:pPr>
            <w:r w:rsidRPr="00CA5EFC">
              <w:rPr>
                <w:rFonts w:ascii="Arial" w:hAnsi="Arial" w:cs="Arial"/>
                <w:bCs/>
                <w:sz w:val="20"/>
                <w:szCs w:val="20"/>
              </w:rPr>
              <w:t>c) v priebehu 12 mesiacov nezmenený alebo zvýšený počet relapsov ako na predchádzajúcej liečbe,</w:t>
            </w:r>
          </w:p>
          <w:p w14:paraId="2AF18821" w14:textId="77777777" w:rsidR="00AA08AE" w:rsidRPr="00CA5EFC" w:rsidRDefault="00AA08AE" w:rsidP="00AA08AE">
            <w:pPr>
              <w:jc w:val="both"/>
              <w:rPr>
                <w:rFonts w:ascii="Arial" w:hAnsi="Arial" w:cs="Arial"/>
                <w:bCs/>
                <w:sz w:val="20"/>
                <w:szCs w:val="20"/>
              </w:rPr>
            </w:pPr>
            <w:r w:rsidRPr="00CA5EFC">
              <w:rPr>
                <w:rFonts w:ascii="Arial" w:hAnsi="Arial" w:cs="Arial"/>
                <w:bCs/>
                <w:sz w:val="20"/>
                <w:szCs w:val="20"/>
              </w:rPr>
              <w:t>d) zvýšenie EDSS o jeden stupeň v priebehu jedného roka,</w:t>
            </w:r>
          </w:p>
          <w:p w14:paraId="0F001B2E" w14:textId="77777777" w:rsidR="00AA08AE" w:rsidRPr="00CA5EFC" w:rsidRDefault="00AA08AE" w:rsidP="00AA08AE">
            <w:pPr>
              <w:jc w:val="both"/>
              <w:rPr>
                <w:rFonts w:ascii="Arial" w:hAnsi="Arial" w:cs="Arial"/>
                <w:bCs/>
                <w:sz w:val="20"/>
                <w:szCs w:val="20"/>
              </w:rPr>
            </w:pPr>
            <w:r w:rsidRPr="00CA5EFC">
              <w:rPr>
                <w:rFonts w:ascii="Arial" w:hAnsi="Arial" w:cs="Arial"/>
                <w:bCs/>
                <w:sz w:val="20"/>
                <w:szCs w:val="20"/>
              </w:rPr>
              <w:t>e) pribudnutie 2 a viac T2 hyperintenzitných lézií alebo 1 a viac gadolíniom zvýrazňujúcich sa T1 lézií za</w:t>
            </w:r>
          </w:p>
          <w:p w14:paraId="121F683D" w14:textId="341EB722" w:rsidR="00AA08AE" w:rsidRDefault="0067445B" w:rsidP="0067445B">
            <w:pPr>
              <w:tabs>
                <w:tab w:val="left" w:pos="179"/>
              </w:tabs>
              <w:jc w:val="both"/>
              <w:rPr>
                <w:rFonts w:ascii="Arial" w:hAnsi="Arial" w:cs="Arial"/>
                <w:bCs/>
                <w:sz w:val="20"/>
                <w:szCs w:val="20"/>
              </w:rPr>
            </w:pPr>
            <w:r>
              <w:rPr>
                <w:rFonts w:ascii="Arial" w:hAnsi="Arial" w:cs="Arial"/>
                <w:bCs/>
                <w:sz w:val="20"/>
                <w:szCs w:val="20"/>
              </w:rPr>
              <w:tab/>
            </w:r>
            <w:r w:rsidR="00AA08AE" w:rsidRPr="00CA5EFC">
              <w:rPr>
                <w:rFonts w:ascii="Arial" w:hAnsi="Arial" w:cs="Arial"/>
                <w:bCs/>
                <w:sz w:val="20"/>
                <w:szCs w:val="20"/>
              </w:rPr>
              <w:t>predchádzajúcich 12 mesiacov liečby,</w:t>
            </w:r>
          </w:p>
          <w:p w14:paraId="3454CC08" w14:textId="59FEB8A9" w:rsidR="00AA08AE" w:rsidRPr="00841816" w:rsidRDefault="0067445B" w:rsidP="0067445B">
            <w:pPr>
              <w:tabs>
                <w:tab w:val="left" w:pos="179"/>
              </w:tabs>
              <w:rPr>
                <w:rFonts w:ascii="Arial" w:hAnsi="Arial" w:cs="Arial"/>
                <w:bCs/>
                <w:sz w:val="20"/>
                <w:szCs w:val="20"/>
              </w:rPr>
            </w:pPr>
            <w:r>
              <w:rPr>
                <w:rFonts w:ascii="Arial" w:hAnsi="Arial" w:cs="Arial"/>
                <w:bCs/>
                <w:sz w:val="20"/>
                <w:szCs w:val="20"/>
              </w:rPr>
              <w:t>f)</w:t>
            </w:r>
            <w:r>
              <w:rPr>
                <w:rFonts w:ascii="Arial" w:hAnsi="Arial" w:cs="Arial"/>
                <w:bCs/>
                <w:sz w:val="20"/>
                <w:szCs w:val="20"/>
              </w:rPr>
              <w:tab/>
            </w:r>
            <w:r w:rsidR="00AA08AE" w:rsidRPr="0067445B">
              <w:rPr>
                <w:rFonts w:ascii="Arial" w:hAnsi="Arial" w:cs="Arial"/>
                <w:bCs/>
                <w:sz w:val="20"/>
                <w:szCs w:val="20"/>
              </w:rPr>
              <w:t>EDSS 6 a viac.</w:t>
            </w:r>
          </w:p>
          <w:p w14:paraId="2E362163" w14:textId="77777777" w:rsidR="00C40F17" w:rsidRDefault="00C40F17" w:rsidP="00AA08AE">
            <w:pPr>
              <w:jc w:val="both"/>
              <w:rPr>
                <w:rFonts w:ascii="Arial" w:hAnsi="Arial" w:cs="Arial"/>
                <w:bCs/>
                <w:sz w:val="20"/>
                <w:szCs w:val="20"/>
              </w:rPr>
            </w:pPr>
          </w:p>
          <w:p w14:paraId="623BC54C" w14:textId="77777777" w:rsidR="00E02074" w:rsidRDefault="00AA08AE" w:rsidP="00E02074">
            <w:pPr>
              <w:jc w:val="both"/>
              <w:rPr>
                <w:rFonts w:ascii="Arial" w:hAnsi="Arial" w:cs="Arial"/>
                <w:bCs/>
                <w:sz w:val="20"/>
                <w:szCs w:val="20"/>
              </w:rPr>
            </w:pPr>
            <w:r w:rsidRPr="00CA5EFC">
              <w:rPr>
                <w:rFonts w:ascii="Arial" w:hAnsi="Arial" w:cs="Arial"/>
                <w:bCs/>
                <w:sz w:val="20"/>
                <w:szCs w:val="20"/>
              </w:rPr>
              <w:t>Hradená liečba sa môže indikovať na pracoviskách Univerzitnej nemocnice Bratislava, Fakultnej nemocnice s</w:t>
            </w:r>
            <w:r w:rsidR="00C40F17">
              <w:rPr>
                <w:rFonts w:ascii="Arial" w:hAnsi="Arial" w:cs="Arial"/>
                <w:bCs/>
                <w:sz w:val="20"/>
                <w:szCs w:val="20"/>
              </w:rPr>
              <w:t xml:space="preserve"> </w:t>
            </w:r>
            <w:r w:rsidRPr="00CA5EFC">
              <w:rPr>
                <w:rFonts w:ascii="Arial" w:hAnsi="Arial" w:cs="Arial"/>
                <w:bCs/>
                <w:sz w:val="20"/>
                <w:szCs w:val="20"/>
              </w:rPr>
              <w:t>poliklinikou F. D. Roosevelta Banská Bystrica, Univerzitnej nemocnice L. Pasteura Košice, Fakultnej nemocnice s</w:t>
            </w:r>
            <w:r>
              <w:rPr>
                <w:rFonts w:ascii="Arial" w:hAnsi="Arial" w:cs="Arial"/>
                <w:bCs/>
                <w:sz w:val="20"/>
                <w:szCs w:val="20"/>
              </w:rPr>
              <w:t xml:space="preserve"> </w:t>
            </w:r>
            <w:r w:rsidRPr="00CA5EFC">
              <w:rPr>
                <w:rFonts w:ascii="Arial" w:hAnsi="Arial" w:cs="Arial"/>
                <w:bCs/>
                <w:sz w:val="20"/>
                <w:szCs w:val="20"/>
              </w:rPr>
              <w:t>poliklinikou J. A. Reimana Prešov, Nemocnice s poliklinikou Nitra, Fakultnej nemocnice s poliklinikou Trnava, v</w:t>
            </w:r>
            <w:r>
              <w:rPr>
                <w:rFonts w:ascii="Arial" w:hAnsi="Arial" w:cs="Arial"/>
                <w:bCs/>
                <w:sz w:val="20"/>
                <w:szCs w:val="20"/>
              </w:rPr>
              <w:t xml:space="preserve"> </w:t>
            </w:r>
            <w:r w:rsidRPr="00CA5EFC">
              <w:rPr>
                <w:rFonts w:ascii="Arial" w:hAnsi="Arial" w:cs="Arial"/>
                <w:bCs/>
                <w:sz w:val="20"/>
                <w:szCs w:val="20"/>
              </w:rPr>
              <w:t>Univerzitnej nemocnici Martin, na Neurologickej klinike Ústrednej vojenskej nemocnice SNP Ružomberok, na</w:t>
            </w:r>
            <w:r>
              <w:rPr>
                <w:rFonts w:ascii="Arial" w:hAnsi="Arial" w:cs="Arial"/>
                <w:bCs/>
                <w:sz w:val="20"/>
                <w:szCs w:val="20"/>
              </w:rPr>
              <w:t xml:space="preserve"> </w:t>
            </w:r>
            <w:r w:rsidRPr="00CA5EFC">
              <w:rPr>
                <w:rFonts w:ascii="Arial" w:hAnsi="Arial" w:cs="Arial"/>
                <w:bCs/>
                <w:sz w:val="20"/>
                <w:szCs w:val="20"/>
              </w:rPr>
              <w:t>neurologickom oddelení Fakultnej nemocnice Trenčín a na neurologickom oddelení Nemocnice svätého Michala a.s.</w:t>
            </w:r>
            <w:r>
              <w:rPr>
                <w:rFonts w:ascii="Arial" w:hAnsi="Arial" w:cs="Arial"/>
                <w:bCs/>
                <w:sz w:val="20"/>
                <w:szCs w:val="20"/>
              </w:rPr>
              <w:t xml:space="preserve"> Bratislava </w:t>
            </w:r>
            <w:r w:rsidRPr="00643F00">
              <w:rPr>
                <w:rFonts w:ascii="Arial" w:hAnsi="Arial" w:cs="Arial"/>
                <w:bCs/>
                <w:sz w:val="20"/>
                <w:szCs w:val="20"/>
              </w:rPr>
              <w:t>a</w:t>
            </w:r>
            <w:r>
              <w:rPr>
                <w:rFonts w:ascii="Arial" w:hAnsi="Arial" w:cs="Arial"/>
                <w:bCs/>
                <w:sz w:val="20"/>
                <w:szCs w:val="20"/>
              </w:rPr>
              <w:t xml:space="preserve"> </w:t>
            </w:r>
            <w:r w:rsidRPr="00643F00">
              <w:rPr>
                <w:rFonts w:ascii="Arial" w:hAnsi="Arial" w:cs="Arial"/>
                <w:bCs/>
                <w:sz w:val="20"/>
                <w:szCs w:val="20"/>
              </w:rPr>
              <w:t>na Neurologickej klinike Fakultnej nemocnice s poliklinikou Nové Zámky</w:t>
            </w:r>
            <w:r w:rsidR="00962F74">
              <w:rPr>
                <w:rFonts w:ascii="Arial" w:hAnsi="Arial" w:cs="Arial"/>
                <w:bCs/>
                <w:sz w:val="20"/>
                <w:szCs w:val="20"/>
              </w:rPr>
              <w:t xml:space="preserve"> </w:t>
            </w:r>
            <w:r w:rsidR="00962F74" w:rsidRPr="00962F74">
              <w:rPr>
                <w:rFonts w:ascii="Arial" w:hAnsi="Arial" w:cs="Arial"/>
                <w:bCs/>
                <w:sz w:val="20"/>
                <w:szCs w:val="20"/>
              </w:rPr>
              <w:t>na Špecializovanej neurologickej ambulancii, Liptovská nemocnica s poliklinikou MUDr. Ivana Stodolu Liptovský Mikuláš</w:t>
            </w:r>
            <w:r w:rsidR="00A1394F">
              <w:rPr>
                <w:rFonts w:ascii="Arial" w:hAnsi="Arial" w:cs="Arial"/>
                <w:bCs/>
                <w:sz w:val="20"/>
                <w:szCs w:val="20"/>
              </w:rPr>
              <w:t xml:space="preserve">, </w:t>
            </w:r>
            <w:r w:rsidR="00A1394F" w:rsidRPr="00A1394F">
              <w:rPr>
                <w:rFonts w:ascii="Arial" w:hAnsi="Arial" w:cs="Arial"/>
                <w:bCs/>
                <w:sz w:val="20"/>
                <w:szCs w:val="20"/>
              </w:rPr>
              <w:t>na Neurologickom oddelení Nemocnice AGEL Levoča a.s. a na Špecializovanej neurologickej ambulancii Nemocnice AGEL Komárno</w:t>
            </w:r>
            <w:r w:rsidR="00E02074">
              <w:rPr>
                <w:rFonts w:ascii="Arial" w:hAnsi="Arial" w:cs="Arial"/>
                <w:bCs/>
                <w:sz w:val="20"/>
                <w:szCs w:val="20"/>
              </w:rPr>
              <w:t xml:space="preserve"> </w:t>
            </w:r>
            <w:r w:rsidR="00A1394F" w:rsidRPr="00A1394F">
              <w:rPr>
                <w:rFonts w:ascii="Arial" w:hAnsi="Arial" w:cs="Arial"/>
                <w:bCs/>
                <w:sz w:val="20"/>
                <w:szCs w:val="20"/>
              </w:rPr>
              <w:t>s.r.o..</w:t>
            </w:r>
          </w:p>
          <w:p w14:paraId="6947A40D" w14:textId="2A0CD6FE" w:rsidR="00AA08AE" w:rsidRPr="00CA5EFC" w:rsidRDefault="00AA08AE" w:rsidP="00E02074">
            <w:pPr>
              <w:jc w:val="both"/>
              <w:rPr>
                <w:rFonts w:ascii="Arial" w:hAnsi="Arial" w:cs="Arial"/>
                <w:bCs/>
                <w:sz w:val="20"/>
                <w:szCs w:val="20"/>
              </w:rPr>
            </w:pPr>
          </w:p>
          <w:p w14:paraId="7C6D6521" w14:textId="77777777" w:rsidR="00AA08AE" w:rsidRDefault="00AA08AE" w:rsidP="00AA08AE">
            <w:pPr>
              <w:jc w:val="both"/>
              <w:rPr>
                <w:rFonts w:ascii="Arial" w:hAnsi="Arial" w:cs="Arial"/>
                <w:bCs/>
                <w:sz w:val="20"/>
                <w:szCs w:val="20"/>
              </w:rPr>
            </w:pPr>
            <w:r w:rsidRPr="00CA5EFC">
              <w:rPr>
                <w:rFonts w:ascii="Arial" w:hAnsi="Arial" w:cs="Arial"/>
                <w:bCs/>
                <w:sz w:val="20"/>
                <w:szCs w:val="20"/>
              </w:rPr>
              <w:t>Hradená liečba podlieha predchádzajúce</w:t>
            </w:r>
            <w:r>
              <w:rPr>
                <w:rFonts w:ascii="Arial" w:hAnsi="Arial" w:cs="Arial"/>
                <w:bCs/>
                <w:sz w:val="20"/>
                <w:szCs w:val="20"/>
              </w:rPr>
              <w:t>mu súhlasu zdravotnej poisťovne.</w:t>
            </w:r>
          </w:p>
          <w:p w14:paraId="0BCD9E19" w14:textId="77777777" w:rsidR="00AA08AE" w:rsidRPr="00EC543C" w:rsidRDefault="00AA08AE" w:rsidP="00AA08AE">
            <w:pPr>
              <w:jc w:val="both"/>
              <w:rPr>
                <w:rFonts w:ascii="Arial" w:hAnsi="Arial" w:cs="Arial"/>
                <w:b/>
                <w:bCs/>
                <w:sz w:val="20"/>
                <w:szCs w:val="20"/>
              </w:rPr>
            </w:pPr>
          </w:p>
        </w:tc>
      </w:tr>
      <w:tr w:rsidR="00E40C77" w:rsidRPr="0000591E" w14:paraId="0DF00AD8" w14:textId="77777777" w:rsidTr="00E40C77">
        <w:trPr>
          <w:trHeight w:val="20"/>
        </w:trPr>
        <w:tc>
          <w:tcPr>
            <w:tcW w:w="1277" w:type="dxa"/>
            <w:tcBorders>
              <w:bottom w:val="single" w:sz="4" w:space="0" w:color="auto"/>
            </w:tcBorders>
            <w:noWrap/>
          </w:tcPr>
          <w:p w14:paraId="39249D35" w14:textId="66ED4397" w:rsidR="00E40C77" w:rsidRDefault="00E40C77" w:rsidP="001B6437">
            <w:pPr>
              <w:rPr>
                <w:rFonts w:ascii="Arial" w:hAnsi="Arial" w:cs="Arial"/>
                <w:b/>
                <w:bCs/>
                <w:sz w:val="20"/>
                <w:szCs w:val="20"/>
              </w:rPr>
            </w:pPr>
            <w:r w:rsidRPr="00E40C77">
              <w:rPr>
                <w:rFonts w:ascii="Arial" w:hAnsi="Arial" w:cs="Arial"/>
                <w:b/>
                <w:bCs/>
                <w:sz w:val="20"/>
                <w:szCs w:val="20"/>
              </w:rPr>
              <w:t>L04AG16</w:t>
            </w:r>
          </w:p>
        </w:tc>
        <w:tc>
          <w:tcPr>
            <w:tcW w:w="9355" w:type="dxa"/>
            <w:tcBorders>
              <w:bottom w:val="single" w:sz="4" w:space="0" w:color="auto"/>
            </w:tcBorders>
          </w:tcPr>
          <w:p w14:paraId="4CAFC39C" w14:textId="761FCD52" w:rsidR="00E40C77" w:rsidRPr="001B6437" w:rsidRDefault="00E40C77" w:rsidP="00AA08AE">
            <w:pPr>
              <w:rPr>
                <w:rFonts w:ascii="Arial" w:hAnsi="Arial" w:cs="Arial"/>
                <w:b/>
                <w:sz w:val="20"/>
                <w:szCs w:val="20"/>
              </w:rPr>
            </w:pPr>
            <w:r w:rsidRPr="00E40C77">
              <w:rPr>
                <w:rFonts w:ascii="Arial" w:hAnsi="Arial" w:cs="Arial"/>
                <w:b/>
                <w:sz w:val="20"/>
                <w:szCs w:val="20"/>
              </w:rPr>
              <w:t>Rozanolixizumab</w:t>
            </w:r>
            <w:r>
              <w:rPr>
                <w:rFonts w:ascii="Arial" w:hAnsi="Arial" w:cs="Arial"/>
                <w:b/>
                <w:sz w:val="20"/>
                <w:szCs w:val="20"/>
              </w:rPr>
              <w:t xml:space="preserve"> </w:t>
            </w:r>
            <w:r w:rsidRPr="00E40C77">
              <w:rPr>
                <w:rFonts w:ascii="Arial" w:hAnsi="Arial" w:cs="Arial"/>
                <w:b/>
                <w:sz w:val="20"/>
                <w:szCs w:val="20"/>
              </w:rPr>
              <w:t xml:space="preserve">s.c. 140 mg/ml </w:t>
            </w:r>
          </w:p>
        </w:tc>
      </w:tr>
      <w:tr w:rsidR="00E40C77" w:rsidRPr="0000591E" w14:paraId="698E770D" w14:textId="77777777" w:rsidTr="00E40C77">
        <w:trPr>
          <w:trHeight w:val="20"/>
        </w:trPr>
        <w:tc>
          <w:tcPr>
            <w:tcW w:w="1277" w:type="dxa"/>
            <w:tcBorders>
              <w:top w:val="single" w:sz="4" w:space="0" w:color="auto"/>
              <w:bottom w:val="nil"/>
            </w:tcBorders>
            <w:noWrap/>
          </w:tcPr>
          <w:p w14:paraId="3935FFF7" w14:textId="77777777" w:rsidR="00E40C77" w:rsidRDefault="00E40C77" w:rsidP="001B6437">
            <w:pPr>
              <w:rPr>
                <w:rFonts w:ascii="Arial" w:hAnsi="Arial" w:cs="Arial"/>
                <w:b/>
                <w:bCs/>
                <w:sz w:val="20"/>
                <w:szCs w:val="20"/>
              </w:rPr>
            </w:pPr>
          </w:p>
        </w:tc>
        <w:tc>
          <w:tcPr>
            <w:tcW w:w="9355" w:type="dxa"/>
            <w:tcBorders>
              <w:top w:val="single" w:sz="4" w:space="0" w:color="auto"/>
              <w:bottom w:val="nil"/>
            </w:tcBorders>
          </w:tcPr>
          <w:p w14:paraId="57CD35A0" w14:textId="77777777" w:rsidR="00E40C77" w:rsidRPr="00E40C77" w:rsidRDefault="00E40C77" w:rsidP="00E40C77">
            <w:pPr>
              <w:jc w:val="both"/>
              <w:rPr>
                <w:rFonts w:ascii="Arial" w:hAnsi="Arial" w:cs="Arial"/>
                <w:bCs/>
                <w:sz w:val="20"/>
                <w:szCs w:val="20"/>
              </w:rPr>
            </w:pPr>
            <w:r w:rsidRPr="00E40C77">
              <w:rPr>
                <w:rFonts w:ascii="Arial" w:hAnsi="Arial" w:cs="Arial"/>
                <w:bCs/>
                <w:sz w:val="20"/>
                <w:szCs w:val="20"/>
              </w:rPr>
              <w:t>Rozanolixizumab je hradený pacientom s generalizovanou myasténiou gravis v štádiu MGFA II-IV, s MG-ADL skóre ≥ 3 z iných ako okulárnych symptómov, s pozitívnymi protilátkami proti acetylcholínovému receptoru (AbAChR+) alebo proti svalovo špecifickej tyrozínkináze (MuSK-Ab+), ktorí sú refraktérni na konvenčnú terapiu. Zhodnotenie odpovede na liečbu je vykonané po 6 mesiacoch, kedy pre pokračovanie v liečbe je nutné zníženie MG-ADL skóre o aspoň 2 body alebo viac. Pacienti sú považovaní za refraktérnych na liečbu, ak nedôjde k zlepšeniu symptómov na liečbe:</w:t>
            </w:r>
          </w:p>
          <w:p w14:paraId="768F2944" w14:textId="2263C231" w:rsid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Inhibítormi AChE a kortikosteroidmi a NSI, alebo</w:t>
            </w:r>
          </w:p>
          <w:p w14:paraId="6D2F165A" w14:textId="4E7D89F1" w:rsid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Inhibítormi AChE a kortikosteroidmi, ak je liečba NSI netolerovaná/kontraindikovaná, alebo</w:t>
            </w:r>
          </w:p>
          <w:p w14:paraId="42797641" w14:textId="10D62E8E" w:rsid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Inhibítormi AChE a NSI, ak je liečba kortikosteroidmi netolerovaná/kontraindikovaná, alebo</w:t>
            </w:r>
          </w:p>
          <w:p w14:paraId="48BA6352" w14:textId="0A78409C" w:rsidR="00E40C77" w:rsidRP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 xml:space="preserve">u ktorých je liečba kortikosteroidmi a NSI netolerovaná/kontraindikovaná. </w:t>
            </w:r>
          </w:p>
          <w:p w14:paraId="3FED4F69" w14:textId="1A5284E9" w:rsidR="00E40C77" w:rsidRPr="00E40C77" w:rsidRDefault="00E40C77" w:rsidP="00B37AB6">
            <w:pPr>
              <w:jc w:val="both"/>
              <w:rPr>
                <w:rFonts w:ascii="Arial" w:hAnsi="Arial" w:cs="Arial"/>
                <w:bCs/>
                <w:sz w:val="20"/>
                <w:szCs w:val="20"/>
              </w:rPr>
            </w:pPr>
            <w:r w:rsidRPr="00E40C77">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w:t>
            </w:r>
          </w:p>
          <w:p w14:paraId="611D1B32" w14:textId="77777777" w:rsidR="00E40C77" w:rsidRDefault="00E40C77" w:rsidP="00E40C77">
            <w:pPr>
              <w:jc w:val="both"/>
              <w:rPr>
                <w:rFonts w:ascii="Arial" w:hAnsi="Arial" w:cs="Arial"/>
                <w:bCs/>
                <w:sz w:val="20"/>
                <w:szCs w:val="20"/>
              </w:rPr>
            </w:pPr>
            <w:r w:rsidRPr="00E40C77">
              <w:rPr>
                <w:rFonts w:ascii="Arial" w:hAnsi="Arial" w:cs="Arial"/>
                <w:bCs/>
                <w:sz w:val="20"/>
                <w:szCs w:val="20"/>
              </w:rPr>
              <w:t>Hradená liečba podlieha predchádzajúcemu súhlasu zdravotnej poisťovne.</w:t>
            </w:r>
          </w:p>
          <w:p w14:paraId="67A96B83" w14:textId="0A44471C" w:rsidR="00E40C77" w:rsidRPr="00E40C77" w:rsidRDefault="00E40C77" w:rsidP="00E40C77">
            <w:pPr>
              <w:jc w:val="both"/>
              <w:rPr>
                <w:rFonts w:ascii="Arial" w:hAnsi="Arial" w:cs="Arial"/>
                <w:bCs/>
                <w:sz w:val="20"/>
                <w:szCs w:val="20"/>
              </w:rPr>
            </w:pPr>
          </w:p>
        </w:tc>
      </w:tr>
      <w:tr w:rsidR="001B6437" w:rsidRPr="0000591E" w14:paraId="72AE2CAB" w14:textId="77777777" w:rsidTr="00E40C77">
        <w:trPr>
          <w:trHeight w:val="20"/>
        </w:trPr>
        <w:tc>
          <w:tcPr>
            <w:tcW w:w="1277" w:type="dxa"/>
            <w:tcBorders>
              <w:top w:val="nil"/>
              <w:bottom w:val="single" w:sz="4" w:space="0" w:color="auto"/>
            </w:tcBorders>
            <w:noWrap/>
          </w:tcPr>
          <w:p w14:paraId="23E452FE" w14:textId="77777777" w:rsidR="001B6437" w:rsidRDefault="001B6437" w:rsidP="001B6437">
            <w:pPr>
              <w:rPr>
                <w:rFonts w:ascii="Arial" w:hAnsi="Arial" w:cs="Arial"/>
                <w:b/>
                <w:bCs/>
                <w:sz w:val="20"/>
                <w:szCs w:val="20"/>
              </w:rPr>
            </w:pPr>
            <w:r>
              <w:rPr>
                <w:rFonts w:ascii="Arial" w:hAnsi="Arial" w:cs="Arial"/>
                <w:b/>
                <w:bCs/>
                <w:sz w:val="20"/>
                <w:szCs w:val="20"/>
              </w:rPr>
              <w:t>L04AJ01</w:t>
            </w:r>
          </w:p>
        </w:tc>
        <w:tc>
          <w:tcPr>
            <w:tcW w:w="9355" w:type="dxa"/>
            <w:tcBorders>
              <w:top w:val="nil"/>
              <w:bottom w:val="single" w:sz="4" w:space="0" w:color="auto"/>
            </w:tcBorders>
          </w:tcPr>
          <w:p w14:paraId="09508FED" w14:textId="77777777" w:rsidR="001B6437" w:rsidRPr="001B6437" w:rsidRDefault="001B6437" w:rsidP="00AA08AE">
            <w:pPr>
              <w:rPr>
                <w:rFonts w:ascii="Arial" w:hAnsi="Arial" w:cs="Arial"/>
                <w:b/>
                <w:sz w:val="20"/>
                <w:szCs w:val="20"/>
              </w:rPr>
            </w:pPr>
            <w:r w:rsidRPr="001B6437">
              <w:rPr>
                <w:rFonts w:ascii="Arial" w:hAnsi="Arial" w:cs="Arial"/>
                <w:b/>
                <w:sz w:val="20"/>
                <w:szCs w:val="20"/>
              </w:rPr>
              <w:t>Ekulizumab parent. 300 mg</w:t>
            </w:r>
          </w:p>
        </w:tc>
      </w:tr>
      <w:tr w:rsidR="00C40F17" w:rsidRPr="0000591E" w14:paraId="0060F099" w14:textId="77777777" w:rsidTr="00C40F17">
        <w:trPr>
          <w:trHeight w:val="20"/>
        </w:trPr>
        <w:tc>
          <w:tcPr>
            <w:tcW w:w="1277" w:type="dxa"/>
            <w:tcBorders>
              <w:bottom w:val="nil"/>
            </w:tcBorders>
            <w:noWrap/>
          </w:tcPr>
          <w:p w14:paraId="4E9586A0" w14:textId="77777777" w:rsidR="00C40F17" w:rsidRDefault="00C40F17" w:rsidP="001B6437">
            <w:pPr>
              <w:rPr>
                <w:rFonts w:ascii="Arial" w:hAnsi="Arial" w:cs="Arial"/>
                <w:b/>
                <w:bCs/>
                <w:sz w:val="20"/>
                <w:szCs w:val="20"/>
              </w:rPr>
            </w:pPr>
          </w:p>
        </w:tc>
        <w:tc>
          <w:tcPr>
            <w:tcW w:w="9355" w:type="dxa"/>
            <w:tcBorders>
              <w:top w:val="single" w:sz="4" w:space="0" w:color="auto"/>
              <w:bottom w:val="nil"/>
            </w:tcBorders>
          </w:tcPr>
          <w:p w14:paraId="04238665"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 xml:space="preserve">Ekulizumab je hradený </w:t>
            </w:r>
          </w:p>
          <w:p w14:paraId="61E78750"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 pacientom s generalizovanou myasténiou gravis v štádiu MGFA II-IV, s MG-ADL skóre ≥ 6, s pozitívnymi protilátkami proti acetylcholínovému receptoru (AbAChR+), ktorí sú refraktérni na konvenčnú terapiu. Zhodnotenie odpovede na liečbu je vykonané po 6 mesiacoch, kedy pre pokračovanie v liečbe je nutné zníženie MG-ADL skóre o aspoň 2 body alebo viac. Pacienti sú považovaní za refraktérnych na liečbu, ak nedôjde k zlepšeniu symptómov na liečbe:</w:t>
            </w:r>
          </w:p>
          <w:p w14:paraId="0A3EF1DD"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Inhibítormi AChE a kortikosteroidmi a NSI, alebo</w:t>
            </w:r>
          </w:p>
          <w:p w14:paraId="2BD1710C"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Inhibítormi AChE a kortikosteroidmi, ak je liečba NSI netolerovaná/kontraindikovaná, alebo</w:t>
            </w:r>
          </w:p>
          <w:p w14:paraId="1CEA90F5"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Inhibítormi AChE a NSI, ak je liečba kortikosteroidmi netolerovaná/kontraindikovaná, alebo</w:t>
            </w:r>
          </w:p>
          <w:p w14:paraId="6DC7D84C"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xml:space="preserve">• u ktorých je liečba kortikosteroidmi a NSI netolerovaná/kontraindikovaná. </w:t>
            </w:r>
          </w:p>
          <w:p w14:paraId="26C1DEE3"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  a na Neurologickom oddelení Nemocnice AGEL Levoča a.s..</w:t>
            </w:r>
          </w:p>
          <w:p w14:paraId="5851E06B" w14:textId="77777777" w:rsidR="00C40F17" w:rsidRDefault="00C40F17" w:rsidP="00C40F17">
            <w:pPr>
              <w:jc w:val="both"/>
              <w:rPr>
                <w:rFonts w:ascii="Arial" w:hAnsi="Arial" w:cs="Arial"/>
                <w:sz w:val="20"/>
                <w:szCs w:val="20"/>
              </w:rPr>
            </w:pPr>
          </w:p>
          <w:p w14:paraId="769066EE" w14:textId="70E33AC1" w:rsidR="00C40F17" w:rsidRPr="00C40F17" w:rsidRDefault="00C40F17" w:rsidP="00C40F17">
            <w:pPr>
              <w:jc w:val="both"/>
              <w:rPr>
                <w:rFonts w:ascii="Arial" w:hAnsi="Arial" w:cs="Arial"/>
                <w:sz w:val="20"/>
                <w:szCs w:val="20"/>
              </w:rPr>
            </w:pPr>
            <w:r w:rsidRPr="00C40F17">
              <w:rPr>
                <w:rFonts w:ascii="Arial" w:hAnsi="Arial" w:cs="Arial"/>
                <w:sz w:val="20"/>
                <w:szCs w:val="20"/>
              </w:rPr>
              <w:t>- dospelým pacientom s neuromyelitis optica a jej spektrum ochorení (neuromyelitis optica spectrum disorder, NMOSD) u pacientov s relapsovým priebehom ochorenia, ktorí majú pozitívne protilátky proti akvaporínu-4 (anti-aquaporin – 4, AQP4).</w:t>
            </w:r>
          </w:p>
          <w:p w14:paraId="1CC9A8B5"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w:t>
            </w:r>
          </w:p>
          <w:p w14:paraId="7672C6D9" w14:textId="77777777" w:rsidR="00C40F17" w:rsidRDefault="00C40F17" w:rsidP="00C40F17">
            <w:pPr>
              <w:jc w:val="both"/>
              <w:rPr>
                <w:rFonts w:ascii="Arial" w:hAnsi="Arial" w:cs="Arial"/>
                <w:sz w:val="20"/>
                <w:szCs w:val="20"/>
              </w:rPr>
            </w:pPr>
          </w:p>
          <w:p w14:paraId="508D67F3" w14:textId="77777777" w:rsidR="00C40F17" w:rsidRDefault="00C40F17" w:rsidP="00C40F17">
            <w:pPr>
              <w:jc w:val="both"/>
              <w:rPr>
                <w:rFonts w:ascii="Arial" w:hAnsi="Arial" w:cs="Arial"/>
                <w:sz w:val="20"/>
                <w:szCs w:val="20"/>
              </w:rPr>
            </w:pPr>
            <w:r w:rsidRPr="00C40F17">
              <w:rPr>
                <w:rFonts w:ascii="Arial" w:hAnsi="Arial" w:cs="Arial"/>
                <w:sz w:val="20"/>
                <w:szCs w:val="20"/>
              </w:rPr>
              <w:t>Hradená liečba podlieha predchádzajúcemu súhlasu zdravotnej poisťovne.</w:t>
            </w:r>
          </w:p>
          <w:p w14:paraId="50CD8A30" w14:textId="77777777" w:rsidR="00E40C77" w:rsidRDefault="00E40C77" w:rsidP="00C40F17">
            <w:pPr>
              <w:jc w:val="both"/>
              <w:rPr>
                <w:rFonts w:ascii="Arial" w:hAnsi="Arial" w:cs="Arial"/>
                <w:b/>
                <w:sz w:val="20"/>
                <w:szCs w:val="20"/>
              </w:rPr>
            </w:pPr>
          </w:p>
          <w:p w14:paraId="3D27461D" w14:textId="77777777" w:rsidR="00E40C77" w:rsidRDefault="00E40C77" w:rsidP="00C40F17">
            <w:pPr>
              <w:jc w:val="both"/>
              <w:rPr>
                <w:rFonts w:ascii="Arial" w:hAnsi="Arial" w:cs="Arial"/>
                <w:b/>
                <w:sz w:val="20"/>
                <w:szCs w:val="20"/>
              </w:rPr>
            </w:pPr>
          </w:p>
          <w:p w14:paraId="3A1F367D" w14:textId="77777777" w:rsidR="00BD4717" w:rsidRDefault="00BD4717" w:rsidP="00C40F17">
            <w:pPr>
              <w:jc w:val="both"/>
              <w:rPr>
                <w:rFonts w:ascii="Arial" w:hAnsi="Arial" w:cs="Arial"/>
                <w:b/>
                <w:sz w:val="20"/>
                <w:szCs w:val="20"/>
              </w:rPr>
            </w:pPr>
          </w:p>
          <w:p w14:paraId="595A8303" w14:textId="43E558D3" w:rsidR="00BD4717" w:rsidRPr="001B6437" w:rsidRDefault="00BD4717" w:rsidP="00C40F17">
            <w:pPr>
              <w:jc w:val="both"/>
              <w:rPr>
                <w:rFonts w:ascii="Arial" w:hAnsi="Arial" w:cs="Arial"/>
                <w:b/>
                <w:sz w:val="20"/>
                <w:szCs w:val="20"/>
              </w:rPr>
            </w:pPr>
          </w:p>
        </w:tc>
      </w:tr>
      <w:tr w:rsidR="00BD4717" w:rsidRPr="0000591E" w14:paraId="7D318C2F" w14:textId="77777777" w:rsidTr="00C40F17">
        <w:trPr>
          <w:trHeight w:val="20"/>
        </w:trPr>
        <w:tc>
          <w:tcPr>
            <w:tcW w:w="1277" w:type="dxa"/>
            <w:tcBorders>
              <w:top w:val="nil"/>
              <w:bottom w:val="single" w:sz="4" w:space="0" w:color="auto"/>
            </w:tcBorders>
            <w:noWrap/>
          </w:tcPr>
          <w:p w14:paraId="2663C2A1" w14:textId="053D0E6E" w:rsidR="00BD4717" w:rsidRPr="00C40F17" w:rsidRDefault="00BD4717" w:rsidP="00BD4717">
            <w:pPr>
              <w:rPr>
                <w:rFonts w:ascii="Arial" w:hAnsi="Arial" w:cs="Arial"/>
                <w:b/>
                <w:bCs/>
                <w:sz w:val="20"/>
                <w:szCs w:val="20"/>
              </w:rPr>
            </w:pPr>
            <w:r w:rsidRPr="00BD4717">
              <w:rPr>
                <w:rFonts w:ascii="Arial" w:hAnsi="Arial" w:cs="Arial"/>
                <w:b/>
                <w:bCs/>
                <w:sz w:val="20"/>
                <w:szCs w:val="20"/>
              </w:rPr>
              <w:t>L04A</w:t>
            </w:r>
            <w:r>
              <w:rPr>
                <w:rFonts w:ascii="Arial" w:hAnsi="Arial" w:cs="Arial"/>
                <w:b/>
                <w:bCs/>
                <w:sz w:val="20"/>
                <w:szCs w:val="20"/>
              </w:rPr>
              <w:t>J</w:t>
            </w:r>
            <w:r w:rsidRPr="00BD4717">
              <w:rPr>
                <w:rFonts w:ascii="Arial" w:hAnsi="Arial" w:cs="Arial"/>
                <w:b/>
                <w:bCs/>
                <w:sz w:val="20"/>
                <w:szCs w:val="20"/>
              </w:rPr>
              <w:t>0</w:t>
            </w:r>
            <w:r>
              <w:rPr>
                <w:rFonts w:ascii="Arial" w:hAnsi="Arial" w:cs="Arial"/>
                <w:b/>
                <w:bCs/>
                <w:sz w:val="20"/>
                <w:szCs w:val="20"/>
              </w:rPr>
              <w:t>6</w:t>
            </w:r>
          </w:p>
        </w:tc>
        <w:tc>
          <w:tcPr>
            <w:tcW w:w="9355" w:type="dxa"/>
            <w:tcBorders>
              <w:bottom w:val="single" w:sz="4" w:space="0" w:color="auto"/>
            </w:tcBorders>
          </w:tcPr>
          <w:p w14:paraId="543ACF8B" w14:textId="77777777" w:rsidR="00BD4717" w:rsidRDefault="00BD4717" w:rsidP="00BD4717">
            <w:pPr>
              <w:jc w:val="both"/>
              <w:rPr>
                <w:rFonts w:ascii="Arial" w:hAnsi="Arial" w:cs="Arial"/>
                <w:b/>
                <w:bCs/>
                <w:sz w:val="20"/>
                <w:szCs w:val="20"/>
              </w:rPr>
            </w:pPr>
            <w:r w:rsidRPr="00BD4717">
              <w:rPr>
                <w:rFonts w:ascii="Arial" w:hAnsi="Arial" w:cs="Arial"/>
                <w:b/>
                <w:bCs/>
                <w:sz w:val="20"/>
                <w:szCs w:val="20"/>
              </w:rPr>
              <w:t>Zilukoplan</w:t>
            </w:r>
            <w:r>
              <w:rPr>
                <w:rFonts w:ascii="Arial" w:hAnsi="Arial" w:cs="Arial"/>
                <w:b/>
                <w:bCs/>
                <w:sz w:val="20"/>
                <w:szCs w:val="20"/>
              </w:rPr>
              <w:t xml:space="preserve"> </w:t>
            </w:r>
            <w:r w:rsidRPr="00BD4717">
              <w:rPr>
                <w:rFonts w:ascii="Arial" w:hAnsi="Arial" w:cs="Arial"/>
                <w:b/>
                <w:bCs/>
                <w:sz w:val="20"/>
                <w:szCs w:val="20"/>
              </w:rPr>
              <w:t>s.c. 16,6 mg</w:t>
            </w:r>
          </w:p>
          <w:p w14:paraId="27029B9B" w14:textId="79BCD36E" w:rsidR="00BD4717" w:rsidRDefault="00BD4717" w:rsidP="00BD4717">
            <w:pPr>
              <w:jc w:val="both"/>
              <w:rPr>
                <w:rFonts w:ascii="Arial" w:hAnsi="Arial" w:cs="Arial"/>
                <w:b/>
                <w:bCs/>
                <w:sz w:val="20"/>
                <w:szCs w:val="20"/>
              </w:rPr>
            </w:pPr>
            <w:r w:rsidRPr="00BD4717">
              <w:rPr>
                <w:rFonts w:ascii="Arial" w:hAnsi="Arial" w:cs="Arial"/>
                <w:b/>
                <w:bCs/>
                <w:sz w:val="20"/>
                <w:szCs w:val="20"/>
              </w:rPr>
              <w:t xml:space="preserve">Zilukoplan s.c. </w:t>
            </w:r>
            <w:r>
              <w:rPr>
                <w:rFonts w:ascii="Arial" w:hAnsi="Arial" w:cs="Arial"/>
                <w:b/>
                <w:bCs/>
                <w:sz w:val="20"/>
                <w:szCs w:val="20"/>
              </w:rPr>
              <w:t>23</w:t>
            </w:r>
            <w:r w:rsidRPr="00BD4717">
              <w:rPr>
                <w:rFonts w:ascii="Arial" w:hAnsi="Arial" w:cs="Arial"/>
                <w:b/>
                <w:bCs/>
                <w:sz w:val="20"/>
                <w:szCs w:val="20"/>
              </w:rPr>
              <w:t xml:space="preserve"> mg</w:t>
            </w:r>
          </w:p>
          <w:p w14:paraId="5C2E7453" w14:textId="46D37D6E" w:rsidR="00BD4717" w:rsidRPr="00C40F17" w:rsidRDefault="00BD4717" w:rsidP="00BD4717">
            <w:pPr>
              <w:jc w:val="both"/>
              <w:rPr>
                <w:rFonts w:ascii="Arial" w:hAnsi="Arial" w:cs="Arial"/>
                <w:b/>
                <w:bCs/>
                <w:sz w:val="20"/>
                <w:szCs w:val="20"/>
              </w:rPr>
            </w:pPr>
            <w:r w:rsidRPr="00BD4717">
              <w:rPr>
                <w:rFonts w:ascii="Arial" w:hAnsi="Arial" w:cs="Arial"/>
                <w:b/>
                <w:bCs/>
                <w:sz w:val="20"/>
                <w:szCs w:val="20"/>
              </w:rPr>
              <w:t xml:space="preserve">Zilukoplan s.c. </w:t>
            </w:r>
            <w:r>
              <w:rPr>
                <w:rFonts w:ascii="Arial" w:hAnsi="Arial" w:cs="Arial"/>
                <w:b/>
                <w:bCs/>
                <w:sz w:val="20"/>
                <w:szCs w:val="20"/>
              </w:rPr>
              <w:t>32</w:t>
            </w:r>
            <w:r w:rsidRPr="00BD4717">
              <w:rPr>
                <w:rFonts w:ascii="Arial" w:hAnsi="Arial" w:cs="Arial"/>
                <w:b/>
                <w:bCs/>
                <w:sz w:val="20"/>
                <w:szCs w:val="20"/>
              </w:rPr>
              <w:t>,</w:t>
            </w:r>
            <w:r>
              <w:rPr>
                <w:rFonts w:ascii="Arial" w:hAnsi="Arial" w:cs="Arial"/>
                <w:b/>
                <w:bCs/>
                <w:sz w:val="20"/>
                <w:szCs w:val="20"/>
              </w:rPr>
              <w:t>4</w:t>
            </w:r>
            <w:r w:rsidRPr="00BD4717">
              <w:rPr>
                <w:rFonts w:ascii="Arial" w:hAnsi="Arial" w:cs="Arial"/>
                <w:b/>
                <w:bCs/>
                <w:sz w:val="20"/>
                <w:szCs w:val="20"/>
              </w:rPr>
              <w:t xml:space="preserve"> mg</w:t>
            </w:r>
          </w:p>
        </w:tc>
      </w:tr>
      <w:tr w:rsidR="00BD4717" w:rsidRPr="0000591E" w14:paraId="42B2A2DE" w14:textId="77777777" w:rsidTr="00C40F17">
        <w:trPr>
          <w:trHeight w:val="20"/>
        </w:trPr>
        <w:tc>
          <w:tcPr>
            <w:tcW w:w="1277" w:type="dxa"/>
            <w:tcBorders>
              <w:top w:val="nil"/>
              <w:bottom w:val="single" w:sz="4" w:space="0" w:color="auto"/>
            </w:tcBorders>
            <w:noWrap/>
          </w:tcPr>
          <w:p w14:paraId="74356406" w14:textId="77777777" w:rsidR="00BD4717" w:rsidRPr="00C40F17" w:rsidRDefault="00BD4717" w:rsidP="00BD4717">
            <w:pPr>
              <w:rPr>
                <w:rFonts w:ascii="Arial" w:hAnsi="Arial" w:cs="Arial"/>
                <w:b/>
                <w:bCs/>
                <w:sz w:val="20"/>
                <w:szCs w:val="20"/>
              </w:rPr>
            </w:pPr>
          </w:p>
        </w:tc>
        <w:tc>
          <w:tcPr>
            <w:tcW w:w="9355" w:type="dxa"/>
            <w:tcBorders>
              <w:bottom w:val="single" w:sz="4" w:space="0" w:color="auto"/>
            </w:tcBorders>
          </w:tcPr>
          <w:p w14:paraId="148BE9B9" w14:textId="77777777" w:rsidR="00BD4717" w:rsidRPr="00BD4717" w:rsidRDefault="00BD4717" w:rsidP="00BD4717">
            <w:pPr>
              <w:jc w:val="both"/>
              <w:rPr>
                <w:rFonts w:ascii="Arial" w:hAnsi="Arial" w:cs="Arial"/>
                <w:sz w:val="20"/>
                <w:szCs w:val="20"/>
              </w:rPr>
            </w:pPr>
            <w:r w:rsidRPr="00BD4717">
              <w:rPr>
                <w:rFonts w:ascii="Arial" w:hAnsi="Arial" w:cs="Arial"/>
                <w:sz w:val="20"/>
                <w:szCs w:val="20"/>
              </w:rPr>
              <w:t>Liečba je hradená dospelým pacientom s generalizovanou myasténiou gravis v štádiu MGFA II-IV, s MG-ADL skóre ≥ 6, s pozitívnymi protilátkami proti acetylcholínovému receptoru (AbAChR+), ktorí sú refraktérni na konvenčnú terapiu. Zhodnotenie odpovede na liečbu je vykonané po 6 mesiacoch, kedy pre pokračovanie v liečbe je nutné zníženie MG-ADL skóre o aspoň 2 body alebo viac.</w:t>
            </w:r>
          </w:p>
          <w:p w14:paraId="56921009" w14:textId="77777777" w:rsidR="00BD4717" w:rsidRPr="00BD4717" w:rsidRDefault="00BD4717" w:rsidP="00BD4717">
            <w:pPr>
              <w:jc w:val="both"/>
              <w:rPr>
                <w:rFonts w:ascii="Arial" w:hAnsi="Arial" w:cs="Arial"/>
                <w:sz w:val="20"/>
                <w:szCs w:val="20"/>
              </w:rPr>
            </w:pPr>
            <w:r w:rsidRPr="00BD4717">
              <w:rPr>
                <w:rFonts w:ascii="Arial" w:hAnsi="Arial" w:cs="Arial"/>
                <w:sz w:val="20"/>
                <w:szCs w:val="20"/>
              </w:rPr>
              <w:t xml:space="preserve">Pacienti sú považovaní za refraktérnych na liečbu, ak nedôjde k zlepšeniu symptómov na liečbe: </w:t>
            </w:r>
          </w:p>
          <w:p w14:paraId="3C7DFB17" w14:textId="7FF47ADD"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inhibítormi AChE a kortikosteroidmi a NSI, alebo </w:t>
            </w:r>
          </w:p>
          <w:p w14:paraId="481688AE" w14:textId="2DC9240C"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inhibítormi AChE a kortikosteroidmi, ak je liečba NSI netolerovaná/kontraindikovaná, alebo </w:t>
            </w:r>
          </w:p>
          <w:p w14:paraId="2386678F" w14:textId="6C3D427E"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inhibítormi AChE a NSI, ak je liečba kortikosteroidmi netolerovaná/kontraindikovaná, alebo </w:t>
            </w:r>
          </w:p>
          <w:p w14:paraId="763FA573" w14:textId="4AEA2660"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u ktorých je liečba kortikosteroidmi a NSI netolerovaná/kontraindikovaná. </w:t>
            </w:r>
          </w:p>
          <w:p w14:paraId="5E976EF0" w14:textId="77777777" w:rsidR="00BD4717" w:rsidRPr="00BD4717" w:rsidRDefault="00BD4717" w:rsidP="00BD4717">
            <w:pPr>
              <w:jc w:val="both"/>
              <w:rPr>
                <w:rFonts w:ascii="Arial" w:hAnsi="Arial" w:cs="Arial"/>
                <w:sz w:val="20"/>
                <w:szCs w:val="20"/>
              </w:rPr>
            </w:pPr>
            <w:r w:rsidRPr="00BD4717">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w:t>
            </w:r>
          </w:p>
          <w:p w14:paraId="7287C574" w14:textId="77777777" w:rsidR="00BD4717" w:rsidRPr="00BD4717" w:rsidRDefault="00BD4717" w:rsidP="00BD4717">
            <w:pPr>
              <w:jc w:val="both"/>
              <w:rPr>
                <w:rFonts w:ascii="Arial" w:hAnsi="Arial" w:cs="Arial"/>
                <w:sz w:val="20"/>
                <w:szCs w:val="20"/>
              </w:rPr>
            </w:pPr>
          </w:p>
          <w:p w14:paraId="7D946B0F" w14:textId="77777777" w:rsidR="00BD4717" w:rsidRDefault="00BD4717" w:rsidP="00BD4717">
            <w:pPr>
              <w:jc w:val="both"/>
              <w:rPr>
                <w:rFonts w:ascii="Arial" w:hAnsi="Arial" w:cs="Arial"/>
                <w:sz w:val="20"/>
                <w:szCs w:val="20"/>
              </w:rPr>
            </w:pPr>
            <w:r w:rsidRPr="00BD4717">
              <w:rPr>
                <w:rFonts w:ascii="Arial" w:hAnsi="Arial" w:cs="Arial"/>
                <w:sz w:val="20"/>
                <w:szCs w:val="20"/>
              </w:rPr>
              <w:t>Hradená liečba podlieha predchádzajúcemu súhlasu zdravotnej poisťovne.</w:t>
            </w:r>
          </w:p>
          <w:p w14:paraId="3F4B3164" w14:textId="5DAEE2EF" w:rsidR="00BD4717" w:rsidRPr="00BD4717" w:rsidRDefault="00BD4717" w:rsidP="00BD4717">
            <w:pPr>
              <w:jc w:val="both"/>
              <w:rPr>
                <w:rFonts w:ascii="Arial" w:hAnsi="Arial" w:cs="Arial"/>
                <w:sz w:val="20"/>
                <w:szCs w:val="20"/>
              </w:rPr>
            </w:pPr>
          </w:p>
        </w:tc>
      </w:tr>
      <w:tr w:rsidR="00BD4717" w:rsidRPr="0000591E" w14:paraId="772901F2" w14:textId="77777777" w:rsidTr="00C40F17">
        <w:trPr>
          <w:trHeight w:val="20"/>
        </w:trPr>
        <w:tc>
          <w:tcPr>
            <w:tcW w:w="1277" w:type="dxa"/>
            <w:tcBorders>
              <w:top w:val="nil"/>
              <w:bottom w:val="single" w:sz="4" w:space="0" w:color="auto"/>
            </w:tcBorders>
            <w:noWrap/>
          </w:tcPr>
          <w:p w14:paraId="101BBD43" w14:textId="757539E1" w:rsidR="00BD4717" w:rsidRPr="0000591E" w:rsidRDefault="00BD4717" w:rsidP="00BD4717">
            <w:pPr>
              <w:rPr>
                <w:rFonts w:ascii="Arial" w:hAnsi="Arial" w:cs="Arial"/>
                <w:b/>
                <w:bCs/>
                <w:sz w:val="20"/>
                <w:szCs w:val="20"/>
              </w:rPr>
            </w:pPr>
            <w:r w:rsidRPr="00C40F17">
              <w:rPr>
                <w:rFonts w:ascii="Arial" w:hAnsi="Arial" w:cs="Arial"/>
                <w:b/>
                <w:bCs/>
                <w:sz w:val="20"/>
                <w:szCs w:val="20"/>
              </w:rPr>
              <w:t>L04AK02</w:t>
            </w:r>
          </w:p>
        </w:tc>
        <w:tc>
          <w:tcPr>
            <w:tcW w:w="9355" w:type="dxa"/>
            <w:tcBorders>
              <w:bottom w:val="single" w:sz="4" w:space="0" w:color="auto"/>
            </w:tcBorders>
          </w:tcPr>
          <w:p w14:paraId="13386FE3" w14:textId="0E8A4DA7" w:rsidR="00BD4717" w:rsidRPr="0000591E" w:rsidRDefault="00BD4717" w:rsidP="00BD4717">
            <w:pPr>
              <w:jc w:val="both"/>
              <w:rPr>
                <w:rFonts w:ascii="Arial" w:hAnsi="Arial" w:cs="Arial"/>
                <w:b/>
                <w:bCs/>
                <w:sz w:val="20"/>
                <w:szCs w:val="20"/>
              </w:rPr>
            </w:pPr>
            <w:r w:rsidRPr="00C40F17">
              <w:rPr>
                <w:rFonts w:ascii="Arial" w:hAnsi="Arial" w:cs="Arial"/>
                <w:b/>
                <w:bCs/>
                <w:sz w:val="20"/>
                <w:szCs w:val="20"/>
              </w:rPr>
              <w:t>Teriflunomid p.o. 14 mg</w:t>
            </w:r>
          </w:p>
        </w:tc>
      </w:tr>
      <w:tr w:rsidR="00BD4717" w:rsidRPr="0000591E" w14:paraId="5566D150" w14:textId="77777777" w:rsidTr="00C40F17">
        <w:trPr>
          <w:trHeight w:val="20"/>
        </w:trPr>
        <w:tc>
          <w:tcPr>
            <w:tcW w:w="1277" w:type="dxa"/>
            <w:tcBorders>
              <w:top w:val="single" w:sz="4" w:space="0" w:color="auto"/>
            </w:tcBorders>
            <w:noWrap/>
          </w:tcPr>
          <w:p w14:paraId="7A520F34" w14:textId="77777777" w:rsidR="00BD4717" w:rsidRPr="0000591E" w:rsidRDefault="00BD4717" w:rsidP="00BD4717">
            <w:pPr>
              <w:rPr>
                <w:rFonts w:ascii="Arial" w:hAnsi="Arial" w:cs="Arial"/>
                <w:b/>
                <w:bCs/>
                <w:sz w:val="20"/>
                <w:szCs w:val="20"/>
              </w:rPr>
            </w:pPr>
          </w:p>
        </w:tc>
        <w:tc>
          <w:tcPr>
            <w:tcW w:w="9355" w:type="dxa"/>
            <w:tcBorders>
              <w:top w:val="single" w:sz="4" w:space="0" w:color="auto"/>
            </w:tcBorders>
          </w:tcPr>
          <w:p w14:paraId="7FA3008B" w14:textId="77777777" w:rsidR="00BD4717" w:rsidRPr="00C40F17" w:rsidRDefault="00BD4717" w:rsidP="00BD4717">
            <w:pPr>
              <w:jc w:val="both"/>
              <w:rPr>
                <w:rFonts w:ascii="Arial" w:hAnsi="Arial" w:cs="Arial"/>
                <w:bCs/>
                <w:sz w:val="20"/>
                <w:szCs w:val="20"/>
              </w:rPr>
            </w:pPr>
            <w:r w:rsidRPr="00C40F17">
              <w:rPr>
                <w:rFonts w:ascii="Arial" w:hAnsi="Arial" w:cs="Arial"/>
                <w:bCs/>
                <w:sz w:val="20"/>
                <w:szCs w:val="20"/>
              </w:rPr>
              <w:t xml:space="preserve">Hradená liečba sa môže indikovať u pacientov s diagnózou relapsujúco-remitujúcej formy SM podľa McDonaldových kritérií (2010), ktorých neurologický deficit je do 4,0 EDSS vrátane. Pre potvrdenie diagnózy SM je potrebné vyšetrenie likvoru. </w:t>
            </w:r>
          </w:p>
          <w:p w14:paraId="3FF4D897" w14:textId="77777777" w:rsidR="00BD4717" w:rsidRDefault="00BD4717" w:rsidP="00BD4717">
            <w:pPr>
              <w:jc w:val="both"/>
              <w:rPr>
                <w:rFonts w:ascii="Arial" w:hAnsi="Arial" w:cs="Arial"/>
                <w:bCs/>
                <w:sz w:val="20"/>
                <w:szCs w:val="20"/>
              </w:rPr>
            </w:pPr>
          </w:p>
          <w:p w14:paraId="2B58CCAF" w14:textId="5D13140B" w:rsidR="00BD4717" w:rsidRPr="00C40F17" w:rsidRDefault="00BD4717" w:rsidP="00BD4717">
            <w:pPr>
              <w:jc w:val="both"/>
              <w:rPr>
                <w:rFonts w:ascii="Arial" w:hAnsi="Arial" w:cs="Arial"/>
                <w:bCs/>
                <w:sz w:val="20"/>
                <w:szCs w:val="20"/>
              </w:rPr>
            </w:pPr>
            <w:r w:rsidRPr="00C40F17">
              <w:rPr>
                <w:rFonts w:ascii="Arial" w:hAnsi="Arial" w:cs="Arial"/>
                <w:bCs/>
                <w:sz w:val="20"/>
                <w:szCs w:val="20"/>
              </w:rPr>
              <w:t xml:space="preserve">Ďalšia liečba nie je hradenou liečbou, ak je zistené aspoň jedno z týchto kritérií: </w:t>
            </w:r>
          </w:p>
          <w:p w14:paraId="08B1168A" w14:textId="77777777" w:rsidR="00BD4717" w:rsidRPr="00C40F17" w:rsidRDefault="00BD4717" w:rsidP="00BD4717">
            <w:pPr>
              <w:tabs>
                <w:tab w:val="left" w:pos="280"/>
              </w:tabs>
              <w:jc w:val="both"/>
              <w:rPr>
                <w:rFonts w:ascii="Arial" w:hAnsi="Arial" w:cs="Arial"/>
                <w:bCs/>
                <w:sz w:val="20"/>
                <w:szCs w:val="20"/>
              </w:rPr>
            </w:pPr>
            <w:r w:rsidRPr="00C40F17">
              <w:rPr>
                <w:rFonts w:ascii="Arial" w:hAnsi="Arial" w:cs="Arial"/>
                <w:bCs/>
                <w:sz w:val="20"/>
                <w:szCs w:val="20"/>
              </w:rPr>
              <w:t>a)</w:t>
            </w:r>
            <w:r w:rsidRPr="00C40F17">
              <w:rPr>
                <w:rFonts w:ascii="Arial" w:hAnsi="Arial" w:cs="Arial"/>
                <w:bCs/>
                <w:sz w:val="20"/>
                <w:szCs w:val="20"/>
              </w:rPr>
              <w:tab/>
              <w:t>v priebehu 12 mesiacov nezmenený alebo zvýšený počet relapsov ako na predchádzajúcej liečbe,</w:t>
            </w:r>
          </w:p>
          <w:p w14:paraId="0CBA721F" w14:textId="77777777" w:rsidR="00BD4717" w:rsidRPr="00C40F17" w:rsidRDefault="00BD4717" w:rsidP="00BD4717">
            <w:pPr>
              <w:tabs>
                <w:tab w:val="left" w:pos="260"/>
              </w:tabs>
              <w:jc w:val="both"/>
              <w:rPr>
                <w:rFonts w:ascii="Arial" w:hAnsi="Arial" w:cs="Arial"/>
                <w:bCs/>
                <w:sz w:val="20"/>
                <w:szCs w:val="20"/>
              </w:rPr>
            </w:pPr>
            <w:r w:rsidRPr="00C40F17">
              <w:rPr>
                <w:rFonts w:ascii="Arial" w:hAnsi="Arial" w:cs="Arial"/>
                <w:bCs/>
                <w:sz w:val="20"/>
                <w:szCs w:val="20"/>
              </w:rPr>
              <w:t>b)</w:t>
            </w:r>
            <w:r w:rsidRPr="00C40F17">
              <w:rPr>
                <w:rFonts w:ascii="Arial" w:hAnsi="Arial" w:cs="Arial"/>
                <w:bCs/>
                <w:sz w:val="20"/>
                <w:szCs w:val="20"/>
              </w:rPr>
              <w:tab/>
              <w:t xml:space="preserve">zvýšenie EDSS o jeden stupeň v priebehu jedného roka, </w:t>
            </w:r>
          </w:p>
          <w:p w14:paraId="67B8B566" w14:textId="6D3EC926" w:rsidR="00BD4717" w:rsidRPr="00C40F17" w:rsidRDefault="00BD4717" w:rsidP="00BD4717">
            <w:pPr>
              <w:tabs>
                <w:tab w:val="left" w:pos="280"/>
              </w:tabs>
              <w:jc w:val="both"/>
              <w:rPr>
                <w:rFonts w:ascii="Arial" w:hAnsi="Arial" w:cs="Arial"/>
                <w:bCs/>
                <w:sz w:val="20"/>
                <w:szCs w:val="20"/>
              </w:rPr>
            </w:pPr>
            <w:r w:rsidRPr="00C40F17">
              <w:rPr>
                <w:rFonts w:ascii="Arial" w:hAnsi="Arial" w:cs="Arial"/>
                <w:bCs/>
                <w:sz w:val="20"/>
                <w:szCs w:val="20"/>
              </w:rPr>
              <w:t>c)</w:t>
            </w:r>
            <w:r w:rsidRPr="00C40F17">
              <w:rPr>
                <w:rFonts w:ascii="Arial" w:hAnsi="Arial" w:cs="Arial"/>
                <w:bCs/>
                <w:sz w:val="20"/>
                <w:szCs w:val="20"/>
              </w:rPr>
              <w:tab/>
              <w:t xml:space="preserve">pribudnutie 2 a viac T2 hyperintenzitných lézií alebo 1 a viac gadolíniom zvýrazňujúcich sa T1 lézií </w:t>
            </w:r>
            <w:r>
              <w:rPr>
                <w:rFonts w:ascii="Arial" w:hAnsi="Arial" w:cs="Arial"/>
                <w:bCs/>
                <w:sz w:val="20"/>
                <w:szCs w:val="20"/>
              </w:rPr>
              <w:tab/>
            </w:r>
            <w:r w:rsidRPr="00C40F17">
              <w:rPr>
                <w:rFonts w:ascii="Arial" w:hAnsi="Arial" w:cs="Arial"/>
                <w:bCs/>
                <w:sz w:val="20"/>
                <w:szCs w:val="20"/>
              </w:rPr>
              <w:t>za predchádzajúcich 12 mesiacov liečby,</w:t>
            </w:r>
          </w:p>
          <w:p w14:paraId="3413F55A" w14:textId="77777777" w:rsidR="00BD4717" w:rsidRPr="00C40F17" w:rsidRDefault="00BD4717" w:rsidP="00BD4717">
            <w:pPr>
              <w:tabs>
                <w:tab w:val="left" w:pos="280"/>
              </w:tabs>
              <w:jc w:val="both"/>
              <w:rPr>
                <w:rFonts w:ascii="Arial" w:hAnsi="Arial" w:cs="Arial"/>
                <w:bCs/>
                <w:sz w:val="20"/>
                <w:szCs w:val="20"/>
              </w:rPr>
            </w:pPr>
            <w:r w:rsidRPr="00C40F17">
              <w:rPr>
                <w:rFonts w:ascii="Arial" w:hAnsi="Arial" w:cs="Arial"/>
                <w:bCs/>
                <w:sz w:val="20"/>
                <w:szCs w:val="20"/>
              </w:rPr>
              <w:t>d)</w:t>
            </w:r>
            <w:r w:rsidRPr="00C40F17">
              <w:rPr>
                <w:rFonts w:ascii="Arial" w:hAnsi="Arial" w:cs="Arial"/>
                <w:bCs/>
                <w:sz w:val="20"/>
                <w:szCs w:val="20"/>
              </w:rPr>
              <w:tab/>
              <w:t>EDSS 6 a viac.</w:t>
            </w:r>
          </w:p>
          <w:p w14:paraId="7CB85BBA" w14:textId="77777777" w:rsidR="00BD4717" w:rsidRPr="00C40F17" w:rsidRDefault="00BD4717" w:rsidP="00BD4717">
            <w:pPr>
              <w:jc w:val="both"/>
              <w:rPr>
                <w:rFonts w:ascii="Arial" w:hAnsi="Arial" w:cs="Arial"/>
                <w:bCs/>
                <w:sz w:val="20"/>
                <w:szCs w:val="20"/>
              </w:rPr>
            </w:pPr>
          </w:p>
          <w:p w14:paraId="47A3ED33" w14:textId="1753CDA2" w:rsidR="00BD4717" w:rsidRDefault="00BD4717" w:rsidP="00BD4717">
            <w:pPr>
              <w:jc w:val="both"/>
              <w:rPr>
                <w:rFonts w:ascii="Arial" w:hAnsi="Arial" w:cs="Arial"/>
                <w:bCs/>
                <w:sz w:val="20"/>
                <w:szCs w:val="20"/>
              </w:rPr>
            </w:pPr>
            <w:r w:rsidRPr="00C40F17">
              <w:rPr>
                <w:rFonts w:ascii="Arial" w:hAnsi="Arial" w:cs="Arial"/>
                <w:bCs/>
                <w:sz w:val="20"/>
                <w:szCs w:val="20"/>
              </w:rPr>
              <w:t xml:space="preserve">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a na Špecializovanej neurologickej ambulancii, Liptovská nemocnica s poliklinikou MUDr. Ivana Stodolu Liptovský Mikuláš, na Neurologickom oddelení Nemocnice AGEL Levoča a.s. a na Špecializovanej neurologickej ambulancii Nemocnice AGEL Komárno s.r.o.. </w:t>
            </w:r>
          </w:p>
          <w:p w14:paraId="391E2B10" w14:textId="6A55A4E0" w:rsidR="00BD4717" w:rsidRPr="00C40F17" w:rsidRDefault="00BD4717" w:rsidP="00C02238">
            <w:pPr>
              <w:jc w:val="both"/>
              <w:rPr>
                <w:rFonts w:ascii="Arial" w:hAnsi="Arial" w:cs="Arial"/>
                <w:bCs/>
                <w:sz w:val="20"/>
                <w:szCs w:val="20"/>
              </w:rPr>
            </w:pPr>
          </w:p>
        </w:tc>
      </w:tr>
      <w:tr w:rsidR="00BD4717" w:rsidRPr="0000591E" w14:paraId="50DE2E48" w14:textId="77777777" w:rsidTr="00670FEC">
        <w:trPr>
          <w:trHeight w:val="20"/>
        </w:trPr>
        <w:tc>
          <w:tcPr>
            <w:tcW w:w="1277" w:type="dxa"/>
            <w:noWrap/>
          </w:tcPr>
          <w:p w14:paraId="77DFA03A" w14:textId="77777777" w:rsidR="00BD4717" w:rsidRDefault="00BD4717" w:rsidP="00BD4717">
            <w:pPr>
              <w:rPr>
                <w:rFonts w:ascii="Arial" w:hAnsi="Arial" w:cs="Arial"/>
                <w:b/>
                <w:bCs/>
                <w:sz w:val="20"/>
                <w:szCs w:val="20"/>
              </w:rPr>
            </w:pPr>
          </w:p>
          <w:p w14:paraId="53909FAD" w14:textId="77777777" w:rsidR="00BD4717" w:rsidRDefault="00BD4717" w:rsidP="00BD4717">
            <w:pPr>
              <w:rPr>
                <w:rFonts w:ascii="Arial" w:hAnsi="Arial" w:cs="Arial"/>
                <w:b/>
                <w:bCs/>
                <w:sz w:val="20"/>
                <w:szCs w:val="20"/>
              </w:rPr>
            </w:pPr>
          </w:p>
          <w:p w14:paraId="2D0871E4" w14:textId="20220117" w:rsidR="00BD4717" w:rsidRPr="0000591E" w:rsidRDefault="00BD4717" w:rsidP="00BD4717">
            <w:pPr>
              <w:rPr>
                <w:rFonts w:ascii="Arial" w:hAnsi="Arial" w:cs="Arial"/>
                <w:b/>
                <w:bCs/>
                <w:sz w:val="20"/>
                <w:szCs w:val="20"/>
              </w:rPr>
            </w:pPr>
            <w:r w:rsidRPr="0000591E">
              <w:rPr>
                <w:rFonts w:ascii="Arial" w:hAnsi="Arial" w:cs="Arial"/>
                <w:b/>
                <w:bCs/>
                <w:sz w:val="20"/>
                <w:szCs w:val="20"/>
              </w:rPr>
              <w:t>L04AX04</w:t>
            </w:r>
          </w:p>
        </w:tc>
        <w:tc>
          <w:tcPr>
            <w:tcW w:w="9355" w:type="dxa"/>
          </w:tcPr>
          <w:p w14:paraId="3805F4F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Lenalidomid p.o. 10 mg,</w:t>
            </w:r>
          </w:p>
          <w:p w14:paraId="5793B05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Lenalidomid p.o. 15 mg,</w:t>
            </w:r>
          </w:p>
          <w:p w14:paraId="57E03F0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Lenalidomid p.o. 25 mg</w:t>
            </w:r>
          </w:p>
        </w:tc>
      </w:tr>
      <w:tr w:rsidR="00BD4717" w:rsidRPr="0000591E" w14:paraId="100BA2D0" w14:textId="77777777" w:rsidTr="00743BAE">
        <w:trPr>
          <w:trHeight w:val="20"/>
        </w:trPr>
        <w:tc>
          <w:tcPr>
            <w:tcW w:w="1277" w:type="dxa"/>
            <w:tcBorders>
              <w:bottom w:val="single" w:sz="4" w:space="0" w:color="BFBFBF" w:themeColor="background1" w:themeShade="BF"/>
            </w:tcBorders>
            <w:noWrap/>
          </w:tcPr>
          <w:p w14:paraId="76A251FA" w14:textId="77777777" w:rsidR="00BD4717" w:rsidRPr="0000591E" w:rsidRDefault="00BD4717" w:rsidP="00BD4717">
            <w:pPr>
              <w:jc w:val="center"/>
              <w:rPr>
                <w:rFonts w:ascii="Arial" w:hAnsi="Arial" w:cs="Arial"/>
                <w:b/>
                <w:bCs/>
                <w:sz w:val="20"/>
                <w:szCs w:val="20"/>
              </w:rPr>
            </w:pPr>
          </w:p>
        </w:tc>
        <w:tc>
          <w:tcPr>
            <w:tcW w:w="9355" w:type="dxa"/>
            <w:tcBorders>
              <w:bottom w:val="single" w:sz="4" w:space="0" w:color="BFBFBF" w:themeColor="background1" w:themeShade="BF"/>
            </w:tcBorders>
          </w:tcPr>
          <w:p w14:paraId="4C2FCB25" w14:textId="77777777" w:rsidR="00BD4717" w:rsidRDefault="00BD4717" w:rsidP="00BD4717">
            <w:pPr>
              <w:rPr>
                <w:rFonts w:ascii="Arial" w:hAnsi="Arial" w:cs="Arial"/>
                <w:sz w:val="20"/>
                <w:szCs w:val="20"/>
              </w:rPr>
            </w:pPr>
            <w:r w:rsidRPr="005A0E5C">
              <w:rPr>
                <w:rFonts w:ascii="Arial" w:hAnsi="Arial" w:cs="Arial"/>
                <w:sz w:val="20"/>
                <w:szCs w:val="20"/>
              </w:rPr>
              <w:t xml:space="preserve">Hradená liečba sa môže indikovať pri mnohopočetnom myelóme u pacientov, </w:t>
            </w:r>
          </w:p>
          <w:p w14:paraId="609136DC" w14:textId="77777777" w:rsidR="00BD4717" w:rsidRDefault="00BD4717" w:rsidP="00BD4717">
            <w:pPr>
              <w:rPr>
                <w:rFonts w:ascii="Arial" w:hAnsi="Arial" w:cs="Arial"/>
                <w:sz w:val="20"/>
                <w:szCs w:val="20"/>
              </w:rPr>
            </w:pPr>
          </w:p>
          <w:p w14:paraId="3DF28FC1"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1. ktorí podstúpili najmenej jednu predchádzajúcu liečbu a ktorí už podstúpili alebo nie sú vhodní na transplantáciu kostnej drene, ak </w:t>
            </w:r>
          </w:p>
          <w:p w14:paraId="1D81C64B"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a) došlo k progresii ochorenia do šiestich mesiacov po ukončení predchádzajúcej liečby, alebo </w:t>
            </w:r>
          </w:p>
          <w:p w14:paraId="16A0E34C" w14:textId="77777777" w:rsidR="00BD4717" w:rsidRDefault="00BD4717" w:rsidP="00BD4717">
            <w:pPr>
              <w:jc w:val="both"/>
              <w:rPr>
                <w:rFonts w:ascii="Arial" w:hAnsi="Arial" w:cs="Arial"/>
                <w:sz w:val="20"/>
                <w:szCs w:val="20"/>
              </w:rPr>
            </w:pPr>
            <w:r w:rsidRPr="005A0E5C">
              <w:rPr>
                <w:rFonts w:ascii="Arial" w:hAnsi="Arial" w:cs="Arial"/>
                <w:sz w:val="20"/>
                <w:szCs w:val="20"/>
              </w:rPr>
              <w:t>b) došlo k progresii ochorenia po šiestich mesiacoch po ukončení predchádzajúcej liečby a zároveň majú pr</w:t>
            </w:r>
            <w:r>
              <w:rPr>
                <w:rFonts w:ascii="Arial" w:hAnsi="Arial" w:cs="Arial"/>
                <w:sz w:val="20"/>
                <w:szCs w:val="20"/>
              </w:rPr>
              <w:t>ejavy periférnej polyneuropatie.</w:t>
            </w:r>
          </w:p>
          <w:p w14:paraId="353C88FE" w14:textId="77777777" w:rsidR="00BD4717" w:rsidRDefault="00BD4717" w:rsidP="00BD4717">
            <w:pPr>
              <w:rPr>
                <w:rFonts w:ascii="Arial" w:hAnsi="Arial" w:cs="Arial"/>
                <w:sz w:val="20"/>
                <w:szCs w:val="20"/>
              </w:rPr>
            </w:pPr>
          </w:p>
          <w:p w14:paraId="6E603C75" w14:textId="77777777" w:rsidR="00BD4717" w:rsidRDefault="00BD4717" w:rsidP="00BD4717">
            <w:pPr>
              <w:rPr>
                <w:rFonts w:ascii="Arial" w:hAnsi="Arial" w:cs="Arial"/>
                <w:sz w:val="20"/>
                <w:szCs w:val="20"/>
              </w:rPr>
            </w:pPr>
            <w:r w:rsidRPr="005A0E5C">
              <w:rPr>
                <w:rFonts w:ascii="Arial" w:hAnsi="Arial" w:cs="Arial"/>
                <w:sz w:val="20"/>
                <w:szCs w:val="20"/>
              </w:rPr>
              <w:t xml:space="preserve">Liečba sa ukončí, ak po štyroch cykloch liečby ochorenie progreduje. </w:t>
            </w:r>
          </w:p>
          <w:p w14:paraId="7CFC3994" w14:textId="77777777" w:rsidR="00BD4717" w:rsidRDefault="00BD4717" w:rsidP="00BD4717">
            <w:pPr>
              <w:rPr>
                <w:rFonts w:ascii="Arial" w:hAnsi="Arial" w:cs="Arial"/>
                <w:sz w:val="20"/>
                <w:szCs w:val="20"/>
              </w:rPr>
            </w:pPr>
          </w:p>
          <w:p w14:paraId="7339E450"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Za odpoveď na liečbu sa považuje odpoveď podľa kritérií EBMT (European Group for Blood and Marrow Transplantation). </w:t>
            </w:r>
          </w:p>
          <w:p w14:paraId="0EF8D384" w14:textId="77777777" w:rsidR="00BD4717" w:rsidRDefault="00BD4717" w:rsidP="00BD4717">
            <w:pPr>
              <w:rPr>
                <w:rFonts w:ascii="Arial" w:hAnsi="Arial" w:cs="Arial"/>
                <w:sz w:val="20"/>
                <w:szCs w:val="20"/>
              </w:rPr>
            </w:pPr>
          </w:p>
          <w:p w14:paraId="7AD72B91"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Jesseniovej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2BAF57DB" w14:textId="77777777" w:rsidR="00BD4717" w:rsidRDefault="00BD4717" w:rsidP="00BD4717">
            <w:pPr>
              <w:rPr>
                <w:rFonts w:ascii="Arial" w:hAnsi="Arial" w:cs="Arial"/>
                <w:sz w:val="20"/>
                <w:szCs w:val="20"/>
              </w:rPr>
            </w:pPr>
          </w:p>
          <w:p w14:paraId="00CA41E8"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2. s doteraz neliečeným mnohopočetným myelómom, ktorí nie sú spôsobilí na transplantáciu kostnej drene, majú prejavy periférnej polyneuropatie a zaroveň spĺňajú nasledujúce podmienky: </w:t>
            </w:r>
          </w:p>
          <w:p w14:paraId="6A4F107C" w14:textId="77777777" w:rsidR="00BD4717" w:rsidRDefault="00BD4717" w:rsidP="00BD4717">
            <w:pPr>
              <w:jc w:val="both"/>
              <w:rPr>
                <w:rFonts w:ascii="Arial" w:hAnsi="Arial" w:cs="Arial"/>
                <w:sz w:val="20"/>
                <w:szCs w:val="20"/>
              </w:rPr>
            </w:pPr>
          </w:p>
          <w:p w14:paraId="76384F85"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a) neprítomnosť iných aktívnych malignít </w:t>
            </w:r>
          </w:p>
          <w:p w14:paraId="694F8AE3"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b) neprítomnosť tromboembolickej choroby počas posledných troch mesiacov Liečba podľa bodu 2 sa ukončí v prípade progresie ochorenia alebo po maximálnej dĺžke liečby v trvaní 20 cyklov. </w:t>
            </w:r>
          </w:p>
          <w:p w14:paraId="2B90241F" w14:textId="77777777" w:rsidR="00BD4717" w:rsidRDefault="00BD4717" w:rsidP="00BD4717">
            <w:pPr>
              <w:jc w:val="both"/>
              <w:rPr>
                <w:rFonts w:ascii="Arial" w:hAnsi="Arial" w:cs="Arial"/>
                <w:sz w:val="20"/>
                <w:szCs w:val="20"/>
              </w:rPr>
            </w:pPr>
          </w:p>
          <w:p w14:paraId="53C68430"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Jesseniovej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01CA17DB" w14:textId="77777777" w:rsidR="00BD4717" w:rsidRDefault="00BD4717" w:rsidP="00BD4717">
            <w:pPr>
              <w:rPr>
                <w:rFonts w:ascii="Arial" w:hAnsi="Arial" w:cs="Arial"/>
                <w:sz w:val="20"/>
                <w:szCs w:val="20"/>
              </w:rPr>
            </w:pPr>
          </w:p>
          <w:p w14:paraId="4101EE0C"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3. s novodiagnostikovaným mnohopočetným myelómom, ktorí absolvovali autológnu transplantáciu kmeňových krvotvorných buniek (TKB) v monoterapii ako udržiavacia liečba </w:t>
            </w:r>
          </w:p>
          <w:p w14:paraId="021612C4" w14:textId="77777777" w:rsidR="00BD4717" w:rsidRDefault="00BD4717" w:rsidP="00BD4717">
            <w:pPr>
              <w:jc w:val="both"/>
              <w:rPr>
                <w:rFonts w:ascii="Arial" w:hAnsi="Arial" w:cs="Arial"/>
                <w:sz w:val="20"/>
                <w:szCs w:val="20"/>
              </w:rPr>
            </w:pPr>
          </w:p>
          <w:p w14:paraId="23DA8980"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Jesseniovej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190EB48B" w14:textId="77777777" w:rsidR="00A87F2E" w:rsidRDefault="00A87F2E" w:rsidP="00BD4717">
            <w:pPr>
              <w:jc w:val="both"/>
              <w:rPr>
                <w:rFonts w:ascii="Arial" w:hAnsi="Arial" w:cs="Arial"/>
                <w:sz w:val="20"/>
                <w:szCs w:val="20"/>
              </w:rPr>
            </w:pPr>
          </w:p>
          <w:p w14:paraId="678E3A7B" w14:textId="6F658694" w:rsidR="00BD4717" w:rsidRPr="00A87F2E" w:rsidRDefault="00A87F2E" w:rsidP="00A87F2E">
            <w:pPr>
              <w:jc w:val="both"/>
              <w:rPr>
                <w:rFonts w:ascii="Arial" w:hAnsi="Arial" w:cs="Arial"/>
                <w:sz w:val="20"/>
                <w:szCs w:val="20"/>
              </w:rPr>
            </w:pPr>
            <w:r>
              <w:rPr>
                <w:rFonts w:ascii="Arial" w:hAnsi="Arial" w:cs="Arial"/>
                <w:sz w:val="20"/>
                <w:szCs w:val="20"/>
              </w:rPr>
              <w:t xml:space="preserve">4. </w:t>
            </w:r>
            <w:r w:rsidR="00BD4717" w:rsidRPr="00A87F2E">
              <w:rPr>
                <w:rFonts w:ascii="Arial" w:hAnsi="Arial" w:cs="Arial"/>
                <w:sz w:val="20"/>
                <w:szCs w:val="20"/>
              </w:rPr>
              <w:t xml:space="preserve">s novodiagnostikovaným mnohopočetným myelómom, ktorí nie sú vhodní na autológnu transplantáciu kmeňových krvotvorných buniek (TKB) v kombinácii s bortezomibom a dexametazónom (VRd) </w:t>
            </w:r>
          </w:p>
          <w:p w14:paraId="56667F63"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Jesseniovej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3531D8B9" w14:textId="77777777" w:rsidR="00BD4717" w:rsidRDefault="00BD4717" w:rsidP="00BD4717">
            <w:pPr>
              <w:pStyle w:val="Odsekzoznamu"/>
              <w:ind w:left="170"/>
              <w:rPr>
                <w:rFonts w:ascii="Arial" w:hAnsi="Arial" w:cs="Arial"/>
                <w:sz w:val="20"/>
                <w:szCs w:val="20"/>
              </w:rPr>
            </w:pPr>
          </w:p>
          <w:p w14:paraId="5454104A" w14:textId="77777777" w:rsidR="00BD4717" w:rsidRPr="001650EE" w:rsidRDefault="00BD4717" w:rsidP="00A87F2E">
            <w:pPr>
              <w:pStyle w:val="Odsekzoznamu"/>
              <w:numPr>
                <w:ilvl w:val="1"/>
                <w:numId w:val="117"/>
              </w:numPr>
              <w:tabs>
                <w:tab w:val="num" w:pos="1080"/>
              </w:tabs>
              <w:autoSpaceDE w:val="0"/>
              <w:autoSpaceDN w:val="0"/>
              <w:adjustRightInd w:val="0"/>
              <w:spacing w:after="180"/>
              <w:ind w:left="312" w:hanging="275"/>
              <w:rPr>
                <w:rFonts w:ascii="Arial" w:hAnsi="Arial"/>
                <w:color w:val="000000"/>
                <w:sz w:val="20"/>
                <w:u w:color="000000"/>
              </w:rPr>
            </w:pPr>
            <w:r w:rsidRPr="001650EE">
              <w:rPr>
                <w:rFonts w:ascii="Arial" w:hAnsi="Arial"/>
                <w:color w:val="000000"/>
                <w:sz w:val="20"/>
                <w:u w:color="000000"/>
              </w:rPr>
              <w:t>v kombinácii s </w:t>
            </w:r>
            <w:r w:rsidRPr="001650EE">
              <w:rPr>
                <w:rFonts w:ascii="Arial" w:hAnsi="Arial"/>
                <w:color w:val="000000"/>
                <w:sz w:val="20"/>
                <w:highlight w:val="white"/>
                <w:u w:color="000000"/>
              </w:rPr>
              <w:t>daratumumabom</w:t>
            </w:r>
            <w:r w:rsidRPr="001650EE">
              <w:rPr>
                <w:rFonts w:ascii="Arial" w:hAnsi="Arial"/>
                <w:color w:val="000000"/>
                <w:sz w:val="20"/>
                <w:u w:color="000000"/>
              </w:rPr>
              <w:t xml:space="preserve"> a dexametazónom na liečbu dospelých pacientov s novodiagnostikovaným mnohopočetným myelómom, ktorí nie sú vhodní na autológnu transplantáciu kmeňových buniek.</w:t>
            </w:r>
          </w:p>
          <w:p w14:paraId="392E09A5" w14:textId="01700A94" w:rsidR="00BD4717" w:rsidRDefault="00BD4717" w:rsidP="00BD4717">
            <w:pPr>
              <w:jc w:val="both"/>
              <w:rPr>
                <w:rFonts w:ascii="Arial" w:hAnsi="Arial" w:cs="Arial"/>
                <w:sz w:val="20"/>
                <w:szCs w:val="20"/>
              </w:rPr>
            </w:pPr>
            <w:r w:rsidRPr="001650EE">
              <w:rPr>
                <w:rFonts w:ascii="Arial" w:hAnsi="Arial" w:cs="Arial"/>
                <w:sz w:val="20"/>
                <w:szCs w:val="20"/>
              </w:rPr>
              <w:t>Podmienkou hradenej liečby je dobrý výkonnostný stav pacienta - Karnofského skóre 100 - 60%</w:t>
            </w:r>
            <w:r>
              <w:rPr>
                <w:rFonts w:ascii="Arial" w:hAnsi="Arial" w:cs="Arial"/>
                <w:sz w:val="20"/>
                <w:szCs w:val="20"/>
              </w:rPr>
              <w:t xml:space="preserve"> </w:t>
            </w:r>
            <w:r w:rsidRPr="001650EE">
              <w:rPr>
                <w:rFonts w:ascii="Arial" w:hAnsi="Arial" w:cs="Arial"/>
                <w:sz w:val="20"/>
                <w:szCs w:val="20"/>
              </w:rPr>
              <w:t>alebo ECOG 0-2.</w:t>
            </w:r>
            <w:r>
              <w:rPr>
                <w:rFonts w:ascii="Arial" w:hAnsi="Arial" w:cs="Arial"/>
                <w:sz w:val="20"/>
                <w:szCs w:val="20"/>
              </w:rPr>
              <w:t xml:space="preserve"> </w:t>
            </w:r>
            <w:r w:rsidRPr="001650EE">
              <w:rPr>
                <w:rFonts w:ascii="Arial" w:hAnsi="Arial" w:cs="Arial"/>
                <w:sz w:val="20"/>
                <w:szCs w:val="20"/>
              </w:rPr>
              <w:t>Podmienkou hradenia liečby je posúdenie vhodnosti liečby na pracoviskách vykonávajúcich</w:t>
            </w:r>
            <w:r>
              <w:rPr>
                <w:rFonts w:ascii="Arial" w:hAnsi="Arial" w:cs="Arial"/>
                <w:sz w:val="20"/>
                <w:szCs w:val="20"/>
              </w:rPr>
              <w:t xml:space="preserve"> </w:t>
            </w:r>
            <w:r w:rsidRPr="001650EE">
              <w:rPr>
                <w:rFonts w:ascii="Arial" w:hAnsi="Arial" w:cs="Arial"/>
                <w:sz w:val="20"/>
                <w:szCs w:val="20"/>
              </w:rPr>
              <w:t>transplantácie: Národný onkologický ústav, Bratislava, Klinika hematológie a transfúziológie Univerzitnej</w:t>
            </w:r>
            <w:r>
              <w:rPr>
                <w:rFonts w:ascii="Arial" w:hAnsi="Arial" w:cs="Arial"/>
                <w:sz w:val="20"/>
                <w:szCs w:val="20"/>
              </w:rPr>
              <w:t xml:space="preserve"> </w:t>
            </w:r>
            <w:r w:rsidRPr="001650EE">
              <w:rPr>
                <w:rFonts w:ascii="Arial" w:hAnsi="Arial" w:cs="Arial"/>
                <w:sz w:val="20"/>
                <w:szCs w:val="20"/>
              </w:rPr>
              <w:t>nemocnice Bratislava, Klinika hematológie a onkohematológie Univerzitnej nemocnice L. Pasteura</w:t>
            </w:r>
            <w:r>
              <w:rPr>
                <w:rFonts w:ascii="Arial" w:hAnsi="Arial" w:cs="Arial"/>
                <w:sz w:val="20"/>
                <w:szCs w:val="20"/>
              </w:rPr>
              <w:t xml:space="preserve"> </w:t>
            </w:r>
            <w:r w:rsidRPr="001650EE">
              <w:rPr>
                <w:rFonts w:ascii="Arial" w:hAnsi="Arial" w:cs="Arial"/>
                <w:sz w:val="20"/>
                <w:szCs w:val="20"/>
              </w:rPr>
              <w:t>Košice, Hematologické oddelenie Fakultnej nemocnice s poliklinikou F. D. Roosevelta Banská</w:t>
            </w:r>
            <w:r>
              <w:rPr>
                <w:rFonts w:ascii="Arial" w:hAnsi="Arial" w:cs="Arial"/>
                <w:sz w:val="20"/>
                <w:szCs w:val="20"/>
              </w:rPr>
              <w:t xml:space="preserve"> </w:t>
            </w:r>
            <w:r w:rsidRPr="001650EE">
              <w:rPr>
                <w:rFonts w:ascii="Arial" w:hAnsi="Arial" w:cs="Arial"/>
                <w:sz w:val="20"/>
                <w:szCs w:val="20"/>
              </w:rPr>
              <w:t>Bystrica, Klinika hematológie a transfúziológie Univerzitnej nemocnice Martin.</w:t>
            </w:r>
          </w:p>
          <w:p w14:paraId="3634C107" w14:textId="77777777" w:rsidR="00BD4717" w:rsidRPr="001650EE" w:rsidRDefault="00BD4717" w:rsidP="00BD4717">
            <w:pPr>
              <w:rPr>
                <w:rFonts w:ascii="Arial" w:hAnsi="Arial" w:cs="Arial"/>
                <w:sz w:val="20"/>
                <w:szCs w:val="20"/>
              </w:rPr>
            </w:pPr>
          </w:p>
          <w:p w14:paraId="20DE0B54" w14:textId="77777777" w:rsidR="00BD4717" w:rsidRPr="00691E1B" w:rsidRDefault="00BD4717" w:rsidP="00A87F2E">
            <w:pPr>
              <w:pStyle w:val="Odsekzoznamu"/>
              <w:numPr>
                <w:ilvl w:val="1"/>
                <w:numId w:val="117"/>
              </w:numPr>
              <w:tabs>
                <w:tab w:val="num" w:pos="1080"/>
              </w:tabs>
              <w:autoSpaceDE w:val="0"/>
              <w:autoSpaceDN w:val="0"/>
              <w:adjustRightInd w:val="0"/>
              <w:spacing w:after="180"/>
              <w:ind w:left="312" w:hanging="275"/>
              <w:rPr>
                <w:rFonts w:ascii="Arial" w:hAnsi="Arial"/>
                <w:color w:val="000000"/>
                <w:sz w:val="20"/>
                <w:u w:color="000000"/>
              </w:rPr>
            </w:pPr>
            <w:r w:rsidRPr="00691E1B">
              <w:rPr>
                <w:rFonts w:ascii="Arial" w:hAnsi="Arial"/>
                <w:color w:val="000000"/>
                <w:sz w:val="20"/>
                <w:highlight w:val="white"/>
                <w:u w:color="000000"/>
              </w:rPr>
              <w:t>lenalidomidom</w:t>
            </w:r>
            <w:r w:rsidRPr="00691E1B">
              <w:rPr>
                <w:rFonts w:ascii="Arial" w:hAnsi="Arial"/>
                <w:color w:val="000000"/>
                <w:sz w:val="20"/>
                <w:u w:color="000000"/>
              </w:rPr>
              <w:t xml:space="preserve"> v kombinácii s karfilzomibom a dexametazónom v druhej línii liečby u dospelých pacientov s mnohopočetným myelómom, ktorí už podstúpili a nie sú vhodní na opakovanú transplantáciu vlastných kmeňových buniek (ASCT), nie sú vhodní na liečbu bortezomibom, preukázali progresiu ochorenia a majú štandardné cytogenetické riziko definované neprítomnosťou niektorej z cytogenetických aberácií del(17p), t(4;14), t(14;16).</w:t>
            </w:r>
          </w:p>
          <w:p w14:paraId="01654A92"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Podmienkou hradenej liečby je dobrý výkonnostný stav pacienta (Karnofského skóre 100- 60% alebo ECOG 0-2) a neprítomnosť pridružených rizík (infarkt myokardu za posledných 6 mesiacov, srdcové zlyhanie stupňa NYHA 3 alebo 4, chronické ochorenie obličiek stupňa ≥ 4, nekontrolovateľná hypertenzia pri kombinovanej antihypertenzívnej liečbe).</w:t>
            </w:r>
          </w:p>
          <w:p w14:paraId="25EA673B"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Podmienkou hradenia liečby je posúdenie vhodnosti liečby u novodiagnostikovaných pacientov na pracoviskách vykonávajúcich transplantácie.</w:t>
            </w:r>
          </w:p>
          <w:p w14:paraId="2C871203"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Hradená liečba sa môže indikovať v: Národný onkologický ústav, Bratislava, Klinika hematológie a transfúziológie Univerzitnej nemocnice Bratislava,</w:t>
            </w:r>
            <w:r>
              <w:rPr>
                <w:rFonts w:ascii="Arial" w:hAnsi="Arial"/>
                <w:color w:val="000000"/>
                <w:sz w:val="20"/>
                <w:u w:color="000000"/>
              </w:rPr>
              <w:t xml:space="preserve"> </w:t>
            </w:r>
            <w:r w:rsidRPr="00691E1B">
              <w:rPr>
                <w:rFonts w:ascii="Arial" w:hAnsi="Arial"/>
                <w:color w:val="000000"/>
                <w:sz w:val="20"/>
                <w:u w:color="000000"/>
              </w:rPr>
              <w:t>Klinika hematológie a onkohematológie Univerzitnej nemocnice L. Pasteura Košice, Hematologické oddelenie Fakultnej nemocnice s poliklinikou F. D. Roosevelta Banská Bystrica, Klinika hematológie a transfúziológie Univerzitnej nemocnice Martin.</w:t>
            </w:r>
          </w:p>
          <w:p w14:paraId="54CAB852" w14:textId="77777777" w:rsidR="00BD4717" w:rsidRPr="00691E1B" w:rsidRDefault="00BD4717" w:rsidP="00A87F2E">
            <w:pPr>
              <w:pStyle w:val="Odsekzoznamu"/>
              <w:numPr>
                <w:ilvl w:val="1"/>
                <w:numId w:val="117"/>
              </w:numPr>
              <w:tabs>
                <w:tab w:val="num" w:pos="1080"/>
              </w:tabs>
              <w:autoSpaceDE w:val="0"/>
              <w:autoSpaceDN w:val="0"/>
              <w:adjustRightInd w:val="0"/>
              <w:spacing w:after="180"/>
              <w:ind w:left="312" w:hanging="275"/>
              <w:rPr>
                <w:rFonts w:ascii="Arial" w:hAnsi="Arial"/>
                <w:color w:val="000000"/>
                <w:sz w:val="20"/>
                <w:u w:color="000000"/>
              </w:rPr>
            </w:pPr>
            <w:r w:rsidRPr="00691E1B">
              <w:rPr>
                <w:rFonts w:ascii="Arial" w:hAnsi="Arial"/>
                <w:color w:val="000000"/>
                <w:sz w:val="20"/>
                <w:highlight w:val="white"/>
                <w:u w:color="000000"/>
              </w:rPr>
              <w:t xml:space="preserve">lenalidomidom </w:t>
            </w:r>
            <w:r w:rsidRPr="00691E1B">
              <w:rPr>
                <w:rFonts w:ascii="Arial" w:hAnsi="Arial"/>
                <w:color w:val="000000"/>
                <w:sz w:val="20"/>
                <w:u w:color="000000"/>
              </w:rPr>
              <w:t xml:space="preserve">v kombinácii s </w:t>
            </w:r>
            <w:r w:rsidRPr="00691E1B">
              <w:rPr>
                <w:rFonts w:ascii="Arial" w:hAnsi="Arial"/>
                <w:color w:val="000000"/>
                <w:sz w:val="20"/>
                <w:highlight w:val="white"/>
                <w:u w:color="000000"/>
              </w:rPr>
              <w:t xml:space="preserve">ixazomibom </w:t>
            </w:r>
            <w:r w:rsidRPr="00691E1B">
              <w:rPr>
                <w:rFonts w:ascii="Arial" w:hAnsi="Arial"/>
                <w:color w:val="000000"/>
                <w:sz w:val="20"/>
                <w:u w:color="000000"/>
              </w:rPr>
              <w:t xml:space="preserve">a dexametazónom u dospelých pacientov s mnohopočetným myelómom  </w:t>
            </w:r>
          </w:p>
          <w:p w14:paraId="000DFEF7"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a) ktorí dostali aspoň jednu predchádzajúcu liečbu a majú potvrdenú vysokorizikovú cytogenetiku definovanú prítomnosťou niektorej z cytogenetických aberácií del(17p), t(4;14), t(14;16), </w:t>
            </w:r>
          </w:p>
          <w:p w14:paraId="33FB0B5E"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b) v tretej alebo štvrtej línii liečby u pacientov, ktorí majú relabované a zároveň refraktérne ochorenie a nie sú vhodní na liečbu bortezomibom. </w:t>
            </w:r>
          </w:p>
          <w:p w14:paraId="40EFF37C"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Podmienkou hradenej liečby je dobrý výkonnostný stav pacienta - Karnofského skóre 100- 60% alebo ECOG 0-2. </w:t>
            </w:r>
          </w:p>
          <w:p w14:paraId="505CB775"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Podmienkou hradenia liečby je posúdenie vhodnosti liečby u novodiagnostikovaných pacientov na pracoviskách vykonávajúcich transplantácie. </w:t>
            </w:r>
          </w:p>
          <w:p w14:paraId="2B9DDB9E" w14:textId="77777777" w:rsidR="00BD4717" w:rsidRDefault="00BD4717" w:rsidP="00BD4717">
            <w:pPr>
              <w:autoSpaceDE w:val="0"/>
              <w:autoSpaceDN w:val="0"/>
              <w:adjustRightInd w:val="0"/>
              <w:spacing w:after="180" w:line="276" w:lineRule="auto"/>
              <w:jc w:val="both"/>
              <w:rPr>
                <w:rFonts w:ascii="Arial" w:hAnsi="Arial" w:cs="Arial"/>
                <w:sz w:val="20"/>
                <w:szCs w:val="20"/>
              </w:rPr>
            </w:pPr>
            <w:r w:rsidRPr="00691E1B">
              <w:rPr>
                <w:rFonts w:ascii="Arial" w:hAnsi="Arial"/>
                <w:color w:val="000000"/>
                <w:sz w:val="20"/>
                <w:u w:color="000000"/>
              </w:rPr>
              <w:t xml:space="preserve">Hradená liečba sa môže indikovať v: 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r w:rsidRPr="005A0E5C">
              <w:rPr>
                <w:rFonts w:ascii="Arial" w:hAnsi="Arial" w:cs="Arial"/>
                <w:sz w:val="20"/>
                <w:szCs w:val="20"/>
              </w:rPr>
              <w:t xml:space="preserve"> </w:t>
            </w:r>
          </w:p>
          <w:p w14:paraId="3A1241F1" w14:textId="77777777" w:rsidR="00A87F2E" w:rsidRDefault="00A87F2E" w:rsidP="00A87F2E">
            <w:pPr>
              <w:autoSpaceDE w:val="0"/>
              <w:autoSpaceDN w:val="0"/>
              <w:adjustRightInd w:val="0"/>
              <w:spacing w:line="276" w:lineRule="auto"/>
              <w:jc w:val="both"/>
              <w:rPr>
                <w:rFonts w:ascii="Arial" w:hAnsi="Arial"/>
                <w:color w:val="000000"/>
                <w:sz w:val="20"/>
                <w:u w:color="000000"/>
              </w:rPr>
            </w:pPr>
          </w:p>
          <w:p w14:paraId="45A41E70" w14:textId="0C97E3FE" w:rsidR="00A87F2E" w:rsidRDefault="00A87F2E" w:rsidP="00A87F2E">
            <w:pPr>
              <w:autoSpaceDE w:val="0"/>
              <w:autoSpaceDN w:val="0"/>
              <w:adjustRightInd w:val="0"/>
              <w:spacing w:line="360" w:lineRule="auto"/>
              <w:jc w:val="both"/>
              <w:rPr>
                <w:rFonts w:ascii="Arial" w:hAnsi="Arial"/>
                <w:color w:val="000000"/>
                <w:sz w:val="20"/>
                <w:u w:color="000000"/>
              </w:rPr>
            </w:pPr>
            <w:r w:rsidRPr="00A87F2E">
              <w:rPr>
                <w:rFonts w:ascii="Arial" w:hAnsi="Arial"/>
                <w:color w:val="000000"/>
                <w:sz w:val="20"/>
                <w:u w:color="000000"/>
              </w:rPr>
              <w:t xml:space="preserve">Hradená liečba sa môže indikovať: </w:t>
            </w:r>
          </w:p>
          <w:p w14:paraId="33486525" w14:textId="3E184F39" w:rsidR="00A87F2E" w:rsidRPr="00A87F2E" w:rsidRDefault="00A87F2E" w:rsidP="00A87F2E">
            <w:pPr>
              <w:autoSpaceDE w:val="0"/>
              <w:autoSpaceDN w:val="0"/>
              <w:adjustRightInd w:val="0"/>
              <w:spacing w:after="180" w:line="276" w:lineRule="auto"/>
              <w:jc w:val="both"/>
              <w:rPr>
                <w:rFonts w:ascii="Arial" w:hAnsi="Arial"/>
                <w:color w:val="000000"/>
                <w:sz w:val="20"/>
                <w:u w:color="000000"/>
              </w:rPr>
            </w:pPr>
            <w:r w:rsidRPr="00A87F2E">
              <w:rPr>
                <w:rFonts w:ascii="Arial" w:hAnsi="Arial"/>
                <w:color w:val="000000"/>
                <w:sz w:val="20"/>
                <w:u w:color="000000"/>
              </w:rPr>
              <w:t xml:space="preserve">- v kombinácii s daratumumabom, bortezomibom a dexametazónom na liečbu dospelých pacientov s novodiagnostikovaným mnohopočetným myelómom, ktorí sú vhodní na autológnu transplantáciu kmeňových buniek, u pacientov po dosiahnutí dlhodobej MRD negativity s trvaním ≥12 mesiacov a zároveň pri celkovej dĺžke udržiavacej liečby daratumumabom v trvaní ≥24 mesiacov ďalšia liečba daratumumabom nie je hradená. </w:t>
            </w:r>
          </w:p>
          <w:p w14:paraId="0FF6F46D" w14:textId="7B5D1C6C" w:rsidR="00A87F2E" w:rsidRPr="007E2D5B" w:rsidRDefault="00A87F2E" w:rsidP="00A87F2E">
            <w:pPr>
              <w:autoSpaceDE w:val="0"/>
              <w:autoSpaceDN w:val="0"/>
              <w:adjustRightInd w:val="0"/>
              <w:spacing w:after="180" w:line="276" w:lineRule="auto"/>
              <w:jc w:val="both"/>
              <w:rPr>
                <w:rFonts w:ascii="Arial" w:hAnsi="Arial"/>
                <w:color w:val="000000"/>
                <w:sz w:val="20"/>
                <w:u w:color="000000"/>
              </w:rPr>
            </w:pPr>
            <w:r w:rsidRPr="00A87F2E">
              <w:rPr>
                <w:rFonts w:ascii="Arial" w:hAnsi="Arial"/>
                <w:color w:val="000000"/>
                <w:sz w:val="20"/>
                <w:u w:color="000000"/>
              </w:rPr>
              <w:t>Podmienkou hradenej liečby je dobrý výkonnostný stav pacienta - Karnofského skóre 100 - 60% alebo ECOG 0-2. Podmienkou hradenia liečby je posúdenie vhodnosti liečby na pracoviskách vykonávajúcich transplantácie: 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w:t>
            </w:r>
          </w:p>
        </w:tc>
      </w:tr>
      <w:tr w:rsidR="00BD4717" w:rsidRPr="0000591E" w14:paraId="6A5A89F0" w14:textId="77777777" w:rsidTr="00743BAE">
        <w:trPr>
          <w:trHeight w:val="20"/>
        </w:trPr>
        <w:tc>
          <w:tcPr>
            <w:tcW w:w="1277" w:type="dxa"/>
            <w:tcBorders>
              <w:bottom w:val="single" w:sz="4" w:space="0" w:color="auto"/>
            </w:tcBorders>
            <w:noWrap/>
          </w:tcPr>
          <w:p w14:paraId="352D2C6C" w14:textId="77777777" w:rsidR="00BD4717" w:rsidRDefault="00BD4717" w:rsidP="00BD4717">
            <w:pPr>
              <w:ind w:right="68"/>
              <w:jc w:val="center"/>
              <w:rPr>
                <w:rFonts w:ascii="Arial" w:hAnsi="Arial" w:cs="Arial"/>
                <w:b/>
                <w:bCs/>
                <w:sz w:val="20"/>
                <w:szCs w:val="20"/>
              </w:rPr>
            </w:pPr>
          </w:p>
          <w:p w14:paraId="2DCE1AC8" w14:textId="77777777" w:rsidR="00BD4717" w:rsidRDefault="00BD4717" w:rsidP="00BD4717">
            <w:pPr>
              <w:ind w:right="68"/>
              <w:jc w:val="center"/>
              <w:rPr>
                <w:rFonts w:ascii="Arial" w:hAnsi="Arial" w:cs="Arial"/>
                <w:b/>
                <w:bCs/>
                <w:sz w:val="20"/>
                <w:szCs w:val="20"/>
              </w:rPr>
            </w:pPr>
          </w:p>
          <w:p w14:paraId="1CE1B5B8" w14:textId="77777777" w:rsidR="00BD4717" w:rsidRDefault="00BD4717" w:rsidP="00BD4717">
            <w:pPr>
              <w:ind w:right="68"/>
              <w:jc w:val="center"/>
              <w:rPr>
                <w:rFonts w:ascii="Arial" w:hAnsi="Arial" w:cs="Arial"/>
                <w:b/>
                <w:bCs/>
                <w:sz w:val="20"/>
                <w:szCs w:val="20"/>
              </w:rPr>
            </w:pPr>
          </w:p>
          <w:p w14:paraId="2971B54B" w14:textId="0D9B60EA" w:rsidR="00BD4717" w:rsidRPr="0000591E" w:rsidRDefault="00BD4717" w:rsidP="00BD4717">
            <w:pPr>
              <w:ind w:right="68"/>
              <w:jc w:val="center"/>
              <w:rPr>
                <w:rFonts w:ascii="Arial" w:hAnsi="Arial" w:cs="Arial"/>
                <w:b/>
                <w:bCs/>
                <w:sz w:val="20"/>
                <w:szCs w:val="20"/>
              </w:rPr>
            </w:pPr>
            <w:r>
              <w:rPr>
                <w:rFonts w:ascii="Arial" w:hAnsi="Arial" w:cs="Arial"/>
                <w:b/>
                <w:bCs/>
                <w:sz w:val="20"/>
                <w:szCs w:val="20"/>
              </w:rPr>
              <w:t>L04AX06</w:t>
            </w:r>
          </w:p>
        </w:tc>
        <w:tc>
          <w:tcPr>
            <w:tcW w:w="9355" w:type="dxa"/>
            <w:tcBorders>
              <w:bottom w:val="single" w:sz="4" w:space="0" w:color="auto"/>
            </w:tcBorders>
          </w:tcPr>
          <w:p w14:paraId="0A44CCC6" w14:textId="77777777" w:rsidR="00BD4717" w:rsidRDefault="00BD4717" w:rsidP="00BD4717">
            <w:pPr>
              <w:jc w:val="both"/>
              <w:rPr>
                <w:rFonts w:ascii="Arial" w:hAnsi="Arial" w:cs="Arial"/>
                <w:b/>
                <w:sz w:val="20"/>
                <w:szCs w:val="20"/>
              </w:rPr>
            </w:pPr>
            <w:r w:rsidRPr="00A3221B">
              <w:rPr>
                <w:rFonts w:ascii="Arial" w:hAnsi="Arial" w:cs="Arial"/>
                <w:b/>
                <w:sz w:val="20"/>
                <w:szCs w:val="20"/>
              </w:rPr>
              <w:t xml:space="preserve">Pomalidomid p.o. </w:t>
            </w:r>
            <w:r>
              <w:rPr>
                <w:rFonts w:ascii="Arial" w:hAnsi="Arial" w:cs="Arial"/>
                <w:b/>
                <w:sz w:val="20"/>
                <w:szCs w:val="20"/>
              </w:rPr>
              <w:t>1</w:t>
            </w:r>
            <w:r w:rsidRPr="00A3221B">
              <w:rPr>
                <w:rFonts w:ascii="Arial" w:hAnsi="Arial" w:cs="Arial"/>
                <w:b/>
                <w:sz w:val="20"/>
                <w:szCs w:val="20"/>
              </w:rPr>
              <w:t xml:space="preserve"> mg</w:t>
            </w:r>
            <w:r>
              <w:rPr>
                <w:rFonts w:ascii="Arial" w:hAnsi="Arial" w:cs="Arial"/>
                <w:b/>
                <w:sz w:val="20"/>
                <w:szCs w:val="20"/>
              </w:rPr>
              <w:t>,</w:t>
            </w:r>
          </w:p>
          <w:p w14:paraId="0C708932" w14:textId="77777777" w:rsidR="00BD4717" w:rsidRDefault="00BD4717" w:rsidP="00BD4717">
            <w:pPr>
              <w:jc w:val="both"/>
              <w:rPr>
                <w:rFonts w:ascii="Arial" w:hAnsi="Arial" w:cs="Arial"/>
                <w:b/>
                <w:sz w:val="20"/>
                <w:szCs w:val="20"/>
              </w:rPr>
            </w:pPr>
            <w:r w:rsidRPr="00A3221B">
              <w:rPr>
                <w:rFonts w:ascii="Arial" w:hAnsi="Arial" w:cs="Arial"/>
                <w:b/>
                <w:sz w:val="20"/>
                <w:szCs w:val="20"/>
              </w:rPr>
              <w:t xml:space="preserve">Pomalidomid p.o. </w:t>
            </w:r>
            <w:r>
              <w:rPr>
                <w:rFonts w:ascii="Arial" w:hAnsi="Arial" w:cs="Arial"/>
                <w:b/>
                <w:sz w:val="20"/>
                <w:szCs w:val="20"/>
              </w:rPr>
              <w:t>2</w:t>
            </w:r>
            <w:r w:rsidRPr="00A3221B">
              <w:rPr>
                <w:rFonts w:ascii="Arial" w:hAnsi="Arial" w:cs="Arial"/>
                <w:b/>
                <w:sz w:val="20"/>
                <w:szCs w:val="20"/>
              </w:rPr>
              <w:t xml:space="preserve"> mg</w:t>
            </w:r>
            <w:r>
              <w:rPr>
                <w:rFonts w:ascii="Arial" w:hAnsi="Arial" w:cs="Arial"/>
                <w:b/>
                <w:sz w:val="20"/>
                <w:szCs w:val="20"/>
              </w:rPr>
              <w:t>,</w:t>
            </w:r>
          </w:p>
          <w:p w14:paraId="544BFEA8" w14:textId="77777777" w:rsidR="00BD4717" w:rsidRDefault="00BD4717" w:rsidP="00BD4717">
            <w:pPr>
              <w:jc w:val="both"/>
              <w:rPr>
                <w:rFonts w:ascii="Arial" w:hAnsi="Arial" w:cs="Arial"/>
                <w:b/>
                <w:sz w:val="20"/>
                <w:szCs w:val="20"/>
              </w:rPr>
            </w:pPr>
            <w:r w:rsidRPr="00A3221B">
              <w:rPr>
                <w:rFonts w:ascii="Arial" w:hAnsi="Arial" w:cs="Arial"/>
                <w:b/>
                <w:sz w:val="20"/>
                <w:szCs w:val="20"/>
              </w:rPr>
              <w:t xml:space="preserve">Pomalidomid p.o. </w:t>
            </w:r>
            <w:r>
              <w:rPr>
                <w:rFonts w:ascii="Arial" w:hAnsi="Arial" w:cs="Arial"/>
                <w:b/>
                <w:sz w:val="20"/>
                <w:szCs w:val="20"/>
              </w:rPr>
              <w:t>3</w:t>
            </w:r>
            <w:r w:rsidRPr="00A3221B">
              <w:rPr>
                <w:rFonts w:ascii="Arial" w:hAnsi="Arial" w:cs="Arial"/>
                <w:b/>
                <w:sz w:val="20"/>
                <w:szCs w:val="20"/>
              </w:rPr>
              <w:t xml:space="preserve"> mg</w:t>
            </w:r>
            <w:r>
              <w:rPr>
                <w:rFonts w:ascii="Arial" w:hAnsi="Arial" w:cs="Arial"/>
                <w:b/>
                <w:sz w:val="20"/>
                <w:szCs w:val="20"/>
              </w:rPr>
              <w:t>,</w:t>
            </w:r>
          </w:p>
          <w:p w14:paraId="0275556B" w14:textId="77777777" w:rsidR="00BD4717" w:rsidRPr="00B26246" w:rsidRDefault="00BD4717" w:rsidP="00BD4717">
            <w:pPr>
              <w:jc w:val="both"/>
              <w:rPr>
                <w:rFonts w:ascii="Arial" w:hAnsi="Arial" w:cs="Arial"/>
                <w:sz w:val="20"/>
                <w:szCs w:val="20"/>
              </w:rPr>
            </w:pPr>
            <w:r w:rsidRPr="00A3221B">
              <w:rPr>
                <w:rFonts w:ascii="Arial" w:hAnsi="Arial" w:cs="Arial"/>
                <w:b/>
                <w:sz w:val="20"/>
                <w:szCs w:val="20"/>
              </w:rPr>
              <w:t>Pomalidomid p.o. 4 mg</w:t>
            </w:r>
          </w:p>
        </w:tc>
      </w:tr>
      <w:tr w:rsidR="00BD4717" w:rsidRPr="0000591E" w14:paraId="3D00F2E4" w14:textId="77777777" w:rsidTr="00743BAE">
        <w:trPr>
          <w:trHeight w:val="20"/>
        </w:trPr>
        <w:tc>
          <w:tcPr>
            <w:tcW w:w="1277" w:type="dxa"/>
            <w:tcBorders>
              <w:top w:val="single" w:sz="4" w:space="0" w:color="auto"/>
              <w:bottom w:val="single" w:sz="4" w:space="0" w:color="BFBFBF" w:themeColor="background1" w:themeShade="BF"/>
            </w:tcBorders>
            <w:noWrap/>
          </w:tcPr>
          <w:p w14:paraId="2E6AB281" w14:textId="77777777" w:rsidR="00BD4717" w:rsidRDefault="00BD4717" w:rsidP="00BD4717">
            <w:pPr>
              <w:ind w:right="68"/>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E4EC213" w14:textId="77777777" w:rsidR="00BD4717" w:rsidRPr="00A3221B" w:rsidRDefault="00BD4717" w:rsidP="00BD4717">
            <w:pPr>
              <w:autoSpaceDE w:val="0"/>
              <w:autoSpaceDN w:val="0"/>
              <w:adjustRightInd w:val="0"/>
              <w:jc w:val="both"/>
              <w:rPr>
                <w:rFonts w:ascii="Arial" w:hAnsi="Arial" w:cs="Arial"/>
                <w:color w:val="000000"/>
                <w:sz w:val="20"/>
                <w:szCs w:val="20"/>
                <w:lang w:val="en-US"/>
              </w:rPr>
            </w:pPr>
            <w:r w:rsidRPr="00A3221B">
              <w:rPr>
                <w:rFonts w:ascii="Arial" w:hAnsi="Arial" w:cs="Arial"/>
                <w:color w:val="000000"/>
                <w:sz w:val="20"/>
                <w:szCs w:val="20"/>
                <w:lang w:val="en-US"/>
              </w:rPr>
              <w:t xml:space="preserve">Hradená liečba sa môže indikovať v tretej alebo štvrtej línii pri relabovanom a refraktérnom mnohopočetnom myelóme v kombinácii s dexametazónom u dospelých pacientov, ktorí sa predtým podrobili terapeutickým režimom zahŕňajúcim ako lenalidomid, tak aj bortezomib, pri poslednej podanej liečbe preukázali progresiu ochorenia a nie sú vhodní na opakovanú liečbu režimami obsahujúcimi bortezomib. Pacient je považovaný za nevhodného na opakovanú liečbu režimom obsahujúcim bortezomib ak spĺňa jednu z nasledujúcich podmienok: </w:t>
            </w:r>
          </w:p>
          <w:p w14:paraId="3E782A1F"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22F4AB39"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Preukázané prejavy periférnej neuropatie 2. a vyššieho stupňa počas predchádzajúcej liečby bortezomibom </w:t>
            </w:r>
          </w:p>
          <w:p w14:paraId="1F5979E2"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počas predchádzajúcej liečby bortezomibom sa objavila akákoľvek hematologická toxicita 4. stupňa, akákoľvek nehematologická toxicita minimálne 3. stupňa alebo nehematologická toxicita v zmysle neuropatie minimálne 2. stupňa s bolesťou </w:t>
            </w:r>
          </w:p>
          <w:p w14:paraId="46A59437"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v minulosti progredoval počas liečby bortezomibom alebo do 60 dní od ukončenia liečby bortezomibom </w:t>
            </w:r>
          </w:p>
          <w:p w14:paraId="5933D5E6"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34A1C32E"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Podmienkou hradenej liečby je dobrý výkonnostný stav pacienta – Karnofského skóre 100- 60 % alebo ECOG 0-2. </w:t>
            </w:r>
          </w:p>
          <w:p w14:paraId="3CC98165"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Liečba sa ukončí, ak po štyroch cykloch liečby ochorenie progreduje. </w:t>
            </w:r>
          </w:p>
          <w:p w14:paraId="1975D6B0"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6AFA08CF" w14:textId="14E0D9BC"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Opakovaná liečba pomalidomidom nie je hradená.  </w:t>
            </w:r>
          </w:p>
          <w:p w14:paraId="1530D38E"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Podmienkou hradenia liečby je posúdenie vhodnosti liečby na pracoviskách vykonávajúcich transplantácie: </w:t>
            </w:r>
          </w:p>
          <w:p w14:paraId="0D30A6DC"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1E7E0936"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Národný onkologický ústav, Bratislava, Klinika hematológie a transfuziológie Univerzitnej nemocnice Bratislava, Klinika hematológie a onkohematológie Univerzitnej nemocnice L. Pasteura Košice, Hematologické oddelenie Fakultnej nemocnice s poliklinikou F. D. Roosvelta Banská Bystrica, Klinika hematológie a transfuziológie Univerzitnej nemocnice Martin. </w:t>
            </w:r>
          </w:p>
          <w:p w14:paraId="64341470" w14:textId="77777777" w:rsidR="00BD4717" w:rsidRDefault="00BD4717" w:rsidP="00BD4717">
            <w:pPr>
              <w:jc w:val="both"/>
              <w:rPr>
                <w:rFonts w:ascii="Arial" w:hAnsi="Arial" w:cs="Arial"/>
                <w:sz w:val="20"/>
                <w:szCs w:val="20"/>
              </w:rPr>
            </w:pPr>
          </w:p>
        </w:tc>
      </w:tr>
      <w:tr w:rsidR="00BD4717" w:rsidRPr="0000591E" w14:paraId="4CDBA3CC" w14:textId="77777777" w:rsidTr="00743BAE">
        <w:trPr>
          <w:trHeight w:val="20"/>
        </w:trPr>
        <w:tc>
          <w:tcPr>
            <w:tcW w:w="1277" w:type="dxa"/>
            <w:tcBorders>
              <w:bottom w:val="single" w:sz="4" w:space="0" w:color="auto"/>
            </w:tcBorders>
            <w:noWrap/>
          </w:tcPr>
          <w:p w14:paraId="1D18C8F9" w14:textId="77777777" w:rsidR="00BD4717" w:rsidRDefault="00BD4717" w:rsidP="00BD4717">
            <w:pPr>
              <w:ind w:right="68"/>
              <w:jc w:val="center"/>
              <w:rPr>
                <w:rFonts w:ascii="Arial" w:hAnsi="Arial" w:cs="Arial"/>
                <w:b/>
                <w:bCs/>
                <w:sz w:val="20"/>
                <w:szCs w:val="20"/>
              </w:rPr>
            </w:pPr>
          </w:p>
          <w:p w14:paraId="6872E560" w14:textId="48FFEC4B" w:rsidR="00BD4717" w:rsidRDefault="00BD4717" w:rsidP="00BD4717">
            <w:pPr>
              <w:ind w:right="68"/>
              <w:jc w:val="center"/>
              <w:rPr>
                <w:rFonts w:ascii="Arial" w:hAnsi="Arial" w:cs="Arial"/>
                <w:b/>
                <w:bCs/>
                <w:sz w:val="20"/>
                <w:szCs w:val="20"/>
              </w:rPr>
            </w:pPr>
            <w:r>
              <w:rPr>
                <w:rFonts w:ascii="Arial" w:hAnsi="Arial" w:cs="Arial"/>
                <w:b/>
                <w:bCs/>
                <w:sz w:val="20"/>
                <w:szCs w:val="20"/>
              </w:rPr>
              <w:t>L04AX07</w:t>
            </w:r>
          </w:p>
        </w:tc>
        <w:tc>
          <w:tcPr>
            <w:tcW w:w="9355" w:type="dxa"/>
            <w:tcBorders>
              <w:bottom w:val="single" w:sz="4" w:space="0" w:color="auto"/>
            </w:tcBorders>
          </w:tcPr>
          <w:p w14:paraId="1AD677D5" w14:textId="77777777" w:rsidR="00BD4717" w:rsidRPr="00D66E7A" w:rsidRDefault="00BD4717" w:rsidP="00BD4717">
            <w:pPr>
              <w:jc w:val="both"/>
              <w:rPr>
                <w:rFonts w:ascii="Arial" w:hAnsi="Arial" w:cs="Arial"/>
                <w:b/>
                <w:bCs/>
                <w:sz w:val="20"/>
                <w:szCs w:val="20"/>
              </w:rPr>
            </w:pPr>
            <w:r w:rsidRPr="00D66E7A">
              <w:rPr>
                <w:rFonts w:ascii="Arial" w:hAnsi="Arial" w:cs="Arial"/>
                <w:b/>
                <w:bCs/>
                <w:sz w:val="20"/>
                <w:szCs w:val="20"/>
              </w:rPr>
              <w:t>Dimetylfumarát p.o. 120 mg</w:t>
            </w:r>
          </w:p>
          <w:p w14:paraId="30BFE5B2" w14:textId="77777777" w:rsidR="00BD4717" w:rsidRPr="003F688B" w:rsidRDefault="00BD4717" w:rsidP="00BD4717">
            <w:pPr>
              <w:autoSpaceDE w:val="0"/>
              <w:autoSpaceDN w:val="0"/>
              <w:adjustRightInd w:val="0"/>
              <w:rPr>
                <w:rFonts w:ascii="Arial" w:hAnsi="Arial" w:cs="Arial"/>
                <w:b/>
                <w:bCs/>
                <w:sz w:val="20"/>
                <w:szCs w:val="20"/>
              </w:rPr>
            </w:pPr>
            <w:r w:rsidRPr="00D66E7A">
              <w:rPr>
                <w:rFonts w:ascii="Arial" w:hAnsi="Arial" w:cs="Arial"/>
                <w:b/>
                <w:bCs/>
                <w:sz w:val="20"/>
                <w:szCs w:val="20"/>
              </w:rPr>
              <w:t>Dimetylfumarát p.o. 240 mg</w:t>
            </w:r>
          </w:p>
        </w:tc>
      </w:tr>
      <w:tr w:rsidR="00BD4717" w:rsidRPr="0000591E" w14:paraId="5E613189" w14:textId="77777777" w:rsidTr="00743BAE">
        <w:trPr>
          <w:trHeight w:val="20"/>
        </w:trPr>
        <w:tc>
          <w:tcPr>
            <w:tcW w:w="1277" w:type="dxa"/>
            <w:tcBorders>
              <w:top w:val="single" w:sz="4" w:space="0" w:color="auto"/>
              <w:bottom w:val="single" w:sz="4" w:space="0" w:color="BFBFBF" w:themeColor="background1" w:themeShade="BF"/>
            </w:tcBorders>
            <w:noWrap/>
          </w:tcPr>
          <w:p w14:paraId="2127A38D" w14:textId="77777777" w:rsidR="00BD4717" w:rsidRDefault="00BD4717" w:rsidP="00BD4717">
            <w:pPr>
              <w:ind w:right="68"/>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8BA14EB" w14:textId="77777777" w:rsidR="00BD4717" w:rsidRPr="00BB5A23" w:rsidRDefault="00BD4717" w:rsidP="00BD4717">
            <w:pPr>
              <w:autoSpaceDE w:val="0"/>
              <w:autoSpaceDN w:val="0"/>
              <w:adjustRightInd w:val="0"/>
              <w:spacing w:after="180" w:line="276" w:lineRule="auto"/>
              <w:jc w:val="both"/>
              <w:rPr>
                <w:rFonts w:ascii="Arial" w:hAnsi="Arial"/>
                <w:color w:val="000000"/>
                <w:sz w:val="20"/>
                <w:u w:color="000000"/>
              </w:rPr>
            </w:pPr>
            <w:r>
              <w:rPr>
                <w:rFonts w:ascii="Arial" w:hAnsi="Arial" w:cs="Arial"/>
                <w:sz w:val="20"/>
                <w:szCs w:val="20"/>
              </w:rPr>
              <w:t>H</w:t>
            </w:r>
            <w:r w:rsidRPr="00BB5A23">
              <w:rPr>
                <w:rFonts w:ascii="Arial" w:hAnsi="Arial"/>
                <w:color w:val="000000"/>
                <w:sz w:val="20"/>
                <w:u w:color="000000"/>
              </w:rPr>
              <w:t xml:space="preserve">radená liečba sa môže indikovať u pacientov s diagnózou relapsujúco-remitujúcej formy SM podľa McDonaldových kritérií (2010), ktorých neurologický deficit je do 4,0 EDSS vrátane. Pre potvrdenie diagnózy SM je potrebné vyšetrenie likvoru. </w:t>
            </w:r>
          </w:p>
          <w:p w14:paraId="65C133CA" w14:textId="77777777" w:rsidR="00BD4717" w:rsidRPr="00BB5A23" w:rsidRDefault="00BD4717" w:rsidP="00BD4717">
            <w:pPr>
              <w:autoSpaceDE w:val="0"/>
              <w:autoSpaceDN w:val="0"/>
              <w:adjustRightInd w:val="0"/>
              <w:spacing w:after="180" w:line="276" w:lineRule="auto"/>
              <w:jc w:val="both"/>
              <w:rPr>
                <w:rFonts w:ascii="Arial" w:hAnsi="Arial"/>
                <w:color w:val="000000"/>
                <w:sz w:val="20"/>
                <w:u w:color="000000"/>
              </w:rPr>
            </w:pPr>
            <w:r w:rsidRPr="00BB5A23">
              <w:rPr>
                <w:rFonts w:ascii="Arial" w:hAnsi="Arial"/>
                <w:color w:val="000000"/>
                <w:sz w:val="20"/>
                <w:u w:color="000000"/>
              </w:rPr>
              <w:t xml:space="preserve">Ďalšia liečba nie je hradenou liečbou, ak je zistené aspoň jedno z týchto kritérií: </w:t>
            </w:r>
          </w:p>
          <w:p w14:paraId="3FECC3F8" w14:textId="77777777" w:rsidR="00BD4717" w:rsidRPr="00BB5A23" w:rsidRDefault="00BD4717">
            <w:pPr>
              <w:numPr>
                <w:ilvl w:val="0"/>
                <w:numId w:val="120"/>
              </w:numPr>
              <w:autoSpaceDE w:val="0"/>
              <w:autoSpaceDN w:val="0"/>
              <w:adjustRightInd w:val="0"/>
              <w:spacing w:after="120" w:line="276" w:lineRule="auto"/>
              <w:jc w:val="both"/>
              <w:rPr>
                <w:rFonts w:ascii="Arial" w:hAnsi="Arial"/>
                <w:color w:val="000000"/>
                <w:sz w:val="20"/>
                <w:u w:color="000000"/>
              </w:rPr>
            </w:pPr>
            <w:r w:rsidRPr="00BB5A23">
              <w:rPr>
                <w:rFonts w:ascii="Arial" w:hAnsi="Arial"/>
                <w:color w:val="000000"/>
                <w:sz w:val="20"/>
                <w:u w:color="000000"/>
              </w:rPr>
              <w:t>v priebehu 12 mesiacov nezmenený alebo zvýšený počet relapsov ako na predchádzajúcej liečbe,</w:t>
            </w:r>
          </w:p>
          <w:p w14:paraId="7926D709" w14:textId="77777777" w:rsidR="00BD4717" w:rsidRPr="00BB5A23" w:rsidRDefault="00BD4717">
            <w:pPr>
              <w:numPr>
                <w:ilvl w:val="0"/>
                <w:numId w:val="120"/>
              </w:numPr>
              <w:autoSpaceDE w:val="0"/>
              <w:autoSpaceDN w:val="0"/>
              <w:adjustRightInd w:val="0"/>
              <w:spacing w:after="120" w:line="276" w:lineRule="auto"/>
              <w:ind w:left="714" w:hanging="357"/>
              <w:jc w:val="both"/>
              <w:rPr>
                <w:rFonts w:ascii="Arial" w:hAnsi="Arial"/>
                <w:color w:val="000000"/>
                <w:sz w:val="20"/>
                <w:u w:color="000000"/>
              </w:rPr>
            </w:pPr>
            <w:r w:rsidRPr="00BB5A23">
              <w:rPr>
                <w:rFonts w:ascii="Arial" w:hAnsi="Arial"/>
                <w:color w:val="000000"/>
                <w:sz w:val="20"/>
                <w:u w:color="000000"/>
              </w:rPr>
              <w:t xml:space="preserve">zvýšenie EDSS o jeden stupeň v priebehu jedného roka, </w:t>
            </w:r>
          </w:p>
          <w:p w14:paraId="62145B38" w14:textId="77777777" w:rsidR="00BD4717" w:rsidRPr="00BB5A23" w:rsidRDefault="00BD4717">
            <w:pPr>
              <w:numPr>
                <w:ilvl w:val="0"/>
                <w:numId w:val="120"/>
              </w:numPr>
              <w:autoSpaceDE w:val="0"/>
              <w:autoSpaceDN w:val="0"/>
              <w:adjustRightInd w:val="0"/>
              <w:spacing w:after="120" w:line="276" w:lineRule="auto"/>
              <w:ind w:left="714" w:hanging="357"/>
              <w:jc w:val="both"/>
              <w:rPr>
                <w:rFonts w:ascii="Arial" w:hAnsi="Arial"/>
                <w:color w:val="000000"/>
                <w:sz w:val="20"/>
                <w:u w:color="000000"/>
              </w:rPr>
            </w:pPr>
            <w:r w:rsidRPr="00BB5A23">
              <w:rPr>
                <w:rFonts w:ascii="Arial" w:hAnsi="Arial"/>
                <w:color w:val="000000"/>
                <w:sz w:val="20"/>
                <w:u w:color="000000"/>
              </w:rPr>
              <w:t>pribudnutie 2 a viac T2 hyperintenzitných lézií alebo 1 a viac gadolíniom zvýrazňujúcich sa T1 lézií za predchádzajúcich 12 mesiacov liečby,</w:t>
            </w:r>
          </w:p>
          <w:p w14:paraId="41FC635D" w14:textId="77777777" w:rsidR="00BD4717" w:rsidRPr="00BB5A23" w:rsidRDefault="00BD4717">
            <w:pPr>
              <w:numPr>
                <w:ilvl w:val="0"/>
                <w:numId w:val="120"/>
              </w:numPr>
              <w:autoSpaceDE w:val="0"/>
              <w:autoSpaceDN w:val="0"/>
              <w:adjustRightInd w:val="0"/>
              <w:spacing w:after="120" w:line="276" w:lineRule="auto"/>
              <w:ind w:left="714" w:hanging="357"/>
              <w:jc w:val="both"/>
              <w:rPr>
                <w:rFonts w:ascii="Arial" w:hAnsi="Arial"/>
                <w:color w:val="000000"/>
                <w:sz w:val="20"/>
                <w:u w:color="000000"/>
              </w:rPr>
            </w:pPr>
            <w:r w:rsidRPr="00BB5A23">
              <w:rPr>
                <w:rFonts w:ascii="Arial" w:hAnsi="Arial"/>
                <w:color w:val="000000"/>
                <w:sz w:val="20"/>
                <w:u w:color="000000"/>
              </w:rPr>
              <w:t>EDSS 6 a viac.</w:t>
            </w:r>
          </w:p>
          <w:p w14:paraId="6C644969" w14:textId="33FD59AB" w:rsidR="00BD4717" w:rsidRPr="00420CA4" w:rsidRDefault="00BD4717" w:rsidP="00BD4717">
            <w:pPr>
              <w:autoSpaceDE w:val="0"/>
              <w:autoSpaceDN w:val="0"/>
              <w:adjustRightInd w:val="0"/>
              <w:spacing w:after="180" w:line="276" w:lineRule="auto"/>
              <w:jc w:val="both"/>
              <w:rPr>
                <w:rFonts w:ascii="Arial" w:hAnsi="Arial"/>
                <w:color w:val="000000"/>
                <w:sz w:val="20"/>
                <w:u w:color="000000"/>
              </w:rPr>
            </w:pPr>
            <w:r w:rsidRPr="00BB5A23">
              <w:rPr>
                <w:rFonts w:ascii="Arial" w:hAnsi="Arial"/>
                <w:color w:val="000000"/>
                <w:sz w:val="20"/>
                <w:u w:color="00000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w:t>
            </w:r>
            <w:r>
              <w:rPr>
                <w:rFonts w:ascii="Arial" w:hAnsi="Arial"/>
                <w:color w:val="000000"/>
                <w:sz w:val="20"/>
                <w:u w:color="000000"/>
              </w:rPr>
              <w:t xml:space="preserve">svätého Michala a.s. Bratislava a </w:t>
            </w:r>
            <w:r w:rsidRPr="00643F00">
              <w:rPr>
                <w:rFonts w:ascii="Arial" w:hAnsi="Arial"/>
                <w:color w:val="000000"/>
                <w:sz w:val="20"/>
                <w:u w:color="000000"/>
              </w:rPr>
              <w:t>na Neurologickej klinike Fakultnej nemocnice s poliklinikou Nové Zámky</w:t>
            </w:r>
            <w:r>
              <w:rPr>
                <w:rFonts w:ascii="Arial" w:hAnsi="Arial"/>
                <w:color w:val="000000"/>
                <w:sz w:val="20"/>
                <w:u w:color="000000"/>
              </w:rPr>
              <w:t xml:space="preserve"> </w:t>
            </w:r>
            <w:r w:rsidRPr="002F184A">
              <w:rPr>
                <w:rFonts w:ascii="Arial" w:hAnsi="Arial"/>
                <w:color w:val="000000"/>
                <w:sz w:val="20"/>
                <w:u w:color="000000"/>
              </w:rPr>
              <w:t>na Špecializovanej neurologickej ambulancii, Liptovská nemocnica s poliklinikou MUDr. Ivana Stodolu Liptovský Mikuláš</w:t>
            </w:r>
            <w:r>
              <w:rPr>
                <w:rFonts w:ascii="Arial" w:hAnsi="Arial"/>
                <w:color w:val="000000"/>
                <w:sz w:val="20"/>
                <w:u w:color="000000"/>
              </w:rPr>
              <w:t xml:space="preserve">, </w:t>
            </w:r>
            <w:r w:rsidRPr="0042060A">
              <w:rPr>
                <w:rFonts w:ascii="Arial" w:hAnsi="Arial"/>
                <w:color w:val="000000"/>
                <w:sz w:val="20"/>
                <w:u w:color="000000"/>
              </w:rPr>
              <w:t>na Neurologickom oddelení Nemocnice AGEL Levoča a.s. a na Špecializovanej neurologickej ambulancii Nemocnice AGEL Komárno s.r.o.</w:t>
            </w:r>
          </w:p>
        </w:tc>
      </w:tr>
      <w:tr w:rsidR="00BD4717" w:rsidRPr="0000591E" w14:paraId="0813F481" w14:textId="77777777" w:rsidTr="00743BAE">
        <w:trPr>
          <w:trHeight w:val="20"/>
        </w:trPr>
        <w:tc>
          <w:tcPr>
            <w:tcW w:w="1277" w:type="dxa"/>
            <w:tcBorders>
              <w:bottom w:val="single" w:sz="4" w:space="0" w:color="auto"/>
            </w:tcBorders>
            <w:noWrap/>
          </w:tcPr>
          <w:p w14:paraId="06974BB4" w14:textId="77777777" w:rsidR="00BD4717" w:rsidRDefault="00BD4717" w:rsidP="00BD4717">
            <w:pPr>
              <w:rPr>
                <w:rFonts w:ascii="Arial" w:hAnsi="Arial" w:cs="Arial"/>
                <w:b/>
                <w:bCs/>
                <w:sz w:val="20"/>
                <w:szCs w:val="20"/>
              </w:rPr>
            </w:pPr>
          </w:p>
          <w:p w14:paraId="51B6404A" w14:textId="3E02A596"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M01AH01</w:t>
            </w:r>
          </w:p>
        </w:tc>
        <w:tc>
          <w:tcPr>
            <w:tcW w:w="9355" w:type="dxa"/>
            <w:tcBorders>
              <w:bottom w:val="single" w:sz="4" w:space="0" w:color="auto"/>
            </w:tcBorders>
          </w:tcPr>
          <w:p w14:paraId="57CD49D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Celekoxib p.o. 100 mg,</w:t>
            </w:r>
          </w:p>
          <w:p w14:paraId="7995EF8D"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Celekoxib p.o. 200 mg</w:t>
            </w:r>
          </w:p>
        </w:tc>
      </w:tr>
      <w:tr w:rsidR="00BD4717" w:rsidRPr="0000591E" w14:paraId="014058BC" w14:textId="77777777" w:rsidTr="00743BAE">
        <w:trPr>
          <w:trHeight w:val="20"/>
        </w:trPr>
        <w:tc>
          <w:tcPr>
            <w:tcW w:w="1277" w:type="dxa"/>
            <w:tcBorders>
              <w:top w:val="single" w:sz="4" w:space="0" w:color="auto"/>
              <w:bottom w:val="single" w:sz="4" w:space="0" w:color="BFBFBF" w:themeColor="background1" w:themeShade="BF"/>
            </w:tcBorders>
            <w:noWrap/>
          </w:tcPr>
          <w:p w14:paraId="0097AB2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58D5958"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Hradená liečba sa môže indikovať u pacientov</w:t>
            </w:r>
          </w:p>
          <w:p w14:paraId="2AA979EF" w14:textId="77777777" w:rsidR="00BD4717" w:rsidRPr="0000591E" w:rsidRDefault="00BD4717">
            <w:pPr>
              <w:numPr>
                <w:ilvl w:val="0"/>
                <w:numId w:val="30"/>
              </w:numPr>
              <w:jc w:val="both"/>
              <w:rPr>
                <w:rFonts w:ascii="Arial" w:hAnsi="Arial" w:cs="Arial"/>
                <w:strike/>
                <w:sz w:val="20"/>
                <w:szCs w:val="20"/>
                <w:lang w:eastAsia="cs-CZ"/>
              </w:rPr>
            </w:pPr>
            <w:r w:rsidRPr="0000591E">
              <w:rPr>
                <w:rFonts w:ascii="Arial" w:hAnsi="Arial" w:cs="Arial"/>
                <w:sz w:val="20"/>
                <w:szCs w:val="20"/>
              </w:rPr>
              <w:t xml:space="preserve">po prekonanej vredovej chorobe žalúdka alebo duodena, </w:t>
            </w:r>
          </w:p>
          <w:p w14:paraId="42B79985" w14:textId="77777777" w:rsidR="00BD4717" w:rsidRPr="0000591E" w:rsidRDefault="00BD4717">
            <w:pPr>
              <w:numPr>
                <w:ilvl w:val="0"/>
                <w:numId w:val="30"/>
              </w:numPr>
              <w:jc w:val="both"/>
              <w:rPr>
                <w:rFonts w:ascii="Arial" w:hAnsi="Arial" w:cs="Arial"/>
                <w:sz w:val="20"/>
                <w:szCs w:val="20"/>
                <w:lang w:eastAsia="cs-CZ"/>
              </w:rPr>
            </w:pPr>
            <w:r w:rsidRPr="0000591E">
              <w:rPr>
                <w:rFonts w:ascii="Arial" w:hAnsi="Arial" w:cs="Arial"/>
                <w:sz w:val="20"/>
                <w:szCs w:val="20"/>
              </w:rPr>
              <w:t>pri systémovej liečbe kortikoidmi,</w:t>
            </w:r>
          </w:p>
          <w:p w14:paraId="18895909" w14:textId="77777777" w:rsidR="00BD4717" w:rsidRPr="0000591E" w:rsidRDefault="00BD4717">
            <w:pPr>
              <w:numPr>
                <w:ilvl w:val="0"/>
                <w:numId w:val="30"/>
              </w:numPr>
              <w:jc w:val="both"/>
              <w:rPr>
                <w:rFonts w:ascii="Arial" w:hAnsi="Arial" w:cs="Arial"/>
                <w:sz w:val="20"/>
                <w:szCs w:val="20"/>
                <w:lang w:eastAsia="cs-CZ"/>
              </w:rPr>
            </w:pPr>
            <w:r w:rsidRPr="0000591E">
              <w:rPr>
                <w:rFonts w:ascii="Arial" w:hAnsi="Arial" w:cs="Arial"/>
                <w:sz w:val="20"/>
                <w:szCs w:val="20"/>
              </w:rPr>
              <w:t>pri liečbe antikoagulačnými liekmi.</w:t>
            </w:r>
          </w:p>
          <w:p w14:paraId="68298050"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Pacientom uvedným v písmenách a) až c) sa liečivo predpisuje pri týchto diagnózach:</w:t>
            </w:r>
          </w:p>
          <w:p w14:paraId="1B2C794C" w14:textId="77777777" w:rsidR="00BD4717" w:rsidRPr="0000591E" w:rsidRDefault="00BD4717">
            <w:pPr>
              <w:numPr>
                <w:ilvl w:val="0"/>
                <w:numId w:val="31"/>
              </w:numPr>
              <w:jc w:val="both"/>
              <w:rPr>
                <w:rFonts w:ascii="Arial" w:hAnsi="Arial" w:cs="Arial"/>
                <w:sz w:val="20"/>
                <w:szCs w:val="20"/>
                <w:lang w:eastAsia="cs-CZ"/>
              </w:rPr>
            </w:pPr>
            <w:r w:rsidRPr="0000591E">
              <w:rPr>
                <w:rFonts w:ascii="Arial" w:hAnsi="Arial" w:cs="Arial"/>
                <w:sz w:val="20"/>
                <w:szCs w:val="20"/>
              </w:rPr>
              <w:t xml:space="preserve">reumatoidná artritída dospelých vo všetkých štádiach choroby, </w:t>
            </w:r>
          </w:p>
          <w:p w14:paraId="1436123B" w14:textId="77777777" w:rsidR="00BD4717" w:rsidRPr="0000591E" w:rsidRDefault="00BD4717">
            <w:pPr>
              <w:numPr>
                <w:ilvl w:val="0"/>
                <w:numId w:val="31"/>
              </w:numPr>
              <w:jc w:val="both"/>
              <w:rPr>
                <w:rFonts w:ascii="Arial" w:hAnsi="Arial" w:cs="Arial"/>
                <w:sz w:val="20"/>
                <w:szCs w:val="20"/>
                <w:lang w:eastAsia="cs-CZ"/>
              </w:rPr>
            </w:pPr>
            <w:r w:rsidRPr="0000591E">
              <w:rPr>
                <w:rFonts w:ascii="Arial" w:hAnsi="Arial" w:cs="Arial"/>
                <w:sz w:val="20"/>
                <w:szCs w:val="20"/>
              </w:rPr>
              <w:t xml:space="preserve">osteoartróza nosných kĺbov röntgenologicky potvrdená v I. až III. Štádiu podľa Kellgrena, v štádiu bolestivej dekompenzácie alebo zápalovej iritácie, </w:t>
            </w:r>
          </w:p>
          <w:p w14:paraId="79662F0E" w14:textId="77777777" w:rsidR="00BD4717" w:rsidRDefault="00BD4717">
            <w:pPr>
              <w:numPr>
                <w:ilvl w:val="0"/>
                <w:numId w:val="31"/>
              </w:numPr>
              <w:jc w:val="both"/>
              <w:rPr>
                <w:rFonts w:ascii="Arial" w:hAnsi="Arial" w:cs="Arial"/>
                <w:sz w:val="20"/>
                <w:szCs w:val="20"/>
                <w:lang w:eastAsia="cs-CZ"/>
              </w:rPr>
            </w:pPr>
            <w:r w:rsidRPr="0000591E">
              <w:rPr>
                <w:rFonts w:ascii="Arial" w:hAnsi="Arial" w:cs="Arial"/>
                <w:sz w:val="20"/>
                <w:szCs w:val="20"/>
              </w:rPr>
              <w:t>ankylozujúca spondylitída.</w:t>
            </w:r>
          </w:p>
          <w:p w14:paraId="6028332E" w14:textId="77777777" w:rsidR="00BD4717" w:rsidRPr="00EC543C" w:rsidRDefault="00BD4717" w:rsidP="00BD4717">
            <w:pPr>
              <w:ind w:left="720"/>
              <w:jc w:val="both"/>
              <w:rPr>
                <w:rFonts w:ascii="Arial" w:hAnsi="Arial" w:cs="Arial"/>
                <w:sz w:val="20"/>
                <w:szCs w:val="20"/>
                <w:lang w:eastAsia="cs-CZ"/>
              </w:rPr>
            </w:pPr>
          </w:p>
        </w:tc>
      </w:tr>
      <w:tr w:rsidR="00BD4717" w:rsidRPr="0000591E" w14:paraId="4E4BFEC3" w14:textId="77777777" w:rsidTr="00743BAE">
        <w:trPr>
          <w:trHeight w:val="20"/>
        </w:trPr>
        <w:tc>
          <w:tcPr>
            <w:tcW w:w="1277" w:type="dxa"/>
            <w:tcBorders>
              <w:bottom w:val="single" w:sz="4" w:space="0" w:color="auto"/>
            </w:tcBorders>
            <w:noWrap/>
          </w:tcPr>
          <w:p w14:paraId="1C98E2CA"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M03AX01</w:t>
            </w:r>
          </w:p>
        </w:tc>
        <w:tc>
          <w:tcPr>
            <w:tcW w:w="9355" w:type="dxa"/>
            <w:tcBorders>
              <w:bottom w:val="single" w:sz="4" w:space="0" w:color="auto"/>
            </w:tcBorders>
          </w:tcPr>
          <w:p w14:paraId="3041259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Botulotoxín parent. 100 UT</w:t>
            </w:r>
          </w:p>
        </w:tc>
      </w:tr>
      <w:tr w:rsidR="00BD4717" w:rsidRPr="0000591E" w14:paraId="662DD78F" w14:textId="77777777" w:rsidTr="00743BAE">
        <w:trPr>
          <w:trHeight w:val="20"/>
        </w:trPr>
        <w:tc>
          <w:tcPr>
            <w:tcW w:w="1277" w:type="dxa"/>
            <w:tcBorders>
              <w:top w:val="single" w:sz="4" w:space="0" w:color="auto"/>
              <w:bottom w:val="single" w:sz="4" w:space="0" w:color="BFBFBF" w:themeColor="background1" w:themeShade="BF"/>
            </w:tcBorders>
            <w:noWrap/>
          </w:tcPr>
          <w:p w14:paraId="54796C6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1414AD8" w14:textId="77777777" w:rsidR="00BD4717" w:rsidRDefault="00BD4717" w:rsidP="00BD4717">
            <w:pPr>
              <w:jc w:val="both"/>
              <w:rPr>
                <w:rFonts w:ascii="Arial" w:hAnsi="Arial" w:cs="Arial"/>
                <w:sz w:val="20"/>
                <w:szCs w:val="20"/>
              </w:rPr>
            </w:pPr>
            <w:r>
              <w:rPr>
                <w:rFonts w:ascii="Arial" w:hAnsi="Arial" w:cs="Arial"/>
                <w:sz w:val="20"/>
                <w:szCs w:val="20"/>
              </w:rPr>
              <w:t xml:space="preserve">Hradená liečba sa môže indikovať pri </w:t>
            </w:r>
          </w:p>
          <w:p w14:paraId="50E1119E" w14:textId="77777777" w:rsidR="00BD4717" w:rsidRDefault="00BD4717">
            <w:pPr>
              <w:numPr>
                <w:ilvl w:val="0"/>
                <w:numId w:val="85"/>
              </w:numPr>
              <w:jc w:val="both"/>
              <w:rPr>
                <w:rFonts w:ascii="Arial" w:hAnsi="Arial" w:cs="Arial"/>
                <w:sz w:val="20"/>
                <w:szCs w:val="20"/>
              </w:rPr>
            </w:pPr>
            <w:r>
              <w:rPr>
                <w:rFonts w:ascii="Arial" w:hAnsi="Arial" w:cs="Arial"/>
                <w:sz w:val="20"/>
                <w:szCs w:val="20"/>
              </w:rPr>
              <w:t>spastických formách DMO,</w:t>
            </w:r>
          </w:p>
          <w:p w14:paraId="656DA95F" w14:textId="77777777" w:rsidR="00BD4717" w:rsidRDefault="00BD4717">
            <w:pPr>
              <w:numPr>
                <w:ilvl w:val="0"/>
                <w:numId w:val="85"/>
              </w:numPr>
              <w:jc w:val="both"/>
              <w:rPr>
                <w:rFonts w:ascii="Arial" w:hAnsi="Arial" w:cs="Arial"/>
                <w:sz w:val="20"/>
                <w:szCs w:val="20"/>
              </w:rPr>
            </w:pPr>
            <w:r>
              <w:rPr>
                <w:rFonts w:ascii="Arial" w:hAnsi="Arial" w:cs="Arial"/>
                <w:sz w:val="20"/>
                <w:szCs w:val="20"/>
              </w:rPr>
              <w:t>blefarospazme,</w:t>
            </w:r>
          </w:p>
          <w:p w14:paraId="3B078C96" w14:textId="77777777" w:rsidR="00BD4717" w:rsidRDefault="00BD4717">
            <w:pPr>
              <w:numPr>
                <w:ilvl w:val="0"/>
                <w:numId w:val="85"/>
              </w:numPr>
              <w:jc w:val="both"/>
              <w:rPr>
                <w:rFonts w:ascii="Arial" w:hAnsi="Arial" w:cs="Arial"/>
                <w:sz w:val="20"/>
                <w:szCs w:val="20"/>
              </w:rPr>
            </w:pPr>
            <w:r>
              <w:rPr>
                <w:rFonts w:ascii="Arial" w:hAnsi="Arial" w:cs="Arial"/>
                <w:sz w:val="20"/>
                <w:szCs w:val="20"/>
              </w:rPr>
              <w:t>torticollis spastica,</w:t>
            </w:r>
          </w:p>
          <w:p w14:paraId="2BA91FA0" w14:textId="77777777" w:rsidR="00BD4717" w:rsidRDefault="00BD4717">
            <w:pPr>
              <w:numPr>
                <w:ilvl w:val="0"/>
                <w:numId w:val="85"/>
              </w:numPr>
              <w:jc w:val="both"/>
              <w:rPr>
                <w:rFonts w:ascii="Arial" w:hAnsi="Arial" w:cs="Arial"/>
                <w:sz w:val="20"/>
                <w:szCs w:val="20"/>
              </w:rPr>
            </w:pPr>
            <w:r>
              <w:rPr>
                <w:rFonts w:ascii="Arial" w:hAnsi="Arial" w:cs="Arial"/>
                <w:sz w:val="20"/>
                <w:szCs w:val="20"/>
              </w:rPr>
              <w:t>hemispazmus facialis,</w:t>
            </w:r>
          </w:p>
          <w:p w14:paraId="122EFB65" w14:textId="77777777" w:rsidR="00BD4717" w:rsidRPr="00C90F60" w:rsidRDefault="00BD4717">
            <w:pPr>
              <w:numPr>
                <w:ilvl w:val="0"/>
                <w:numId w:val="85"/>
              </w:numPr>
              <w:jc w:val="both"/>
            </w:pPr>
            <w:r w:rsidRPr="00C90F60">
              <w:rPr>
                <w:rFonts w:ascii="Arial" w:hAnsi="Arial" w:cs="Arial"/>
                <w:sz w:val="20"/>
                <w:szCs w:val="20"/>
              </w:rPr>
              <w:t>mobilnej spasticite horných končatín a v prípade dolných končatín v zmysle SPC. Hradená liečba sa môže indikovať u pacientov po cievnej mozgovej príhode do dvoch rokov od vzniku príhody.</w:t>
            </w:r>
          </w:p>
          <w:p w14:paraId="2F6F02FF" w14:textId="77777777" w:rsidR="00BD4717" w:rsidRPr="00B56B3C" w:rsidRDefault="00BD4717">
            <w:pPr>
              <w:numPr>
                <w:ilvl w:val="0"/>
                <w:numId w:val="85"/>
              </w:numPr>
              <w:jc w:val="both"/>
            </w:pPr>
            <w:r w:rsidRPr="00C90F60">
              <w:rPr>
                <w:rFonts w:ascii="Arial" w:hAnsi="Arial" w:cs="Arial"/>
                <w:bCs/>
                <w:sz w:val="20"/>
                <w:szCs w:val="20"/>
              </w:rPr>
              <w:t>neurogénnej hyperaktivite detruzora potvrdenou urodynamickým vyšetrením u pacientov so sclerosis multiplex alebo po poranení miechy, refraktérnych na medikamentóznu liečbu alebo v prípadoch pri ktorých nemožno podať medikamentóznu liečbu. Ak do 12 týždňov po intravezikálnej aplikácii botulotoxínu A nedôjde k redukcii týždenných epizód inkontinencie moču aspoň o 50 % v porovnaní s východiskovým stavom, liečba sa má ukončiť,</w:t>
            </w:r>
          </w:p>
          <w:p w14:paraId="50D2B80B" w14:textId="77777777" w:rsidR="00BD4717" w:rsidRPr="00B56B3C" w:rsidRDefault="00BD4717">
            <w:pPr>
              <w:numPr>
                <w:ilvl w:val="0"/>
                <w:numId w:val="85"/>
              </w:numPr>
              <w:jc w:val="both"/>
            </w:pPr>
            <w:r w:rsidRPr="00B56B3C">
              <w:rPr>
                <w:rFonts w:ascii="Arial" w:hAnsi="Arial" w:cs="Arial"/>
                <w:bCs/>
                <w:sz w:val="20"/>
                <w:szCs w:val="20"/>
              </w:rPr>
              <w:t>idopatickom, refraktérnom hyperaktívnom močovom mechúre potvrdeným urodynamickým vyšetrením s príznakmi inkontinencie moču, naliehavosti a frekvencie u dospelých pacientov, u ktorých predchádzajúca perorálna liečba nebola účinná a/alebo sa spájala s takými nežiaducimi účinkami, ktoré vylučujú ich dlhodobé podávanie.</w:t>
            </w:r>
          </w:p>
          <w:p w14:paraId="3EEB5BCF" w14:textId="77777777" w:rsidR="00BD4717" w:rsidRPr="0000591E" w:rsidRDefault="00BD4717" w:rsidP="00BD4717">
            <w:pPr>
              <w:ind w:left="360"/>
              <w:jc w:val="both"/>
              <w:rPr>
                <w:rFonts w:ascii="Arial" w:hAnsi="Arial" w:cs="Arial"/>
                <w:sz w:val="20"/>
                <w:szCs w:val="20"/>
              </w:rPr>
            </w:pPr>
          </w:p>
        </w:tc>
      </w:tr>
      <w:tr w:rsidR="00BD4717" w:rsidRPr="0000591E" w14:paraId="03DAB4F8" w14:textId="77777777" w:rsidTr="00743BAE">
        <w:trPr>
          <w:trHeight w:val="20"/>
        </w:trPr>
        <w:tc>
          <w:tcPr>
            <w:tcW w:w="1277" w:type="dxa"/>
            <w:tcBorders>
              <w:bottom w:val="single" w:sz="4" w:space="0" w:color="auto"/>
            </w:tcBorders>
            <w:noWrap/>
          </w:tcPr>
          <w:p w14:paraId="07B36E1B"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M03AX01</w:t>
            </w:r>
          </w:p>
        </w:tc>
        <w:tc>
          <w:tcPr>
            <w:tcW w:w="9355" w:type="dxa"/>
            <w:tcBorders>
              <w:bottom w:val="single" w:sz="4" w:space="0" w:color="auto"/>
            </w:tcBorders>
          </w:tcPr>
          <w:p w14:paraId="0993BD88" w14:textId="77777777" w:rsidR="00BD4717" w:rsidRPr="0000591E" w:rsidRDefault="00BD4717" w:rsidP="00BD4717">
            <w:pPr>
              <w:jc w:val="both"/>
              <w:rPr>
                <w:rFonts w:ascii="Arial" w:hAnsi="Arial" w:cs="Arial"/>
                <w:b/>
                <w:bCs/>
                <w:sz w:val="20"/>
                <w:szCs w:val="20"/>
              </w:rPr>
            </w:pPr>
            <w:r>
              <w:rPr>
                <w:rFonts w:ascii="Arial" w:hAnsi="Arial" w:cs="Arial"/>
                <w:b/>
                <w:bCs/>
                <w:sz w:val="20"/>
                <w:szCs w:val="20"/>
              </w:rPr>
              <w:t>Botulotoxín parent. 5</w:t>
            </w:r>
            <w:r w:rsidRPr="0000591E">
              <w:rPr>
                <w:rFonts w:ascii="Arial" w:hAnsi="Arial" w:cs="Arial"/>
                <w:b/>
                <w:bCs/>
                <w:sz w:val="20"/>
                <w:szCs w:val="20"/>
              </w:rPr>
              <w:t>00 UT</w:t>
            </w:r>
          </w:p>
        </w:tc>
      </w:tr>
      <w:tr w:rsidR="00BD4717" w:rsidRPr="0000591E" w14:paraId="3D0F6C64" w14:textId="77777777" w:rsidTr="00743BAE">
        <w:trPr>
          <w:trHeight w:val="20"/>
        </w:trPr>
        <w:tc>
          <w:tcPr>
            <w:tcW w:w="1277" w:type="dxa"/>
            <w:tcBorders>
              <w:top w:val="single" w:sz="4" w:space="0" w:color="auto"/>
              <w:bottom w:val="single" w:sz="4" w:space="0" w:color="BFBFBF" w:themeColor="background1" w:themeShade="BF"/>
            </w:tcBorders>
            <w:noWrap/>
          </w:tcPr>
          <w:p w14:paraId="785D482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DA64455"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pri </w:t>
            </w:r>
          </w:p>
          <w:p w14:paraId="5E983909" w14:textId="77777777" w:rsidR="00BD4717" w:rsidRPr="0000591E" w:rsidRDefault="00BD4717">
            <w:pPr>
              <w:numPr>
                <w:ilvl w:val="0"/>
                <w:numId w:val="84"/>
              </w:numPr>
              <w:jc w:val="both"/>
              <w:rPr>
                <w:rFonts w:ascii="Arial" w:hAnsi="Arial" w:cs="Arial"/>
                <w:sz w:val="20"/>
                <w:szCs w:val="20"/>
              </w:rPr>
            </w:pPr>
            <w:r w:rsidRPr="0000591E">
              <w:rPr>
                <w:rFonts w:ascii="Arial" w:hAnsi="Arial" w:cs="Arial"/>
                <w:sz w:val="20"/>
                <w:szCs w:val="20"/>
              </w:rPr>
              <w:t>spastických formách DMO,</w:t>
            </w:r>
          </w:p>
          <w:p w14:paraId="10D0E50A" w14:textId="77777777" w:rsidR="00BD4717" w:rsidRPr="0000591E" w:rsidRDefault="00BD4717">
            <w:pPr>
              <w:numPr>
                <w:ilvl w:val="0"/>
                <w:numId w:val="84"/>
              </w:numPr>
              <w:jc w:val="both"/>
              <w:rPr>
                <w:rFonts w:ascii="Arial" w:hAnsi="Arial" w:cs="Arial"/>
                <w:sz w:val="20"/>
                <w:szCs w:val="20"/>
              </w:rPr>
            </w:pPr>
            <w:r w:rsidRPr="0000591E">
              <w:rPr>
                <w:rFonts w:ascii="Arial" w:hAnsi="Arial" w:cs="Arial"/>
                <w:sz w:val="20"/>
                <w:szCs w:val="20"/>
              </w:rPr>
              <w:t>blefarospazme,</w:t>
            </w:r>
          </w:p>
          <w:p w14:paraId="38EF7126" w14:textId="77777777" w:rsidR="00BD4717" w:rsidRPr="0000591E" w:rsidRDefault="00BD4717">
            <w:pPr>
              <w:numPr>
                <w:ilvl w:val="0"/>
                <w:numId w:val="84"/>
              </w:numPr>
              <w:jc w:val="both"/>
              <w:rPr>
                <w:rFonts w:ascii="Arial" w:hAnsi="Arial" w:cs="Arial"/>
                <w:sz w:val="20"/>
                <w:szCs w:val="20"/>
              </w:rPr>
            </w:pPr>
            <w:r w:rsidRPr="0000591E">
              <w:rPr>
                <w:rFonts w:ascii="Arial" w:hAnsi="Arial" w:cs="Arial"/>
                <w:sz w:val="20"/>
                <w:szCs w:val="20"/>
              </w:rPr>
              <w:t>torticollis spastica,</w:t>
            </w:r>
          </w:p>
          <w:p w14:paraId="54D48157" w14:textId="77777777" w:rsidR="00BD4717" w:rsidRPr="0000591E" w:rsidRDefault="00BD4717">
            <w:pPr>
              <w:numPr>
                <w:ilvl w:val="0"/>
                <w:numId w:val="84"/>
              </w:numPr>
              <w:jc w:val="both"/>
              <w:rPr>
                <w:rFonts w:ascii="Arial" w:hAnsi="Arial" w:cs="Arial"/>
                <w:sz w:val="20"/>
                <w:szCs w:val="20"/>
              </w:rPr>
            </w:pPr>
            <w:r w:rsidRPr="0000591E">
              <w:rPr>
                <w:rFonts w:ascii="Arial" w:hAnsi="Arial" w:cs="Arial"/>
                <w:sz w:val="20"/>
                <w:szCs w:val="20"/>
              </w:rPr>
              <w:t>hemispazmus facialis,</w:t>
            </w:r>
          </w:p>
          <w:p w14:paraId="7772CBD5" w14:textId="77777777" w:rsidR="00BD4717" w:rsidRPr="00C90F60" w:rsidRDefault="00BD4717">
            <w:pPr>
              <w:numPr>
                <w:ilvl w:val="0"/>
                <w:numId w:val="84"/>
              </w:numPr>
              <w:jc w:val="both"/>
              <w:rPr>
                <w:rFonts w:ascii="Arial" w:hAnsi="Arial" w:cs="Arial"/>
                <w:sz w:val="20"/>
                <w:szCs w:val="20"/>
              </w:rPr>
            </w:pPr>
            <w:r w:rsidRPr="00C90F60">
              <w:rPr>
                <w:rFonts w:ascii="Arial" w:hAnsi="Arial" w:cs="Arial"/>
                <w:sz w:val="20"/>
                <w:szCs w:val="20"/>
              </w:rPr>
              <w:t xml:space="preserve">mobilnej spasticite horných končatín a v prípade dolných končatín v zmysle SPC. Hradená liečba sa môže indikovať u pacientov po cievnej mozgovej príhode do dvoch rokov od vzniku </w:t>
            </w:r>
          </w:p>
          <w:p w14:paraId="0A02936F" w14:textId="77777777" w:rsidR="00BD4717" w:rsidRPr="0000591E" w:rsidRDefault="00BD4717" w:rsidP="00BD4717">
            <w:pPr>
              <w:ind w:left="720"/>
              <w:jc w:val="both"/>
              <w:rPr>
                <w:rFonts w:ascii="Arial" w:hAnsi="Arial" w:cs="Arial"/>
                <w:sz w:val="20"/>
                <w:szCs w:val="20"/>
              </w:rPr>
            </w:pPr>
            <w:r w:rsidRPr="00C90F60">
              <w:rPr>
                <w:rFonts w:ascii="Arial" w:hAnsi="Arial" w:cs="Arial"/>
                <w:sz w:val="20"/>
                <w:szCs w:val="20"/>
              </w:rPr>
              <w:t>príhody.</w:t>
            </w:r>
          </w:p>
          <w:p w14:paraId="1FDEAFEA" w14:textId="77777777" w:rsidR="00BD4717" w:rsidRPr="0000591E" w:rsidRDefault="00BD4717" w:rsidP="00BD4717">
            <w:pPr>
              <w:ind w:left="360"/>
              <w:jc w:val="both"/>
              <w:rPr>
                <w:rFonts w:ascii="Arial" w:hAnsi="Arial" w:cs="Arial"/>
                <w:sz w:val="20"/>
                <w:szCs w:val="20"/>
              </w:rPr>
            </w:pPr>
          </w:p>
        </w:tc>
      </w:tr>
      <w:tr w:rsidR="00BD4717" w:rsidRPr="0000591E" w14:paraId="2CD856F5" w14:textId="77777777" w:rsidTr="00743BAE">
        <w:trPr>
          <w:trHeight w:val="20"/>
        </w:trPr>
        <w:tc>
          <w:tcPr>
            <w:tcW w:w="1277" w:type="dxa"/>
            <w:tcBorders>
              <w:bottom w:val="single" w:sz="4" w:space="0" w:color="auto"/>
            </w:tcBorders>
            <w:noWrap/>
          </w:tcPr>
          <w:p w14:paraId="65149F62" w14:textId="77777777" w:rsidR="00BD4717" w:rsidRDefault="00BD4717" w:rsidP="00BD4717">
            <w:pPr>
              <w:rPr>
                <w:rFonts w:ascii="Arial" w:hAnsi="Arial" w:cs="Arial"/>
                <w:b/>
                <w:bCs/>
                <w:sz w:val="20"/>
                <w:szCs w:val="20"/>
              </w:rPr>
            </w:pPr>
          </w:p>
          <w:p w14:paraId="13BDFDA4" w14:textId="092B8186" w:rsidR="00BD4717" w:rsidRPr="0000591E" w:rsidRDefault="00BD4717" w:rsidP="00BD4717">
            <w:pPr>
              <w:rPr>
                <w:rFonts w:ascii="Arial" w:hAnsi="Arial" w:cs="Arial"/>
                <w:b/>
                <w:bCs/>
                <w:sz w:val="20"/>
                <w:szCs w:val="20"/>
              </w:rPr>
            </w:pPr>
            <w:r w:rsidRPr="0000591E">
              <w:rPr>
                <w:rFonts w:ascii="Arial" w:hAnsi="Arial" w:cs="Arial"/>
                <w:b/>
                <w:bCs/>
                <w:sz w:val="20"/>
                <w:szCs w:val="20"/>
              </w:rPr>
              <w:t>M04AA03</w:t>
            </w:r>
          </w:p>
        </w:tc>
        <w:tc>
          <w:tcPr>
            <w:tcW w:w="9355" w:type="dxa"/>
            <w:tcBorders>
              <w:bottom w:val="single" w:sz="4" w:space="0" w:color="auto"/>
            </w:tcBorders>
            <w:noWrap/>
          </w:tcPr>
          <w:p w14:paraId="7AB830BA" w14:textId="2A61DC97" w:rsidR="00BD4717" w:rsidRPr="0000591E" w:rsidRDefault="00BD4717" w:rsidP="00BD4717">
            <w:pPr>
              <w:jc w:val="both"/>
              <w:rPr>
                <w:rFonts w:ascii="Arial" w:hAnsi="Arial" w:cs="Arial"/>
                <w:b/>
                <w:bCs/>
                <w:sz w:val="20"/>
                <w:szCs w:val="20"/>
              </w:rPr>
            </w:pPr>
            <w:r>
              <w:rPr>
                <w:rFonts w:ascii="Arial" w:hAnsi="Arial" w:cs="Arial"/>
                <w:b/>
                <w:bCs/>
                <w:sz w:val="20"/>
                <w:szCs w:val="20"/>
              </w:rPr>
              <w:t>Febuxostá</w:t>
            </w:r>
            <w:r w:rsidRPr="0000591E">
              <w:rPr>
                <w:rFonts w:ascii="Arial" w:hAnsi="Arial" w:cs="Arial"/>
                <w:b/>
                <w:bCs/>
                <w:sz w:val="20"/>
                <w:szCs w:val="20"/>
              </w:rPr>
              <w:t>t p.o. 80 mg</w:t>
            </w:r>
          </w:p>
          <w:p w14:paraId="07323999" w14:textId="6808754D"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Febuxost</w:t>
            </w:r>
            <w:r>
              <w:rPr>
                <w:rFonts w:ascii="Arial" w:hAnsi="Arial" w:cs="Arial"/>
                <w:b/>
                <w:bCs/>
                <w:sz w:val="20"/>
                <w:szCs w:val="20"/>
              </w:rPr>
              <w:t>á</w:t>
            </w:r>
            <w:r w:rsidRPr="0000591E">
              <w:rPr>
                <w:rFonts w:ascii="Arial" w:hAnsi="Arial" w:cs="Arial"/>
                <w:b/>
                <w:bCs/>
                <w:sz w:val="20"/>
                <w:szCs w:val="20"/>
              </w:rPr>
              <w:t>t p.o. 120 mg</w:t>
            </w:r>
          </w:p>
        </w:tc>
      </w:tr>
      <w:tr w:rsidR="00BD4717" w:rsidRPr="0000591E" w14:paraId="76491FEF" w14:textId="77777777" w:rsidTr="00743BAE">
        <w:trPr>
          <w:trHeight w:val="20"/>
        </w:trPr>
        <w:tc>
          <w:tcPr>
            <w:tcW w:w="1277" w:type="dxa"/>
            <w:tcBorders>
              <w:top w:val="single" w:sz="4" w:space="0" w:color="auto"/>
              <w:bottom w:val="single" w:sz="4" w:space="0" w:color="BFBFBF" w:themeColor="background1" w:themeShade="BF"/>
            </w:tcBorders>
            <w:noWrap/>
          </w:tcPr>
          <w:p w14:paraId="028CCD93" w14:textId="77777777" w:rsidR="00BD4717" w:rsidRPr="0000591E" w:rsidRDefault="00BD4717" w:rsidP="00BD4717">
            <w:pPr>
              <w:rPr>
                <w:rFonts w:ascii="Arial" w:hAnsi="Arial" w:cs="Arial"/>
                <w:b/>
                <w:bCs/>
                <w:sz w:val="20"/>
                <w:szCs w:val="20"/>
              </w:rPr>
            </w:pPr>
          </w:p>
          <w:p w14:paraId="6EB72856"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393645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pre dospelých pacientov s nedostatočne kontrolovanou hyperurikémiou pri stavoch, kedy už došlo k ukladaniu urátov (vrátane anamnézy alebo prítomnosti tofu a/alebo dnavej artritídy), u ktorých je kontraindikované alebo nie je tolerované podávanie allopurinolu v terapeutickej dávke alebo sa nedosiahol požadovaný terapeutický efekt (koncentrácia kyseliny močovej v sére vyššia ako 360 μmol/l (6,0 mg/dl).</w:t>
            </w:r>
          </w:p>
          <w:p w14:paraId="487CC973" w14:textId="77777777" w:rsidR="00BD4717" w:rsidRPr="0000591E" w:rsidRDefault="00BD4717" w:rsidP="00BD4717">
            <w:pPr>
              <w:rPr>
                <w:rFonts w:ascii="Arial" w:hAnsi="Arial" w:cs="Arial"/>
                <w:strike/>
                <w:sz w:val="20"/>
                <w:szCs w:val="20"/>
              </w:rPr>
            </w:pPr>
          </w:p>
        </w:tc>
      </w:tr>
      <w:tr w:rsidR="00BD4717" w:rsidRPr="0000591E" w14:paraId="49E8E9BA" w14:textId="77777777" w:rsidTr="00743BAE">
        <w:trPr>
          <w:trHeight w:val="20"/>
        </w:trPr>
        <w:tc>
          <w:tcPr>
            <w:tcW w:w="1277" w:type="dxa"/>
            <w:tcBorders>
              <w:bottom w:val="single" w:sz="4" w:space="0" w:color="auto"/>
            </w:tcBorders>
            <w:noWrap/>
          </w:tcPr>
          <w:p w14:paraId="04CD4F08" w14:textId="77777777" w:rsidR="00BD4717" w:rsidRPr="0000591E" w:rsidRDefault="00BD4717" w:rsidP="00BD4717">
            <w:pPr>
              <w:rPr>
                <w:rFonts w:ascii="Arial" w:hAnsi="Arial" w:cs="Arial"/>
                <w:b/>
                <w:bCs/>
                <w:sz w:val="20"/>
                <w:szCs w:val="20"/>
              </w:rPr>
            </w:pPr>
            <w:r>
              <w:rPr>
                <w:rFonts w:ascii="Arial" w:hAnsi="Arial" w:cs="Arial"/>
                <w:b/>
                <w:bCs/>
                <w:sz w:val="20"/>
                <w:szCs w:val="20"/>
              </w:rPr>
              <w:t>M05BA06</w:t>
            </w:r>
          </w:p>
        </w:tc>
        <w:tc>
          <w:tcPr>
            <w:tcW w:w="9355" w:type="dxa"/>
            <w:tcBorders>
              <w:bottom w:val="single" w:sz="4" w:space="0" w:color="auto"/>
            </w:tcBorders>
            <w:noWrap/>
          </w:tcPr>
          <w:p w14:paraId="535DA0A6"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ibandrónová parent. </w:t>
            </w:r>
            <w:r>
              <w:rPr>
                <w:rFonts w:ascii="Arial" w:hAnsi="Arial" w:cs="Arial"/>
                <w:b/>
                <w:bCs/>
                <w:sz w:val="20"/>
                <w:szCs w:val="20"/>
              </w:rPr>
              <w:t>sol inj 3 mg</w:t>
            </w:r>
          </w:p>
        </w:tc>
      </w:tr>
      <w:tr w:rsidR="00BD4717" w:rsidRPr="0000591E" w14:paraId="6143F3A0" w14:textId="77777777" w:rsidTr="00743BAE">
        <w:trPr>
          <w:trHeight w:val="20"/>
        </w:trPr>
        <w:tc>
          <w:tcPr>
            <w:tcW w:w="1277" w:type="dxa"/>
            <w:tcBorders>
              <w:top w:val="single" w:sz="4" w:space="0" w:color="auto"/>
              <w:bottom w:val="single" w:sz="4" w:space="0" w:color="BFBFBF" w:themeColor="background1" w:themeShade="BF"/>
            </w:tcBorders>
            <w:noWrap/>
          </w:tcPr>
          <w:p w14:paraId="075B7438"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A862E2E" w14:textId="77777777" w:rsidR="00BD4717" w:rsidRPr="007211D5" w:rsidRDefault="00BD4717" w:rsidP="00BD4717">
            <w:p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Hradená liečba sa môže indikovať pri</w:t>
            </w:r>
          </w:p>
          <w:p w14:paraId="68A6907F" w14:textId="77777777" w:rsidR="00BD4717" w:rsidRPr="007211D5" w:rsidRDefault="00BD4717">
            <w:pPr>
              <w:numPr>
                <w:ilvl w:val="0"/>
                <w:numId w:val="118"/>
              </w:num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postmenopauzálnej osteoporóze u žien (pri denzitometricky zistenom T-skóre menšom ako –2,5 pri použití centrálnej denzitometrii DEXA),</w:t>
            </w:r>
          </w:p>
          <w:p w14:paraId="590246A8" w14:textId="77777777" w:rsidR="00BD4717" w:rsidRPr="007211D5" w:rsidRDefault="00BD4717">
            <w:pPr>
              <w:numPr>
                <w:ilvl w:val="0"/>
                <w:numId w:val="118"/>
              </w:num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patalogických zlomeninách z osteoporózy.</w:t>
            </w:r>
          </w:p>
          <w:p w14:paraId="69E23E83" w14:textId="77777777" w:rsidR="00BD4717" w:rsidRDefault="00BD4717" w:rsidP="00BD4717">
            <w:pPr>
              <w:autoSpaceDE w:val="0"/>
              <w:autoSpaceDN w:val="0"/>
              <w:adjustRightInd w:val="0"/>
              <w:jc w:val="both"/>
              <w:rPr>
                <w:rFonts w:ascii="Arial" w:hAnsi="Arial"/>
                <w:color w:val="000000"/>
                <w:sz w:val="20"/>
                <w:u w:color="000000"/>
                <w:lang w:eastAsia="en-US"/>
              </w:rPr>
            </w:pPr>
          </w:p>
          <w:p w14:paraId="475D71CC" w14:textId="36FED947" w:rsidR="00BD4717" w:rsidRDefault="00BD4717" w:rsidP="00BD4717">
            <w:p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Hradená liečba je dlhodobá, za podmienky priebežných denzitometrických kontrol pri použití centrálnej denzitometrie DE</w:t>
            </w:r>
            <w:r>
              <w:rPr>
                <w:rFonts w:ascii="Arial" w:hAnsi="Arial"/>
                <w:color w:val="000000"/>
                <w:sz w:val="20"/>
                <w:u w:color="000000"/>
                <w:lang w:eastAsia="en-US"/>
              </w:rPr>
              <w:t>XA v odstupe 12 až 24 mesiacov.</w:t>
            </w:r>
          </w:p>
          <w:p w14:paraId="2DDB4395" w14:textId="77777777" w:rsidR="00BD4717" w:rsidRDefault="00BD4717" w:rsidP="00BD4717">
            <w:pPr>
              <w:autoSpaceDE w:val="0"/>
              <w:autoSpaceDN w:val="0"/>
              <w:adjustRightInd w:val="0"/>
              <w:jc w:val="both"/>
              <w:rPr>
                <w:rFonts w:ascii="Arial" w:hAnsi="Arial"/>
                <w:color w:val="000000"/>
                <w:sz w:val="20"/>
                <w:u w:color="000000"/>
                <w:lang w:eastAsia="en-US"/>
              </w:rPr>
            </w:pPr>
          </w:p>
          <w:p w14:paraId="66E385FC" w14:textId="0C8A39E2" w:rsidR="00BD4717" w:rsidRPr="007211D5" w:rsidRDefault="00BD4717" w:rsidP="00BD4717">
            <w:p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 xml:space="preserve">Ďalšia liečba nie je hradenou liečbou, ak sa pri kontrolnom denzitometrickom vyšetrení zistí pokles kostnej denzity o viac ako je najmenšia signifikantná zmena stanovená na denzitometrickom pracovisku. </w:t>
            </w:r>
          </w:p>
          <w:p w14:paraId="7EE2E3A3" w14:textId="0F0152AA" w:rsidR="00BD4717" w:rsidRPr="00084E44" w:rsidRDefault="00BD4717" w:rsidP="00BD4717">
            <w:pPr>
              <w:autoSpaceDE w:val="0"/>
              <w:autoSpaceDN w:val="0"/>
              <w:adjustRightInd w:val="0"/>
              <w:spacing w:after="180"/>
              <w:jc w:val="both"/>
              <w:rPr>
                <w:rFonts w:ascii="Verdana" w:hAnsi="Verdana"/>
                <w:color w:val="000000"/>
                <w:u w:color="000000"/>
                <w:lang w:eastAsia="en-US"/>
              </w:rPr>
            </w:pPr>
            <w:r w:rsidRPr="007211D5">
              <w:rPr>
                <w:rFonts w:ascii="Arial" w:hAnsi="Arial"/>
                <w:color w:val="000000"/>
                <w:sz w:val="20"/>
                <w:u w:color="000000"/>
                <w:lang w:eastAsia="en-US"/>
              </w:rPr>
              <w:t>Podmienkou hradenej liečby je súčasné podávanie vápnika obvykle v dávke 1000 mg denne a vitamínu D.</w:t>
            </w:r>
          </w:p>
        </w:tc>
      </w:tr>
      <w:tr w:rsidR="00BD4717" w:rsidRPr="0000591E" w14:paraId="0935B6A3" w14:textId="77777777" w:rsidTr="00743BAE">
        <w:trPr>
          <w:trHeight w:val="20"/>
        </w:trPr>
        <w:tc>
          <w:tcPr>
            <w:tcW w:w="1277" w:type="dxa"/>
            <w:tcBorders>
              <w:bottom w:val="single" w:sz="4" w:space="0" w:color="auto"/>
            </w:tcBorders>
            <w:noWrap/>
          </w:tcPr>
          <w:p w14:paraId="06E63472"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M05BA06</w:t>
            </w:r>
          </w:p>
        </w:tc>
        <w:tc>
          <w:tcPr>
            <w:tcW w:w="9355" w:type="dxa"/>
            <w:tcBorders>
              <w:bottom w:val="single" w:sz="4" w:space="0" w:color="auto"/>
            </w:tcBorders>
            <w:noWrap/>
          </w:tcPr>
          <w:p w14:paraId="48769B6E"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ibandrónová parent. </w:t>
            </w:r>
            <w:r>
              <w:rPr>
                <w:rFonts w:ascii="Arial" w:hAnsi="Arial" w:cs="Arial"/>
                <w:b/>
                <w:bCs/>
                <w:sz w:val="20"/>
                <w:szCs w:val="20"/>
              </w:rPr>
              <w:t>con inf 6 mg</w:t>
            </w:r>
          </w:p>
        </w:tc>
      </w:tr>
      <w:tr w:rsidR="00BD4717" w:rsidRPr="0000591E" w14:paraId="41636C1E" w14:textId="77777777" w:rsidTr="00743BAE">
        <w:trPr>
          <w:trHeight w:val="20"/>
        </w:trPr>
        <w:tc>
          <w:tcPr>
            <w:tcW w:w="1277" w:type="dxa"/>
            <w:tcBorders>
              <w:top w:val="single" w:sz="4" w:space="0" w:color="auto"/>
              <w:bottom w:val="single" w:sz="4" w:space="0" w:color="BFBFBF" w:themeColor="background1" w:themeShade="BF"/>
            </w:tcBorders>
            <w:noWrap/>
          </w:tcPr>
          <w:p w14:paraId="6CAC3F5D"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2707BCCF"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pri</w:t>
            </w:r>
          </w:p>
          <w:p w14:paraId="6EE32BEF" w14:textId="77777777" w:rsidR="00BD4717" w:rsidRPr="0000591E" w:rsidRDefault="00BD4717">
            <w:pPr>
              <w:numPr>
                <w:ilvl w:val="0"/>
                <w:numId w:val="32"/>
              </w:numPr>
              <w:jc w:val="both"/>
              <w:rPr>
                <w:rFonts w:ascii="Arial" w:hAnsi="Arial" w:cs="Arial"/>
                <w:sz w:val="20"/>
                <w:szCs w:val="20"/>
              </w:rPr>
            </w:pPr>
            <w:r w:rsidRPr="0000591E">
              <w:rPr>
                <w:rFonts w:ascii="Arial" w:hAnsi="Arial" w:cs="Arial"/>
                <w:sz w:val="20"/>
                <w:szCs w:val="20"/>
              </w:rPr>
              <w:t>postmenopauzálnej osteoporóze u žien (pri denzitometricky zistenom T-skóre menšom ako –2,5 pri použití centrálnej denzitometrie DEXA),</w:t>
            </w:r>
          </w:p>
          <w:p w14:paraId="1C196EC1" w14:textId="77777777" w:rsidR="00BD4717" w:rsidRPr="0000591E" w:rsidRDefault="00BD4717">
            <w:pPr>
              <w:numPr>
                <w:ilvl w:val="0"/>
                <w:numId w:val="32"/>
              </w:numPr>
              <w:jc w:val="both"/>
              <w:rPr>
                <w:rFonts w:ascii="Arial" w:hAnsi="Arial" w:cs="Arial"/>
                <w:sz w:val="20"/>
                <w:szCs w:val="20"/>
              </w:rPr>
            </w:pPr>
            <w:r w:rsidRPr="0000591E">
              <w:rPr>
                <w:rFonts w:ascii="Arial" w:hAnsi="Arial" w:cs="Arial"/>
                <w:sz w:val="20"/>
                <w:szCs w:val="20"/>
              </w:rPr>
              <w:t>patologických zlomeninách z osteoporózy.</w:t>
            </w:r>
          </w:p>
          <w:p w14:paraId="5AD3AFAD" w14:textId="77777777" w:rsidR="00BD4717" w:rsidRDefault="00BD4717" w:rsidP="00BD4717">
            <w:pPr>
              <w:jc w:val="both"/>
              <w:rPr>
                <w:rFonts w:ascii="Arial" w:hAnsi="Arial" w:cs="Arial"/>
                <w:sz w:val="20"/>
                <w:szCs w:val="20"/>
              </w:rPr>
            </w:pPr>
          </w:p>
          <w:p w14:paraId="16BAB091" w14:textId="394D055E"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je dlhodobá, za podmienky priebežných denzitometrických kontrol pri použití centrálnej denzitometrie DEXA v odstupe 12 až 24 mesiacov.</w:t>
            </w:r>
          </w:p>
          <w:p w14:paraId="131464F9" w14:textId="17FA7221"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661C6A00" w14:textId="77777777" w:rsidR="00BD4717" w:rsidRDefault="00BD4717" w:rsidP="00BD4717">
            <w:pPr>
              <w:jc w:val="both"/>
              <w:rPr>
                <w:rFonts w:ascii="Arial" w:hAnsi="Arial" w:cs="Arial"/>
                <w:sz w:val="20"/>
                <w:szCs w:val="20"/>
              </w:rPr>
            </w:pPr>
            <w:r w:rsidRPr="0000591E">
              <w:rPr>
                <w:rFonts w:ascii="Arial" w:hAnsi="Arial" w:cs="Arial"/>
                <w:sz w:val="20"/>
                <w:szCs w:val="20"/>
              </w:rPr>
              <w:t>Podmienkou hradenej liečby je súčasné podávanie vápnika obvykle v dávke 1000 mg denne a vitamínu D.</w:t>
            </w:r>
          </w:p>
          <w:p w14:paraId="39670CD0" w14:textId="0F993D0F" w:rsidR="00E92B48" w:rsidRPr="0000591E" w:rsidRDefault="00E92B48" w:rsidP="00BD4717">
            <w:pPr>
              <w:jc w:val="both"/>
              <w:rPr>
                <w:rFonts w:ascii="Arial" w:hAnsi="Arial" w:cs="Arial"/>
                <w:b/>
                <w:bCs/>
                <w:sz w:val="20"/>
                <w:szCs w:val="20"/>
              </w:rPr>
            </w:pPr>
          </w:p>
        </w:tc>
      </w:tr>
      <w:tr w:rsidR="00BD4717" w:rsidRPr="0000591E" w14:paraId="34BC679C" w14:textId="77777777" w:rsidTr="00743BAE">
        <w:trPr>
          <w:trHeight w:val="20"/>
        </w:trPr>
        <w:tc>
          <w:tcPr>
            <w:tcW w:w="1277" w:type="dxa"/>
            <w:tcBorders>
              <w:bottom w:val="single" w:sz="4" w:space="0" w:color="auto"/>
            </w:tcBorders>
            <w:noWrap/>
          </w:tcPr>
          <w:p w14:paraId="1E378B99" w14:textId="77777777" w:rsidR="00BD4717" w:rsidRPr="00220C1B" w:rsidRDefault="00BD4717" w:rsidP="00BD4717">
            <w:r w:rsidRPr="00220C1B">
              <w:rPr>
                <w:rFonts w:ascii="Arial" w:hAnsi="Arial" w:cs="Arial"/>
                <w:b/>
                <w:bCs/>
                <w:sz w:val="20"/>
                <w:szCs w:val="20"/>
              </w:rPr>
              <w:t>M05BA06</w:t>
            </w:r>
          </w:p>
        </w:tc>
        <w:tc>
          <w:tcPr>
            <w:tcW w:w="9355" w:type="dxa"/>
            <w:tcBorders>
              <w:bottom w:val="single" w:sz="4" w:space="0" w:color="auto"/>
            </w:tcBorders>
            <w:noWrap/>
          </w:tcPr>
          <w:p w14:paraId="53F3381C" w14:textId="77777777" w:rsidR="00BD4717" w:rsidRPr="00220C1B" w:rsidRDefault="00BD4717" w:rsidP="00BD4717">
            <w:pPr>
              <w:jc w:val="both"/>
              <w:rPr>
                <w:rFonts w:ascii="Arial" w:hAnsi="Arial" w:cs="Arial"/>
                <w:b/>
                <w:bCs/>
                <w:sz w:val="20"/>
                <w:szCs w:val="20"/>
              </w:rPr>
            </w:pPr>
            <w:r w:rsidRPr="00220C1B">
              <w:rPr>
                <w:rFonts w:ascii="Arial" w:hAnsi="Arial" w:cs="Arial"/>
                <w:b/>
                <w:bCs/>
                <w:sz w:val="20"/>
                <w:szCs w:val="20"/>
              </w:rPr>
              <w:t xml:space="preserve">Kyselina ibandrónová p.o. 150 mg </w:t>
            </w:r>
          </w:p>
        </w:tc>
      </w:tr>
      <w:tr w:rsidR="00BD4717" w:rsidRPr="0000591E" w14:paraId="03A1F237" w14:textId="77777777" w:rsidTr="00743BAE">
        <w:trPr>
          <w:trHeight w:val="20"/>
        </w:trPr>
        <w:tc>
          <w:tcPr>
            <w:tcW w:w="1277" w:type="dxa"/>
            <w:tcBorders>
              <w:top w:val="single" w:sz="4" w:space="0" w:color="auto"/>
              <w:bottom w:val="single" w:sz="4" w:space="0" w:color="BFBFBF" w:themeColor="background1" w:themeShade="BF"/>
            </w:tcBorders>
            <w:noWrap/>
          </w:tcPr>
          <w:p w14:paraId="3202B205" w14:textId="77777777" w:rsidR="00BD4717" w:rsidRPr="00084E44" w:rsidRDefault="00BD4717" w:rsidP="00BD4717">
            <w:pPr>
              <w:rPr>
                <w:rFonts w:ascii="Arial" w:hAnsi="Arial" w:cs="Arial"/>
                <w:b/>
                <w:bCs/>
                <w:sz w:val="20"/>
                <w:szCs w:val="20"/>
                <w:highlight w:val="yellow"/>
              </w:rPr>
            </w:pPr>
          </w:p>
        </w:tc>
        <w:tc>
          <w:tcPr>
            <w:tcW w:w="9355" w:type="dxa"/>
            <w:tcBorders>
              <w:top w:val="single" w:sz="4" w:space="0" w:color="auto"/>
              <w:bottom w:val="single" w:sz="4" w:space="0" w:color="BFBFBF" w:themeColor="background1" w:themeShade="BF"/>
            </w:tcBorders>
            <w:noWrap/>
          </w:tcPr>
          <w:p w14:paraId="2F266685" w14:textId="77777777" w:rsidR="00BD4717" w:rsidRPr="00220C1B" w:rsidRDefault="00BD4717" w:rsidP="00BD4717">
            <w:pPr>
              <w:jc w:val="both"/>
              <w:rPr>
                <w:rFonts w:ascii="Arial" w:hAnsi="Arial" w:cs="Arial"/>
                <w:bCs/>
                <w:sz w:val="20"/>
                <w:szCs w:val="20"/>
              </w:rPr>
            </w:pPr>
            <w:r w:rsidRPr="00220C1B">
              <w:rPr>
                <w:rFonts w:ascii="Arial" w:hAnsi="Arial" w:cs="Arial"/>
                <w:bCs/>
                <w:sz w:val="20"/>
                <w:szCs w:val="20"/>
              </w:rPr>
              <w:t>Hradená liečba sa môže indikovať pri</w:t>
            </w:r>
          </w:p>
          <w:p w14:paraId="6F37D88D" w14:textId="77777777" w:rsidR="00BD4717" w:rsidRPr="00220C1B" w:rsidRDefault="00BD4717" w:rsidP="00BD4717">
            <w:pPr>
              <w:jc w:val="both"/>
              <w:rPr>
                <w:rFonts w:ascii="Arial" w:hAnsi="Arial" w:cs="Arial"/>
                <w:bCs/>
                <w:sz w:val="20"/>
                <w:szCs w:val="20"/>
              </w:rPr>
            </w:pPr>
            <w:r w:rsidRPr="00220C1B">
              <w:rPr>
                <w:rFonts w:ascii="Arial" w:hAnsi="Arial" w:cs="Arial"/>
                <w:bCs/>
                <w:sz w:val="20"/>
                <w:szCs w:val="20"/>
              </w:rPr>
              <w:t>a)</w:t>
            </w:r>
            <w:r w:rsidRPr="00220C1B">
              <w:rPr>
                <w:rFonts w:ascii="Arial" w:hAnsi="Arial" w:cs="Arial"/>
                <w:bCs/>
                <w:sz w:val="20"/>
                <w:szCs w:val="20"/>
              </w:rPr>
              <w:tab/>
              <w:t>postmenopauzálnej osteoporóze u žien (pri denzitometricky zistenom T-skóre menšom ako –2,5 pri použití centrálnej denzitometrii DEXA),</w:t>
            </w:r>
          </w:p>
          <w:p w14:paraId="4C7B8A10" w14:textId="77777777" w:rsidR="00BD4717" w:rsidRPr="00220C1B" w:rsidRDefault="00BD4717" w:rsidP="00BD4717">
            <w:pPr>
              <w:jc w:val="both"/>
              <w:rPr>
                <w:rFonts w:ascii="Arial" w:hAnsi="Arial" w:cs="Arial"/>
                <w:bCs/>
                <w:sz w:val="20"/>
                <w:szCs w:val="20"/>
              </w:rPr>
            </w:pPr>
            <w:r w:rsidRPr="00220C1B">
              <w:rPr>
                <w:rFonts w:ascii="Arial" w:hAnsi="Arial" w:cs="Arial"/>
                <w:bCs/>
                <w:sz w:val="20"/>
                <w:szCs w:val="20"/>
              </w:rPr>
              <w:t>b)</w:t>
            </w:r>
            <w:r w:rsidRPr="00220C1B">
              <w:rPr>
                <w:rFonts w:ascii="Arial" w:hAnsi="Arial" w:cs="Arial"/>
                <w:bCs/>
                <w:sz w:val="20"/>
                <w:szCs w:val="20"/>
              </w:rPr>
              <w:tab/>
              <w:t>patalogických zlomeninách z osteoporózy.</w:t>
            </w:r>
          </w:p>
          <w:p w14:paraId="7E0F051B" w14:textId="77777777" w:rsidR="00BD4717" w:rsidRDefault="00BD4717" w:rsidP="00BD4717">
            <w:pPr>
              <w:jc w:val="both"/>
              <w:rPr>
                <w:rFonts w:ascii="Arial" w:hAnsi="Arial" w:cs="Arial"/>
                <w:bCs/>
                <w:sz w:val="20"/>
                <w:szCs w:val="20"/>
              </w:rPr>
            </w:pPr>
          </w:p>
          <w:p w14:paraId="3A6C76EF" w14:textId="042E44B8" w:rsidR="00BD4717" w:rsidRPr="00220C1B" w:rsidRDefault="00BD4717" w:rsidP="00BD4717">
            <w:pPr>
              <w:jc w:val="both"/>
              <w:rPr>
                <w:rFonts w:ascii="Arial" w:hAnsi="Arial" w:cs="Arial"/>
                <w:bCs/>
                <w:sz w:val="20"/>
                <w:szCs w:val="20"/>
              </w:rPr>
            </w:pPr>
            <w:r w:rsidRPr="00220C1B">
              <w:rPr>
                <w:rFonts w:ascii="Arial" w:hAnsi="Arial" w:cs="Arial"/>
                <w:bCs/>
                <w:sz w:val="20"/>
                <w:szCs w:val="20"/>
              </w:rPr>
              <w:t xml:space="preserve">Hradená liečba je dlhodobá, za podmienky priebežných denzitometrických kontrol pri použití centrálnej denzitometrie DEXA v odstupe 12 až 24 mesiacov. </w:t>
            </w:r>
          </w:p>
          <w:p w14:paraId="6E1B709C" w14:textId="1480025B" w:rsidR="00BD4717" w:rsidRPr="00220C1B" w:rsidRDefault="00BD4717" w:rsidP="00BD4717">
            <w:pPr>
              <w:jc w:val="both"/>
              <w:rPr>
                <w:rFonts w:ascii="Arial" w:hAnsi="Arial" w:cs="Arial"/>
                <w:bCs/>
                <w:sz w:val="20"/>
                <w:szCs w:val="20"/>
              </w:rPr>
            </w:pPr>
            <w:r w:rsidRPr="00220C1B">
              <w:rPr>
                <w:rFonts w:ascii="Arial" w:hAnsi="Arial" w:cs="Arial"/>
                <w:bCs/>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2DBBFCF2" w14:textId="67879640" w:rsidR="00BD4717" w:rsidRPr="00220C1B" w:rsidRDefault="00BD4717" w:rsidP="00BD4717">
            <w:pPr>
              <w:jc w:val="both"/>
              <w:rPr>
                <w:rFonts w:ascii="Arial" w:hAnsi="Arial" w:cs="Arial"/>
                <w:bCs/>
                <w:sz w:val="20"/>
                <w:szCs w:val="20"/>
              </w:rPr>
            </w:pPr>
            <w:r w:rsidRPr="00220C1B">
              <w:rPr>
                <w:rFonts w:ascii="Arial" w:hAnsi="Arial" w:cs="Arial"/>
                <w:bCs/>
                <w:sz w:val="20"/>
                <w:szCs w:val="20"/>
              </w:rPr>
              <w:t>Podmienkou hradenej liečby je súčasné podávanie vápnika obvykle v dávke 1000 mg denne a vitamínu D.</w:t>
            </w:r>
          </w:p>
          <w:p w14:paraId="2C7445AE" w14:textId="77777777" w:rsidR="00BD4717" w:rsidRPr="00220C1B" w:rsidRDefault="00BD4717" w:rsidP="00BD4717">
            <w:pPr>
              <w:jc w:val="both"/>
              <w:rPr>
                <w:rFonts w:ascii="Arial" w:hAnsi="Arial" w:cs="Arial"/>
                <w:bCs/>
                <w:sz w:val="20"/>
                <w:szCs w:val="20"/>
                <w:highlight w:val="yellow"/>
              </w:rPr>
            </w:pPr>
          </w:p>
        </w:tc>
      </w:tr>
      <w:tr w:rsidR="00BD4717" w:rsidRPr="0000591E" w14:paraId="6C64D64B" w14:textId="77777777" w:rsidTr="00743BAE">
        <w:trPr>
          <w:trHeight w:val="20"/>
        </w:trPr>
        <w:tc>
          <w:tcPr>
            <w:tcW w:w="1277" w:type="dxa"/>
            <w:tcBorders>
              <w:bottom w:val="single" w:sz="4" w:space="0" w:color="auto"/>
            </w:tcBorders>
            <w:noWrap/>
          </w:tcPr>
          <w:p w14:paraId="3A854565"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M05BA07</w:t>
            </w:r>
          </w:p>
        </w:tc>
        <w:tc>
          <w:tcPr>
            <w:tcW w:w="9355" w:type="dxa"/>
            <w:tcBorders>
              <w:bottom w:val="single" w:sz="4" w:space="0" w:color="auto"/>
            </w:tcBorders>
            <w:noWrap/>
          </w:tcPr>
          <w:p w14:paraId="25C4079D"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Kyselina risedrónová p.o. 35 mg</w:t>
            </w:r>
          </w:p>
        </w:tc>
      </w:tr>
      <w:tr w:rsidR="00BD4717" w:rsidRPr="0000591E" w14:paraId="5D7D84D0" w14:textId="77777777" w:rsidTr="00743BAE">
        <w:trPr>
          <w:trHeight w:val="20"/>
        </w:trPr>
        <w:tc>
          <w:tcPr>
            <w:tcW w:w="1277" w:type="dxa"/>
            <w:tcBorders>
              <w:top w:val="single" w:sz="4" w:space="0" w:color="auto"/>
              <w:bottom w:val="single" w:sz="4" w:space="0" w:color="BFBFBF" w:themeColor="background1" w:themeShade="BF"/>
            </w:tcBorders>
            <w:noWrap/>
          </w:tcPr>
          <w:p w14:paraId="737DE74A" w14:textId="77777777" w:rsidR="00BD4717" w:rsidRPr="0000591E" w:rsidRDefault="00BD4717" w:rsidP="00BD4717">
            <w:pPr>
              <w:rPr>
                <w:rFonts w:ascii="Arial" w:hAnsi="Arial" w:cs="Arial"/>
                <w:sz w:val="20"/>
                <w:szCs w:val="20"/>
                <w:lang w:eastAsia="cs-CZ"/>
              </w:rPr>
            </w:pPr>
          </w:p>
          <w:p w14:paraId="401EFF63" w14:textId="77777777" w:rsidR="00BD4717" w:rsidRPr="0000591E" w:rsidRDefault="00BD4717" w:rsidP="00BD4717">
            <w:pPr>
              <w:rPr>
                <w:rFonts w:ascii="Arial" w:hAnsi="Arial" w:cs="Arial"/>
                <w:sz w:val="20"/>
                <w:szCs w:val="20"/>
                <w:lang w:eastAsia="cs-CZ"/>
              </w:rPr>
            </w:pPr>
          </w:p>
          <w:p w14:paraId="00385C66" w14:textId="77777777" w:rsidR="00BD4717" w:rsidRPr="0000591E" w:rsidRDefault="00BD4717" w:rsidP="00BD4717">
            <w:pPr>
              <w:rPr>
                <w:rFonts w:ascii="Arial" w:hAnsi="Arial" w:cs="Arial"/>
                <w:sz w:val="20"/>
                <w:szCs w:val="20"/>
                <w:lang w:eastAsia="cs-CZ"/>
              </w:rPr>
            </w:pPr>
          </w:p>
          <w:p w14:paraId="0D3D69F5" w14:textId="77777777" w:rsidR="00BD4717" w:rsidRPr="0000591E" w:rsidRDefault="00BD4717" w:rsidP="00BD4717">
            <w:pPr>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81698A0" w14:textId="77777777" w:rsidR="00BD4717" w:rsidRPr="0000591E" w:rsidRDefault="00BD4717" w:rsidP="00BD4717">
            <w:pPr>
              <w:rPr>
                <w:rFonts w:ascii="Arial" w:hAnsi="Arial" w:cs="Arial"/>
                <w:strike/>
                <w:sz w:val="20"/>
                <w:szCs w:val="20"/>
              </w:rPr>
            </w:pPr>
            <w:r w:rsidRPr="0000591E">
              <w:rPr>
                <w:rFonts w:ascii="Arial" w:hAnsi="Arial" w:cs="Arial"/>
                <w:sz w:val="20"/>
                <w:szCs w:val="20"/>
              </w:rPr>
              <w:t>Hradená liečba sa môže indikovať pri</w:t>
            </w:r>
          </w:p>
          <w:p w14:paraId="65E9F1F4"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postmenopauzálnej osteoporóze u žien (pri denzitometricky zistenom T-skóre menšom ako –2,5 pri použití centrálnej denzitometrie DEXA),</w:t>
            </w:r>
          </w:p>
          <w:p w14:paraId="5AF4054B"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osteoporóze u mužov (pri denzitometricky zistenom T-skóre menšom ako –2,5 pri použití centrálnej denzitometrie DEXA),</w:t>
            </w:r>
          </w:p>
          <w:p w14:paraId="5E7BF785"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glukokortikoidmi indukovanej osteoporóze (pri denzitometricky zistenom T-skóre menšom ako –2,0 pri použití centrálnej denzitometrie DEXA),</w:t>
            </w:r>
          </w:p>
          <w:p w14:paraId="54D38B06"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patologických zlomeninách z osteoporózy.</w:t>
            </w:r>
          </w:p>
          <w:p w14:paraId="528939A0" w14:textId="77777777" w:rsidR="00BD4717" w:rsidRPr="0000591E" w:rsidRDefault="00BD4717" w:rsidP="00BD4717">
            <w:pPr>
              <w:rPr>
                <w:rFonts w:ascii="Arial" w:hAnsi="Arial" w:cs="Arial"/>
                <w:sz w:val="20"/>
                <w:szCs w:val="20"/>
              </w:rPr>
            </w:pPr>
          </w:p>
          <w:p w14:paraId="75747DCC"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je dlhodobá, za podmienky priebežných denzitometrických kontrol pri použití centrálnej denzitometrie DEXA v odstupe 12 až 24 mesiacov. </w:t>
            </w:r>
          </w:p>
          <w:p w14:paraId="110AF0AD" w14:textId="0E1692D3"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37157E7C" w14:textId="77777777" w:rsidR="00BD4717" w:rsidRDefault="00BD4717" w:rsidP="00BD4717">
            <w:pPr>
              <w:jc w:val="both"/>
              <w:rPr>
                <w:rFonts w:ascii="Arial" w:hAnsi="Arial" w:cs="Arial"/>
                <w:sz w:val="20"/>
                <w:szCs w:val="20"/>
              </w:rPr>
            </w:pPr>
          </w:p>
          <w:p w14:paraId="6BBFD02C" w14:textId="134E1F5A" w:rsidR="00BD4717" w:rsidRPr="0000591E" w:rsidRDefault="00BD4717" w:rsidP="00BD4717">
            <w:pPr>
              <w:jc w:val="both"/>
              <w:rPr>
                <w:rFonts w:ascii="Arial" w:hAnsi="Arial" w:cs="Arial"/>
                <w:sz w:val="20"/>
                <w:szCs w:val="20"/>
              </w:rPr>
            </w:pPr>
            <w:r w:rsidRPr="0000591E">
              <w:rPr>
                <w:rFonts w:ascii="Arial" w:hAnsi="Arial" w:cs="Arial"/>
                <w:sz w:val="20"/>
                <w:szCs w:val="20"/>
              </w:rPr>
              <w:t>Podmienkou hradenej liečby je súčasné podávanie vápnika obvykle v dávke 1000 mg denne a vitamínu D.</w:t>
            </w:r>
          </w:p>
          <w:p w14:paraId="3C9C9143" w14:textId="77777777" w:rsidR="00BD4717" w:rsidRPr="0000591E" w:rsidRDefault="00BD4717" w:rsidP="00BD4717">
            <w:pPr>
              <w:jc w:val="both"/>
              <w:rPr>
                <w:rFonts w:ascii="Arial" w:hAnsi="Arial" w:cs="Arial"/>
                <w:sz w:val="20"/>
                <w:szCs w:val="20"/>
              </w:rPr>
            </w:pPr>
          </w:p>
        </w:tc>
      </w:tr>
      <w:tr w:rsidR="00BD4717" w:rsidRPr="0000591E" w14:paraId="73C7500A" w14:textId="77777777" w:rsidTr="00743BAE">
        <w:trPr>
          <w:trHeight w:val="20"/>
        </w:trPr>
        <w:tc>
          <w:tcPr>
            <w:tcW w:w="1277" w:type="dxa"/>
            <w:tcBorders>
              <w:bottom w:val="single" w:sz="4" w:space="0" w:color="auto"/>
            </w:tcBorders>
            <w:noWrap/>
          </w:tcPr>
          <w:p w14:paraId="335D18B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lang w:eastAsia="cs-CZ"/>
              </w:rPr>
              <w:t>M05BA08</w:t>
            </w:r>
          </w:p>
        </w:tc>
        <w:tc>
          <w:tcPr>
            <w:tcW w:w="9355" w:type="dxa"/>
            <w:tcBorders>
              <w:bottom w:val="single" w:sz="4" w:space="0" w:color="auto"/>
            </w:tcBorders>
            <w:noWrap/>
          </w:tcPr>
          <w:p w14:paraId="158A4009"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zoledrónová parent. </w:t>
            </w:r>
            <w:r>
              <w:rPr>
                <w:rFonts w:ascii="Arial" w:hAnsi="Arial" w:cs="Arial"/>
                <w:b/>
                <w:bCs/>
                <w:sz w:val="20"/>
                <w:szCs w:val="20"/>
              </w:rPr>
              <w:t>5 mg</w:t>
            </w:r>
            <w:r w:rsidRPr="0000591E">
              <w:rPr>
                <w:rFonts w:ascii="Arial" w:hAnsi="Arial" w:cs="Arial"/>
                <w:b/>
                <w:bCs/>
                <w:sz w:val="20"/>
                <w:szCs w:val="20"/>
              </w:rPr>
              <w:t xml:space="preserve"> </w:t>
            </w:r>
          </w:p>
        </w:tc>
      </w:tr>
      <w:tr w:rsidR="00BD4717" w:rsidRPr="0000591E" w14:paraId="17751190" w14:textId="77777777" w:rsidTr="00743BAE">
        <w:trPr>
          <w:trHeight w:val="20"/>
        </w:trPr>
        <w:tc>
          <w:tcPr>
            <w:tcW w:w="1277" w:type="dxa"/>
            <w:tcBorders>
              <w:top w:val="single" w:sz="4" w:space="0" w:color="auto"/>
              <w:bottom w:val="single" w:sz="4" w:space="0" w:color="BFBFBF" w:themeColor="background1" w:themeShade="BF"/>
            </w:tcBorders>
            <w:noWrap/>
          </w:tcPr>
          <w:p w14:paraId="36667105" w14:textId="77777777" w:rsidR="00BD4717" w:rsidRPr="0000591E" w:rsidRDefault="00BD4717" w:rsidP="00BD4717">
            <w:pPr>
              <w:jc w:val="both"/>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noWrap/>
          </w:tcPr>
          <w:p w14:paraId="719EC555" w14:textId="77777777" w:rsidR="00BD4717" w:rsidRPr="008F1A35" w:rsidRDefault="00BD4717" w:rsidP="00BD4717">
            <w:pPr>
              <w:jc w:val="both"/>
              <w:rPr>
                <w:rFonts w:ascii="Arial" w:hAnsi="Arial" w:cs="Arial"/>
                <w:bCs/>
                <w:sz w:val="20"/>
                <w:szCs w:val="20"/>
              </w:rPr>
            </w:pPr>
            <w:r w:rsidRPr="008F1A35">
              <w:rPr>
                <w:rFonts w:ascii="Arial" w:hAnsi="Arial" w:cs="Arial"/>
                <w:bCs/>
                <w:sz w:val="20"/>
                <w:szCs w:val="20"/>
              </w:rPr>
              <w:t>Hradená liečba sa môže indikovať u pacientov</w:t>
            </w:r>
          </w:p>
          <w:p w14:paraId="73055173" w14:textId="77777777"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a)</w:t>
            </w:r>
            <w:r w:rsidRPr="008F1A35">
              <w:rPr>
                <w:rFonts w:ascii="Arial" w:hAnsi="Arial" w:cs="Arial"/>
                <w:bCs/>
                <w:sz w:val="20"/>
                <w:szCs w:val="20"/>
              </w:rPr>
              <w:tab/>
              <w:t>s Pagetovou chorobou jednorazovo,</w:t>
            </w:r>
          </w:p>
          <w:p w14:paraId="2E12A77C" w14:textId="445CAE12"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b)</w:t>
            </w:r>
            <w:r w:rsidRPr="008F1A35">
              <w:rPr>
                <w:rFonts w:ascii="Arial" w:hAnsi="Arial" w:cs="Arial"/>
                <w:bCs/>
                <w:sz w:val="20"/>
                <w:szCs w:val="20"/>
              </w:rPr>
              <w:tab/>
              <w:t xml:space="preserve">pri postmenopauzálnej osteoporóze u žien (pri denzitometricky zistenom T-skóre menšom ako –2,5 </w:t>
            </w:r>
            <w:r>
              <w:rPr>
                <w:rFonts w:ascii="Arial" w:hAnsi="Arial" w:cs="Arial"/>
                <w:bCs/>
                <w:sz w:val="20"/>
                <w:szCs w:val="20"/>
              </w:rPr>
              <w:tab/>
            </w:r>
            <w:r w:rsidRPr="008F1A35">
              <w:rPr>
                <w:rFonts w:ascii="Arial" w:hAnsi="Arial" w:cs="Arial"/>
                <w:bCs/>
                <w:sz w:val="20"/>
                <w:szCs w:val="20"/>
              </w:rPr>
              <w:t>pri použití centrálnej denzitometrie DEXA),</w:t>
            </w:r>
          </w:p>
          <w:p w14:paraId="1CAFF985" w14:textId="44BDADC2"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c)</w:t>
            </w:r>
            <w:r w:rsidRPr="008F1A35">
              <w:rPr>
                <w:rFonts w:ascii="Arial" w:hAnsi="Arial" w:cs="Arial"/>
                <w:bCs/>
                <w:sz w:val="20"/>
                <w:szCs w:val="20"/>
              </w:rPr>
              <w:tab/>
              <w:t xml:space="preserve">pri osteoporóze u mužov (pri denzitometricky zistenom T-skóre menšom ako –2,5 pri použití </w:t>
            </w:r>
            <w:r>
              <w:rPr>
                <w:rFonts w:ascii="Arial" w:hAnsi="Arial" w:cs="Arial"/>
                <w:bCs/>
                <w:sz w:val="20"/>
                <w:szCs w:val="20"/>
              </w:rPr>
              <w:tab/>
            </w:r>
            <w:r w:rsidRPr="008F1A35">
              <w:rPr>
                <w:rFonts w:ascii="Arial" w:hAnsi="Arial" w:cs="Arial"/>
                <w:bCs/>
                <w:sz w:val="20"/>
                <w:szCs w:val="20"/>
              </w:rPr>
              <w:t>centrálnej denzitometrie DEXA),</w:t>
            </w:r>
          </w:p>
          <w:p w14:paraId="26042302" w14:textId="62A3FD10"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d)</w:t>
            </w:r>
            <w:r w:rsidRPr="008F1A35">
              <w:rPr>
                <w:rFonts w:ascii="Arial" w:hAnsi="Arial" w:cs="Arial"/>
                <w:bCs/>
                <w:sz w:val="20"/>
                <w:szCs w:val="20"/>
              </w:rPr>
              <w:tab/>
              <w:t>pri glukokortikoidmi indukovanej osteoporóze (pri denzitometricky zistenom T-skóre menšom ako –</w:t>
            </w:r>
            <w:r>
              <w:rPr>
                <w:rFonts w:ascii="Arial" w:hAnsi="Arial" w:cs="Arial"/>
                <w:bCs/>
                <w:sz w:val="20"/>
                <w:szCs w:val="20"/>
              </w:rPr>
              <w:tab/>
            </w:r>
            <w:r w:rsidRPr="008F1A35">
              <w:rPr>
                <w:rFonts w:ascii="Arial" w:hAnsi="Arial" w:cs="Arial"/>
                <w:bCs/>
                <w:sz w:val="20"/>
                <w:szCs w:val="20"/>
              </w:rPr>
              <w:t>2,0 pri použití centrálnej denzitometrie DEXA),</w:t>
            </w:r>
          </w:p>
          <w:p w14:paraId="07BFC657" w14:textId="77777777"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e)</w:t>
            </w:r>
            <w:r w:rsidRPr="008F1A35">
              <w:rPr>
                <w:rFonts w:ascii="Arial" w:hAnsi="Arial" w:cs="Arial"/>
                <w:bCs/>
                <w:sz w:val="20"/>
                <w:szCs w:val="20"/>
              </w:rPr>
              <w:tab/>
              <w:t>pri patologických zlomeninách z osteoporózy.</w:t>
            </w:r>
          </w:p>
          <w:p w14:paraId="6328BD70" w14:textId="77777777" w:rsidR="00BD4717" w:rsidRPr="008F1A35" w:rsidRDefault="00BD4717" w:rsidP="00BD4717">
            <w:pPr>
              <w:jc w:val="both"/>
              <w:rPr>
                <w:rFonts w:ascii="Arial" w:hAnsi="Arial" w:cs="Arial"/>
                <w:bCs/>
                <w:sz w:val="20"/>
                <w:szCs w:val="20"/>
              </w:rPr>
            </w:pPr>
          </w:p>
          <w:p w14:paraId="2CF8569E" w14:textId="77777777" w:rsidR="00BD4717" w:rsidRPr="008F1A35" w:rsidRDefault="00BD4717" w:rsidP="00BD4717">
            <w:pPr>
              <w:jc w:val="both"/>
              <w:rPr>
                <w:rFonts w:ascii="Arial" w:hAnsi="Arial" w:cs="Arial"/>
                <w:bCs/>
                <w:sz w:val="20"/>
                <w:szCs w:val="20"/>
              </w:rPr>
            </w:pPr>
            <w:r w:rsidRPr="008F1A35">
              <w:rPr>
                <w:rFonts w:ascii="Arial" w:hAnsi="Arial" w:cs="Arial"/>
                <w:bCs/>
                <w:sz w:val="20"/>
                <w:szCs w:val="20"/>
              </w:rPr>
              <w:t>Hradená liečba je dlhodobá, za podmienky priebežných denzitometrických kontrol pri použití centrálnej denzitometrie DEXA v odstupe 12 až 24 mesiacov.</w:t>
            </w:r>
          </w:p>
          <w:p w14:paraId="496201B8" w14:textId="77777777" w:rsidR="00BD4717" w:rsidRDefault="00BD4717" w:rsidP="00BD4717">
            <w:pPr>
              <w:jc w:val="both"/>
              <w:rPr>
                <w:rFonts w:ascii="Arial" w:hAnsi="Arial" w:cs="Arial"/>
                <w:bCs/>
                <w:sz w:val="20"/>
                <w:szCs w:val="20"/>
              </w:rPr>
            </w:pPr>
          </w:p>
          <w:p w14:paraId="4E1FB893" w14:textId="2AACFC91" w:rsidR="00BD4717" w:rsidRPr="008F1A35" w:rsidRDefault="00BD4717" w:rsidP="00BD4717">
            <w:pPr>
              <w:jc w:val="both"/>
              <w:rPr>
                <w:rFonts w:ascii="Arial" w:hAnsi="Arial" w:cs="Arial"/>
                <w:bCs/>
                <w:sz w:val="20"/>
                <w:szCs w:val="20"/>
              </w:rPr>
            </w:pPr>
            <w:r w:rsidRPr="008F1A35">
              <w:rPr>
                <w:rFonts w:ascii="Arial" w:hAnsi="Arial" w:cs="Arial"/>
                <w:bCs/>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280375A1" w14:textId="77777777" w:rsidR="00BD4717" w:rsidRDefault="00BD4717" w:rsidP="00BD4717">
            <w:pPr>
              <w:jc w:val="both"/>
              <w:rPr>
                <w:rFonts w:ascii="Arial" w:hAnsi="Arial" w:cs="Arial"/>
                <w:bCs/>
                <w:sz w:val="20"/>
                <w:szCs w:val="20"/>
              </w:rPr>
            </w:pPr>
          </w:p>
          <w:p w14:paraId="2B653106" w14:textId="77777777" w:rsidR="00BD4717" w:rsidRDefault="00BD4717" w:rsidP="00BD4717">
            <w:pPr>
              <w:jc w:val="both"/>
              <w:rPr>
                <w:rFonts w:ascii="Arial" w:hAnsi="Arial" w:cs="Arial"/>
                <w:bCs/>
                <w:sz w:val="20"/>
                <w:szCs w:val="20"/>
              </w:rPr>
            </w:pPr>
            <w:r w:rsidRPr="008F1A35">
              <w:rPr>
                <w:rFonts w:ascii="Arial" w:hAnsi="Arial" w:cs="Arial"/>
                <w:bCs/>
                <w:sz w:val="20"/>
                <w:szCs w:val="20"/>
              </w:rPr>
              <w:t>Podmienkou hradenej liečby je súčasné podávanie vápnika obvykle v dávke 1000 mg denne a vitamínu D.</w:t>
            </w:r>
          </w:p>
          <w:p w14:paraId="130A914E" w14:textId="62DBF57A" w:rsidR="00BD4717" w:rsidRPr="008F1A35" w:rsidRDefault="00BD4717" w:rsidP="00BD4717">
            <w:pPr>
              <w:jc w:val="both"/>
              <w:rPr>
                <w:rFonts w:ascii="Arial" w:hAnsi="Arial" w:cs="Arial"/>
                <w:bCs/>
                <w:sz w:val="20"/>
                <w:szCs w:val="20"/>
              </w:rPr>
            </w:pPr>
          </w:p>
        </w:tc>
      </w:tr>
      <w:tr w:rsidR="00BD4717" w:rsidRPr="0000591E" w14:paraId="1F29200C" w14:textId="77777777" w:rsidTr="00743BAE">
        <w:trPr>
          <w:trHeight w:val="20"/>
        </w:trPr>
        <w:tc>
          <w:tcPr>
            <w:tcW w:w="1277" w:type="dxa"/>
            <w:tcBorders>
              <w:bottom w:val="single" w:sz="4" w:space="0" w:color="auto"/>
            </w:tcBorders>
            <w:noWrap/>
          </w:tcPr>
          <w:p w14:paraId="6BCB41F8"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M05BX04</w:t>
            </w:r>
          </w:p>
        </w:tc>
        <w:tc>
          <w:tcPr>
            <w:tcW w:w="9355" w:type="dxa"/>
            <w:tcBorders>
              <w:bottom w:val="single" w:sz="4" w:space="0" w:color="auto"/>
            </w:tcBorders>
          </w:tcPr>
          <w:p w14:paraId="6FAEC785" w14:textId="77777777" w:rsidR="00BD4717" w:rsidRPr="0000591E" w:rsidRDefault="00BD4717" w:rsidP="00BD4717">
            <w:pPr>
              <w:rPr>
                <w:rFonts w:ascii="Arial" w:hAnsi="Arial" w:cs="Arial"/>
                <w:b/>
                <w:bCs/>
                <w:sz w:val="20"/>
                <w:szCs w:val="20"/>
              </w:rPr>
            </w:pPr>
            <w:r>
              <w:rPr>
                <w:rFonts w:ascii="Arial" w:hAnsi="Arial" w:cs="Arial"/>
                <w:b/>
                <w:bCs/>
                <w:sz w:val="20"/>
                <w:szCs w:val="20"/>
              </w:rPr>
              <w:t>Denosumab parent. 60 mg</w:t>
            </w:r>
          </w:p>
        </w:tc>
      </w:tr>
      <w:tr w:rsidR="00BD4717" w:rsidRPr="0000591E" w14:paraId="10F6FC97" w14:textId="77777777" w:rsidTr="00743BAE">
        <w:trPr>
          <w:trHeight w:val="20"/>
        </w:trPr>
        <w:tc>
          <w:tcPr>
            <w:tcW w:w="1277" w:type="dxa"/>
            <w:tcBorders>
              <w:top w:val="single" w:sz="4" w:space="0" w:color="auto"/>
              <w:bottom w:val="single" w:sz="4" w:space="0" w:color="BFBFBF" w:themeColor="background1" w:themeShade="BF"/>
            </w:tcBorders>
            <w:noWrap/>
          </w:tcPr>
          <w:p w14:paraId="07BF210A"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4A632458" w14:textId="77777777" w:rsidR="00BD4717" w:rsidRPr="006615A4" w:rsidRDefault="00BD4717" w:rsidP="00BD4717">
            <w:pPr>
              <w:jc w:val="both"/>
              <w:rPr>
                <w:rFonts w:ascii="Arial" w:hAnsi="Arial" w:cs="Arial"/>
                <w:sz w:val="20"/>
                <w:szCs w:val="20"/>
              </w:rPr>
            </w:pPr>
            <w:r w:rsidRPr="006615A4">
              <w:rPr>
                <w:rFonts w:ascii="Arial" w:hAnsi="Arial" w:cs="Arial"/>
                <w:sz w:val="20"/>
                <w:szCs w:val="20"/>
              </w:rPr>
              <w:t>Hradená liečba sa môže indikovať pri</w:t>
            </w:r>
          </w:p>
          <w:p w14:paraId="58762826"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postmenopauzálnej osteoporóze u žien (pri denzitometricky zistenom T-skóre menšom ako –2,5 pri použití centrálnej denzitometrie DEXA),</w:t>
            </w:r>
          </w:p>
          <w:p w14:paraId="47EF0E06"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osteoporóze u mužov (pri denzitometricky zistenom T-skóre menšom ako –2,5 pri použití centrálnej denzitometrie DEXA),</w:t>
            </w:r>
          </w:p>
          <w:p w14:paraId="38F9DC50"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patologických zlomeninách z osteoporózy,</w:t>
            </w:r>
          </w:p>
          <w:p w14:paraId="6485C49F"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úbytku kostnej hmoty v súvislosti s hormonálnou abláciou u mužov s karcinómom prostaty (pri denzitometricky zistenom T-skóre menšom ako –1,0 pri použití centrálnej denzitometrie DEXA).</w:t>
            </w:r>
          </w:p>
          <w:p w14:paraId="7AD5069D" w14:textId="19D794B4" w:rsidR="00BD4717" w:rsidRDefault="00BD4717" w:rsidP="00BD4717">
            <w:pPr>
              <w:autoSpaceDE w:val="0"/>
              <w:autoSpaceDN w:val="0"/>
              <w:adjustRightInd w:val="0"/>
              <w:jc w:val="both"/>
              <w:rPr>
                <w:rFonts w:ascii="Arial" w:hAnsi="Arial" w:cs="Arial"/>
                <w:sz w:val="20"/>
                <w:szCs w:val="20"/>
              </w:rPr>
            </w:pPr>
            <w:r w:rsidRPr="006615A4">
              <w:rPr>
                <w:rFonts w:ascii="Arial" w:hAnsi="Arial" w:cs="Arial"/>
                <w:sz w:val="20"/>
                <w:szCs w:val="20"/>
              </w:rPr>
              <w:t xml:space="preserve">Hradená liečba je dlhodobá, za podmienky priebežných denzitometrických kontrol pri použití centrálnej denzitometrie DEXA v odstupe 12 až 24 mesiacov. </w:t>
            </w:r>
          </w:p>
          <w:p w14:paraId="596BA2BB" w14:textId="77777777" w:rsidR="00BD4717" w:rsidRDefault="00BD4717" w:rsidP="00BD4717">
            <w:pPr>
              <w:autoSpaceDE w:val="0"/>
              <w:autoSpaceDN w:val="0"/>
              <w:adjustRightInd w:val="0"/>
              <w:jc w:val="both"/>
              <w:rPr>
                <w:rFonts w:ascii="Arial" w:hAnsi="Arial" w:cs="Arial"/>
                <w:sz w:val="20"/>
                <w:szCs w:val="20"/>
              </w:rPr>
            </w:pPr>
          </w:p>
          <w:p w14:paraId="114EB6C7" w14:textId="77777777" w:rsidR="00BD4717" w:rsidRDefault="00BD4717" w:rsidP="00BD4717">
            <w:pPr>
              <w:autoSpaceDE w:val="0"/>
              <w:autoSpaceDN w:val="0"/>
              <w:adjustRightInd w:val="0"/>
              <w:jc w:val="both"/>
              <w:rPr>
                <w:rFonts w:ascii="Arial" w:hAnsi="Arial" w:cs="Arial"/>
                <w:sz w:val="20"/>
                <w:szCs w:val="20"/>
              </w:rPr>
            </w:pPr>
            <w:r w:rsidRPr="006615A4">
              <w:rPr>
                <w:rFonts w:ascii="Arial" w:hAnsi="Arial" w:cs="Arial"/>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13C6B7C7" w14:textId="77777777" w:rsidR="00BD4717" w:rsidRDefault="00BD4717" w:rsidP="00BD4717">
            <w:pPr>
              <w:autoSpaceDE w:val="0"/>
              <w:autoSpaceDN w:val="0"/>
              <w:adjustRightInd w:val="0"/>
              <w:jc w:val="both"/>
              <w:rPr>
                <w:rFonts w:ascii="Arial" w:hAnsi="Arial" w:cs="Arial"/>
                <w:sz w:val="20"/>
                <w:szCs w:val="20"/>
              </w:rPr>
            </w:pPr>
          </w:p>
          <w:p w14:paraId="49850BB5" w14:textId="77777777" w:rsidR="00BD4717" w:rsidRPr="0000591E" w:rsidRDefault="00BD4717" w:rsidP="00BD4717">
            <w:pPr>
              <w:autoSpaceDE w:val="0"/>
              <w:autoSpaceDN w:val="0"/>
              <w:adjustRightInd w:val="0"/>
              <w:jc w:val="both"/>
              <w:rPr>
                <w:rFonts w:ascii="Arial" w:hAnsi="Arial" w:cs="Arial"/>
                <w:sz w:val="20"/>
                <w:szCs w:val="20"/>
              </w:rPr>
            </w:pPr>
            <w:r w:rsidRPr="006615A4">
              <w:rPr>
                <w:rFonts w:ascii="Arial" w:hAnsi="Arial" w:cs="Arial"/>
                <w:sz w:val="20"/>
                <w:szCs w:val="20"/>
              </w:rPr>
              <w:t>Podmienkou hradenej liečby je súčasné podávanie vápnika obvykle v dávke 1000 mg denne a vitamínu D.</w:t>
            </w:r>
          </w:p>
          <w:p w14:paraId="101F045C" w14:textId="77777777" w:rsidR="00BD4717" w:rsidRPr="0000591E" w:rsidRDefault="00BD4717" w:rsidP="00BD4717">
            <w:pPr>
              <w:rPr>
                <w:rFonts w:ascii="Arial" w:hAnsi="Arial" w:cs="Arial"/>
                <w:sz w:val="20"/>
                <w:szCs w:val="20"/>
              </w:rPr>
            </w:pPr>
          </w:p>
        </w:tc>
      </w:tr>
      <w:tr w:rsidR="00BD4717" w:rsidRPr="0000591E" w14:paraId="6F467FCC" w14:textId="77777777" w:rsidTr="00743BAE">
        <w:trPr>
          <w:trHeight w:val="20"/>
        </w:trPr>
        <w:tc>
          <w:tcPr>
            <w:tcW w:w="1277" w:type="dxa"/>
            <w:tcBorders>
              <w:bottom w:val="single" w:sz="4" w:space="0" w:color="auto"/>
            </w:tcBorders>
            <w:noWrap/>
          </w:tcPr>
          <w:p w14:paraId="6E44E50D"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M05BX04</w:t>
            </w:r>
          </w:p>
        </w:tc>
        <w:tc>
          <w:tcPr>
            <w:tcW w:w="9355" w:type="dxa"/>
            <w:tcBorders>
              <w:bottom w:val="single" w:sz="4" w:space="0" w:color="auto"/>
            </w:tcBorders>
          </w:tcPr>
          <w:p w14:paraId="64140667"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 xml:space="preserve">Denosumab parent. </w:t>
            </w:r>
            <w:r>
              <w:rPr>
                <w:rFonts w:ascii="Arial" w:hAnsi="Arial" w:cs="Arial"/>
                <w:b/>
                <w:bCs/>
                <w:sz w:val="20"/>
                <w:szCs w:val="20"/>
              </w:rPr>
              <w:t>120mg</w:t>
            </w:r>
          </w:p>
        </w:tc>
      </w:tr>
      <w:tr w:rsidR="00BD4717" w:rsidRPr="0000591E" w14:paraId="68911716" w14:textId="77777777" w:rsidTr="00743BAE">
        <w:trPr>
          <w:trHeight w:val="20"/>
        </w:trPr>
        <w:tc>
          <w:tcPr>
            <w:tcW w:w="1277" w:type="dxa"/>
            <w:tcBorders>
              <w:top w:val="single" w:sz="4" w:space="0" w:color="auto"/>
              <w:bottom w:val="single" w:sz="4" w:space="0" w:color="BFBFBF" w:themeColor="background1" w:themeShade="BF"/>
            </w:tcBorders>
            <w:noWrap/>
          </w:tcPr>
          <w:p w14:paraId="7EA1A1E7"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19CD113B"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ako liek prvej voľby pri prevencii príhod súvisiacich so skeletom (patologická fraktúra, ožarovanie kosti, kompresia miechy alebo chirurgický zákrok na kosti) u dospelých s kostnými metastázami zo solídnych tumorov pri:</w:t>
            </w:r>
          </w:p>
          <w:p w14:paraId="6B1AD714" w14:textId="77777777" w:rsidR="00BD4717" w:rsidRDefault="00BD4717">
            <w:pPr>
              <w:numPr>
                <w:ilvl w:val="0"/>
                <w:numId w:val="106"/>
              </w:numPr>
              <w:jc w:val="both"/>
              <w:rPr>
                <w:rFonts w:ascii="Arial" w:hAnsi="Arial" w:cs="Arial"/>
                <w:sz w:val="20"/>
                <w:szCs w:val="20"/>
              </w:rPr>
            </w:pPr>
            <w:r w:rsidRPr="0000591E">
              <w:rPr>
                <w:rFonts w:ascii="Arial" w:hAnsi="Arial" w:cs="Arial"/>
                <w:sz w:val="20"/>
                <w:szCs w:val="20"/>
              </w:rPr>
              <w:t>karcinóme prostaty,</w:t>
            </w:r>
          </w:p>
          <w:p w14:paraId="7FBA0183" w14:textId="77777777" w:rsidR="00BD4717" w:rsidRDefault="00BD4717">
            <w:pPr>
              <w:numPr>
                <w:ilvl w:val="0"/>
                <w:numId w:val="106"/>
              </w:numPr>
              <w:jc w:val="both"/>
              <w:rPr>
                <w:rFonts w:ascii="Arial" w:hAnsi="Arial" w:cs="Arial"/>
                <w:sz w:val="20"/>
                <w:szCs w:val="20"/>
              </w:rPr>
            </w:pPr>
            <w:r>
              <w:rPr>
                <w:rFonts w:ascii="Arial" w:hAnsi="Arial" w:cs="Arial"/>
                <w:sz w:val="20"/>
                <w:szCs w:val="20"/>
              </w:rPr>
              <w:t>karcinóme prsníka</w:t>
            </w:r>
          </w:p>
          <w:p w14:paraId="1DD90A7C" w14:textId="77777777" w:rsidR="00BD4717" w:rsidRDefault="00BD4717">
            <w:pPr>
              <w:numPr>
                <w:ilvl w:val="0"/>
                <w:numId w:val="106"/>
              </w:numPr>
              <w:jc w:val="both"/>
              <w:rPr>
                <w:rFonts w:ascii="Arial" w:hAnsi="Arial" w:cs="Arial"/>
                <w:sz w:val="20"/>
                <w:szCs w:val="20"/>
              </w:rPr>
            </w:pPr>
            <w:r>
              <w:rPr>
                <w:rFonts w:ascii="Arial" w:hAnsi="Arial" w:cs="Arial"/>
                <w:sz w:val="20"/>
                <w:szCs w:val="20"/>
              </w:rPr>
              <w:t>pri ostatných solídnych tumoroch</w:t>
            </w:r>
          </w:p>
          <w:p w14:paraId="3CB0E013" w14:textId="77777777" w:rsidR="00BD4717" w:rsidRPr="0000591E" w:rsidRDefault="00BD4717" w:rsidP="00BD4717">
            <w:pPr>
              <w:jc w:val="both"/>
              <w:rPr>
                <w:rFonts w:ascii="Arial" w:hAnsi="Arial" w:cs="Arial"/>
                <w:sz w:val="20"/>
                <w:szCs w:val="20"/>
              </w:rPr>
            </w:pPr>
          </w:p>
        </w:tc>
      </w:tr>
      <w:tr w:rsidR="00BD4717" w:rsidRPr="005969E8" w14:paraId="17BCFF7B" w14:textId="77777777" w:rsidTr="003B19B5">
        <w:trPr>
          <w:trHeight w:val="20"/>
        </w:trPr>
        <w:tc>
          <w:tcPr>
            <w:tcW w:w="1277" w:type="dxa"/>
            <w:tcBorders>
              <w:bottom w:val="single" w:sz="4" w:space="0" w:color="auto"/>
            </w:tcBorders>
            <w:noWrap/>
          </w:tcPr>
          <w:p w14:paraId="1C711543" w14:textId="77777777" w:rsidR="00BD4717" w:rsidRDefault="00BD4717" w:rsidP="00BD4717">
            <w:pPr>
              <w:rPr>
                <w:rFonts w:ascii="Arial" w:hAnsi="Arial" w:cs="Arial"/>
                <w:b/>
                <w:sz w:val="20"/>
                <w:szCs w:val="20"/>
              </w:rPr>
            </w:pPr>
          </w:p>
          <w:p w14:paraId="2740A364" w14:textId="77777777" w:rsidR="00BD4717" w:rsidRDefault="00BD4717" w:rsidP="00BD4717">
            <w:pPr>
              <w:rPr>
                <w:rFonts w:ascii="Arial" w:hAnsi="Arial" w:cs="Arial"/>
                <w:b/>
                <w:sz w:val="20"/>
                <w:szCs w:val="20"/>
              </w:rPr>
            </w:pPr>
          </w:p>
          <w:p w14:paraId="212F8D32" w14:textId="6BAEAD70" w:rsidR="00BD4717" w:rsidRPr="0060328F" w:rsidRDefault="00BD4717" w:rsidP="00BD4717">
            <w:pPr>
              <w:rPr>
                <w:rFonts w:ascii="Arial" w:hAnsi="Arial" w:cs="Arial"/>
                <w:b/>
                <w:sz w:val="20"/>
                <w:szCs w:val="20"/>
              </w:rPr>
            </w:pPr>
            <w:r w:rsidRPr="0060328F">
              <w:rPr>
                <w:rFonts w:ascii="Arial" w:hAnsi="Arial" w:cs="Arial"/>
                <w:b/>
                <w:sz w:val="20"/>
                <w:szCs w:val="20"/>
              </w:rPr>
              <w:t>M05BX05</w:t>
            </w:r>
          </w:p>
        </w:tc>
        <w:tc>
          <w:tcPr>
            <w:tcW w:w="9355" w:type="dxa"/>
            <w:tcBorders>
              <w:bottom w:val="single" w:sz="4" w:space="0" w:color="auto"/>
            </w:tcBorders>
          </w:tcPr>
          <w:p w14:paraId="384887B6" w14:textId="77777777" w:rsidR="00BD4717" w:rsidRPr="0060328F" w:rsidRDefault="00BD4717" w:rsidP="00BD4717">
            <w:pPr>
              <w:jc w:val="both"/>
              <w:rPr>
                <w:rFonts w:ascii="Arial" w:hAnsi="Arial" w:cs="Arial"/>
                <w:b/>
                <w:sz w:val="20"/>
                <w:szCs w:val="20"/>
              </w:rPr>
            </w:pPr>
            <w:r w:rsidRPr="0060328F">
              <w:rPr>
                <w:rFonts w:ascii="Arial" w:hAnsi="Arial" w:cs="Arial"/>
                <w:b/>
                <w:sz w:val="20"/>
                <w:szCs w:val="20"/>
              </w:rPr>
              <w:t>Burosumab parent. 10 mg/ml</w:t>
            </w:r>
          </w:p>
          <w:p w14:paraId="518B3512" w14:textId="77777777" w:rsidR="00BD4717" w:rsidRPr="0060328F" w:rsidRDefault="00BD4717" w:rsidP="00BD4717">
            <w:pPr>
              <w:jc w:val="both"/>
              <w:rPr>
                <w:rFonts w:ascii="Arial" w:hAnsi="Arial" w:cs="Arial"/>
                <w:b/>
                <w:sz w:val="20"/>
                <w:szCs w:val="20"/>
              </w:rPr>
            </w:pPr>
            <w:r w:rsidRPr="0060328F">
              <w:rPr>
                <w:rFonts w:ascii="Arial" w:hAnsi="Arial" w:cs="Arial"/>
                <w:b/>
                <w:sz w:val="20"/>
                <w:szCs w:val="20"/>
              </w:rPr>
              <w:t>Burosumab parent. 20 mg/ml</w:t>
            </w:r>
          </w:p>
          <w:p w14:paraId="647FD937" w14:textId="77777777" w:rsidR="00BD4717" w:rsidRPr="0060328F" w:rsidRDefault="00BD4717" w:rsidP="00BD4717">
            <w:pPr>
              <w:jc w:val="both"/>
              <w:rPr>
                <w:rFonts w:ascii="Arial" w:hAnsi="Arial" w:cs="Arial"/>
                <w:b/>
                <w:sz w:val="20"/>
                <w:szCs w:val="20"/>
              </w:rPr>
            </w:pPr>
            <w:r w:rsidRPr="0060328F">
              <w:rPr>
                <w:rFonts w:ascii="Arial" w:hAnsi="Arial" w:cs="Arial"/>
                <w:b/>
                <w:sz w:val="20"/>
                <w:szCs w:val="20"/>
              </w:rPr>
              <w:t>Burosumab parent. 30 mg/ml</w:t>
            </w:r>
          </w:p>
        </w:tc>
      </w:tr>
      <w:tr w:rsidR="00BD4717" w:rsidRPr="0000591E" w14:paraId="2C05B6BA" w14:textId="77777777" w:rsidTr="003B19B5">
        <w:trPr>
          <w:trHeight w:val="20"/>
        </w:trPr>
        <w:tc>
          <w:tcPr>
            <w:tcW w:w="1277" w:type="dxa"/>
            <w:tcBorders>
              <w:top w:val="single" w:sz="4" w:space="0" w:color="auto"/>
              <w:bottom w:val="single" w:sz="4" w:space="0" w:color="BFBFBF" w:themeColor="background1" w:themeShade="BF"/>
            </w:tcBorders>
            <w:noWrap/>
          </w:tcPr>
          <w:p w14:paraId="48A1C5C2"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2431EE31" w14:textId="0C2D71FC" w:rsidR="00BD4717" w:rsidRPr="004221CF" w:rsidRDefault="00BD4717" w:rsidP="00BD4717">
            <w:pPr>
              <w:jc w:val="both"/>
              <w:rPr>
                <w:rFonts w:ascii="Arial" w:hAnsi="Arial" w:cs="Arial"/>
                <w:sz w:val="20"/>
                <w:szCs w:val="20"/>
              </w:rPr>
            </w:pPr>
            <w:r w:rsidRPr="004221CF">
              <w:rPr>
                <w:rFonts w:ascii="Arial" w:hAnsi="Arial" w:cs="Arial"/>
                <w:sz w:val="20"/>
                <w:szCs w:val="20"/>
              </w:rPr>
              <w:t>Hradená liečba sa môže indikovať u detských pacientov do dovŕšenia 17 rokov s X-viazanou</w:t>
            </w:r>
            <w:r>
              <w:rPr>
                <w:rFonts w:ascii="Arial" w:hAnsi="Arial" w:cs="Arial"/>
                <w:sz w:val="20"/>
                <w:szCs w:val="20"/>
              </w:rPr>
              <w:t xml:space="preserve"> </w:t>
            </w:r>
            <w:r w:rsidRPr="004221CF">
              <w:rPr>
                <w:rFonts w:ascii="Arial" w:hAnsi="Arial" w:cs="Arial"/>
                <w:sz w:val="20"/>
                <w:szCs w:val="20"/>
              </w:rPr>
              <w:t>formou hypofosfatemickej rachitídy pri splnení všetkých nižšie vymenovaných kritérií:</w:t>
            </w:r>
          </w:p>
          <w:p w14:paraId="2A8B9F07" w14:textId="77777777" w:rsidR="00BD4717" w:rsidRPr="004221CF" w:rsidRDefault="00BD4717" w:rsidP="00BD4717">
            <w:pPr>
              <w:jc w:val="both"/>
              <w:rPr>
                <w:rFonts w:ascii="Arial" w:hAnsi="Arial" w:cs="Arial"/>
                <w:sz w:val="20"/>
                <w:szCs w:val="20"/>
              </w:rPr>
            </w:pPr>
            <w:r w:rsidRPr="004221CF">
              <w:rPr>
                <w:rFonts w:ascii="Arial" w:hAnsi="Arial" w:cs="Arial"/>
                <w:sz w:val="20"/>
                <w:szCs w:val="20"/>
              </w:rPr>
              <w:t>1) s geneticky potvrdenou mutáciou v PHEX géne</w:t>
            </w:r>
          </w:p>
          <w:p w14:paraId="17B2EB5D" w14:textId="064A558A" w:rsidR="00BD4717" w:rsidRPr="004221CF" w:rsidRDefault="00BD4717" w:rsidP="00BD4717">
            <w:pPr>
              <w:jc w:val="both"/>
              <w:rPr>
                <w:rFonts w:ascii="Arial" w:hAnsi="Arial" w:cs="Arial"/>
                <w:sz w:val="20"/>
                <w:szCs w:val="20"/>
              </w:rPr>
            </w:pPr>
            <w:r w:rsidRPr="004221CF">
              <w:rPr>
                <w:rFonts w:ascii="Arial" w:hAnsi="Arial" w:cs="Arial"/>
                <w:sz w:val="20"/>
                <w:szCs w:val="20"/>
              </w:rPr>
              <w:t>2) pri perzistencii nízkej hypofosfatémie napriek dlhodobej substitúcii maximálnymi</w:t>
            </w:r>
            <w:r>
              <w:rPr>
                <w:rFonts w:ascii="Arial" w:hAnsi="Arial" w:cs="Arial"/>
                <w:sz w:val="20"/>
                <w:szCs w:val="20"/>
              </w:rPr>
              <w:t xml:space="preserve"> </w:t>
            </w:r>
            <w:r w:rsidRPr="004221CF">
              <w:rPr>
                <w:rFonts w:ascii="Arial" w:hAnsi="Arial" w:cs="Arial"/>
                <w:sz w:val="20"/>
                <w:szCs w:val="20"/>
              </w:rPr>
              <w:t>tolerovanými dávkami fosfátového roztoku a aktívnej formy vitamínu D</w:t>
            </w:r>
          </w:p>
          <w:p w14:paraId="734B0F57" w14:textId="673359E9" w:rsidR="00BD4717" w:rsidRPr="004221CF" w:rsidRDefault="00BD4717" w:rsidP="00BD4717">
            <w:pPr>
              <w:jc w:val="both"/>
              <w:rPr>
                <w:rFonts w:ascii="Arial" w:hAnsi="Arial" w:cs="Arial"/>
                <w:sz w:val="20"/>
                <w:szCs w:val="20"/>
              </w:rPr>
            </w:pPr>
            <w:r w:rsidRPr="004221CF">
              <w:rPr>
                <w:rFonts w:ascii="Arial" w:hAnsi="Arial" w:cs="Arial"/>
                <w:sz w:val="20"/>
                <w:szCs w:val="20"/>
              </w:rPr>
              <w:t>3) pri progresii kostných deformít napriek podávaniu maximálnych tolerovaných dávok</w:t>
            </w:r>
            <w:r>
              <w:rPr>
                <w:rFonts w:ascii="Arial" w:hAnsi="Arial" w:cs="Arial"/>
                <w:sz w:val="20"/>
                <w:szCs w:val="20"/>
              </w:rPr>
              <w:t xml:space="preserve"> </w:t>
            </w:r>
            <w:r w:rsidRPr="004221CF">
              <w:rPr>
                <w:rFonts w:ascii="Arial" w:hAnsi="Arial" w:cs="Arial"/>
                <w:sz w:val="20"/>
                <w:szCs w:val="20"/>
              </w:rPr>
              <w:t>štandardnej liečby (fosfáty a vitamín D)</w:t>
            </w:r>
          </w:p>
          <w:p w14:paraId="7B7C5578" w14:textId="77777777" w:rsidR="00BD4717" w:rsidRDefault="00BD4717" w:rsidP="00BD4717">
            <w:pPr>
              <w:jc w:val="both"/>
              <w:rPr>
                <w:rFonts w:ascii="Arial" w:hAnsi="Arial" w:cs="Arial"/>
                <w:sz w:val="20"/>
                <w:szCs w:val="20"/>
              </w:rPr>
            </w:pPr>
          </w:p>
          <w:p w14:paraId="219877CA" w14:textId="7DDBFCC0" w:rsidR="00BD4717" w:rsidRPr="004221CF" w:rsidRDefault="00BD4717" w:rsidP="00BD4717">
            <w:pPr>
              <w:jc w:val="both"/>
              <w:rPr>
                <w:rFonts w:ascii="Arial" w:hAnsi="Arial" w:cs="Arial"/>
                <w:sz w:val="20"/>
                <w:szCs w:val="20"/>
              </w:rPr>
            </w:pPr>
            <w:r w:rsidRPr="004221CF">
              <w:rPr>
                <w:rFonts w:ascii="Arial" w:hAnsi="Arial" w:cs="Arial"/>
                <w:sz w:val="20"/>
                <w:szCs w:val="20"/>
              </w:rPr>
              <w:t>Ďalšia liečba nie je hradenou liečbou, ak je splnené jedno alebo viac z nasledovných kritérií:</w:t>
            </w:r>
          </w:p>
          <w:p w14:paraId="17B6A7BB" w14:textId="7C6C1644" w:rsidR="00BD4717" w:rsidRPr="004221CF" w:rsidRDefault="00BD4717" w:rsidP="00BD4717">
            <w:pPr>
              <w:jc w:val="both"/>
              <w:rPr>
                <w:rFonts w:ascii="Arial" w:hAnsi="Arial" w:cs="Arial"/>
                <w:sz w:val="20"/>
                <w:szCs w:val="20"/>
              </w:rPr>
            </w:pPr>
            <w:r w:rsidRPr="004221CF">
              <w:rPr>
                <w:rFonts w:ascii="Arial" w:hAnsi="Arial" w:cs="Arial"/>
                <w:sz w:val="20"/>
                <w:szCs w:val="20"/>
              </w:rPr>
              <w:t>- sérová koncentrácia fosforu je nižšia ako 0,97 mmol/l alebo stúpla o menej ako 30%</w:t>
            </w:r>
            <w:r>
              <w:rPr>
                <w:rFonts w:ascii="Arial" w:hAnsi="Arial" w:cs="Arial"/>
                <w:sz w:val="20"/>
                <w:szCs w:val="20"/>
              </w:rPr>
              <w:t xml:space="preserve"> </w:t>
            </w:r>
            <w:r w:rsidRPr="004221CF">
              <w:rPr>
                <w:rFonts w:ascii="Arial" w:hAnsi="Arial" w:cs="Arial"/>
                <w:sz w:val="20"/>
                <w:szCs w:val="20"/>
              </w:rPr>
              <w:t>po šiestich mesiacoch liečby</w:t>
            </w:r>
          </w:p>
          <w:p w14:paraId="1556DEB7" w14:textId="044058E7" w:rsidR="00BD4717" w:rsidRPr="004221CF" w:rsidRDefault="00BD4717" w:rsidP="00BD4717">
            <w:pPr>
              <w:jc w:val="both"/>
              <w:rPr>
                <w:rFonts w:ascii="Arial" w:hAnsi="Arial" w:cs="Arial"/>
                <w:sz w:val="20"/>
                <w:szCs w:val="20"/>
              </w:rPr>
            </w:pPr>
            <w:r w:rsidRPr="004221CF">
              <w:rPr>
                <w:rFonts w:ascii="Arial" w:hAnsi="Arial" w:cs="Arial"/>
                <w:sz w:val="20"/>
                <w:szCs w:val="20"/>
              </w:rPr>
              <w:t>- alebo pomer maximálnej reabsorpcie fosfátov ku glomerulovej filtrácii (TmP/GFR) je</w:t>
            </w:r>
            <w:r>
              <w:rPr>
                <w:rFonts w:ascii="Arial" w:hAnsi="Arial" w:cs="Arial"/>
                <w:sz w:val="20"/>
                <w:szCs w:val="20"/>
              </w:rPr>
              <w:t xml:space="preserve"> </w:t>
            </w:r>
            <w:r w:rsidRPr="004221CF">
              <w:rPr>
                <w:rFonts w:ascii="Arial" w:hAnsi="Arial" w:cs="Arial"/>
                <w:sz w:val="20"/>
                <w:szCs w:val="20"/>
              </w:rPr>
              <w:t>nižší než 0,8 mmol/l resp. sa zvýšil o menej ako 30% po 6 mesiacoch liečby</w:t>
            </w:r>
          </w:p>
          <w:p w14:paraId="40AAD5B1" w14:textId="77777777" w:rsidR="00BD4717" w:rsidRPr="004221CF" w:rsidRDefault="00BD4717" w:rsidP="00BD4717">
            <w:pPr>
              <w:jc w:val="both"/>
              <w:rPr>
                <w:rFonts w:ascii="Arial" w:hAnsi="Arial" w:cs="Arial"/>
                <w:sz w:val="20"/>
                <w:szCs w:val="20"/>
              </w:rPr>
            </w:pPr>
            <w:r w:rsidRPr="004221CF">
              <w:rPr>
                <w:rFonts w:ascii="Arial" w:hAnsi="Arial" w:cs="Arial"/>
                <w:sz w:val="20"/>
                <w:szCs w:val="20"/>
              </w:rPr>
              <w:t>burosumabom</w:t>
            </w:r>
          </w:p>
          <w:p w14:paraId="5DB34C0A" w14:textId="419E5C98" w:rsidR="00BD4717" w:rsidRPr="004221CF" w:rsidRDefault="00BD4717" w:rsidP="00BD4717">
            <w:pPr>
              <w:jc w:val="both"/>
              <w:rPr>
                <w:rFonts w:ascii="Arial" w:hAnsi="Arial" w:cs="Arial"/>
                <w:sz w:val="20"/>
                <w:szCs w:val="20"/>
              </w:rPr>
            </w:pPr>
            <w:r w:rsidRPr="004221CF">
              <w:rPr>
                <w:rFonts w:ascii="Arial" w:hAnsi="Arial" w:cs="Arial"/>
                <w:sz w:val="20"/>
                <w:szCs w:val="20"/>
              </w:rPr>
              <w:t>- RSS skóre (rádiologické skóre rachitických zmien) po 1 roku liečby sa zlepšilo</w:t>
            </w:r>
            <w:r>
              <w:rPr>
                <w:rFonts w:ascii="Arial" w:hAnsi="Arial" w:cs="Arial"/>
                <w:sz w:val="20"/>
                <w:szCs w:val="20"/>
              </w:rPr>
              <w:t xml:space="preserve"> </w:t>
            </w:r>
            <w:r w:rsidRPr="004221CF">
              <w:rPr>
                <w:rFonts w:ascii="Arial" w:hAnsi="Arial" w:cs="Arial"/>
                <w:sz w:val="20"/>
                <w:szCs w:val="20"/>
              </w:rPr>
              <w:t>o menej ako 30% resp. absolútne znížená hodnota skóre je menšia ako 0,5 od</w:t>
            </w:r>
            <w:r>
              <w:rPr>
                <w:rFonts w:ascii="Arial" w:hAnsi="Arial" w:cs="Arial"/>
                <w:sz w:val="20"/>
                <w:szCs w:val="20"/>
              </w:rPr>
              <w:t xml:space="preserve"> </w:t>
            </w:r>
            <w:r w:rsidRPr="004221CF">
              <w:rPr>
                <w:rFonts w:ascii="Arial" w:hAnsi="Arial" w:cs="Arial"/>
                <w:sz w:val="20"/>
                <w:szCs w:val="20"/>
              </w:rPr>
              <w:t>nasadenia liečby</w:t>
            </w:r>
            <w:r>
              <w:rPr>
                <w:rFonts w:ascii="Arial" w:hAnsi="Arial" w:cs="Arial"/>
                <w:sz w:val="20"/>
                <w:szCs w:val="20"/>
              </w:rPr>
              <w:t>.</w:t>
            </w:r>
          </w:p>
          <w:p w14:paraId="35501373" w14:textId="77777777" w:rsidR="00BD4717" w:rsidRDefault="00BD4717" w:rsidP="00BD4717">
            <w:pPr>
              <w:jc w:val="both"/>
              <w:rPr>
                <w:rFonts w:ascii="Arial" w:hAnsi="Arial" w:cs="Arial"/>
                <w:sz w:val="20"/>
                <w:szCs w:val="20"/>
              </w:rPr>
            </w:pPr>
          </w:p>
          <w:p w14:paraId="4E087044" w14:textId="77777777" w:rsidR="00BD4717" w:rsidRDefault="00BD4717" w:rsidP="00BD4717">
            <w:pPr>
              <w:jc w:val="both"/>
              <w:rPr>
                <w:rFonts w:ascii="Arial" w:hAnsi="Arial" w:cs="Arial"/>
                <w:sz w:val="20"/>
                <w:szCs w:val="20"/>
              </w:rPr>
            </w:pPr>
            <w:r w:rsidRPr="004221CF">
              <w:rPr>
                <w:rFonts w:ascii="Arial" w:hAnsi="Arial" w:cs="Arial"/>
                <w:sz w:val="20"/>
                <w:szCs w:val="20"/>
              </w:rPr>
              <w:t>Hradená liečba podlieha predchádzajúcemu súhlasu zdravotnej poisťovne.</w:t>
            </w:r>
          </w:p>
          <w:p w14:paraId="4BF25DCF" w14:textId="2356E41A" w:rsidR="00BD4717" w:rsidRPr="0000591E" w:rsidRDefault="00BD4717" w:rsidP="00BD4717">
            <w:pPr>
              <w:jc w:val="both"/>
              <w:rPr>
                <w:rFonts w:ascii="Arial" w:hAnsi="Arial" w:cs="Arial"/>
                <w:sz w:val="20"/>
                <w:szCs w:val="20"/>
              </w:rPr>
            </w:pPr>
          </w:p>
        </w:tc>
      </w:tr>
      <w:tr w:rsidR="00BD4717" w:rsidRPr="0000591E" w14:paraId="1C3CBB9D" w14:textId="77777777" w:rsidTr="003B19B5">
        <w:trPr>
          <w:trHeight w:val="20"/>
        </w:trPr>
        <w:tc>
          <w:tcPr>
            <w:tcW w:w="1277" w:type="dxa"/>
            <w:tcBorders>
              <w:bottom w:val="single" w:sz="4" w:space="0" w:color="auto"/>
            </w:tcBorders>
            <w:noWrap/>
          </w:tcPr>
          <w:p w14:paraId="723FBFF4" w14:textId="77777777" w:rsidR="00BD4717" w:rsidRPr="00FA0BC0" w:rsidRDefault="00BD4717" w:rsidP="00BD4717">
            <w:pPr>
              <w:jc w:val="both"/>
              <w:rPr>
                <w:rFonts w:ascii="Arial" w:hAnsi="Arial" w:cs="Arial"/>
                <w:b/>
                <w:bCs/>
                <w:color w:val="000000" w:themeColor="text1"/>
                <w:sz w:val="20"/>
                <w:szCs w:val="20"/>
              </w:rPr>
            </w:pPr>
            <w:r w:rsidRPr="00FA0BC0">
              <w:rPr>
                <w:rFonts w:ascii="Arial" w:hAnsi="Arial" w:cs="Arial"/>
                <w:b/>
                <w:bCs/>
                <w:color w:val="000000" w:themeColor="text1"/>
                <w:sz w:val="20"/>
                <w:szCs w:val="20"/>
              </w:rPr>
              <w:t>M05BX06</w:t>
            </w:r>
          </w:p>
        </w:tc>
        <w:tc>
          <w:tcPr>
            <w:tcW w:w="9355" w:type="dxa"/>
            <w:tcBorders>
              <w:bottom w:val="single" w:sz="4" w:space="0" w:color="auto"/>
            </w:tcBorders>
          </w:tcPr>
          <w:p w14:paraId="12B3F14C" w14:textId="77777777" w:rsidR="00BD4717" w:rsidRPr="00FA0BC0" w:rsidRDefault="00BD4717" w:rsidP="00BD4717">
            <w:pPr>
              <w:jc w:val="both"/>
              <w:rPr>
                <w:rFonts w:ascii="Arial" w:hAnsi="Arial" w:cs="Arial"/>
                <w:b/>
                <w:bCs/>
                <w:color w:val="000000" w:themeColor="text1"/>
                <w:sz w:val="20"/>
                <w:szCs w:val="20"/>
              </w:rPr>
            </w:pPr>
            <w:r w:rsidRPr="00FA0BC0">
              <w:rPr>
                <w:rFonts w:ascii="Arial" w:hAnsi="Arial" w:cs="Arial"/>
                <w:b/>
                <w:bCs/>
                <w:color w:val="000000" w:themeColor="text1"/>
                <w:sz w:val="20"/>
                <w:szCs w:val="20"/>
              </w:rPr>
              <w:t>Romosozumab s.c. 105 mg</w:t>
            </w:r>
          </w:p>
        </w:tc>
      </w:tr>
      <w:tr w:rsidR="00BD4717" w:rsidRPr="0000591E" w14:paraId="2EE16008" w14:textId="77777777" w:rsidTr="003B19B5">
        <w:trPr>
          <w:trHeight w:val="20"/>
        </w:trPr>
        <w:tc>
          <w:tcPr>
            <w:tcW w:w="1277" w:type="dxa"/>
            <w:tcBorders>
              <w:top w:val="single" w:sz="4" w:space="0" w:color="auto"/>
              <w:bottom w:val="single" w:sz="4" w:space="0" w:color="BFBFBF" w:themeColor="background1" w:themeShade="BF"/>
            </w:tcBorders>
            <w:noWrap/>
          </w:tcPr>
          <w:p w14:paraId="60F6490E"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35D81D0" w14:textId="77777777" w:rsidR="00BD4717" w:rsidRDefault="00BD4717" w:rsidP="00BD4717">
            <w:pPr>
              <w:jc w:val="both"/>
              <w:rPr>
                <w:rFonts w:ascii="Arial" w:hAnsi="Arial" w:cs="Arial"/>
                <w:sz w:val="20"/>
                <w:szCs w:val="20"/>
              </w:rPr>
            </w:pPr>
            <w:r w:rsidRPr="0053738A">
              <w:rPr>
                <w:rFonts w:ascii="Arial" w:hAnsi="Arial" w:cs="Arial"/>
                <w:sz w:val="20"/>
                <w:szCs w:val="20"/>
              </w:rPr>
              <w:t xml:space="preserve">Hradená liečba sa môže indikovať pri </w:t>
            </w:r>
          </w:p>
          <w:p w14:paraId="1549FFB4" w14:textId="77777777" w:rsidR="00BD4717" w:rsidRDefault="00BD4717" w:rsidP="00BD4717">
            <w:pPr>
              <w:jc w:val="both"/>
              <w:rPr>
                <w:rFonts w:ascii="Arial" w:hAnsi="Arial" w:cs="Arial"/>
                <w:sz w:val="20"/>
                <w:szCs w:val="20"/>
              </w:rPr>
            </w:pPr>
            <w:r w:rsidRPr="0053738A">
              <w:rPr>
                <w:rFonts w:ascii="Arial" w:hAnsi="Arial" w:cs="Arial"/>
                <w:sz w:val="20"/>
                <w:szCs w:val="20"/>
              </w:rPr>
              <w:t xml:space="preserve">a) postmenopauzálnej ťažkej osteoporóze u žien (pri denzitometricky zistenom T-skóre menšom ako -2,5 v oblasti krčka femuru alebo oblasť total hip alebo v oblasti L chrbtice) a s mnohopočetnými zlomeninami stavcov (dva a viac fraktúr), kde je zlomenina stavca definovaná ako zníženie prednej výšky tela stavca viac ako 20% v porovnaní s normálnou výškou tela stavca, </w:t>
            </w:r>
          </w:p>
          <w:p w14:paraId="52E34886" w14:textId="77777777" w:rsidR="00BD4717" w:rsidRDefault="00BD4717" w:rsidP="00BD4717">
            <w:pPr>
              <w:jc w:val="both"/>
              <w:rPr>
                <w:rFonts w:ascii="Arial" w:hAnsi="Arial" w:cs="Arial"/>
                <w:sz w:val="20"/>
                <w:szCs w:val="20"/>
              </w:rPr>
            </w:pPr>
          </w:p>
          <w:p w14:paraId="746215FE" w14:textId="77777777" w:rsidR="00BD4717" w:rsidRDefault="00BD4717" w:rsidP="00BD4717">
            <w:pPr>
              <w:jc w:val="both"/>
              <w:rPr>
                <w:rFonts w:ascii="Arial" w:hAnsi="Arial" w:cs="Arial"/>
                <w:sz w:val="20"/>
                <w:szCs w:val="20"/>
              </w:rPr>
            </w:pPr>
            <w:r w:rsidRPr="0053738A">
              <w:rPr>
                <w:rFonts w:ascii="Arial" w:hAnsi="Arial" w:cs="Arial"/>
                <w:sz w:val="20"/>
                <w:szCs w:val="20"/>
              </w:rPr>
              <w:t>b) postmenopauzálnej ťažkej osteoporóze u žien (pri denzitometricky zistenom T-skóre menšom ako -2,5 v oblasti krčka femuru alebo oblasť total hip alebo v oblasti L chrbtice), u ktorých zlyhala predchádzajúca antiresorbčná liečba 1. ak po minimálne dvojročnej antiresorbčnej liečbe utrpeli osteoporotickú fraktúru, 2. ak po dvoch rokoch antiresorbčnej liečby došlo k masívnemu poklesu kostnej denzity na krčku femuru (≥ 6%).</w:t>
            </w:r>
          </w:p>
          <w:p w14:paraId="71F29EE4" w14:textId="77777777" w:rsidR="00BD4717" w:rsidRDefault="00BD4717" w:rsidP="00BD4717">
            <w:pPr>
              <w:jc w:val="both"/>
              <w:rPr>
                <w:rFonts w:ascii="Arial" w:hAnsi="Arial" w:cs="Arial"/>
                <w:sz w:val="20"/>
                <w:szCs w:val="20"/>
              </w:rPr>
            </w:pPr>
          </w:p>
          <w:p w14:paraId="03C68725" w14:textId="77777777" w:rsidR="00BD4717" w:rsidRPr="0053738A" w:rsidRDefault="00BD4717" w:rsidP="00BD4717">
            <w:pPr>
              <w:jc w:val="both"/>
              <w:rPr>
                <w:rFonts w:ascii="Arial" w:hAnsi="Arial" w:cs="Arial"/>
                <w:sz w:val="20"/>
                <w:szCs w:val="20"/>
              </w:rPr>
            </w:pPr>
            <w:r w:rsidRPr="0053738A">
              <w:rPr>
                <w:rFonts w:ascii="Arial" w:hAnsi="Arial" w:cs="Arial"/>
                <w:sz w:val="20"/>
                <w:szCs w:val="20"/>
              </w:rPr>
              <w:t>Hradená liečba je časovo obmedzená na jeden cyklus liečby, ktorého dĺžka je maximálne 12 mesiacov.</w:t>
            </w:r>
          </w:p>
          <w:p w14:paraId="723B42B9" w14:textId="77777777" w:rsidR="00BD4717" w:rsidRDefault="00BD4717" w:rsidP="00BD4717">
            <w:pPr>
              <w:jc w:val="both"/>
              <w:rPr>
                <w:rFonts w:ascii="Arial" w:hAnsi="Arial" w:cs="Arial"/>
                <w:sz w:val="20"/>
                <w:szCs w:val="20"/>
              </w:rPr>
            </w:pPr>
            <w:r w:rsidRPr="0053738A">
              <w:rPr>
                <w:rFonts w:ascii="Arial" w:hAnsi="Arial" w:cs="Arial"/>
                <w:sz w:val="20"/>
                <w:szCs w:val="20"/>
              </w:rPr>
              <w:t>Podmienkou hradenej liečby je jej kontinuita a súčasné podávanie adekvátneho množstva vitamínu D a vápnika obvykle v dávke 1000 mg, pokiaľ u pacienta nie je hyperkalciémia.</w:t>
            </w:r>
          </w:p>
          <w:p w14:paraId="15B2E0DB" w14:textId="77777777" w:rsidR="00BD4717" w:rsidRDefault="00BD4717" w:rsidP="00BD4717">
            <w:pPr>
              <w:jc w:val="both"/>
              <w:rPr>
                <w:rFonts w:ascii="Arial" w:hAnsi="Arial" w:cs="Arial"/>
                <w:b/>
                <w:bCs/>
                <w:sz w:val="20"/>
                <w:szCs w:val="20"/>
              </w:rPr>
            </w:pPr>
          </w:p>
          <w:p w14:paraId="75D3D42E" w14:textId="77777777" w:rsidR="00E92B48" w:rsidRDefault="00E92B48" w:rsidP="00BD4717">
            <w:pPr>
              <w:jc w:val="both"/>
              <w:rPr>
                <w:rFonts w:ascii="Arial" w:hAnsi="Arial" w:cs="Arial"/>
                <w:b/>
                <w:bCs/>
                <w:sz w:val="20"/>
                <w:szCs w:val="20"/>
              </w:rPr>
            </w:pPr>
          </w:p>
          <w:p w14:paraId="75768904" w14:textId="77777777" w:rsidR="00E92B48" w:rsidRDefault="00E92B48" w:rsidP="00BD4717">
            <w:pPr>
              <w:jc w:val="both"/>
              <w:rPr>
                <w:rFonts w:ascii="Arial" w:hAnsi="Arial" w:cs="Arial"/>
                <w:b/>
                <w:bCs/>
                <w:sz w:val="20"/>
                <w:szCs w:val="20"/>
              </w:rPr>
            </w:pPr>
          </w:p>
          <w:p w14:paraId="6406B29D" w14:textId="77777777" w:rsidR="00E92B48" w:rsidRDefault="00E92B48" w:rsidP="00BD4717">
            <w:pPr>
              <w:jc w:val="both"/>
              <w:rPr>
                <w:rFonts w:ascii="Arial" w:hAnsi="Arial" w:cs="Arial"/>
                <w:b/>
                <w:bCs/>
                <w:sz w:val="20"/>
                <w:szCs w:val="20"/>
              </w:rPr>
            </w:pPr>
          </w:p>
          <w:p w14:paraId="667B9A75" w14:textId="1B29C095" w:rsidR="00E92B48" w:rsidRPr="0053738A" w:rsidRDefault="00E92B48" w:rsidP="00BD4717">
            <w:pPr>
              <w:jc w:val="both"/>
              <w:rPr>
                <w:rFonts w:ascii="Arial" w:hAnsi="Arial" w:cs="Arial"/>
                <w:b/>
                <w:bCs/>
                <w:sz w:val="20"/>
                <w:szCs w:val="20"/>
              </w:rPr>
            </w:pPr>
          </w:p>
        </w:tc>
      </w:tr>
      <w:tr w:rsidR="00BD4717" w:rsidRPr="0000591E" w14:paraId="6551158A" w14:textId="77777777" w:rsidTr="003B19B5">
        <w:trPr>
          <w:trHeight w:val="20"/>
        </w:trPr>
        <w:tc>
          <w:tcPr>
            <w:tcW w:w="1277" w:type="dxa"/>
            <w:tcBorders>
              <w:bottom w:val="single" w:sz="4" w:space="0" w:color="auto"/>
            </w:tcBorders>
            <w:noWrap/>
          </w:tcPr>
          <w:p w14:paraId="4D47622F" w14:textId="494B041A" w:rsidR="00BD4717" w:rsidRPr="0000591E" w:rsidRDefault="00BD4717" w:rsidP="00BD4717">
            <w:pPr>
              <w:jc w:val="both"/>
              <w:rPr>
                <w:rFonts w:ascii="Arial" w:hAnsi="Arial" w:cs="Arial"/>
                <w:b/>
                <w:bCs/>
                <w:sz w:val="20"/>
                <w:szCs w:val="20"/>
              </w:rPr>
            </w:pPr>
            <w:r w:rsidRPr="003B19B5">
              <w:rPr>
                <w:rFonts w:ascii="Arial" w:hAnsi="Arial" w:cs="Arial"/>
                <w:b/>
                <w:bCs/>
                <w:sz w:val="20"/>
                <w:szCs w:val="20"/>
              </w:rPr>
              <w:t>M05BX07</w:t>
            </w:r>
          </w:p>
        </w:tc>
        <w:tc>
          <w:tcPr>
            <w:tcW w:w="9355" w:type="dxa"/>
            <w:tcBorders>
              <w:bottom w:val="single" w:sz="4" w:space="0" w:color="auto"/>
            </w:tcBorders>
          </w:tcPr>
          <w:p w14:paraId="01F5CCD3" w14:textId="77777777" w:rsidR="00BD4717" w:rsidRDefault="00BD4717" w:rsidP="00BD4717">
            <w:pPr>
              <w:jc w:val="both"/>
              <w:rPr>
                <w:rFonts w:ascii="Arial" w:hAnsi="Arial" w:cs="Arial"/>
                <w:b/>
                <w:bCs/>
                <w:sz w:val="20"/>
                <w:szCs w:val="20"/>
              </w:rPr>
            </w:pPr>
            <w:r w:rsidRPr="003B19B5">
              <w:rPr>
                <w:rFonts w:ascii="Arial" w:hAnsi="Arial" w:cs="Arial"/>
                <w:b/>
                <w:bCs/>
                <w:sz w:val="20"/>
                <w:szCs w:val="20"/>
              </w:rPr>
              <w:t>Vozoritid</w:t>
            </w:r>
            <w:r>
              <w:rPr>
                <w:rFonts w:ascii="Arial" w:hAnsi="Arial" w:cs="Arial"/>
                <w:b/>
                <w:bCs/>
                <w:sz w:val="20"/>
                <w:szCs w:val="20"/>
              </w:rPr>
              <w:t xml:space="preserve"> </w:t>
            </w:r>
            <w:r w:rsidRPr="003B19B5">
              <w:rPr>
                <w:rFonts w:ascii="Arial" w:hAnsi="Arial" w:cs="Arial"/>
                <w:b/>
                <w:bCs/>
                <w:sz w:val="20"/>
                <w:szCs w:val="20"/>
              </w:rPr>
              <w:t>s.c. 0,4 mg</w:t>
            </w:r>
          </w:p>
          <w:p w14:paraId="324C8703" w14:textId="23387CCE" w:rsidR="00BD4717" w:rsidRDefault="00BD4717" w:rsidP="00BD4717">
            <w:pPr>
              <w:jc w:val="both"/>
              <w:rPr>
                <w:rFonts w:ascii="Arial" w:hAnsi="Arial" w:cs="Arial"/>
                <w:b/>
                <w:bCs/>
                <w:sz w:val="20"/>
                <w:szCs w:val="20"/>
              </w:rPr>
            </w:pPr>
            <w:r w:rsidRPr="003B19B5">
              <w:rPr>
                <w:rFonts w:ascii="Arial" w:hAnsi="Arial" w:cs="Arial"/>
                <w:b/>
                <w:bCs/>
                <w:sz w:val="20"/>
                <w:szCs w:val="20"/>
              </w:rPr>
              <w:t>Vozoritid</w:t>
            </w:r>
            <w:r>
              <w:rPr>
                <w:rFonts w:ascii="Arial" w:hAnsi="Arial" w:cs="Arial"/>
                <w:b/>
                <w:bCs/>
                <w:sz w:val="20"/>
                <w:szCs w:val="20"/>
              </w:rPr>
              <w:t xml:space="preserve"> s.c. 0,56</w:t>
            </w:r>
            <w:r w:rsidRPr="003B19B5">
              <w:rPr>
                <w:rFonts w:ascii="Arial" w:hAnsi="Arial" w:cs="Arial"/>
                <w:b/>
                <w:bCs/>
                <w:sz w:val="20"/>
                <w:szCs w:val="20"/>
              </w:rPr>
              <w:t xml:space="preserve"> mg</w:t>
            </w:r>
          </w:p>
          <w:p w14:paraId="468E8A01" w14:textId="78DA800A" w:rsidR="00BD4717" w:rsidRPr="0000591E" w:rsidRDefault="00BD4717" w:rsidP="00BD4717">
            <w:pPr>
              <w:jc w:val="both"/>
              <w:rPr>
                <w:rFonts w:ascii="Arial" w:hAnsi="Arial" w:cs="Arial"/>
                <w:b/>
                <w:bCs/>
                <w:sz w:val="20"/>
                <w:szCs w:val="20"/>
              </w:rPr>
            </w:pPr>
            <w:r w:rsidRPr="003B19B5">
              <w:rPr>
                <w:rFonts w:ascii="Arial" w:hAnsi="Arial" w:cs="Arial"/>
                <w:b/>
                <w:bCs/>
                <w:sz w:val="20"/>
                <w:szCs w:val="20"/>
              </w:rPr>
              <w:t>Vozoritid</w:t>
            </w:r>
            <w:r>
              <w:rPr>
                <w:rFonts w:ascii="Arial" w:hAnsi="Arial" w:cs="Arial"/>
                <w:b/>
                <w:bCs/>
                <w:sz w:val="20"/>
                <w:szCs w:val="20"/>
              </w:rPr>
              <w:t xml:space="preserve"> </w:t>
            </w:r>
            <w:r w:rsidRPr="003B19B5">
              <w:rPr>
                <w:rFonts w:ascii="Arial" w:hAnsi="Arial" w:cs="Arial"/>
                <w:b/>
                <w:bCs/>
                <w:sz w:val="20"/>
                <w:szCs w:val="20"/>
              </w:rPr>
              <w:t xml:space="preserve">s.c. </w:t>
            </w:r>
            <w:r>
              <w:rPr>
                <w:rFonts w:ascii="Arial" w:hAnsi="Arial" w:cs="Arial"/>
                <w:b/>
                <w:bCs/>
                <w:sz w:val="20"/>
                <w:szCs w:val="20"/>
              </w:rPr>
              <w:t>1</w:t>
            </w:r>
            <w:r w:rsidRPr="003B19B5">
              <w:rPr>
                <w:rFonts w:ascii="Arial" w:hAnsi="Arial" w:cs="Arial"/>
                <w:b/>
                <w:bCs/>
                <w:sz w:val="20"/>
                <w:szCs w:val="20"/>
              </w:rPr>
              <w:t>,</w:t>
            </w:r>
            <w:r>
              <w:rPr>
                <w:rFonts w:ascii="Arial" w:hAnsi="Arial" w:cs="Arial"/>
                <w:b/>
                <w:bCs/>
                <w:sz w:val="20"/>
                <w:szCs w:val="20"/>
              </w:rPr>
              <w:t>2</w:t>
            </w:r>
            <w:r w:rsidRPr="003B19B5">
              <w:rPr>
                <w:rFonts w:ascii="Arial" w:hAnsi="Arial" w:cs="Arial"/>
                <w:b/>
                <w:bCs/>
                <w:sz w:val="20"/>
                <w:szCs w:val="20"/>
              </w:rPr>
              <w:t xml:space="preserve"> mg</w:t>
            </w:r>
          </w:p>
        </w:tc>
      </w:tr>
      <w:tr w:rsidR="00BD4717" w:rsidRPr="0000591E" w14:paraId="3207E481" w14:textId="77777777" w:rsidTr="003B19B5">
        <w:trPr>
          <w:trHeight w:val="20"/>
        </w:trPr>
        <w:tc>
          <w:tcPr>
            <w:tcW w:w="1277" w:type="dxa"/>
            <w:tcBorders>
              <w:top w:val="single" w:sz="4" w:space="0" w:color="auto"/>
              <w:bottom w:val="single" w:sz="4" w:space="0" w:color="BFBFBF" w:themeColor="background1" w:themeShade="BF"/>
            </w:tcBorders>
            <w:noWrap/>
          </w:tcPr>
          <w:p w14:paraId="1BBBE370"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9F88296" w14:textId="77777777" w:rsidR="00BD4717" w:rsidRPr="003B19B5" w:rsidRDefault="00BD4717" w:rsidP="00BD4717">
            <w:pPr>
              <w:jc w:val="both"/>
              <w:rPr>
                <w:rFonts w:ascii="Arial" w:hAnsi="Arial" w:cs="Arial"/>
                <w:bCs/>
                <w:sz w:val="20"/>
                <w:szCs w:val="20"/>
              </w:rPr>
            </w:pPr>
            <w:r w:rsidRPr="003B19B5">
              <w:rPr>
                <w:rFonts w:ascii="Arial" w:hAnsi="Arial" w:cs="Arial"/>
                <w:bCs/>
                <w:sz w:val="20"/>
                <w:szCs w:val="20"/>
              </w:rPr>
              <w:t>Hradená liečba je indikovaná na liečbu achondroplázie u pacientov vo veku 6 mesiacov a starších, ktorých epifýzy nie sú uzavreté. Diagnóza achondroplázie má byť potvrdená vhodnými genetickými testami.</w:t>
            </w:r>
          </w:p>
          <w:p w14:paraId="406D8736" w14:textId="77777777" w:rsidR="00BD4717" w:rsidRDefault="00BD4717" w:rsidP="00BD4717">
            <w:pPr>
              <w:jc w:val="both"/>
              <w:rPr>
                <w:rFonts w:ascii="Arial" w:hAnsi="Arial" w:cs="Arial"/>
                <w:bCs/>
                <w:sz w:val="20"/>
                <w:szCs w:val="20"/>
              </w:rPr>
            </w:pPr>
            <w:r w:rsidRPr="003B19B5">
              <w:rPr>
                <w:rFonts w:ascii="Arial" w:hAnsi="Arial" w:cs="Arial"/>
                <w:bCs/>
                <w:sz w:val="20"/>
                <w:szCs w:val="20"/>
              </w:rPr>
              <w:t>Hradená liečba podlieha predchádzajúcemu súhlasu zdravotnej poisťovne.</w:t>
            </w:r>
          </w:p>
          <w:p w14:paraId="12110560" w14:textId="23CE67B6" w:rsidR="00BD4717" w:rsidRPr="003B19B5" w:rsidRDefault="00BD4717" w:rsidP="00BD4717">
            <w:pPr>
              <w:jc w:val="both"/>
              <w:rPr>
                <w:rFonts w:ascii="Arial" w:hAnsi="Arial" w:cs="Arial"/>
                <w:bCs/>
                <w:sz w:val="20"/>
                <w:szCs w:val="20"/>
              </w:rPr>
            </w:pPr>
          </w:p>
        </w:tc>
      </w:tr>
      <w:tr w:rsidR="00BD4717" w:rsidRPr="0000591E" w14:paraId="718180F3" w14:textId="77777777" w:rsidTr="003B19B5">
        <w:trPr>
          <w:trHeight w:val="20"/>
        </w:trPr>
        <w:tc>
          <w:tcPr>
            <w:tcW w:w="1277" w:type="dxa"/>
            <w:tcBorders>
              <w:bottom w:val="single" w:sz="4" w:space="0" w:color="auto"/>
            </w:tcBorders>
            <w:noWrap/>
          </w:tcPr>
          <w:p w14:paraId="172DF178"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M09AX01</w:t>
            </w:r>
          </w:p>
        </w:tc>
        <w:tc>
          <w:tcPr>
            <w:tcW w:w="9355" w:type="dxa"/>
            <w:tcBorders>
              <w:bottom w:val="single" w:sz="4" w:space="0" w:color="auto"/>
            </w:tcBorders>
          </w:tcPr>
          <w:p w14:paraId="589544E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 xml:space="preserve">Kyselina hyalurónová parent. </w:t>
            </w:r>
            <w:r>
              <w:rPr>
                <w:rFonts w:ascii="Arial" w:hAnsi="Arial" w:cs="Arial"/>
                <w:b/>
                <w:bCs/>
                <w:sz w:val="20"/>
                <w:szCs w:val="20"/>
              </w:rPr>
              <w:t xml:space="preserve">20 mg </w:t>
            </w:r>
          </w:p>
        </w:tc>
      </w:tr>
      <w:tr w:rsidR="00BD4717" w:rsidRPr="0000591E" w14:paraId="3692352E" w14:textId="77777777" w:rsidTr="00DA5098">
        <w:trPr>
          <w:trHeight w:val="20"/>
        </w:trPr>
        <w:tc>
          <w:tcPr>
            <w:tcW w:w="1277" w:type="dxa"/>
            <w:tcBorders>
              <w:top w:val="single" w:sz="4" w:space="0" w:color="auto"/>
              <w:bottom w:val="single" w:sz="4" w:space="0" w:color="BFBFBF" w:themeColor="background1" w:themeShade="BF"/>
            </w:tcBorders>
            <w:noWrap/>
          </w:tcPr>
          <w:p w14:paraId="103CD01C" w14:textId="77777777" w:rsidR="00BD4717" w:rsidRPr="00995AA4"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tcPr>
          <w:p w14:paraId="08086FF5"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Hradená liečba sa môže indikovať intraartikulárne pri</w:t>
            </w:r>
          </w:p>
          <w:p w14:paraId="46BBBCCE" w14:textId="77777777" w:rsidR="00BD4717" w:rsidRPr="0000591E" w:rsidRDefault="00BD4717">
            <w:pPr>
              <w:numPr>
                <w:ilvl w:val="0"/>
                <w:numId w:val="39"/>
              </w:numPr>
              <w:jc w:val="both"/>
              <w:rPr>
                <w:rFonts w:ascii="Arial" w:hAnsi="Arial" w:cs="Arial"/>
                <w:sz w:val="20"/>
                <w:szCs w:val="20"/>
                <w:lang w:eastAsia="cs-CZ"/>
              </w:rPr>
            </w:pPr>
            <w:r w:rsidRPr="0000591E">
              <w:rPr>
                <w:rFonts w:ascii="Arial" w:hAnsi="Arial" w:cs="Arial"/>
                <w:sz w:val="20"/>
                <w:szCs w:val="20"/>
              </w:rPr>
              <w:t>poškodení kostnej chrupky (chondropatia I – III), verifikovanej klinicky, röntgenologicky, artroskopicky, MRI a CT vyšetrením,</w:t>
            </w:r>
          </w:p>
          <w:p w14:paraId="2B470A85" w14:textId="77777777" w:rsidR="00BD4717" w:rsidRPr="00485804" w:rsidRDefault="00BD4717">
            <w:pPr>
              <w:numPr>
                <w:ilvl w:val="0"/>
                <w:numId w:val="39"/>
              </w:numPr>
              <w:jc w:val="both"/>
              <w:rPr>
                <w:rFonts w:ascii="Arial" w:hAnsi="Arial" w:cs="Arial"/>
                <w:sz w:val="20"/>
                <w:szCs w:val="20"/>
                <w:lang w:eastAsia="cs-CZ"/>
              </w:rPr>
            </w:pPr>
            <w:r w:rsidRPr="0000591E">
              <w:rPr>
                <w:rFonts w:ascii="Arial" w:hAnsi="Arial" w:cs="Arial"/>
                <w:sz w:val="20"/>
                <w:szCs w:val="20"/>
              </w:rPr>
              <w:t>primárnej a sekundárnej osteoartróze periférnych, najmä váhonosných kĺbov, predovšetkým pri gonartróze v I. až III. Štádia, verifikovanej röntgenológie, ak nejde o pacientov s osteonekrózou a so závažným infekčným ochorením.</w:t>
            </w:r>
          </w:p>
          <w:p w14:paraId="5F6B686E" w14:textId="77777777" w:rsidR="00BD4717" w:rsidRPr="0000591E" w:rsidRDefault="00BD4717" w:rsidP="00BD4717">
            <w:pPr>
              <w:jc w:val="both"/>
              <w:rPr>
                <w:rFonts w:ascii="Arial" w:hAnsi="Arial" w:cs="Arial"/>
                <w:sz w:val="20"/>
                <w:szCs w:val="20"/>
                <w:lang w:eastAsia="cs-CZ"/>
              </w:rPr>
            </w:pPr>
          </w:p>
        </w:tc>
      </w:tr>
      <w:tr w:rsidR="00BD4717" w:rsidRPr="0000591E" w14:paraId="766FEBFE" w14:textId="77777777" w:rsidTr="00DA5098">
        <w:trPr>
          <w:trHeight w:val="20"/>
        </w:trPr>
        <w:tc>
          <w:tcPr>
            <w:tcW w:w="1277" w:type="dxa"/>
            <w:tcBorders>
              <w:bottom w:val="single" w:sz="4" w:space="0" w:color="auto"/>
            </w:tcBorders>
            <w:noWrap/>
          </w:tcPr>
          <w:p w14:paraId="06B7F401" w14:textId="77777777" w:rsidR="00BD4717" w:rsidRPr="00485804" w:rsidRDefault="00BD4717" w:rsidP="00BD4717">
            <w:pPr>
              <w:jc w:val="both"/>
              <w:rPr>
                <w:rFonts w:ascii="Arial" w:hAnsi="Arial" w:cs="Arial"/>
                <w:b/>
                <w:bCs/>
                <w:sz w:val="20"/>
                <w:szCs w:val="20"/>
                <w:lang w:eastAsia="cs-CZ"/>
              </w:rPr>
            </w:pPr>
            <w:r w:rsidRPr="00485804">
              <w:rPr>
                <w:rFonts w:ascii="Arial" w:hAnsi="Arial" w:cs="Arial"/>
                <w:b/>
                <w:bCs/>
                <w:sz w:val="20"/>
                <w:szCs w:val="20"/>
              </w:rPr>
              <w:t>M09AX07</w:t>
            </w:r>
          </w:p>
        </w:tc>
        <w:tc>
          <w:tcPr>
            <w:tcW w:w="9355" w:type="dxa"/>
            <w:tcBorders>
              <w:bottom w:val="single" w:sz="4" w:space="0" w:color="auto"/>
            </w:tcBorders>
          </w:tcPr>
          <w:p w14:paraId="5A186F3A"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t>Nusinersen parent. 12 mg</w:t>
            </w:r>
          </w:p>
        </w:tc>
      </w:tr>
      <w:tr w:rsidR="00BD4717" w:rsidRPr="0000591E" w14:paraId="1F5FF2F4" w14:textId="77777777" w:rsidTr="00DA5098">
        <w:trPr>
          <w:trHeight w:val="20"/>
        </w:trPr>
        <w:tc>
          <w:tcPr>
            <w:tcW w:w="1277" w:type="dxa"/>
            <w:tcBorders>
              <w:top w:val="single" w:sz="4" w:space="0" w:color="auto"/>
              <w:bottom w:val="single" w:sz="4" w:space="0" w:color="BFBFBF" w:themeColor="background1" w:themeShade="BF"/>
            </w:tcBorders>
            <w:noWrap/>
          </w:tcPr>
          <w:p w14:paraId="3EBD6D01"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40B916A"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Hradenú liečbu môže indikovať neurológ: </w:t>
            </w:r>
          </w:p>
          <w:p w14:paraId="4AD63F03"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a) u symptomatických pacientov s SMA typ I, kde bol výskyt prvých príznakov do 6. mesiaca veku a je geneticky potvrdená diagnóza 5q SMA (homozygotná delécia či heterozygotná delécia alebo bodová mutácia génu SMN1) s prítomnosťou najmenej 2 kópii SMN 2 génu, pričom pacient nemá symptómy SMA v 1. týždni veku (klasifikované ako SMA typ 0) a pacient nie je respiračne deprivovaný viac ako 16 hod počas dňa, viac ako 21 po sebe nasledujúcich dní bez prítomnosti simultánnej infekcie. </w:t>
            </w:r>
          </w:p>
          <w:p w14:paraId="183C3613"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Ďalšia liečba nie je hradenou liečbou, ak je zistené aspoň jedno z týchto kritérií: </w:t>
            </w:r>
          </w:p>
          <w:p w14:paraId="58F34487"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1.ak po 5. dávke, medzi 8. a 9. mesiacom liečby sa nepreukáže klinické zlepšenie alebo stabilizácia ochorenia v CHOP INTEND alebo HINE alebo HFMSE alebo RULM alebo 6MWT, kde výber vhodnej škály je podľa veku a stavu pacienta v porovnaní so stavom pred liečbou. </w:t>
            </w:r>
          </w:p>
          <w:p w14:paraId="0798CFC7"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2.ak je pacient respiračne deprivovaný viac ako 16 hodín počas dňa a viac ako 21 po sebe nasledujúcich dni je bez prítomnosti simultánnej infekcie. </w:t>
            </w:r>
          </w:p>
          <w:p w14:paraId="0C67CBE1"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3.v prípadoch atypickej rýchlej progresie ochorenia alebo v prípade nespolupracujúcej rodiny </w:t>
            </w:r>
          </w:p>
          <w:p w14:paraId="05052E44"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b) u symptomatických pacientov s SMA typ II, kde bol výskyt prvých príznakov do 18. mesiaca veku a kde je geneticky potvrdená diagnóza 5q SMA (homozygotná delécia či heterozygotná delécia alebo bodová mutácia génu SMN1) s prítomnosťou najmenej 3 kópii SMN 2 génu a pacient nie je respiračne deprivovaný viac ako 16 hod počas dňa, viac ako 21 po sebe nasledujúcich dní bez prítomnosti simultánnej infekcie </w:t>
            </w:r>
          </w:p>
          <w:p w14:paraId="32CC8AAB"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Ďalšia liečba nie je hradenou liečbou, ak je zistené aspoň jedno z týchto kritérií: </w:t>
            </w:r>
          </w:p>
          <w:p w14:paraId="6BF0A327"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1.ak sa u pacientov po 12 mesiacoch liečby ak sa nepreukáže klinické zlepšenie alebo stabilizácia ochorenia v CHOP INTEND alebo HINE alebo HFMSE alebo RULM alebo 6MWT, kde výber vhodnej škály je podľa veku a stavu pacienta v porovnaní so stavom pred liečbou</w:t>
            </w:r>
          </w:p>
          <w:p w14:paraId="09AFF1A1"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2.ak je pacient respiračne deprivovaný viac ako 16 hodín počas dňa a viac ako 21 po sebe nasledujúcich dni je bez prítomnosti simultánnej infekcie </w:t>
            </w:r>
          </w:p>
          <w:p w14:paraId="3DD554AD"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3.v prípadoch atypickej rýchlej progresie ochorenia alebo v prípade nespolupracujúcej rodiny </w:t>
            </w:r>
          </w:p>
          <w:p w14:paraId="3C1E4A9D"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c) u symptomatických pacientov s SMA typ IIIa, typ IIIb, u ktorých je geneticky potvrdená diagnóza 5q SMA (homozygotná delécia či heterozygotná delécia alebo bodová mutácia génu SMN1) s prítomnosťou najmenej 3 kópii SMN 2 génu a pacient nie je respiračne deprivovaný viac ako 16 hod počas dňa, viac ako 21 po sebe nasledujúcich dní bez prítomnosti simultánnej infekcie. </w:t>
            </w:r>
          </w:p>
          <w:p w14:paraId="712133BC"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Ďalšia liečba nie je hradenou liečbou, ak je zistené aspoň jedno z týchto kritérií: </w:t>
            </w:r>
          </w:p>
          <w:p w14:paraId="21CAB72C"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1.ak sa u pacientov po 12 mesiacoch liečby nepreukáže klinické zlepšenie alebo stabilizácia ochorenia v CHOP INTEND alebo HINE alebo HFMSE alebo RULM alebo 6MWT, kde výber vhodnej škály je podľa veku a stavu pacienta v porovnaní so stavom pred liečbou </w:t>
            </w:r>
          </w:p>
          <w:p w14:paraId="78E1E0D5"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2.ak je pacient respiračne deprivovaný viac ako 16 hodín počas dňa a viac ako 21 po sebe nasledujúcich dni je bez prítomnosti simultánnej infekcie </w:t>
            </w:r>
          </w:p>
          <w:p w14:paraId="0C7B4105"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3.v prípadoch atypickej rýchlej progresie ochorenia alebo v prípade nespolupracujúcej rodiny </w:t>
            </w:r>
          </w:p>
          <w:p w14:paraId="6F7A172F"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sidRPr="003D606B">
              <w:rPr>
                <w:rFonts w:ascii="Arial" w:hAnsi="Arial"/>
                <w:color w:val="000000"/>
                <w:sz w:val="20"/>
                <w:u w:color="000000"/>
              </w:rPr>
              <w:t xml:space="preserve">d) asymptomatických pacientov s SMA kde je geneticky potvrdená diagnóza 5q SMA (homozygotná delécia či heterozygotná delécia alebo bodová mutácia génu SMN1) s prítomnosťou najmenej 2 alebo 3 kópií SMN 2 génu. </w:t>
            </w:r>
          </w:p>
          <w:p w14:paraId="39D85305"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9417EC">
              <w:rPr>
                <w:rFonts w:ascii="Arial" w:hAnsi="Arial"/>
                <w:color w:val="000000"/>
                <w:sz w:val="20"/>
                <w:u w:color="000000"/>
              </w:rPr>
              <w:t>U pacientov s 5q SMA s bialelickou mutáciou v géne SNM1 a až do 3 kópií génu SNM2</w:t>
            </w:r>
            <w:r>
              <w:rPr>
                <w:rFonts w:ascii="Arial" w:hAnsi="Arial"/>
                <w:color w:val="000000"/>
                <w:sz w:val="20"/>
                <w:u w:color="000000"/>
              </w:rPr>
              <w:t xml:space="preserve"> </w:t>
            </w:r>
            <w:r w:rsidRPr="009417EC">
              <w:rPr>
                <w:rFonts w:ascii="Arial" w:hAnsi="Arial"/>
                <w:color w:val="000000"/>
                <w:sz w:val="20"/>
                <w:u w:color="000000"/>
              </w:rPr>
              <w:t>diagnostikovaných ako presymptomatických (pacient s 5q SMA s bialelickou mutáciou v</w:t>
            </w:r>
            <w:r>
              <w:rPr>
                <w:rFonts w:ascii="Arial" w:hAnsi="Arial"/>
                <w:color w:val="000000"/>
                <w:sz w:val="20"/>
                <w:u w:color="000000"/>
              </w:rPr>
              <w:t xml:space="preserve"> </w:t>
            </w:r>
            <w:r w:rsidRPr="009417EC">
              <w:rPr>
                <w:rFonts w:ascii="Arial" w:hAnsi="Arial"/>
                <w:color w:val="000000"/>
                <w:sz w:val="20"/>
                <w:u w:color="000000"/>
              </w:rPr>
              <w:t>géne SNM1 a až do 3 kópií génu SNM2 je v čase stanovenia diagnózy bez príznakov</w:t>
            </w:r>
            <w:r>
              <w:rPr>
                <w:rFonts w:ascii="Arial" w:hAnsi="Arial"/>
                <w:color w:val="000000"/>
                <w:sz w:val="20"/>
                <w:u w:color="000000"/>
              </w:rPr>
              <w:t xml:space="preserve"> </w:t>
            </w:r>
            <w:r w:rsidRPr="009417EC">
              <w:rPr>
                <w:rFonts w:ascii="Arial" w:hAnsi="Arial"/>
                <w:color w:val="000000"/>
                <w:sz w:val="20"/>
                <w:u w:color="000000"/>
              </w:rPr>
              <w:t>ochorenia) liečených onasemnogén abeparvovek nie je hradená ďalšia liečba ovplyvňujúca</w:t>
            </w:r>
            <w:r>
              <w:rPr>
                <w:rFonts w:ascii="Arial" w:hAnsi="Arial"/>
                <w:color w:val="000000"/>
                <w:sz w:val="20"/>
                <w:u w:color="000000"/>
              </w:rPr>
              <w:t xml:space="preserve"> </w:t>
            </w:r>
            <w:r w:rsidRPr="009417EC">
              <w:rPr>
                <w:rFonts w:ascii="Arial" w:hAnsi="Arial"/>
                <w:color w:val="000000"/>
                <w:sz w:val="20"/>
                <w:u w:color="000000"/>
              </w:rPr>
              <w:t>produkciu SMN proteínu na genetickej úrovni</w:t>
            </w:r>
            <w:r>
              <w:rPr>
                <w:rFonts w:ascii="Arial" w:hAnsi="Arial"/>
                <w:color w:val="000000"/>
                <w:sz w:val="20"/>
                <w:u w:color="000000"/>
              </w:rPr>
              <w:t>.</w:t>
            </w:r>
          </w:p>
          <w:p w14:paraId="3AF5C4DA" w14:textId="77777777" w:rsidR="00BD4717" w:rsidRDefault="00BD4717" w:rsidP="00BD4717">
            <w:pPr>
              <w:jc w:val="both"/>
              <w:rPr>
                <w:rFonts w:ascii="Calibri" w:hAnsi="Calibri"/>
                <w:color w:val="000000"/>
                <w:sz w:val="20"/>
                <w:u w:color="000000"/>
              </w:rPr>
            </w:pPr>
            <w:r w:rsidRPr="003D606B">
              <w:rPr>
                <w:rFonts w:ascii="Arial" w:hAnsi="Arial"/>
                <w:color w:val="000000"/>
                <w:sz w:val="20"/>
                <w:u w:color="000000"/>
              </w:rPr>
              <w:t xml:space="preserve">Ďalšia liečba nie je hradená len v prípadoch atypickej rýchlej progresie ochorenia alebo v prípade nespolupracujúcej rodiny. </w:t>
            </w:r>
          </w:p>
          <w:p w14:paraId="018DB777" w14:textId="77777777" w:rsidR="00BD4717" w:rsidRPr="003D606B" w:rsidRDefault="00BD4717" w:rsidP="00BD4717">
            <w:pPr>
              <w:jc w:val="both"/>
              <w:rPr>
                <w:rFonts w:ascii="Calibri" w:hAnsi="Calibri"/>
                <w:color w:val="000000"/>
                <w:sz w:val="20"/>
                <w:u w:color="000000"/>
              </w:rPr>
            </w:pPr>
            <w:r w:rsidRPr="003D606B">
              <w:rPr>
                <w:rFonts w:ascii="Arial" w:hAnsi="Arial"/>
                <w:color w:val="000000"/>
                <w:sz w:val="20"/>
                <w:u w:color="000000"/>
              </w:rPr>
              <w:t xml:space="preserve">Hradená liečba sa môže indikovať na Klinike detskej neurológie LF UK a Národného ústavu detských chorôb v Bratislave, na II. Detskej klinike SZU v Detskej fakultnej nemocnici v Banskej Bystrici a Oddelení detskej neurológie Detskej Fakultnej Nemocnice Košice, na II. Neurologickej klinike Lekárskej fakulty Univerzity Komenského a Univerzitnej nemocnice v Bratislave, na II. Neurologickej klinike SZU Fakultnej nemocnice s poliklinikou F. D. Roosvelta Banská Bystrica a na Neurologickej klinike Univerzitnej nemocnice L. Pasteura Košice. </w:t>
            </w:r>
          </w:p>
          <w:p w14:paraId="34C402A9" w14:textId="77777777" w:rsidR="00BD4717" w:rsidRPr="003D606B" w:rsidRDefault="00BD4717" w:rsidP="00BD4717">
            <w:pPr>
              <w:autoSpaceDE w:val="0"/>
              <w:autoSpaceDN w:val="0"/>
              <w:adjustRightInd w:val="0"/>
              <w:spacing w:before="100" w:beforeAutospacing="1" w:after="100" w:afterAutospacing="1" w:line="276" w:lineRule="auto"/>
              <w:jc w:val="both"/>
              <w:rPr>
                <w:rFonts w:ascii="Calibri" w:hAnsi="Calibri"/>
                <w:color w:val="000000"/>
                <w:sz w:val="20"/>
                <w:u w:color="000000"/>
              </w:rPr>
            </w:pPr>
            <w:r w:rsidRPr="003D606B">
              <w:rPr>
                <w:rFonts w:ascii="Arial" w:hAnsi="Arial"/>
                <w:color w:val="000000"/>
                <w:sz w:val="20"/>
                <w:u w:color="000000"/>
              </w:rPr>
              <w:t>Hradená liečba sa môže aplikovať na Klinike detskej neurológie LF UK a Národného ústavu detských chorôb v Bratislave, na II. Detskej klinike SZU v Detskej fakultnej nemocnici v Banskej Bystrici, na Oddelení detskej neurológie Detskej Fakultnej Nemocnice Košice a na II. neurologickej klinike Lekárskej fakulty Univerzity Komenského a Univerzitnej nemocnice v Bratislave, na II. Neurologickej klinike Lekárskej fakulty Univerzity Komenského a Univerzitnej nemocnice v Bratislave, na II. Neurologickej klinike SZU Fakultnej nemocnice s poliklinikou F. D. Roosvelta Banská Bystrica a na Neurologickej klinike Univerzitnej nemocnice L. Pasteura Košice.</w:t>
            </w:r>
          </w:p>
          <w:p w14:paraId="1D674F75" w14:textId="29FB9BD2" w:rsidR="00BD4717" w:rsidRPr="006C3D18" w:rsidRDefault="00BD4717" w:rsidP="00BD4717">
            <w:pPr>
              <w:autoSpaceDE w:val="0"/>
              <w:autoSpaceDN w:val="0"/>
              <w:adjustRightInd w:val="0"/>
              <w:spacing w:after="180" w:line="244" w:lineRule="auto"/>
              <w:jc w:val="both"/>
              <w:rPr>
                <w:rFonts w:ascii="Arial" w:hAnsi="Arial"/>
                <w:color w:val="000000"/>
                <w:sz w:val="20"/>
                <w:u w:color="000000"/>
              </w:rPr>
            </w:pPr>
            <w:r w:rsidRPr="003D606B">
              <w:rPr>
                <w:rFonts w:ascii="Arial" w:hAnsi="Arial"/>
                <w:color w:val="000000"/>
                <w:sz w:val="20"/>
                <w:u w:color="000000"/>
              </w:rPr>
              <w:t>Hradená liečba podlieha predchádzajúcemu súhlasu zdravotnej poisťovne.</w:t>
            </w:r>
          </w:p>
        </w:tc>
      </w:tr>
      <w:tr w:rsidR="00BD4717" w:rsidRPr="0000591E" w14:paraId="604173EB" w14:textId="77777777" w:rsidTr="00DA5098">
        <w:trPr>
          <w:trHeight w:val="20"/>
        </w:trPr>
        <w:tc>
          <w:tcPr>
            <w:tcW w:w="1277" w:type="dxa"/>
            <w:tcBorders>
              <w:bottom w:val="single" w:sz="4" w:space="0" w:color="auto"/>
            </w:tcBorders>
            <w:noWrap/>
          </w:tcPr>
          <w:p w14:paraId="2A21F374"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t>M09AX10</w:t>
            </w:r>
          </w:p>
        </w:tc>
        <w:tc>
          <w:tcPr>
            <w:tcW w:w="9355" w:type="dxa"/>
            <w:tcBorders>
              <w:bottom w:val="single" w:sz="4" w:space="0" w:color="auto"/>
            </w:tcBorders>
            <w:noWrap/>
          </w:tcPr>
          <w:p w14:paraId="73856A07"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t>Risdiplam p.o. 60 mg</w:t>
            </w:r>
          </w:p>
        </w:tc>
      </w:tr>
      <w:tr w:rsidR="00BD4717" w:rsidRPr="0000591E" w14:paraId="63DD19F3" w14:textId="77777777" w:rsidTr="00DA5098">
        <w:trPr>
          <w:trHeight w:val="20"/>
        </w:trPr>
        <w:tc>
          <w:tcPr>
            <w:tcW w:w="1277" w:type="dxa"/>
            <w:tcBorders>
              <w:top w:val="single" w:sz="4" w:space="0" w:color="auto"/>
              <w:bottom w:val="single" w:sz="4" w:space="0" w:color="BFBFBF" w:themeColor="background1" w:themeShade="BF"/>
            </w:tcBorders>
            <w:noWrap/>
          </w:tcPr>
          <w:p w14:paraId="4A08F56F"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4BC6EDA"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Hradenú liečbu môže indikovať neurológ u pacientov s geneticky potvrdenou diagnózou 5q spinálnej svalovej atrofie (SMA) vo veku 2 mesiacov a starších, s klinickou diagnózou SMA typu 1, typu 2 alebo typu 3 alebo s jednou až štyrmi kópiami génu SMN2.</w:t>
            </w:r>
          </w:p>
          <w:p w14:paraId="5BF57EA1"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Liečba nie je hradená u pacientov s klinickou diagnózou SMA typu 4.</w:t>
            </w:r>
          </w:p>
          <w:p w14:paraId="7407D3BB"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Pred začatím hradenej liečby je nutné vykonať hodnotenie pacienta použitím škály, ktorá je vhodná podľa veku a schopností pacienta a to CHOP INTEND alebo HINE alebo HFMSE alebo MFM32 alebo 6MWT.</w:t>
            </w:r>
          </w:p>
          <w:p w14:paraId="6B52A6B1"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Ďalšia liečba nie je hradenou liečbou, ak je zistené aspoň jedno z nasledujúcich kritérií:</w:t>
            </w:r>
          </w:p>
          <w:p w14:paraId="5CD1B495" w14:textId="77777777" w:rsidR="00BD4717" w:rsidRPr="00C8149D" w:rsidRDefault="00BD4717">
            <w:pPr>
              <w:numPr>
                <w:ilvl w:val="0"/>
                <w:numId w:val="119"/>
              </w:num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po 12 mesiacoch liečby nie je preukázané klinické zlepšenie alebo stabilizácia ochorenia hodnotené podľa veku a schopností pacienta CHOP INTEND alebo HFMSE alebo MFM32 alebo 6MWT, v porovnaní so stavom pred začatím liečby.</w:t>
            </w:r>
          </w:p>
          <w:p w14:paraId="7409A1B3" w14:textId="77777777" w:rsidR="00BD4717" w:rsidRPr="00C8149D" w:rsidRDefault="00BD4717">
            <w:pPr>
              <w:numPr>
                <w:ilvl w:val="0"/>
                <w:numId w:val="119"/>
              </w:num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ak je pacient respiračne deprivovaný viac ako 16 hodín počas dňa, viac ako 21 po sebe nasledujúcich dní bez prítomnosti simultánnej infekcie</w:t>
            </w:r>
          </w:p>
          <w:p w14:paraId="308D4D9C" w14:textId="77777777" w:rsidR="00BD4717" w:rsidRDefault="00BD4717">
            <w:pPr>
              <w:numPr>
                <w:ilvl w:val="0"/>
                <w:numId w:val="119"/>
              </w:num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v prípade nespolupracujúcej rodiny.</w:t>
            </w:r>
          </w:p>
          <w:p w14:paraId="3868A007" w14:textId="5A94DAFC" w:rsidR="00BD4717" w:rsidRPr="00C8149D" w:rsidRDefault="00BD4717" w:rsidP="00BD4717">
            <w:pPr>
              <w:autoSpaceDE w:val="0"/>
              <w:autoSpaceDN w:val="0"/>
              <w:adjustRightInd w:val="0"/>
              <w:jc w:val="both"/>
              <w:rPr>
                <w:rFonts w:ascii="Arial" w:hAnsi="Arial"/>
                <w:color w:val="000000"/>
                <w:sz w:val="20"/>
                <w:u w:color="000000"/>
              </w:rPr>
            </w:pPr>
            <w:r w:rsidRPr="009417EC">
              <w:rPr>
                <w:rFonts w:ascii="Arial" w:hAnsi="Arial"/>
                <w:color w:val="000000"/>
                <w:sz w:val="20"/>
                <w:u w:color="000000"/>
              </w:rPr>
              <w:t>U pacientov s 5q SMA s bialelickou mutáciou v géne SNM1 a až do 3 kópií génu SNM2</w:t>
            </w:r>
            <w:r>
              <w:rPr>
                <w:rFonts w:ascii="Arial" w:hAnsi="Arial"/>
                <w:color w:val="000000"/>
                <w:sz w:val="20"/>
                <w:u w:color="000000"/>
              </w:rPr>
              <w:t xml:space="preserve"> </w:t>
            </w:r>
            <w:r w:rsidRPr="009417EC">
              <w:rPr>
                <w:rFonts w:ascii="Arial" w:hAnsi="Arial"/>
                <w:color w:val="000000"/>
                <w:sz w:val="20"/>
                <w:u w:color="000000"/>
              </w:rPr>
              <w:t>diagnostikovaných ako presymptomatických (pacient s 5q SMA s bialelickou mutáciou v</w:t>
            </w:r>
            <w:r>
              <w:rPr>
                <w:rFonts w:ascii="Arial" w:hAnsi="Arial"/>
                <w:color w:val="000000"/>
                <w:sz w:val="20"/>
                <w:u w:color="000000"/>
              </w:rPr>
              <w:t xml:space="preserve"> </w:t>
            </w:r>
            <w:r w:rsidRPr="009417EC">
              <w:rPr>
                <w:rFonts w:ascii="Arial" w:hAnsi="Arial"/>
                <w:color w:val="000000"/>
                <w:sz w:val="20"/>
                <w:u w:color="000000"/>
              </w:rPr>
              <w:t>géne SNM1 a až do 3 kópií génu SNM2 je v čase stanovenia diagnózy bez príznakov</w:t>
            </w:r>
            <w:r>
              <w:rPr>
                <w:rFonts w:ascii="Arial" w:hAnsi="Arial"/>
                <w:color w:val="000000"/>
                <w:sz w:val="20"/>
                <w:u w:color="000000"/>
              </w:rPr>
              <w:t xml:space="preserve"> </w:t>
            </w:r>
            <w:r w:rsidRPr="009417EC">
              <w:rPr>
                <w:rFonts w:ascii="Arial" w:hAnsi="Arial"/>
                <w:color w:val="000000"/>
                <w:sz w:val="20"/>
                <w:u w:color="000000"/>
              </w:rPr>
              <w:t>ochorenia) liečených onasemnogén abeparvovek nie je hradená ďalšia liečba ovplyvňujúca</w:t>
            </w:r>
            <w:r>
              <w:rPr>
                <w:rFonts w:ascii="Arial" w:hAnsi="Arial"/>
                <w:color w:val="000000"/>
                <w:sz w:val="20"/>
                <w:u w:color="000000"/>
              </w:rPr>
              <w:t xml:space="preserve"> </w:t>
            </w:r>
            <w:r w:rsidRPr="009417EC">
              <w:rPr>
                <w:rFonts w:ascii="Arial" w:hAnsi="Arial"/>
                <w:color w:val="000000"/>
                <w:sz w:val="20"/>
                <w:u w:color="000000"/>
              </w:rPr>
              <w:t>produkciu SMN proteínu na genetickej úrovni.</w:t>
            </w:r>
            <w:r w:rsidRPr="009417EC">
              <w:rPr>
                <w:rFonts w:ascii="Arial" w:hAnsi="Arial"/>
                <w:color w:val="000000"/>
                <w:sz w:val="20"/>
                <w:u w:color="000000"/>
              </w:rPr>
              <w:cr/>
            </w:r>
            <w:r w:rsidRPr="00C8149D">
              <w:rPr>
                <w:rFonts w:ascii="Arial" w:hAnsi="Arial"/>
                <w:color w:val="000000"/>
                <w:sz w:val="20"/>
                <w:u w:color="000000"/>
              </w:rPr>
              <w:t>Hradená liečba sa môže indikovať na Klinike detskej neurológie LF UK a Národného ústavu detských chorôb v Bratislave, na II. Detskej klinike SZU v Detskej fakultnej nemocnici v Banskej Bystrici, na Oddelení detskej neurológie Detskej Fakultnej Nemocnice Košice, na II. Neurologickej klinike Lekárskej fakulty Univerzity Komenského a Univerzitnej nemocnice v Bratislave, na II. Neurologickej klinike SZU Fakultnej nemocnice s poliklinikou F. D. Roosvelta Banská Bystrica a na Neurologickej klinike Univerzitnej nemocnice L. Pasteura Košice.</w:t>
            </w:r>
          </w:p>
          <w:p w14:paraId="20CFEDA8" w14:textId="77777777" w:rsidR="00BD4717" w:rsidRPr="00420EE2"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Hradená liečba podlieha predchádzajúcemu súhlasu zdravotnej poisťovne.</w:t>
            </w:r>
          </w:p>
        </w:tc>
      </w:tr>
      <w:tr w:rsidR="00BD4717" w:rsidRPr="0000591E" w14:paraId="3EA552F0" w14:textId="77777777" w:rsidTr="00DA5098">
        <w:trPr>
          <w:trHeight w:val="20"/>
        </w:trPr>
        <w:tc>
          <w:tcPr>
            <w:tcW w:w="1277" w:type="dxa"/>
            <w:tcBorders>
              <w:bottom w:val="single" w:sz="4" w:space="0" w:color="auto"/>
            </w:tcBorders>
            <w:noWrap/>
          </w:tcPr>
          <w:p w14:paraId="343969E7"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N01AB08</w:t>
            </w:r>
          </w:p>
        </w:tc>
        <w:tc>
          <w:tcPr>
            <w:tcW w:w="9355" w:type="dxa"/>
            <w:tcBorders>
              <w:bottom w:val="single" w:sz="4" w:space="0" w:color="auto"/>
            </w:tcBorders>
            <w:noWrap/>
          </w:tcPr>
          <w:p w14:paraId="19A0889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Sevofluran inhal. 100%</w:t>
            </w:r>
          </w:p>
        </w:tc>
      </w:tr>
      <w:tr w:rsidR="00BD4717" w:rsidRPr="0000591E" w14:paraId="44933EC6" w14:textId="77777777" w:rsidTr="00DA5098">
        <w:trPr>
          <w:trHeight w:val="20"/>
        </w:trPr>
        <w:tc>
          <w:tcPr>
            <w:tcW w:w="1277" w:type="dxa"/>
            <w:tcBorders>
              <w:top w:val="single" w:sz="4" w:space="0" w:color="auto"/>
              <w:bottom w:val="single" w:sz="4" w:space="0" w:color="BFBFBF" w:themeColor="background1" w:themeShade="BF"/>
            </w:tcBorders>
            <w:noWrap/>
          </w:tcPr>
          <w:p w14:paraId="676B969B"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57D94D9"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pri celkových a v kombinácii i pri regionálnych typoch anestézií. </w:t>
            </w:r>
          </w:p>
          <w:p w14:paraId="5DC408D2" w14:textId="36E38D42" w:rsidR="00BD4717" w:rsidRPr="0000591E" w:rsidRDefault="00BD4717" w:rsidP="00BD4717">
            <w:pPr>
              <w:jc w:val="both"/>
              <w:rPr>
                <w:rFonts w:ascii="Arial" w:hAnsi="Arial" w:cs="Arial"/>
                <w:sz w:val="20"/>
                <w:szCs w:val="20"/>
              </w:rPr>
            </w:pPr>
          </w:p>
        </w:tc>
      </w:tr>
      <w:tr w:rsidR="00BD4717" w:rsidRPr="0000591E" w14:paraId="742592D0" w14:textId="77777777" w:rsidTr="00DA5098">
        <w:trPr>
          <w:trHeight w:val="20"/>
        </w:trPr>
        <w:tc>
          <w:tcPr>
            <w:tcW w:w="1277" w:type="dxa"/>
            <w:tcBorders>
              <w:bottom w:val="single" w:sz="4" w:space="0" w:color="auto"/>
            </w:tcBorders>
            <w:noWrap/>
          </w:tcPr>
          <w:p w14:paraId="5FDC0DA4"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N01AX03</w:t>
            </w:r>
          </w:p>
        </w:tc>
        <w:tc>
          <w:tcPr>
            <w:tcW w:w="9355" w:type="dxa"/>
            <w:tcBorders>
              <w:bottom w:val="single" w:sz="4" w:space="0" w:color="auto"/>
            </w:tcBorders>
          </w:tcPr>
          <w:p w14:paraId="18043302"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 xml:space="preserve">Ketamin parent. </w:t>
            </w:r>
            <w:r>
              <w:rPr>
                <w:rFonts w:ascii="Arial" w:hAnsi="Arial" w:cs="Arial"/>
                <w:b/>
                <w:bCs/>
                <w:sz w:val="20"/>
                <w:szCs w:val="20"/>
              </w:rPr>
              <w:t>500 mg</w:t>
            </w:r>
          </w:p>
        </w:tc>
      </w:tr>
      <w:tr w:rsidR="00BD4717" w:rsidRPr="0000591E" w14:paraId="5E866C3C" w14:textId="77777777" w:rsidTr="00DA5098">
        <w:trPr>
          <w:trHeight w:val="20"/>
        </w:trPr>
        <w:tc>
          <w:tcPr>
            <w:tcW w:w="1277" w:type="dxa"/>
            <w:tcBorders>
              <w:top w:val="single" w:sz="4" w:space="0" w:color="auto"/>
              <w:bottom w:val="single" w:sz="4" w:space="0" w:color="BFBFBF" w:themeColor="background1" w:themeShade="BF"/>
            </w:tcBorders>
            <w:noWrap/>
          </w:tcPr>
          <w:p w14:paraId="607E3384"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648B35D4"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celkových a v kombinácii i pri regionálnych typoch anestézií. </w:t>
            </w:r>
          </w:p>
          <w:p w14:paraId="4B9CEEEA" w14:textId="77777777" w:rsidR="00BD4717" w:rsidRPr="0000591E" w:rsidRDefault="00BD4717" w:rsidP="00BD4717">
            <w:pPr>
              <w:jc w:val="both"/>
              <w:rPr>
                <w:rFonts w:ascii="Arial" w:hAnsi="Arial" w:cs="Arial"/>
                <w:sz w:val="20"/>
                <w:szCs w:val="20"/>
                <w:lang w:eastAsia="cs-CZ"/>
              </w:rPr>
            </w:pPr>
          </w:p>
        </w:tc>
      </w:tr>
      <w:tr w:rsidR="00BD4717" w:rsidRPr="0000591E" w14:paraId="1EA146A9" w14:textId="77777777" w:rsidTr="00DA5098">
        <w:trPr>
          <w:trHeight w:val="20"/>
        </w:trPr>
        <w:tc>
          <w:tcPr>
            <w:tcW w:w="1277" w:type="dxa"/>
            <w:tcBorders>
              <w:bottom w:val="single" w:sz="4" w:space="0" w:color="auto"/>
            </w:tcBorders>
            <w:noWrap/>
          </w:tcPr>
          <w:p w14:paraId="65F322D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N01BB02</w:t>
            </w:r>
          </w:p>
        </w:tc>
        <w:tc>
          <w:tcPr>
            <w:tcW w:w="9355" w:type="dxa"/>
            <w:tcBorders>
              <w:bottom w:val="single" w:sz="4" w:space="0" w:color="auto"/>
            </w:tcBorders>
          </w:tcPr>
          <w:p w14:paraId="3B8CABA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Lidokaín transd. 700 mg</w:t>
            </w:r>
          </w:p>
        </w:tc>
      </w:tr>
      <w:tr w:rsidR="00BD4717" w:rsidRPr="0000591E" w14:paraId="2BE1160A" w14:textId="77777777" w:rsidTr="00DA5098">
        <w:trPr>
          <w:trHeight w:val="20"/>
        </w:trPr>
        <w:tc>
          <w:tcPr>
            <w:tcW w:w="1277" w:type="dxa"/>
            <w:tcBorders>
              <w:top w:val="single" w:sz="4" w:space="0" w:color="auto"/>
              <w:bottom w:val="single" w:sz="4" w:space="0" w:color="BFBFBF" w:themeColor="background1" w:themeShade="BF"/>
            </w:tcBorders>
            <w:noWrap/>
          </w:tcPr>
          <w:p w14:paraId="2C208EF2"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7818B3AD"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može indikovať pri liečbe postherpetickej neuropatickej bolesti u pacientov, u ktorých zlyhala perorálna liečba.</w:t>
            </w:r>
          </w:p>
          <w:p w14:paraId="66B1E4EA"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Liečbu je potrebné zhodnotiť po štyroch týždňoch. Ak po tomto čase nedošlo k odpovedi, je potrebné liečbu ukončiť.</w:t>
            </w:r>
          </w:p>
          <w:p w14:paraId="51A7C298" w14:textId="77777777" w:rsidR="00BD4717" w:rsidRPr="0000591E" w:rsidRDefault="00BD4717" w:rsidP="00BD4717">
            <w:pPr>
              <w:jc w:val="both"/>
              <w:rPr>
                <w:rFonts w:ascii="Arial" w:hAnsi="Arial" w:cs="Arial"/>
                <w:b/>
                <w:bCs/>
                <w:sz w:val="20"/>
                <w:szCs w:val="20"/>
              </w:rPr>
            </w:pPr>
          </w:p>
        </w:tc>
      </w:tr>
      <w:tr w:rsidR="00BD4717" w:rsidRPr="0000591E" w14:paraId="331A7D75" w14:textId="77777777" w:rsidTr="00DA5098">
        <w:trPr>
          <w:trHeight w:val="20"/>
        </w:trPr>
        <w:tc>
          <w:tcPr>
            <w:tcW w:w="1277" w:type="dxa"/>
            <w:tcBorders>
              <w:bottom w:val="single" w:sz="4" w:space="0" w:color="auto"/>
            </w:tcBorders>
            <w:noWrap/>
          </w:tcPr>
          <w:p w14:paraId="751748C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N01BX04</w:t>
            </w:r>
          </w:p>
        </w:tc>
        <w:tc>
          <w:tcPr>
            <w:tcW w:w="9355" w:type="dxa"/>
            <w:tcBorders>
              <w:bottom w:val="single" w:sz="4" w:space="0" w:color="auto"/>
            </w:tcBorders>
          </w:tcPr>
          <w:p w14:paraId="195027FB" w14:textId="09F54790"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Kapsaicín </w:t>
            </w:r>
            <w:r>
              <w:rPr>
                <w:rFonts w:ascii="Arial" w:hAnsi="Arial" w:cs="Arial"/>
                <w:b/>
                <w:bCs/>
                <w:sz w:val="20"/>
                <w:szCs w:val="20"/>
              </w:rPr>
              <w:t xml:space="preserve">transd. 179 mg </w:t>
            </w:r>
          </w:p>
        </w:tc>
      </w:tr>
      <w:tr w:rsidR="00BD4717" w:rsidRPr="0000591E" w14:paraId="5F24D237" w14:textId="77777777" w:rsidTr="00DA5098">
        <w:trPr>
          <w:trHeight w:val="20"/>
        </w:trPr>
        <w:tc>
          <w:tcPr>
            <w:tcW w:w="1277" w:type="dxa"/>
            <w:tcBorders>
              <w:top w:val="single" w:sz="4" w:space="0" w:color="auto"/>
              <w:bottom w:val="single" w:sz="4" w:space="0" w:color="BFBFBF" w:themeColor="background1" w:themeShade="BF"/>
            </w:tcBorders>
            <w:noWrap/>
          </w:tcPr>
          <w:p w14:paraId="1A4BD0F7"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99C56F0" w14:textId="77777777" w:rsidR="00BD4717" w:rsidRPr="0000591E" w:rsidRDefault="00BD4717" w:rsidP="00BD4717">
            <w:pPr>
              <w:jc w:val="both"/>
              <w:rPr>
                <w:rFonts w:ascii="Arial" w:hAnsi="Arial" w:cs="Arial"/>
                <w:b/>
                <w:sz w:val="20"/>
                <w:szCs w:val="20"/>
              </w:rPr>
            </w:pPr>
            <w:r w:rsidRPr="0000591E">
              <w:rPr>
                <w:rFonts w:ascii="Arial" w:hAnsi="Arial" w:cs="Arial"/>
                <w:sz w:val="20"/>
                <w:szCs w:val="20"/>
              </w:rPr>
              <w:t>Hradená liečba sa môže indikovať pri laboratórne alebo klinicky dokumentovanej periférnej neuropatickej bolesti nie diabetického pôvodu v prípade zlyhania minimálne trojmesačnej liečby analgetikami, gabapentínom alebo pregabalínom.</w:t>
            </w:r>
            <w:r w:rsidRPr="0000591E">
              <w:rPr>
                <w:rFonts w:ascii="Arial" w:hAnsi="Arial" w:cs="Arial"/>
                <w:b/>
                <w:sz w:val="20"/>
                <w:szCs w:val="20"/>
              </w:rPr>
              <w:t xml:space="preserve"> </w:t>
            </w:r>
          </w:p>
          <w:p w14:paraId="2DC032C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Ako hradená liečba sa indikuje u pacienta jedna náplasť raz za tri mesiace.</w:t>
            </w:r>
          </w:p>
          <w:p w14:paraId="41687387" w14:textId="77777777" w:rsidR="00BD4717" w:rsidRPr="0000591E" w:rsidRDefault="00BD4717" w:rsidP="00BD4717">
            <w:pPr>
              <w:jc w:val="both"/>
              <w:rPr>
                <w:rFonts w:ascii="Arial" w:hAnsi="Arial" w:cs="Arial"/>
                <w:b/>
                <w:bCs/>
                <w:sz w:val="20"/>
                <w:szCs w:val="20"/>
              </w:rPr>
            </w:pPr>
          </w:p>
        </w:tc>
      </w:tr>
      <w:tr w:rsidR="00BD4717" w:rsidRPr="0000591E" w14:paraId="38094D64" w14:textId="77777777" w:rsidTr="00DA5098">
        <w:trPr>
          <w:trHeight w:val="20"/>
        </w:trPr>
        <w:tc>
          <w:tcPr>
            <w:tcW w:w="1277" w:type="dxa"/>
            <w:tcBorders>
              <w:bottom w:val="single" w:sz="4" w:space="0" w:color="auto"/>
            </w:tcBorders>
            <w:noWrap/>
          </w:tcPr>
          <w:p w14:paraId="18543075" w14:textId="77777777" w:rsidR="00BD4717" w:rsidRDefault="00BD4717" w:rsidP="00BD4717">
            <w:pPr>
              <w:rPr>
                <w:rFonts w:ascii="Arial" w:hAnsi="Arial" w:cs="Arial"/>
                <w:b/>
                <w:bCs/>
                <w:sz w:val="20"/>
                <w:szCs w:val="20"/>
              </w:rPr>
            </w:pPr>
          </w:p>
          <w:p w14:paraId="234BBF90" w14:textId="77777777" w:rsidR="00BD4717" w:rsidRDefault="00BD4717" w:rsidP="00BD4717">
            <w:pPr>
              <w:rPr>
                <w:rFonts w:ascii="Arial" w:hAnsi="Arial" w:cs="Arial"/>
                <w:b/>
                <w:bCs/>
                <w:sz w:val="20"/>
                <w:szCs w:val="20"/>
              </w:rPr>
            </w:pPr>
          </w:p>
          <w:p w14:paraId="220DF3A8" w14:textId="77777777" w:rsidR="00BD4717" w:rsidRDefault="00BD4717" w:rsidP="00BD4717">
            <w:pPr>
              <w:rPr>
                <w:rFonts w:ascii="Arial" w:hAnsi="Arial" w:cs="Arial"/>
                <w:b/>
                <w:bCs/>
                <w:sz w:val="20"/>
                <w:szCs w:val="20"/>
              </w:rPr>
            </w:pPr>
          </w:p>
          <w:p w14:paraId="22A16F75" w14:textId="6D063436"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N02AA03</w:t>
            </w:r>
          </w:p>
        </w:tc>
        <w:tc>
          <w:tcPr>
            <w:tcW w:w="9355" w:type="dxa"/>
            <w:tcBorders>
              <w:bottom w:val="single" w:sz="4" w:space="0" w:color="auto"/>
            </w:tcBorders>
          </w:tcPr>
          <w:p w14:paraId="263DAF6D"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Hydromorfón p.o. 2 mg,</w:t>
            </w:r>
          </w:p>
          <w:p w14:paraId="277FACDC"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Hydromorfón p.o. 4 mg,</w:t>
            </w:r>
          </w:p>
          <w:p w14:paraId="6817399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Hydromorfón p.o. 8 mg,</w:t>
            </w:r>
          </w:p>
          <w:p w14:paraId="5E09C64D"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Hydromorfón p.o. 16 mg</w:t>
            </w:r>
          </w:p>
        </w:tc>
      </w:tr>
      <w:tr w:rsidR="00BD4717" w:rsidRPr="0000591E" w14:paraId="3AC926BD" w14:textId="77777777" w:rsidTr="00DA5098">
        <w:trPr>
          <w:trHeight w:val="428"/>
        </w:trPr>
        <w:tc>
          <w:tcPr>
            <w:tcW w:w="1277" w:type="dxa"/>
            <w:tcBorders>
              <w:top w:val="single" w:sz="4" w:space="0" w:color="auto"/>
              <w:bottom w:val="single" w:sz="4" w:space="0" w:color="BFBFBF" w:themeColor="background1" w:themeShade="BF"/>
            </w:tcBorders>
            <w:noWrap/>
          </w:tcPr>
          <w:p w14:paraId="57EAD1DD"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D8EAFDB" w14:textId="6FFF0F98"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221FD8B4" w14:textId="73C8E88F" w:rsidR="00BD4717" w:rsidRPr="0000591E" w:rsidRDefault="00BD4717" w:rsidP="00BD4717">
            <w:pPr>
              <w:jc w:val="both"/>
              <w:rPr>
                <w:rFonts w:ascii="Arial" w:hAnsi="Arial" w:cs="Arial"/>
                <w:sz w:val="20"/>
                <w:szCs w:val="20"/>
                <w:lang w:eastAsia="cs-CZ"/>
              </w:rPr>
            </w:pPr>
          </w:p>
        </w:tc>
      </w:tr>
      <w:tr w:rsidR="00BD4717" w:rsidRPr="0000591E" w14:paraId="6BC8C5C9" w14:textId="77777777" w:rsidTr="00DA5098">
        <w:trPr>
          <w:trHeight w:val="20"/>
        </w:trPr>
        <w:tc>
          <w:tcPr>
            <w:tcW w:w="1277" w:type="dxa"/>
            <w:tcBorders>
              <w:bottom w:val="single" w:sz="4" w:space="0" w:color="auto"/>
            </w:tcBorders>
            <w:noWrap/>
          </w:tcPr>
          <w:p w14:paraId="0978A6BB" w14:textId="77777777" w:rsidR="00BD4717" w:rsidRDefault="00BD4717" w:rsidP="00BD4717">
            <w:pPr>
              <w:jc w:val="both"/>
              <w:rPr>
                <w:rFonts w:ascii="Arial" w:hAnsi="Arial" w:cs="Arial"/>
                <w:b/>
                <w:bCs/>
                <w:sz w:val="20"/>
                <w:szCs w:val="20"/>
              </w:rPr>
            </w:pPr>
          </w:p>
          <w:p w14:paraId="13A62195" w14:textId="77777777" w:rsidR="00BD4717" w:rsidRDefault="00BD4717" w:rsidP="00BD4717">
            <w:pPr>
              <w:jc w:val="both"/>
              <w:rPr>
                <w:rFonts w:ascii="Arial" w:hAnsi="Arial" w:cs="Arial"/>
                <w:b/>
                <w:bCs/>
                <w:sz w:val="20"/>
                <w:szCs w:val="20"/>
              </w:rPr>
            </w:pPr>
          </w:p>
          <w:p w14:paraId="1148535F" w14:textId="77777777" w:rsidR="00BD4717" w:rsidRDefault="00BD4717" w:rsidP="00BD4717">
            <w:pPr>
              <w:jc w:val="both"/>
              <w:rPr>
                <w:rFonts w:ascii="Arial" w:hAnsi="Arial" w:cs="Arial"/>
                <w:b/>
                <w:bCs/>
                <w:sz w:val="20"/>
                <w:szCs w:val="20"/>
              </w:rPr>
            </w:pPr>
          </w:p>
          <w:p w14:paraId="51E00716" w14:textId="051BA9A8"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N02AA05</w:t>
            </w:r>
          </w:p>
        </w:tc>
        <w:tc>
          <w:tcPr>
            <w:tcW w:w="9355" w:type="dxa"/>
            <w:tcBorders>
              <w:bottom w:val="single" w:sz="4" w:space="0" w:color="auto"/>
            </w:tcBorders>
            <w:noWrap/>
          </w:tcPr>
          <w:p w14:paraId="1A7CBC7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10 mg,</w:t>
            </w:r>
          </w:p>
          <w:p w14:paraId="3E563901"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20 mg,</w:t>
            </w:r>
          </w:p>
          <w:p w14:paraId="0CD5C22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40 mg,</w:t>
            </w:r>
          </w:p>
          <w:p w14:paraId="7F86A72F"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80 mg</w:t>
            </w:r>
          </w:p>
        </w:tc>
      </w:tr>
      <w:tr w:rsidR="00BD4717" w:rsidRPr="0000591E" w14:paraId="45D4DF57" w14:textId="77777777" w:rsidTr="00DA5098">
        <w:trPr>
          <w:trHeight w:val="20"/>
        </w:trPr>
        <w:tc>
          <w:tcPr>
            <w:tcW w:w="1277" w:type="dxa"/>
            <w:tcBorders>
              <w:top w:val="single" w:sz="4" w:space="0" w:color="auto"/>
              <w:bottom w:val="single" w:sz="4" w:space="0" w:color="BFBFBF" w:themeColor="background1" w:themeShade="BF"/>
            </w:tcBorders>
            <w:noWrap/>
          </w:tcPr>
          <w:p w14:paraId="105898D9"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1EC74CE" w14:textId="77777777" w:rsidR="00BD4717" w:rsidRPr="0000591E" w:rsidRDefault="00BD4717" w:rsidP="00BD4717">
            <w:pPr>
              <w:pStyle w:val="Default"/>
              <w:jc w:val="both"/>
              <w:rPr>
                <w:color w:val="auto"/>
                <w:sz w:val="20"/>
                <w:szCs w:val="20"/>
                <w:lang w:val="sk-SK"/>
              </w:rPr>
            </w:pPr>
            <w:r w:rsidRPr="0000591E">
              <w:rPr>
                <w:color w:val="auto"/>
                <w:sz w:val="20"/>
                <w:szCs w:val="20"/>
                <w:lang w:val="sk-SK"/>
              </w:rPr>
              <w:t>Hradená liečba sa môže indikovať u dospelých pacientov po zlyhaní liečby inými opioidmi.</w:t>
            </w:r>
          </w:p>
          <w:p w14:paraId="5749D09C" w14:textId="77777777" w:rsidR="00BD4717" w:rsidRPr="0000591E" w:rsidRDefault="00BD4717" w:rsidP="00BD4717">
            <w:pPr>
              <w:rPr>
                <w:rFonts w:ascii="Arial" w:hAnsi="Arial" w:cs="Arial"/>
                <w:b/>
                <w:bCs/>
                <w:sz w:val="20"/>
                <w:szCs w:val="20"/>
              </w:rPr>
            </w:pPr>
          </w:p>
        </w:tc>
      </w:tr>
      <w:tr w:rsidR="00BD4717" w:rsidRPr="0000591E" w14:paraId="7E68FFC5" w14:textId="77777777" w:rsidTr="00DA5098">
        <w:trPr>
          <w:trHeight w:val="20"/>
        </w:trPr>
        <w:tc>
          <w:tcPr>
            <w:tcW w:w="1277" w:type="dxa"/>
            <w:tcBorders>
              <w:bottom w:val="single" w:sz="4" w:space="0" w:color="auto"/>
            </w:tcBorders>
            <w:noWrap/>
          </w:tcPr>
          <w:p w14:paraId="29AED268" w14:textId="77777777" w:rsidR="00BD4717" w:rsidRDefault="00BD4717" w:rsidP="00BD4717">
            <w:pPr>
              <w:jc w:val="both"/>
              <w:rPr>
                <w:rFonts w:ascii="Arial" w:hAnsi="Arial" w:cs="Arial"/>
                <w:b/>
                <w:bCs/>
                <w:sz w:val="20"/>
                <w:szCs w:val="20"/>
              </w:rPr>
            </w:pPr>
          </w:p>
          <w:p w14:paraId="5534A9A2" w14:textId="77777777" w:rsidR="00BD4717" w:rsidRDefault="00BD4717" w:rsidP="00BD4717">
            <w:pPr>
              <w:jc w:val="both"/>
              <w:rPr>
                <w:rFonts w:ascii="Arial" w:hAnsi="Arial" w:cs="Arial"/>
                <w:b/>
                <w:bCs/>
                <w:sz w:val="20"/>
                <w:szCs w:val="20"/>
              </w:rPr>
            </w:pPr>
          </w:p>
          <w:p w14:paraId="08B03509" w14:textId="77777777" w:rsidR="00BD4717" w:rsidRDefault="00BD4717" w:rsidP="00BD4717">
            <w:pPr>
              <w:jc w:val="both"/>
              <w:rPr>
                <w:rFonts w:ascii="Arial" w:hAnsi="Arial" w:cs="Arial"/>
                <w:b/>
                <w:bCs/>
                <w:sz w:val="20"/>
                <w:szCs w:val="20"/>
              </w:rPr>
            </w:pPr>
          </w:p>
          <w:p w14:paraId="38B1D235" w14:textId="77777777" w:rsidR="00BD4717" w:rsidRDefault="00BD4717" w:rsidP="00BD4717">
            <w:pPr>
              <w:jc w:val="both"/>
              <w:rPr>
                <w:rFonts w:ascii="Arial" w:hAnsi="Arial" w:cs="Arial"/>
                <w:b/>
                <w:bCs/>
                <w:sz w:val="20"/>
                <w:szCs w:val="20"/>
              </w:rPr>
            </w:pPr>
          </w:p>
          <w:p w14:paraId="1288F150" w14:textId="36C4D87C"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N02AA55</w:t>
            </w:r>
          </w:p>
        </w:tc>
        <w:tc>
          <w:tcPr>
            <w:tcW w:w="9355" w:type="dxa"/>
            <w:tcBorders>
              <w:bottom w:val="single" w:sz="4" w:space="0" w:color="auto"/>
            </w:tcBorders>
            <w:noWrap/>
          </w:tcPr>
          <w:p w14:paraId="2A9E4256"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kombinácie p.o. oxykodón/naloxón 5/2,5 mg,</w:t>
            </w:r>
          </w:p>
          <w:p w14:paraId="1463A08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kombinácie p.o. oxykodón/naloxón 10/5 mg,</w:t>
            </w:r>
          </w:p>
          <w:p w14:paraId="4D12393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kombinácie p.o. oxykodón/naloxón 20/10 mg,</w:t>
            </w:r>
          </w:p>
          <w:p w14:paraId="4F2A4C46" w14:textId="77777777" w:rsidR="00BD4717" w:rsidRDefault="00BD4717" w:rsidP="00BD4717">
            <w:pPr>
              <w:jc w:val="both"/>
              <w:rPr>
                <w:rFonts w:ascii="Arial" w:hAnsi="Arial" w:cs="Arial"/>
                <w:b/>
                <w:bCs/>
                <w:sz w:val="20"/>
                <w:szCs w:val="20"/>
              </w:rPr>
            </w:pPr>
            <w:r w:rsidRPr="0000591E">
              <w:rPr>
                <w:rFonts w:ascii="Arial" w:hAnsi="Arial" w:cs="Arial"/>
                <w:b/>
                <w:bCs/>
                <w:sz w:val="20"/>
                <w:szCs w:val="20"/>
              </w:rPr>
              <w:t>Oxykodón, kombinácie p.o. oxykodón/naloxón 40/20 mg</w:t>
            </w:r>
            <w:r>
              <w:rPr>
                <w:rFonts w:ascii="Arial" w:hAnsi="Arial" w:cs="Arial"/>
                <w:b/>
                <w:bCs/>
                <w:sz w:val="20"/>
                <w:szCs w:val="20"/>
              </w:rPr>
              <w:t>,</w:t>
            </w:r>
          </w:p>
          <w:p w14:paraId="24BCE9F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Oxykodón, kombinácie p.o. oxykodón/naloxón </w:t>
            </w:r>
            <w:r>
              <w:rPr>
                <w:rFonts w:ascii="Arial" w:hAnsi="Arial" w:cs="Arial"/>
                <w:b/>
                <w:bCs/>
                <w:sz w:val="20"/>
                <w:szCs w:val="20"/>
              </w:rPr>
              <w:t>8</w:t>
            </w:r>
            <w:r w:rsidRPr="0000591E">
              <w:rPr>
                <w:rFonts w:ascii="Arial" w:hAnsi="Arial" w:cs="Arial"/>
                <w:b/>
                <w:bCs/>
                <w:sz w:val="20"/>
                <w:szCs w:val="20"/>
              </w:rPr>
              <w:t>0/</w:t>
            </w:r>
            <w:r>
              <w:rPr>
                <w:rFonts w:ascii="Arial" w:hAnsi="Arial" w:cs="Arial"/>
                <w:b/>
                <w:bCs/>
                <w:sz w:val="20"/>
                <w:szCs w:val="20"/>
              </w:rPr>
              <w:t>4</w:t>
            </w:r>
            <w:r w:rsidRPr="0000591E">
              <w:rPr>
                <w:rFonts w:ascii="Arial" w:hAnsi="Arial" w:cs="Arial"/>
                <w:b/>
                <w:bCs/>
                <w:sz w:val="20"/>
                <w:szCs w:val="20"/>
              </w:rPr>
              <w:t>0 mg</w:t>
            </w:r>
          </w:p>
        </w:tc>
      </w:tr>
      <w:tr w:rsidR="00BD4717" w:rsidRPr="0000591E" w14:paraId="5D93D960" w14:textId="77777777" w:rsidTr="00DA5098">
        <w:trPr>
          <w:trHeight w:val="20"/>
        </w:trPr>
        <w:tc>
          <w:tcPr>
            <w:tcW w:w="1277" w:type="dxa"/>
            <w:tcBorders>
              <w:top w:val="single" w:sz="4" w:space="0" w:color="auto"/>
              <w:bottom w:val="single" w:sz="4" w:space="0" w:color="BFBFBF" w:themeColor="background1" w:themeShade="BF"/>
            </w:tcBorders>
            <w:noWrap/>
          </w:tcPr>
          <w:p w14:paraId="1D29349C"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0D40AE1" w14:textId="77777777" w:rsidR="00BD4717" w:rsidRPr="0000591E" w:rsidRDefault="00BD4717" w:rsidP="00BD4717">
            <w:pPr>
              <w:pStyle w:val="Default"/>
              <w:jc w:val="both"/>
              <w:rPr>
                <w:color w:val="auto"/>
                <w:sz w:val="20"/>
                <w:szCs w:val="20"/>
                <w:lang w:val="sk-SK"/>
              </w:rPr>
            </w:pPr>
            <w:r w:rsidRPr="0000591E">
              <w:rPr>
                <w:color w:val="auto"/>
                <w:sz w:val="20"/>
                <w:szCs w:val="20"/>
                <w:lang w:val="sk-SK"/>
              </w:rPr>
              <w:t>Hradená liečba sa môže indikovať u dospelých pacientov po zlyhaní liečby inými opioidmi.</w:t>
            </w:r>
          </w:p>
          <w:p w14:paraId="71B23B24" w14:textId="77777777" w:rsidR="00BD4717" w:rsidRPr="0000591E" w:rsidRDefault="00BD4717" w:rsidP="00BD4717">
            <w:pPr>
              <w:rPr>
                <w:rFonts w:ascii="Arial" w:hAnsi="Arial" w:cs="Arial"/>
                <w:b/>
                <w:bCs/>
                <w:sz w:val="20"/>
                <w:szCs w:val="20"/>
              </w:rPr>
            </w:pPr>
          </w:p>
        </w:tc>
      </w:tr>
      <w:tr w:rsidR="00BD4717" w:rsidRPr="0000591E" w14:paraId="0F0E90B1" w14:textId="77777777" w:rsidTr="00DA5098">
        <w:trPr>
          <w:trHeight w:val="20"/>
        </w:trPr>
        <w:tc>
          <w:tcPr>
            <w:tcW w:w="1277" w:type="dxa"/>
            <w:tcBorders>
              <w:bottom w:val="single" w:sz="4" w:space="0" w:color="auto"/>
            </w:tcBorders>
            <w:noWrap/>
          </w:tcPr>
          <w:p w14:paraId="4A6B29B8" w14:textId="77777777" w:rsidR="00BD4717" w:rsidRDefault="00BD4717" w:rsidP="00BD4717">
            <w:pPr>
              <w:rPr>
                <w:rFonts w:ascii="Arial" w:hAnsi="Arial" w:cs="Arial"/>
                <w:b/>
                <w:bCs/>
                <w:sz w:val="20"/>
                <w:szCs w:val="20"/>
              </w:rPr>
            </w:pPr>
          </w:p>
          <w:p w14:paraId="32B0D686" w14:textId="77777777" w:rsidR="00BD4717" w:rsidRDefault="00BD4717" w:rsidP="00BD4717">
            <w:pPr>
              <w:rPr>
                <w:rFonts w:ascii="Arial" w:hAnsi="Arial" w:cs="Arial"/>
                <w:b/>
                <w:bCs/>
                <w:sz w:val="20"/>
                <w:szCs w:val="20"/>
              </w:rPr>
            </w:pPr>
          </w:p>
          <w:p w14:paraId="73E99299" w14:textId="77777777" w:rsidR="00BD4717" w:rsidRDefault="00BD4717" w:rsidP="00BD4717">
            <w:pPr>
              <w:rPr>
                <w:rFonts w:ascii="Arial" w:hAnsi="Arial" w:cs="Arial"/>
                <w:b/>
                <w:bCs/>
                <w:sz w:val="20"/>
                <w:szCs w:val="20"/>
              </w:rPr>
            </w:pPr>
          </w:p>
          <w:p w14:paraId="0C07171D" w14:textId="69FEED7C" w:rsidR="00BD4717" w:rsidRPr="0000591E" w:rsidRDefault="00BD4717" w:rsidP="00BD4717">
            <w:pPr>
              <w:rPr>
                <w:rFonts w:ascii="Arial" w:hAnsi="Arial" w:cs="Arial"/>
                <w:b/>
                <w:bCs/>
                <w:sz w:val="20"/>
                <w:szCs w:val="20"/>
              </w:rPr>
            </w:pPr>
            <w:r w:rsidRPr="0000591E">
              <w:rPr>
                <w:rFonts w:ascii="Arial" w:hAnsi="Arial" w:cs="Arial"/>
                <w:b/>
                <w:bCs/>
                <w:sz w:val="20"/>
                <w:szCs w:val="20"/>
              </w:rPr>
              <w:t>N02AB03</w:t>
            </w:r>
          </w:p>
        </w:tc>
        <w:tc>
          <w:tcPr>
            <w:tcW w:w="9355" w:type="dxa"/>
            <w:tcBorders>
              <w:bottom w:val="single" w:sz="4" w:space="0" w:color="auto"/>
            </w:tcBorders>
            <w:noWrap/>
          </w:tcPr>
          <w:p w14:paraId="070E61D8" w14:textId="77777777" w:rsidR="00BD4717" w:rsidRPr="0000591E" w:rsidRDefault="00BD4717" w:rsidP="00BD4717">
            <w:pPr>
              <w:rPr>
                <w:rFonts w:ascii="Arial" w:hAnsi="Arial" w:cs="Arial"/>
                <w:b/>
                <w:bCs/>
                <w:sz w:val="20"/>
                <w:szCs w:val="20"/>
              </w:rPr>
            </w:pPr>
            <w:r w:rsidRPr="0000591E">
              <w:rPr>
                <w:rFonts w:ascii="Arial" w:hAnsi="Arial" w:cs="Arial"/>
                <w:b/>
                <w:sz w:val="20"/>
                <w:szCs w:val="20"/>
              </w:rPr>
              <w:t>Fentanyl p.o. 100 mcg,</w:t>
            </w:r>
          </w:p>
          <w:p w14:paraId="4DCC58AF" w14:textId="77777777" w:rsidR="00BD4717" w:rsidRPr="0000591E" w:rsidRDefault="00BD4717" w:rsidP="00BD4717">
            <w:pPr>
              <w:rPr>
                <w:rFonts w:ascii="Arial" w:hAnsi="Arial" w:cs="Arial"/>
                <w:b/>
                <w:sz w:val="20"/>
                <w:szCs w:val="20"/>
              </w:rPr>
            </w:pPr>
            <w:r w:rsidRPr="0000591E">
              <w:rPr>
                <w:rFonts w:ascii="Arial" w:hAnsi="Arial" w:cs="Arial"/>
                <w:b/>
                <w:sz w:val="20"/>
                <w:szCs w:val="20"/>
              </w:rPr>
              <w:t>Fentanyl p.o. 200 mcg,</w:t>
            </w:r>
          </w:p>
          <w:p w14:paraId="33731AC6" w14:textId="77777777" w:rsidR="00BD4717" w:rsidRPr="0000591E" w:rsidRDefault="00BD4717" w:rsidP="00BD4717">
            <w:pPr>
              <w:rPr>
                <w:rFonts w:ascii="Arial" w:hAnsi="Arial" w:cs="Arial"/>
                <w:b/>
                <w:sz w:val="20"/>
                <w:szCs w:val="20"/>
              </w:rPr>
            </w:pPr>
            <w:r>
              <w:rPr>
                <w:rFonts w:ascii="Arial" w:hAnsi="Arial" w:cs="Arial"/>
                <w:b/>
                <w:sz w:val="20"/>
                <w:szCs w:val="20"/>
              </w:rPr>
              <w:t>Fentanyl p.o. 400 mcg,</w:t>
            </w:r>
          </w:p>
          <w:p w14:paraId="61D6F8AB" w14:textId="77777777" w:rsidR="00BD4717" w:rsidRPr="00706D33" w:rsidRDefault="00BD4717" w:rsidP="00BD4717">
            <w:pPr>
              <w:rPr>
                <w:rFonts w:ascii="Arial" w:hAnsi="Arial" w:cs="Arial"/>
                <w:b/>
                <w:sz w:val="20"/>
                <w:szCs w:val="20"/>
              </w:rPr>
            </w:pPr>
            <w:r w:rsidRPr="0000591E">
              <w:rPr>
                <w:rFonts w:ascii="Arial" w:hAnsi="Arial" w:cs="Arial"/>
                <w:b/>
                <w:sz w:val="20"/>
                <w:szCs w:val="20"/>
              </w:rPr>
              <w:t>Fentanyl p.o. 800 mcg,</w:t>
            </w:r>
          </w:p>
        </w:tc>
      </w:tr>
      <w:tr w:rsidR="00BD4717" w:rsidRPr="0000591E" w14:paraId="5D734C56" w14:textId="77777777" w:rsidTr="00DA5098">
        <w:trPr>
          <w:trHeight w:val="20"/>
        </w:trPr>
        <w:tc>
          <w:tcPr>
            <w:tcW w:w="1277" w:type="dxa"/>
            <w:tcBorders>
              <w:top w:val="single" w:sz="4" w:space="0" w:color="auto"/>
              <w:bottom w:val="single" w:sz="4" w:space="0" w:color="BFBFBF" w:themeColor="background1" w:themeShade="BF"/>
            </w:tcBorders>
            <w:noWrap/>
          </w:tcPr>
          <w:p w14:paraId="3CD17E3D" w14:textId="77777777" w:rsidR="00BD4717" w:rsidRPr="0000591E" w:rsidRDefault="00BD4717" w:rsidP="00BD4717">
            <w:pPr>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BE4BCE1"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pri liečbe záchvatov prelomovej bolesti u onkologických pacientov, ktorí sú liečení na chronickú bolesť, ak pacient na udržiavacej liečbe opioidmi denne užíva aspoň 60 mg perorálne podávaného morfínu, aspoň 25 mikrogramov transdermálneho fentanylu za hodinu, aspoň 30 mg oxykodónu denne, aspoň 8 mg perorálne podávaného hydromorfónu denne alebo ekvianalgetickú dávku iného opioidu počas dvoch týždňov alebo dlhšie.</w:t>
            </w:r>
          </w:p>
          <w:p w14:paraId="21052543" w14:textId="6DD231C2" w:rsidR="00BD4717" w:rsidRPr="0000591E" w:rsidRDefault="00BD4717" w:rsidP="00BD4717">
            <w:pPr>
              <w:rPr>
                <w:rFonts w:ascii="Arial" w:hAnsi="Arial" w:cs="Arial"/>
                <w:b/>
                <w:sz w:val="20"/>
                <w:szCs w:val="20"/>
              </w:rPr>
            </w:pPr>
          </w:p>
        </w:tc>
      </w:tr>
      <w:tr w:rsidR="00BD4717" w:rsidRPr="0000591E" w14:paraId="7E0E47A8" w14:textId="77777777" w:rsidTr="00DA5098">
        <w:trPr>
          <w:trHeight w:val="20"/>
        </w:trPr>
        <w:tc>
          <w:tcPr>
            <w:tcW w:w="1277" w:type="dxa"/>
            <w:tcBorders>
              <w:bottom w:val="single" w:sz="4" w:space="0" w:color="auto"/>
            </w:tcBorders>
            <w:noWrap/>
          </w:tcPr>
          <w:p w14:paraId="2E3DD04B" w14:textId="77777777" w:rsidR="00BD4717" w:rsidRDefault="00BD4717" w:rsidP="00BD4717">
            <w:pPr>
              <w:rPr>
                <w:rFonts w:ascii="Arial" w:hAnsi="Arial" w:cs="Arial"/>
                <w:b/>
                <w:bCs/>
                <w:sz w:val="20"/>
                <w:szCs w:val="20"/>
              </w:rPr>
            </w:pPr>
          </w:p>
          <w:p w14:paraId="6DAB4D6D" w14:textId="77777777" w:rsidR="00BD4717" w:rsidRDefault="00BD4717" w:rsidP="00BD4717">
            <w:pPr>
              <w:rPr>
                <w:rFonts w:ascii="Arial" w:hAnsi="Arial" w:cs="Arial"/>
                <w:b/>
                <w:bCs/>
                <w:sz w:val="20"/>
                <w:szCs w:val="20"/>
              </w:rPr>
            </w:pPr>
          </w:p>
          <w:p w14:paraId="13185A6C" w14:textId="77777777" w:rsidR="00BD4717" w:rsidRDefault="00BD4717" w:rsidP="00BD4717">
            <w:pPr>
              <w:rPr>
                <w:rFonts w:ascii="Arial" w:hAnsi="Arial" w:cs="Arial"/>
                <w:b/>
                <w:bCs/>
                <w:sz w:val="20"/>
                <w:szCs w:val="20"/>
              </w:rPr>
            </w:pPr>
          </w:p>
          <w:p w14:paraId="36178052" w14:textId="77777777" w:rsidR="00BD4717" w:rsidRDefault="00BD4717" w:rsidP="00BD4717">
            <w:pPr>
              <w:rPr>
                <w:rFonts w:ascii="Arial" w:hAnsi="Arial" w:cs="Arial"/>
                <w:b/>
                <w:bCs/>
                <w:sz w:val="20"/>
                <w:szCs w:val="20"/>
              </w:rPr>
            </w:pPr>
          </w:p>
          <w:p w14:paraId="2B4466A5" w14:textId="024F4505"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N02AB03</w:t>
            </w:r>
          </w:p>
        </w:tc>
        <w:tc>
          <w:tcPr>
            <w:tcW w:w="9355" w:type="dxa"/>
            <w:tcBorders>
              <w:bottom w:val="single" w:sz="4" w:space="0" w:color="auto"/>
            </w:tcBorders>
          </w:tcPr>
          <w:p w14:paraId="7A2294E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Fentanyl transd. 12 mcg/h,</w:t>
            </w:r>
          </w:p>
          <w:p w14:paraId="1BB6DD9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Fentanyl transd. 25 mcg/h,</w:t>
            </w:r>
          </w:p>
          <w:p w14:paraId="515F15DC"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Fentanyl transd. 50 mcg/h, </w:t>
            </w:r>
          </w:p>
          <w:p w14:paraId="47D6815F"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Fentanyl transd. 75 mcg/h, </w:t>
            </w:r>
          </w:p>
          <w:p w14:paraId="0B2DFB4C"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Fentanyl transd. 100 mcg/h</w:t>
            </w:r>
          </w:p>
        </w:tc>
      </w:tr>
      <w:tr w:rsidR="00BD4717" w:rsidRPr="0000591E" w14:paraId="1F66754D" w14:textId="77777777" w:rsidTr="00DA5098">
        <w:trPr>
          <w:trHeight w:val="20"/>
        </w:trPr>
        <w:tc>
          <w:tcPr>
            <w:tcW w:w="1277" w:type="dxa"/>
            <w:tcBorders>
              <w:top w:val="single" w:sz="4" w:space="0" w:color="auto"/>
              <w:bottom w:val="single" w:sz="4" w:space="0" w:color="BFBFBF" w:themeColor="background1" w:themeShade="BF"/>
            </w:tcBorders>
            <w:noWrap/>
          </w:tcPr>
          <w:p w14:paraId="04DFE8F4"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1CF881EE"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049D3E2A" w14:textId="77777777" w:rsidR="00BD4717" w:rsidRPr="0000591E" w:rsidRDefault="00BD4717" w:rsidP="00BD4717">
            <w:pPr>
              <w:jc w:val="both"/>
              <w:rPr>
                <w:rFonts w:ascii="Arial" w:hAnsi="Arial" w:cs="Arial"/>
                <w:sz w:val="20"/>
                <w:szCs w:val="20"/>
                <w:lang w:eastAsia="cs-CZ"/>
              </w:rPr>
            </w:pPr>
          </w:p>
        </w:tc>
      </w:tr>
      <w:tr w:rsidR="00BD4717" w:rsidRPr="0000591E" w14:paraId="6A3D1053" w14:textId="77777777" w:rsidTr="00DA5098">
        <w:trPr>
          <w:trHeight w:val="20"/>
        </w:trPr>
        <w:tc>
          <w:tcPr>
            <w:tcW w:w="1277" w:type="dxa"/>
            <w:tcBorders>
              <w:bottom w:val="single" w:sz="4" w:space="0" w:color="auto"/>
            </w:tcBorders>
            <w:noWrap/>
          </w:tcPr>
          <w:p w14:paraId="047A075A" w14:textId="77777777" w:rsidR="00BD4717" w:rsidRDefault="00BD4717" w:rsidP="00BD4717">
            <w:pPr>
              <w:rPr>
                <w:rFonts w:ascii="Arial" w:hAnsi="Arial" w:cs="Arial"/>
                <w:b/>
                <w:bCs/>
                <w:sz w:val="20"/>
                <w:szCs w:val="20"/>
              </w:rPr>
            </w:pPr>
          </w:p>
          <w:p w14:paraId="304A4ADB" w14:textId="77777777" w:rsidR="00BD4717" w:rsidRDefault="00BD4717" w:rsidP="00BD4717">
            <w:pPr>
              <w:rPr>
                <w:rFonts w:ascii="Arial" w:hAnsi="Arial" w:cs="Arial"/>
                <w:b/>
                <w:bCs/>
                <w:sz w:val="20"/>
                <w:szCs w:val="20"/>
              </w:rPr>
            </w:pPr>
          </w:p>
          <w:p w14:paraId="38AECC9C" w14:textId="3A00159F"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N02AE01</w:t>
            </w:r>
          </w:p>
        </w:tc>
        <w:tc>
          <w:tcPr>
            <w:tcW w:w="9355" w:type="dxa"/>
            <w:tcBorders>
              <w:bottom w:val="single" w:sz="4" w:space="0" w:color="auto"/>
            </w:tcBorders>
            <w:noWrap/>
          </w:tcPr>
          <w:p w14:paraId="24EC5B0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Buprenorfín transd. nápl. </w:t>
            </w:r>
            <w:r>
              <w:rPr>
                <w:rFonts w:ascii="Arial" w:hAnsi="Arial" w:cs="Arial"/>
                <w:b/>
                <w:bCs/>
                <w:sz w:val="20"/>
                <w:szCs w:val="20"/>
              </w:rPr>
              <w:t>20 m</w:t>
            </w:r>
            <w:r w:rsidRPr="0000591E">
              <w:rPr>
                <w:rFonts w:ascii="Arial" w:hAnsi="Arial" w:cs="Arial"/>
                <w:b/>
                <w:bCs/>
                <w:sz w:val="20"/>
                <w:szCs w:val="20"/>
              </w:rPr>
              <w:t>g,</w:t>
            </w:r>
          </w:p>
          <w:p w14:paraId="1A6C2981" w14:textId="77777777" w:rsidR="00BD4717" w:rsidRPr="0000591E" w:rsidRDefault="00BD4717" w:rsidP="00BD4717">
            <w:pPr>
              <w:jc w:val="both"/>
              <w:rPr>
                <w:rFonts w:ascii="Arial" w:hAnsi="Arial" w:cs="Arial"/>
                <w:b/>
                <w:bCs/>
                <w:sz w:val="20"/>
                <w:szCs w:val="20"/>
              </w:rPr>
            </w:pPr>
            <w:r>
              <w:rPr>
                <w:rFonts w:ascii="Arial" w:hAnsi="Arial" w:cs="Arial"/>
                <w:b/>
                <w:bCs/>
                <w:sz w:val="20"/>
                <w:szCs w:val="20"/>
              </w:rPr>
              <w:t>Buprenorfín transd. nápl. 30 m</w:t>
            </w:r>
            <w:r w:rsidRPr="0000591E">
              <w:rPr>
                <w:rFonts w:ascii="Arial" w:hAnsi="Arial" w:cs="Arial"/>
                <w:b/>
                <w:bCs/>
                <w:sz w:val="20"/>
                <w:szCs w:val="20"/>
              </w:rPr>
              <w:t>g,</w:t>
            </w:r>
          </w:p>
          <w:p w14:paraId="4281022B"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Buprenorfín transd. ná</w:t>
            </w:r>
            <w:r>
              <w:rPr>
                <w:rFonts w:ascii="Arial" w:hAnsi="Arial" w:cs="Arial"/>
                <w:b/>
                <w:bCs/>
                <w:sz w:val="20"/>
                <w:szCs w:val="20"/>
              </w:rPr>
              <w:t>pl. 40 m</w:t>
            </w:r>
            <w:r w:rsidRPr="0000591E">
              <w:rPr>
                <w:rFonts w:ascii="Arial" w:hAnsi="Arial" w:cs="Arial"/>
                <w:b/>
                <w:bCs/>
                <w:sz w:val="20"/>
                <w:szCs w:val="20"/>
              </w:rPr>
              <w:t>g</w:t>
            </w:r>
          </w:p>
        </w:tc>
      </w:tr>
      <w:tr w:rsidR="00BD4717" w:rsidRPr="0000591E" w14:paraId="24323A8A" w14:textId="77777777" w:rsidTr="00DA5098">
        <w:trPr>
          <w:trHeight w:val="20"/>
        </w:trPr>
        <w:tc>
          <w:tcPr>
            <w:tcW w:w="1277" w:type="dxa"/>
            <w:tcBorders>
              <w:top w:val="single" w:sz="4" w:space="0" w:color="auto"/>
              <w:bottom w:val="single" w:sz="4" w:space="0" w:color="BFBFBF" w:themeColor="background1" w:themeShade="BF"/>
            </w:tcBorders>
            <w:noWrap/>
          </w:tcPr>
          <w:p w14:paraId="43A81EC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3B1EEAC"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7C1DF44D" w14:textId="77777777" w:rsidR="00BD4717" w:rsidRPr="0000591E" w:rsidRDefault="00BD4717" w:rsidP="00BD4717">
            <w:pPr>
              <w:jc w:val="both"/>
              <w:rPr>
                <w:rFonts w:ascii="Arial" w:hAnsi="Arial" w:cs="Arial"/>
                <w:sz w:val="20"/>
                <w:szCs w:val="20"/>
                <w:lang w:eastAsia="cs-CZ"/>
              </w:rPr>
            </w:pPr>
          </w:p>
        </w:tc>
      </w:tr>
      <w:tr w:rsidR="00BD4717" w:rsidRPr="0000591E" w14:paraId="7AE84E68" w14:textId="77777777" w:rsidTr="00DA5098">
        <w:trPr>
          <w:trHeight w:val="20"/>
        </w:trPr>
        <w:tc>
          <w:tcPr>
            <w:tcW w:w="1277" w:type="dxa"/>
            <w:tcBorders>
              <w:bottom w:val="single" w:sz="4" w:space="0" w:color="auto"/>
            </w:tcBorders>
            <w:noWrap/>
          </w:tcPr>
          <w:p w14:paraId="262F548D" w14:textId="77777777" w:rsidR="00BD4717" w:rsidRDefault="00BD4717" w:rsidP="00BD4717">
            <w:pPr>
              <w:jc w:val="both"/>
              <w:rPr>
                <w:rFonts w:ascii="Arial" w:hAnsi="Arial" w:cs="Arial"/>
                <w:b/>
                <w:sz w:val="20"/>
                <w:szCs w:val="20"/>
              </w:rPr>
            </w:pPr>
          </w:p>
          <w:p w14:paraId="4DD810CC" w14:textId="77777777" w:rsidR="00BD4717" w:rsidRDefault="00BD4717" w:rsidP="00BD4717">
            <w:pPr>
              <w:jc w:val="both"/>
              <w:rPr>
                <w:rFonts w:ascii="Arial" w:hAnsi="Arial" w:cs="Arial"/>
                <w:b/>
                <w:sz w:val="20"/>
                <w:szCs w:val="20"/>
              </w:rPr>
            </w:pPr>
          </w:p>
          <w:p w14:paraId="528D638E" w14:textId="77777777" w:rsidR="00BD4717" w:rsidRDefault="00BD4717" w:rsidP="00BD4717">
            <w:pPr>
              <w:jc w:val="both"/>
              <w:rPr>
                <w:rFonts w:ascii="Arial" w:hAnsi="Arial" w:cs="Arial"/>
                <w:b/>
                <w:sz w:val="20"/>
                <w:szCs w:val="20"/>
              </w:rPr>
            </w:pPr>
          </w:p>
          <w:p w14:paraId="7C2DA175" w14:textId="77777777" w:rsidR="00BD4717" w:rsidRDefault="00BD4717" w:rsidP="00BD4717">
            <w:pPr>
              <w:jc w:val="both"/>
              <w:rPr>
                <w:rFonts w:ascii="Arial" w:hAnsi="Arial" w:cs="Arial"/>
                <w:b/>
                <w:sz w:val="20"/>
                <w:szCs w:val="20"/>
              </w:rPr>
            </w:pPr>
          </w:p>
          <w:p w14:paraId="35FC90AF" w14:textId="2E4730F3" w:rsidR="00BD4717" w:rsidRPr="0000591E" w:rsidRDefault="00BD4717" w:rsidP="00BD4717">
            <w:pPr>
              <w:jc w:val="both"/>
              <w:rPr>
                <w:rFonts w:ascii="Arial" w:hAnsi="Arial" w:cs="Arial"/>
                <w:b/>
                <w:sz w:val="20"/>
                <w:szCs w:val="20"/>
                <w:lang w:eastAsia="cs-CZ"/>
              </w:rPr>
            </w:pPr>
            <w:r w:rsidRPr="0000591E">
              <w:rPr>
                <w:rFonts w:ascii="Arial" w:hAnsi="Arial" w:cs="Arial"/>
                <w:b/>
                <w:sz w:val="20"/>
                <w:szCs w:val="20"/>
              </w:rPr>
              <w:t>N02AX06</w:t>
            </w:r>
          </w:p>
        </w:tc>
        <w:tc>
          <w:tcPr>
            <w:tcW w:w="9355" w:type="dxa"/>
            <w:tcBorders>
              <w:bottom w:val="single" w:sz="4" w:space="0" w:color="auto"/>
            </w:tcBorders>
            <w:noWrap/>
          </w:tcPr>
          <w:p w14:paraId="3547472B"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Tapentadol p.o. predĺžené uvoľňovanie 50 mg,</w:t>
            </w:r>
          </w:p>
          <w:p w14:paraId="0A81FBF0"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Tapentadol p.o. predĺžené uvoľňovanie 100 mg,</w:t>
            </w:r>
          </w:p>
          <w:p w14:paraId="37AAEC52"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Tapentadol p.o. predĺžené uvoľňovanie 150 mg,</w:t>
            </w:r>
          </w:p>
          <w:p w14:paraId="3338E03B"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Tapentadol p.o. predĺžené uvoľňovanie 200 mg,</w:t>
            </w:r>
          </w:p>
          <w:p w14:paraId="27FEF421"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Tapentadol p.o. predĺžené uvoľňovanie 250 mg</w:t>
            </w:r>
          </w:p>
        </w:tc>
      </w:tr>
      <w:tr w:rsidR="00BD4717" w:rsidRPr="0000591E" w14:paraId="0C9A9C00" w14:textId="77777777" w:rsidTr="00DA5098">
        <w:trPr>
          <w:trHeight w:val="20"/>
        </w:trPr>
        <w:tc>
          <w:tcPr>
            <w:tcW w:w="1277" w:type="dxa"/>
            <w:tcBorders>
              <w:top w:val="single" w:sz="4" w:space="0" w:color="auto"/>
              <w:bottom w:val="single" w:sz="4" w:space="0" w:color="BFBFBF" w:themeColor="background1" w:themeShade="BF"/>
            </w:tcBorders>
            <w:noWrap/>
          </w:tcPr>
          <w:p w14:paraId="3D14E35E"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6563631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355EB034" w14:textId="77777777" w:rsidR="00BD4717" w:rsidRPr="0000591E" w:rsidRDefault="00BD4717" w:rsidP="00BD4717">
            <w:pPr>
              <w:jc w:val="both"/>
              <w:rPr>
                <w:rFonts w:ascii="Arial" w:hAnsi="Arial" w:cs="Arial"/>
                <w:sz w:val="20"/>
                <w:szCs w:val="20"/>
              </w:rPr>
            </w:pPr>
          </w:p>
        </w:tc>
      </w:tr>
      <w:tr w:rsidR="00BD4717" w:rsidRPr="0000591E" w14:paraId="736F9EEB" w14:textId="77777777" w:rsidTr="00DA5098">
        <w:trPr>
          <w:trHeight w:val="20"/>
        </w:trPr>
        <w:tc>
          <w:tcPr>
            <w:tcW w:w="1277" w:type="dxa"/>
            <w:tcBorders>
              <w:bottom w:val="single" w:sz="4" w:space="0" w:color="auto"/>
            </w:tcBorders>
            <w:noWrap/>
          </w:tcPr>
          <w:p w14:paraId="225F6F10" w14:textId="77777777" w:rsidR="00BD4717" w:rsidRPr="0000591E" w:rsidRDefault="00BD4717" w:rsidP="00BD4717">
            <w:pPr>
              <w:jc w:val="both"/>
              <w:rPr>
                <w:rFonts w:ascii="Arial" w:hAnsi="Arial" w:cs="Arial"/>
                <w:b/>
                <w:sz w:val="20"/>
                <w:szCs w:val="20"/>
                <w:lang w:eastAsia="cs-CZ"/>
              </w:rPr>
            </w:pPr>
            <w:r w:rsidRPr="0000591E">
              <w:rPr>
                <w:rFonts w:ascii="Arial" w:hAnsi="Arial" w:cs="Arial"/>
                <w:b/>
                <w:sz w:val="20"/>
                <w:szCs w:val="20"/>
              </w:rPr>
              <w:t>N02AX06</w:t>
            </w:r>
          </w:p>
        </w:tc>
        <w:tc>
          <w:tcPr>
            <w:tcW w:w="9355" w:type="dxa"/>
            <w:tcBorders>
              <w:bottom w:val="single" w:sz="4" w:space="0" w:color="auto"/>
            </w:tcBorders>
            <w:noWrap/>
          </w:tcPr>
          <w:p w14:paraId="42348218"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 xml:space="preserve">Tapentadol </w:t>
            </w:r>
            <w:r w:rsidRPr="002B6C78">
              <w:rPr>
                <w:rFonts w:ascii="Arial" w:hAnsi="Arial" w:cs="Arial"/>
                <w:b/>
                <w:sz w:val="20"/>
                <w:szCs w:val="20"/>
              </w:rPr>
              <w:t>p.o. 20 mg/ml</w:t>
            </w:r>
          </w:p>
        </w:tc>
      </w:tr>
      <w:tr w:rsidR="00BD4717" w:rsidRPr="0000591E" w14:paraId="57F49B49" w14:textId="77777777" w:rsidTr="00DA5098">
        <w:trPr>
          <w:trHeight w:val="20"/>
        </w:trPr>
        <w:tc>
          <w:tcPr>
            <w:tcW w:w="1277" w:type="dxa"/>
            <w:tcBorders>
              <w:top w:val="single" w:sz="4" w:space="0" w:color="auto"/>
              <w:bottom w:val="single" w:sz="4" w:space="0" w:color="BFBFBF" w:themeColor="background1" w:themeShade="BF"/>
            </w:tcBorders>
            <w:noWrap/>
          </w:tcPr>
          <w:p w14:paraId="1C30932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E8A540E" w14:textId="77777777" w:rsidR="00BD4717" w:rsidRDefault="00BD4717" w:rsidP="00BD4717">
            <w:pPr>
              <w:jc w:val="both"/>
              <w:rPr>
                <w:rFonts w:ascii="Arial" w:hAnsi="Arial" w:cs="Arial"/>
                <w:sz w:val="20"/>
                <w:szCs w:val="20"/>
              </w:rPr>
            </w:pPr>
            <w:r w:rsidRPr="002B6C78">
              <w:rPr>
                <w:rFonts w:ascii="Arial" w:hAnsi="Arial" w:cs="Arial"/>
                <w:sz w:val="20"/>
                <w:szCs w:val="20"/>
              </w:rPr>
              <w:t xml:space="preserve">Hradená liečba sa môže indikovať na zmiernenie stredne silnej až silnej akútnej bolesti u detí vo veku od 2 rokov a u dospelých, ktorú možno primerane tlmiť iba opioidnými analgetikami. </w:t>
            </w:r>
          </w:p>
          <w:p w14:paraId="6BC74D7D" w14:textId="77777777" w:rsidR="00BD4717" w:rsidRPr="0000591E" w:rsidRDefault="00BD4717" w:rsidP="00BD4717">
            <w:pPr>
              <w:jc w:val="both"/>
              <w:rPr>
                <w:rFonts w:ascii="Arial" w:hAnsi="Arial" w:cs="Arial"/>
                <w:sz w:val="20"/>
                <w:szCs w:val="20"/>
              </w:rPr>
            </w:pPr>
          </w:p>
        </w:tc>
      </w:tr>
      <w:tr w:rsidR="00BD4717" w:rsidRPr="0000591E" w14:paraId="07FAF007" w14:textId="77777777" w:rsidTr="00DA5098">
        <w:trPr>
          <w:trHeight w:val="20"/>
        </w:trPr>
        <w:tc>
          <w:tcPr>
            <w:tcW w:w="1277" w:type="dxa"/>
            <w:tcBorders>
              <w:bottom w:val="single" w:sz="4" w:space="0" w:color="auto"/>
            </w:tcBorders>
            <w:noWrap/>
          </w:tcPr>
          <w:p w14:paraId="5DF6287E" w14:textId="77777777" w:rsidR="00BD4717" w:rsidRPr="0000591E" w:rsidRDefault="00BD4717" w:rsidP="00BD4717">
            <w:pPr>
              <w:jc w:val="both"/>
              <w:rPr>
                <w:rFonts w:ascii="Arial" w:hAnsi="Arial" w:cs="Arial"/>
                <w:b/>
                <w:sz w:val="20"/>
                <w:szCs w:val="20"/>
                <w:lang w:eastAsia="cs-CZ"/>
              </w:rPr>
            </w:pPr>
            <w:r w:rsidRPr="0000591E">
              <w:rPr>
                <w:rFonts w:ascii="Arial" w:hAnsi="Arial" w:cs="Arial"/>
                <w:b/>
                <w:sz w:val="20"/>
                <w:szCs w:val="20"/>
              </w:rPr>
              <w:t>N02AX06</w:t>
            </w:r>
          </w:p>
        </w:tc>
        <w:tc>
          <w:tcPr>
            <w:tcW w:w="9355" w:type="dxa"/>
            <w:tcBorders>
              <w:bottom w:val="single" w:sz="4" w:space="0" w:color="auto"/>
            </w:tcBorders>
            <w:noWrap/>
          </w:tcPr>
          <w:p w14:paraId="477C55F8" w14:textId="77777777" w:rsidR="00BD4717" w:rsidRPr="0000591E" w:rsidRDefault="00BD4717" w:rsidP="00BD4717">
            <w:pPr>
              <w:jc w:val="both"/>
              <w:rPr>
                <w:rFonts w:ascii="Arial" w:hAnsi="Arial" w:cs="Arial"/>
                <w:b/>
                <w:sz w:val="20"/>
                <w:szCs w:val="20"/>
              </w:rPr>
            </w:pPr>
            <w:r w:rsidRPr="0000591E">
              <w:rPr>
                <w:rFonts w:ascii="Arial" w:hAnsi="Arial" w:cs="Arial"/>
                <w:b/>
                <w:sz w:val="20"/>
                <w:szCs w:val="20"/>
              </w:rPr>
              <w:t>Tapentadol p.o. 50 mg</w:t>
            </w:r>
          </w:p>
        </w:tc>
      </w:tr>
      <w:tr w:rsidR="00BD4717" w:rsidRPr="0000591E" w14:paraId="39B77028" w14:textId="77777777" w:rsidTr="00DA5098">
        <w:trPr>
          <w:trHeight w:val="20"/>
        </w:trPr>
        <w:tc>
          <w:tcPr>
            <w:tcW w:w="1277" w:type="dxa"/>
            <w:tcBorders>
              <w:top w:val="single" w:sz="4" w:space="0" w:color="auto"/>
              <w:bottom w:val="single" w:sz="4" w:space="0" w:color="BFBFBF" w:themeColor="background1" w:themeShade="BF"/>
            </w:tcBorders>
            <w:noWrap/>
          </w:tcPr>
          <w:p w14:paraId="6E3F483D" w14:textId="77777777" w:rsidR="00BD4717" w:rsidRPr="0000591E" w:rsidRDefault="00BD4717" w:rsidP="00BD4717">
            <w:pPr>
              <w:jc w:val="both"/>
              <w:rPr>
                <w:rFonts w:ascii="Arial" w:hAnsi="Arial" w:cs="Arial"/>
                <w:b/>
                <w:sz w:val="20"/>
                <w:szCs w:val="20"/>
              </w:rPr>
            </w:pPr>
          </w:p>
        </w:tc>
        <w:tc>
          <w:tcPr>
            <w:tcW w:w="9355" w:type="dxa"/>
            <w:tcBorders>
              <w:top w:val="single" w:sz="4" w:space="0" w:color="auto"/>
              <w:bottom w:val="single" w:sz="4" w:space="0" w:color="BFBFBF" w:themeColor="background1" w:themeShade="BF"/>
            </w:tcBorders>
            <w:noWrap/>
          </w:tcPr>
          <w:p w14:paraId="335EDC2D" w14:textId="77777777" w:rsidR="00BD4717" w:rsidRDefault="00BD4717" w:rsidP="00BD4717">
            <w:pPr>
              <w:jc w:val="both"/>
              <w:rPr>
                <w:rFonts w:ascii="Arial" w:hAnsi="Arial" w:cs="Arial"/>
                <w:sz w:val="20"/>
                <w:szCs w:val="20"/>
              </w:rPr>
            </w:pPr>
            <w:r w:rsidRPr="00F72247">
              <w:rPr>
                <w:rFonts w:ascii="Arial" w:hAnsi="Arial" w:cs="Arial"/>
                <w:sz w:val="20"/>
                <w:szCs w:val="20"/>
              </w:rPr>
              <w:t>Hradená liečba sa môže indikovať na zmiernenie stredne silnej až silnej akútnej bolesti u dospelých, ktorú možno primerane tlmiť iba opioidnými analgetikami.</w:t>
            </w:r>
          </w:p>
          <w:p w14:paraId="0CC34194" w14:textId="76F86C47" w:rsidR="00BD4717" w:rsidRPr="00F72247" w:rsidRDefault="00BD4717" w:rsidP="00BD4717">
            <w:pPr>
              <w:jc w:val="both"/>
              <w:rPr>
                <w:rFonts w:ascii="Arial" w:hAnsi="Arial" w:cs="Arial"/>
                <w:sz w:val="20"/>
                <w:szCs w:val="20"/>
              </w:rPr>
            </w:pPr>
          </w:p>
        </w:tc>
      </w:tr>
      <w:tr w:rsidR="00BD4717" w:rsidRPr="0000591E" w14:paraId="657EF38B" w14:textId="77777777" w:rsidTr="00E43F53">
        <w:trPr>
          <w:trHeight w:val="20"/>
        </w:trPr>
        <w:tc>
          <w:tcPr>
            <w:tcW w:w="1277" w:type="dxa"/>
            <w:tcBorders>
              <w:bottom w:val="single" w:sz="4" w:space="0" w:color="auto"/>
            </w:tcBorders>
            <w:noWrap/>
          </w:tcPr>
          <w:p w14:paraId="7D4C0219" w14:textId="77777777" w:rsidR="00BD4717" w:rsidRDefault="00BD4717" w:rsidP="00BD4717">
            <w:pPr>
              <w:jc w:val="both"/>
              <w:rPr>
                <w:rFonts w:ascii="Arial" w:hAnsi="Arial" w:cs="Arial"/>
                <w:b/>
                <w:sz w:val="20"/>
                <w:szCs w:val="20"/>
                <w:lang w:eastAsia="cs-CZ"/>
              </w:rPr>
            </w:pPr>
          </w:p>
          <w:p w14:paraId="7AA31742" w14:textId="77777777" w:rsidR="00BD4717" w:rsidRDefault="00BD4717" w:rsidP="00BD4717">
            <w:pPr>
              <w:jc w:val="both"/>
              <w:rPr>
                <w:rFonts w:ascii="Arial" w:hAnsi="Arial" w:cs="Arial"/>
                <w:b/>
                <w:sz w:val="20"/>
                <w:szCs w:val="20"/>
                <w:lang w:eastAsia="cs-CZ"/>
              </w:rPr>
            </w:pPr>
          </w:p>
          <w:p w14:paraId="68FE5A61" w14:textId="1482D7F2" w:rsidR="00BD4717" w:rsidRDefault="00BD4717" w:rsidP="00BD4717">
            <w:pPr>
              <w:jc w:val="both"/>
              <w:rPr>
                <w:rFonts w:ascii="Arial" w:hAnsi="Arial" w:cs="Arial"/>
                <w:b/>
                <w:sz w:val="20"/>
                <w:szCs w:val="20"/>
                <w:lang w:eastAsia="cs-CZ"/>
              </w:rPr>
            </w:pPr>
            <w:r w:rsidRPr="00E43F53">
              <w:rPr>
                <w:rFonts w:ascii="Arial" w:hAnsi="Arial" w:cs="Arial"/>
                <w:b/>
                <w:sz w:val="20"/>
                <w:szCs w:val="20"/>
                <w:lang w:eastAsia="cs-CZ"/>
              </w:rPr>
              <w:t>N02BF02</w:t>
            </w:r>
          </w:p>
        </w:tc>
        <w:tc>
          <w:tcPr>
            <w:tcW w:w="9355" w:type="dxa"/>
            <w:tcBorders>
              <w:bottom w:val="single" w:sz="4" w:space="0" w:color="auto"/>
            </w:tcBorders>
            <w:noWrap/>
          </w:tcPr>
          <w:p w14:paraId="2736403E" w14:textId="77777777" w:rsidR="00BD4717" w:rsidRPr="00E43F53" w:rsidRDefault="00BD4717" w:rsidP="00BD4717">
            <w:pPr>
              <w:jc w:val="both"/>
              <w:rPr>
                <w:rFonts w:ascii="Arial" w:hAnsi="Arial" w:cs="Arial"/>
                <w:b/>
                <w:sz w:val="20"/>
                <w:szCs w:val="20"/>
              </w:rPr>
            </w:pPr>
            <w:r w:rsidRPr="00E43F53">
              <w:rPr>
                <w:rFonts w:ascii="Arial" w:hAnsi="Arial" w:cs="Arial"/>
                <w:b/>
                <w:sz w:val="20"/>
                <w:szCs w:val="20"/>
              </w:rPr>
              <w:t>Pregabalín p.o. 75 mg,</w:t>
            </w:r>
          </w:p>
          <w:p w14:paraId="674B4E8E" w14:textId="77777777" w:rsidR="00BD4717" w:rsidRPr="00E43F53" w:rsidRDefault="00BD4717" w:rsidP="00BD4717">
            <w:pPr>
              <w:jc w:val="both"/>
              <w:rPr>
                <w:rFonts w:ascii="Arial" w:hAnsi="Arial" w:cs="Arial"/>
                <w:b/>
                <w:sz w:val="20"/>
                <w:szCs w:val="20"/>
              </w:rPr>
            </w:pPr>
            <w:r w:rsidRPr="00E43F53">
              <w:rPr>
                <w:rFonts w:ascii="Arial" w:hAnsi="Arial" w:cs="Arial"/>
                <w:b/>
                <w:sz w:val="20"/>
                <w:szCs w:val="20"/>
              </w:rPr>
              <w:t>Pregabalín p.o. 150 mg,</w:t>
            </w:r>
          </w:p>
          <w:p w14:paraId="00DE26B1" w14:textId="4F119B17" w:rsidR="00BD4717" w:rsidRPr="003442D6" w:rsidRDefault="00BD4717" w:rsidP="00BD4717">
            <w:pPr>
              <w:jc w:val="both"/>
              <w:rPr>
                <w:rFonts w:ascii="Arial" w:hAnsi="Arial" w:cs="Arial"/>
                <w:b/>
                <w:sz w:val="20"/>
                <w:szCs w:val="20"/>
              </w:rPr>
            </w:pPr>
            <w:r w:rsidRPr="00E43F53">
              <w:rPr>
                <w:rFonts w:ascii="Arial" w:hAnsi="Arial" w:cs="Arial"/>
                <w:b/>
                <w:sz w:val="20"/>
                <w:szCs w:val="20"/>
              </w:rPr>
              <w:t>Pregabalín p.o. 300 mg</w:t>
            </w:r>
          </w:p>
        </w:tc>
      </w:tr>
      <w:tr w:rsidR="00BD4717" w:rsidRPr="0000591E" w14:paraId="1483DC49" w14:textId="77777777" w:rsidTr="006547A3">
        <w:trPr>
          <w:trHeight w:val="20"/>
        </w:trPr>
        <w:tc>
          <w:tcPr>
            <w:tcW w:w="1277" w:type="dxa"/>
            <w:tcBorders>
              <w:top w:val="single" w:sz="4" w:space="0" w:color="auto"/>
              <w:bottom w:val="single" w:sz="4" w:space="0" w:color="BFBFBF" w:themeColor="background1" w:themeShade="BF"/>
            </w:tcBorders>
            <w:noWrap/>
          </w:tcPr>
          <w:p w14:paraId="6C3D24A7"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42781997" w14:textId="77777777" w:rsidR="00BD4717" w:rsidRPr="00E43F53" w:rsidRDefault="00BD4717" w:rsidP="00BD4717">
            <w:pPr>
              <w:jc w:val="both"/>
              <w:rPr>
                <w:rFonts w:ascii="Arial" w:hAnsi="Arial" w:cs="Arial"/>
                <w:sz w:val="20"/>
                <w:szCs w:val="20"/>
              </w:rPr>
            </w:pPr>
            <w:r w:rsidRPr="00E43F53">
              <w:rPr>
                <w:rFonts w:ascii="Arial" w:hAnsi="Arial" w:cs="Arial"/>
                <w:sz w:val="20"/>
                <w:szCs w:val="20"/>
              </w:rPr>
              <w:t xml:space="preserve">Hradená liečba sa môže indikovať </w:t>
            </w:r>
          </w:p>
          <w:p w14:paraId="147A7F10" w14:textId="77777777" w:rsidR="00BD4717" w:rsidRPr="00E43F53" w:rsidRDefault="00BD4717" w:rsidP="00BD4717">
            <w:pPr>
              <w:tabs>
                <w:tab w:val="left" w:pos="321"/>
              </w:tabs>
              <w:jc w:val="both"/>
              <w:rPr>
                <w:rFonts w:ascii="Arial" w:hAnsi="Arial" w:cs="Arial"/>
                <w:sz w:val="20"/>
                <w:szCs w:val="20"/>
              </w:rPr>
            </w:pPr>
            <w:r w:rsidRPr="00E43F53">
              <w:rPr>
                <w:rFonts w:ascii="Arial" w:hAnsi="Arial" w:cs="Arial"/>
                <w:sz w:val="20"/>
                <w:szCs w:val="20"/>
              </w:rPr>
              <w:t>a)</w:t>
            </w:r>
            <w:r w:rsidRPr="00E43F53">
              <w:rPr>
                <w:rFonts w:ascii="Arial" w:hAnsi="Arial" w:cs="Arial"/>
                <w:sz w:val="20"/>
                <w:szCs w:val="20"/>
              </w:rPr>
              <w:tab/>
              <w:t xml:space="preserve">u pacientov, u ktorých liečba základnými antiepileptikami je neúčinná alebo nedostatočne účinná, </w:t>
            </w:r>
          </w:p>
          <w:p w14:paraId="53FF812D" w14:textId="27061CE7" w:rsidR="00BD4717" w:rsidRDefault="00BD4717" w:rsidP="00E92B48">
            <w:pPr>
              <w:tabs>
                <w:tab w:val="left" w:pos="321"/>
              </w:tabs>
              <w:jc w:val="both"/>
              <w:rPr>
                <w:rFonts w:ascii="Arial" w:hAnsi="Arial" w:cs="Arial"/>
                <w:sz w:val="20"/>
                <w:szCs w:val="20"/>
              </w:rPr>
            </w:pPr>
            <w:r w:rsidRPr="00E43F53">
              <w:rPr>
                <w:rFonts w:ascii="Arial" w:hAnsi="Arial" w:cs="Arial"/>
                <w:sz w:val="20"/>
                <w:szCs w:val="20"/>
              </w:rPr>
              <w:t>b)</w:t>
            </w:r>
            <w:r w:rsidRPr="00E43F53">
              <w:rPr>
                <w:rFonts w:ascii="Arial" w:hAnsi="Arial" w:cs="Arial"/>
                <w:sz w:val="20"/>
                <w:szCs w:val="20"/>
              </w:rPr>
              <w:tab/>
              <w:t>pri laboratórne alebo klinicky dokumentovanej neuropatickej bolesti len v prípade zlyhania liečby analgetikami, ktorá bola podávaná dostatočne dlho a v adekvátnych dávkach.</w:t>
            </w:r>
          </w:p>
          <w:p w14:paraId="00B40080" w14:textId="667FE84B" w:rsidR="00BD4717" w:rsidRPr="00E43F53" w:rsidRDefault="00BD4717" w:rsidP="00BD4717">
            <w:pPr>
              <w:jc w:val="both"/>
              <w:rPr>
                <w:rFonts w:ascii="Arial" w:hAnsi="Arial" w:cs="Arial"/>
                <w:sz w:val="20"/>
                <w:szCs w:val="20"/>
              </w:rPr>
            </w:pPr>
          </w:p>
        </w:tc>
      </w:tr>
      <w:tr w:rsidR="00BD4717" w:rsidRPr="0000591E" w14:paraId="2552186C" w14:textId="77777777" w:rsidTr="006547A3">
        <w:trPr>
          <w:trHeight w:val="20"/>
        </w:trPr>
        <w:tc>
          <w:tcPr>
            <w:tcW w:w="1277" w:type="dxa"/>
            <w:tcBorders>
              <w:bottom w:val="single" w:sz="4" w:space="0" w:color="auto"/>
            </w:tcBorders>
            <w:noWrap/>
          </w:tcPr>
          <w:p w14:paraId="40D6E35B" w14:textId="77777777" w:rsidR="00BD4717" w:rsidRPr="0009250B" w:rsidRDefault="00BD4717" w:rsidP="00BD4717">
            <w:pPr>
              <w:jc w:val="both"/>
              <w:rPr>
                <w:rFonts w:ascii="Arial" w:hAnsi="Arial" w:cs="Arial"/>
                <w:b/>
                <w:sz w:val="20"/>
                <w:szCs w:val="20"/>
                <w:lang w:eastAsia="cs-CZ"/>
              </w:rPr>
            </w:pPr>
            <w:r>
              <w:rPr>
                <w:rFonts w:ascii="Arial" w:hAnsi="Arial" w:cs="Arial"/>
                <w:b/>
                <w:sz w:val="20"/>
                <w:szCs w:val="20"/>
                <w:lang w:eastAsia="cs-CZ"/>
              </w:rPr>
              <w:t>N02CD01</w:t>
            </w:r>
            <w:r w:rsidRPr="0009250B">
              <w:rPr>
                <w:rFonts w:ascii="Arial" w:hAnsi="Arial" w:cs="Arial"/>
                <w:b/>
                <w:sz w:val="20"/>
                <w:szCs w:val="20"/>
                <w:lang w:eastAsia="cs-CZ"/>
              </w:rPr>
              <w:t xml:space="preserve">  </w:t>
            </w:r>
          </w:p>
        </w:tc>
        <w:tc>
          <w:tcPr>
            <w:tcW w:w="9355" w:type="dxa"/>
            <w:tcBorders>
              <w:bottom w:val="single" w:sz="4" w:space="0" w:color="auto"/>
            </w:tcBorders>
            <w:noWrap/>
          </w:tcPr>
          <w:p w14:paraId="68A1E16E" w14:textId="77777777" w:rsidR="00BD4717" w:rsidRPr="0009250B" w:rsidRDefault="00BD4717" w:rsidP="00BD4717">
            <w:pPr>
              <w:jc w:val="both"/>
              <w:rPr>
                <w:rFonts w:ascii="Arial" w:hAnsi="Arial" w:cs="Arial"/>
                <w:b/>
                <w:sz w:val="20"/>
                <w:szCs w:val="20"/>
              </w:rPr>
            </w:pPr>
            <w:r w:rsidRPr="003442D6">
              <w:rPr>
                <w:rFonts w:ascii="Arial" w:hAnsi="Arial" w:cs="Arial"/>
                <w:b/>
                <w:sz w:val="20"/>
                <w:szCs w:val="20"/>
              </w:rPr>
              <w:t>Erenumab s.c.</w:t>
            </w:r>
            <w:r>
              <w:rPr>
                <w:rFonts w:ascii="Arial" w:hAnsi="Arial" w:cs="Arial"/>
                <w:b/>
                <w:sz w:val="20"/>
                <w:szCs w:val="20"/>
              </w:rPr>
              <w:t xml:space="preserve"> 140 mg</w:t>
            </w:r>
          </w:p>
        </w:tc>
      </w:tr>
      <w:tr w:rsidR="00BD4717" w:rsidRPr="0000591E" w14:paraId="51E2331A" w14:textId="77777777" w:rsidTr="006547A3">
        <w:trPr>
          <w:trHeight w:val="20"/>
        </w:trPr>
        <w:tc>
          <w:tcPr>
            <w:tcW w:w="1277" w:type="dxa"/>
            <w:tcBorders>
              <w:top w:val="single" w:sz="4" w:space="0" w:color="auto"/>
              <w:bottom w:val="single" w:sz="4" w:space="0" w:color="BFBFBF" w:themeColor="background1" w:themeShade="BF"/>
            </w:tcBorders>
            <w:noWrap/>
          </w:tcPr>
          <w:p w14:paraId="597FAA72" w14:textId="77777777" w:rsidR="00BD4717" w:rsidRPr="0009250B"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1BAAEA2"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Hradená liečba sa môže indikovať na profylaxiu migrény u dospelých pacientov, ktorí majú minimálne 8 dní migrény za mesiac pri splnení nasledujúcich kritérií: </w:t>
            </w:r>
          </w:p>
          <w:p w14:paraId="41CA40D0" w14:textId="77777777" w:rsidR="00BD4717" w:rsidRPr="003442D6" w:rsidRDefault="00BD4717" w:rsidP="00BD4717">
            <w:pPr>
              <w:jc w:val="both"/>
              <w:rPr>
                <w:rFonts w:ascii="Arial" w:hAnsi="Arial" w:cs="Arial"/>
                <w:sz w:val="20"/>
                <w:szCs w:val="20"/>
              </w:rPr>
            </w:pPr>
          </w:p>
          <w:p w14:paraId="07253BBD"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a) spĺňajú kritériá pre začatie profylaktickej liečby migrény podľa odporúčaní EHF (European Headache Federation) a </w:t>
            </w:r>
          </w:p>
          <w:p w14:paraId="2FB2B9DA"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b) predchádzajúca liečba minimálne tromi účinnými látkami na profylaxiu migrény bola nedostatočne účinná alebo kontraindikovaná alebo pri nej došlo k výskytu nežiaducich reakcií alebo intolerancie/neznášanlivosti.  </w:t>
            </w:r>
          </w:p>
          <w:p w14:paraId="7690A474" w14:textId="77777777" w:rsidR="00BD4717" w:rsidRPr="003442D6" w:rsidRDefault="00BD4717" w:rsidP="00BD4717">
            <w:pPr>
              <w:jc w:val="both"/>
              <w:rPr>
                <w:rFonts w:ascii="Arial" w:hAnsi="Arial" w:cs="Arial"/>
                <w:sz w:val="20"/>
                <w:szCs w:val="20"/>
              </w:rPr>
            </w:pPr>
          </w:p>
          <w:p w14:paraId="2601E230"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Ak sa po 3 mesiacoch od začatia podávania erenumabu nedosiahne redukcia počtu migrenóznych dní o aspoň 50 % v porovnaní so stavom pred začatím liečby erenumabom, ďalšia liečba nie je hradenou liečbou.  </w:t>
            </w:r>
          </w:p>
          <w:p w14:paraId="314F2295" w14:textId="77777777" w:rsidR="00BD4717" w:rsidRPr="003442D6" w:rsidRDefault="00BD4717" w:rsidP="00BD4717">
            <w:pPr>
              <w:jc w:val="both"/>
              <w:rPr>
                <w:rFonts w:ascii="Arial" w:hAnsi="Arial" w:cs="Arial"/>
                <w:sz w:val="20"/>
                <w:szCs w:val="20"/>
              </w:rPr>
            </w:pPr>
          </w:p>
          <w:p w14:paraId="43EE6B1F"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Prehodnotenie liečby sa odporúča každých 6 mesiacov. Ak pacient v dvoch po sebe idúcich mesiacoch nedosiahne redukciu počtu migrenóznych dní o aspoň 50 % v porovnaní so stavom pred začatím liečby erenumabom, ďalšia liečba nie je hradenou liečbou. </w:t>
            </w:r>
          </w:p>
          <w:p w14:paraId="2C90588F" w14:textId="77777777" w:rsidR="00BD4717" w:rsidRPr="003442D6" w:rsidRDefault="00BD4717" w:rsidP="00BD4717">
            <w:pPr>
              <w:jc w:val="both"/>
              <w:rPr>
                <w:rFonts w:ascii="Arial" w:hAnsi="Arial" w:cs="Arial"/>
                <w:sz w:val="20"/>
                <w:szCs w:val="20"/>
              </w:rPr>
            </w:pPr>
          </w:p>
          <w:p w14:paraId="3FB30561" w14:textId="308F85F0" w:rsidR="00BD4717" w:rsidRPr="0009250B" w:rsidRDefault="00BD4717" w:rsidP="00E92B48">
            <w:pPr>
              <w:jc w:val="both"/>
              <w:rPr>
                <w:rFonts w:ascii="Arial" w:hAnsi="Arial" w:cs="Arial"/>
                <w:sz w:val="20"/>
                <w:szCs w:val="20"/>
              </w:rPr>
            </w:pPr>
            <w:r w:rsidRPr="003442D6">
              <w:rPr>
                <w:rFonts w:ascii="Arial" w:hAnsi="Arial" w:cs="Arial"/>
                <w:sz w:val="20"/>
                <w:szCs w:val="20"/>
              </w:rPr>
              <w:t>Hradená liečba podlieha predchádzajúcemu súhlasu zdravotnej poisťovne.</w:t>
            </w:r>
          </w:p>
        </w:tc>
      </w:tr>
      <w:tr w:rsidR="00BD4717" w:rsidRPr="0000591E" w14:paraId="59E3CD5B" w14:textId="77777777" w:rsidTr="006547A3">
        <w:trPr>
          <w:trHeight w:val="20"/>
        </w:trPr>
        <w:tc>
          <w:tcPr>
            <w:tcW w:w="1277" w:type="dxa"/>
            <w:tcBorders>
              <w:bottom w:val="single" w:sz="4" w:space="0" w:color="auto"/>
            </w:tcBorders>
            <w:noWrap/>
          </w:tcPr>
          <w:p w14:paraId="6DCF569E" w14:textId="77777777" w:rsidR="00BD4717" w:rsidRPr="0009250B" w:rsidRDefault="00BD4717" w:rsidP="00BD4717">
            <w:pPr>
              <w:jc w:val="both"/>
              <w:rPr>
                <w:rFonts w:ascii="Arial" w:hAnsi="Arial" w:cs="Arial"/>
                <w:b/>
                <w:sz w:val="20"/>
                <w:szCs w:val="20"/>
                <w:lang w:eastAsia="cs-CZ"/>
              </w:rPr>
            </w:pPr>
            <w:r w:rsidRPr="00C63069">
              <w:rPr>
                <w:rFonts w:ascii="Arial" w:hAnsi="Arial" w:cs="Arial"/>
                <w:b/>
                <w:sz w:val="20"/>
                <w:szCs w:val="20"/>
                <w:lang w:eastAsia="cs-CZ"/>
              </w:rPr>
              <w:t>N02CD02</w:t>
            </w:r>
          </w:p>
        </w:tc>
        <w:tc>
          <w:tcPr>
            <w:tcW w:w="9355" w:type="dxa"/>
            <w:tcBorders>
              <w:bottom w:val="single" w:sz="4" w:space="0" w:color="auto"/>
            </w:tcBorders>
            <w:noWrap/>
          </w:tcPr>
          <w:p w14:paraId="463AD400" w14:textId="77777777" w:rsidR="00BD4717" w:rsidRPr="0009250B" w:rsidRDefault="00BD4717" w:rsidP="00BD4717">
            <w:pPr>
              <w:jc w:val="both"/>
              <w:rPr>
                <w:rFonts w:ascii="Arial" w:hAnsi="Arial" w:cs="Arial"/>
                <w:sz w:val="20"/>
                <w:szCs w:val="20"/>
              </w:rPr>
            </w:pPr>
            <w:r w:rsidRPr="0009250B">
              <w:rPr>
                <w:rFonts w:ascii="Arial" w:hAnsi="Arial" w:cs="Arial"/>
                <w:b/>
                <w:sz w:val="20"/>
                <w:szCs w:val="20"/>
              </w:rPr>
              <w:t>Galkanezumab</w:t>
            </w:r>
            <w:r>
              <w:rPr>
                <w:rFonts w:ascii="Arial" w:hAnsi="Arial" w:cs="Arial"/>
                <w:b/>
                <w:sz w:val="20"/>
                <w:szCs w:val="20"/>
              </w:rPr>
              <w:t xml:space="preserve"> </w:t>
            </w:r>
            <w:r w:rsidRPr="005C6FC3">
              <w:rPr>
                <w:rFonts w:ascii="Arial" w:hAnsi="Arial" w:cs="Arial"/>
                <w:b/>
                <w:sz w:val="20"/>
                <w:szCs w:val="20"/>
              </w:rPr>
              <w:t>s.c. 120 mg</w:t>
            </w:r>
          </w:p>
        </w:tc>
      </w:tr>
      <w:tr w:rsidR="00BD4717" w:rsidRPr="0000591E" w14:paraId="4A93665D" w14:textId="77777777" w:rsidTr="006547A3">
        <w:trPr>
          <w:trHeight w:val="20"/>
        </w:trPr>
        <w:tc>
          <w:tcPr>
            <w:tcW w:w="1277" w:type="dxa"/>
            <w:tcBorders>
              <w:top w:val="single" w:sz="4" w:space="0" w:color="auto"/>
              <w:bottom w:val="single" w:sz="4" w:space="0" w:color="BFBFBF" w:themeColor="background1" w:themeShade="BF"/>
            </w:tcBorders>
            <w:noWrap/>
          </w:tcPr>
          <w:p w14:paraId="1349EF3B" w14:textId="77777777" w:rsidR="00BD4717" w:rsidRDefault="00BD4717" w:rsidP="00BD4717">
            <w:pPr>
              <w:jc w:val="both"/>
              <w:rPr>
                <w:rFonts w:ascii="Arial" w:hAnsi="Arial" w:cs="Arial"/>
                <w:b/>
                <w:sz w:val="20"/>
                <w:szCs w:val="20"/>
                <w:lang w:eastAsia="cs-CZ"/>
              </w:rPr>
            </w:pPr>
          </w:p>
          <w:p w14:paraId="166B75BD" w14:textId="77777777" w:rsidR="00BD4717" w:rsidRDefault="00BD4717" w:rsidP="00BD4717">
            <w:pPr>
              <w:jc w:val="both"/>
              <w:rPr>
                <w:rFonts w:ascii="Arial" w:hAnsi="Arial" w:cs="Arial"/>
                <w:b/>
                <w:sz w:val="20"/>
                <w:szCs w:val="20"/>
                <w:lang w:eastAsia="cs-CZ"/>
              </w:rPr>
            </w:pPr>
          </w:p>
          <w:p w14:paraId="33909C31" w14:textId="77777777" w:rsidR="00BD4717" w:rsidRDefault="00BD4717" w:rsidP="00BD4717">
            <w:pPr>
              <w:jc w:val="both"/>
              <w:rPr>
                <w:rFonts w:ascii="Arial" w:hAnsi="Arial" w:cs="Arial"/>
                <w:b/>
                <w:sz w:val="20"/>
                <w:szCs w:val="20"/>
                <w:lang w:eastAsia="cs-CZ"/>
              </w:rPr>
            </w:pPr>
          </w:p>
          <w:p w14:paraId="4DC4D70C" w14:textId="77777777" w:rsidR="00BD4717" w:rsidRDefault="00BD4717" w:rsidP="00BD4717">
            <w:pPr>
              <w:jc w:val="both"/>
              <w:rPr>
                <w:rFonts w:ascii="Arial" w:hAnsi="Arial" w:cs="Arial"/>
                <w:b/>
                <w:sz w:val="20"/>
                <w:szCs w:val="20"/>
                <w:lang w:eastAsia="cs-CZ"/>
              </w:rPr>
            </w:pPr>
          </w:p>
          <w:p w14:paraId="137AB9A2" w14:textId="77777777" w:rsidR="00BD4717" w:rsidRPr="0031545F" w:rsidRDefault="00BD4717" w:rsidP="00BD4717">
            <w:pPr>
              <w:jc w:val="both"/>
              <w:rPr>
                <w:rFonts w:ascii="Arial" w:hAnsi="Arial" w:cs="Arial"/>
                <w:b/>
                <w:sz w:val="20"/>
                <w:szCs w:val="20"/>
                <w:lang w:eastAsia="cs-CZ"/>
              </w:rPr>
            </w:pPr>
            <w:r>
              <w:rPr>
                <w:rFonts w:ascii="Arial" w:hAnsi="Arial" w:cs="Arial"/>
                <w:b/>
                <w:sz w:val="20"/>
                <w:szCs w:val="20"/>
                <w:lang w:eastAsia="cs-CZ"/>
              </w:rPr>
              <w:t xml:space="preserve"> </w:t>
            </w:r>
          </w:p>
        </w:tc>
        <w:tc>
          <w:tcPr>
            <w:tcW w:w="9355" w:type="dxa"/>
            <w:tcBorders>
              <w:top w:val="single" w:sz="4" w:space="0" w:color="auto"/>
              <w:bottom w:val="single" w:sz="4" w:space="0" w:color="BFBFBF" w:themeColor="background1" w:themeShade="BF"/>
            </w:tcBorders>
            <w:noWrap/>
          </w:tcPr>
          <w:p w14:paraId="66304042"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 xml:space="preserve">Hradená liečba sa môže indikovať na profylaxiu migrény u dospelých pacientov, ktorí majú minimálne 8 dní migrény za mesiac pri splnení nasledujúcich kritérií: </w:t>
            </w:r>
          </w:p>
          <w:p w14:paraId="641E1DF5"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 xml:space="preserve">a) spĺňajú kritériá pre začatie profylaktickej liečby migrény podľa odporúčaní EHF (European Headache Federation) a </w:t>
            </w:r>
          </w:p>
          <w:p w14:paraId="7270351D" w14:textId="77777777" w:rsidR="00BD4717" w:rsidRDefault="00BD4717" w:rsidP="00BD4717">
            <w:pPr>
              <w:jc w:val="both"/>
              <w:rPr>
                <w:rFonts w:ascii="Arial" w:hAnsi="Arial" w:cs="Arial"/>
                <w:sz w:val="20"/>
                <w:szCs w:val="20"/>
              </w:rPr>
            </w:pPr>
            <w:r w:rsidRPr="0009250B">
              <w:rPr>
                <w:rFonts w:ascii="Arial" w:hAnsi="Arial" w:cs="Arial"/>
                <w:sz w:val="20"/>
                <w:szCs w:val="20"/>
              </w:rPr>
              <w:t>b) predchádzajúca liečba minimálne tromi účinnými látkami na profylaxiu migrény bola nedostatočne účinná alebo kontraindikovaná alebo pri nej došlo k výskytu nežiaducich reakcií aleb</w:t>
            </w:r>
            <w:r>
              <w:rPr>
                <w:rFonts w:ascii="Arial" w:hAnsi="Arial" w:cs="Arial"/>
                <w:sz w:val="20"/>
                <w:szCs w:val="20"/>
              </w:rPr>
              <w:t>o intolerancie/neznášanlivosti.</w:t>
            </w:r>
          </w:p>
          <w:p w14:paraId="55B29611" w14:textId="77777777" w:rsidR="00BD4717" w:rsidRPr="0009250B" w:rsidRDefault="00BD4717" w:rsidP="00BD4717">
            <w:pPr>
              <w:jc w:val="both"/>
              <w:rPr>
                <w:rFonts w:ascii="Arial" w:hAnsi="Arial" w:cs="Arial"/>
                <w:sz w:val="20"/>
                <w:szCs w:val="20"/>
              </w:rPr>
            </w:pPr>
          </w:p>
          <w:p w14:paraId="441E465E"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Ak sa po 3 mesiacoch od začatia podávania galkanezumabu nedosiahne redukcia počtu migrenóznych dní o aspoň 50 % v porovnaní so stavom pred začatím liečby galkanezumabom, ďalšia liečba nie je hradenou liečbou.</w:t>
            </w:r>
          </w:p>
          <w:p w14:paraId="587E5E23"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 xml:space="preserve">Prehodnotenie liečby sa odporúča každých 6 mesiacov. Ak pacient v dvoch po sebe idúcich mesiacoch nedosiahne redukciu počtu migrenóznych dní o aspoň 50 % v porovnaní so stavom pred začatím liečby galkanezumabom, ďalšia liečba nie je hradenou liečbou. </w:t>
            </w:r>
          </w:p>
          <w:p w14:paraId="02EE4454" w14:textId="77777777" w:rsidR="00BD4717" w:rsidRPr="0009250B" w:rsidRDefault="00BD4717" w:rsidP="00BD4717">
            <w:pPr>
              <w:jc w:val="both"/>
              <w:rPr>
                <w:rFonts w:ascii="Arial" w:hAnsi="Arial" w:cs="Arial"/>
                <w:sz w:val="20"/>
                <w:szCs w:val="20"/>
              </w:rPr>
            </w:pPr>
          </w:p>
          <w:p w14:paraId="473DAE48" w14:textId="34C7BB38" w:rsidR="00BD4717" w:rsidRDefault="00BD4717" w:rsidP="00BD4717">
            <w:pPr>
              <w:jc w:val="both"/>
              <w:rPr>
                <w:rFonts w:ascii="Arial" w:hAnsi="Arial" w:cs="Arial"/>
                <w:sz w:val="20"/>
                <w:szCs w:val="20"/>
              </w:rPr>
            </w:pPr>
            <w:r w:rsidRPr="0009250B">
              <w:rPr>
                <w:rFonts w:ascii="Arial" w:hAnsi="Arial" w:cs="Arial"/>
                <w:sz w:val="20"/>
                <w:szCs w:val="20"/>
              </w:rPr>
              <w:t>Hradená liečba podlieha predchádzajúcemu súhlasu zdravotnej poisťovne.</w:t>
            </w:r>
          </w:p>
          <w:p w14:paraId="3AB19AFB" w14:textId="0258CD32" w:rsidR="00BD4717" w:rsidRPr="0031545F" w:rsidRDefault="00BD4717" w:rsidP="00BD4717">
            <w:pPr>
              <w:jc w:val="both"/>
              <w:rPr>
                <w:rFonts w:ascii="Arial" w:hAnsi="Arial" w:cs="Arial"/>
                <w:sz w:val="20"/>
                <w:szCs w:val="20"/>
              </w:rPr>
            </w:pPr>
          </w:p>
        </w:tc>
      </w:tr>
      <w:tr w:rsidR="00BD4717" w:rsidRPr="0000591E" w14:paraId="60D4A492" w14:textId="77777777" w:rsidTr="006547A3">
        <w:trPr>
          <w:trHeight w:val="20"/>
        </w:trPr>
        <w:tc>
          <w:tcPr>
            <w:tcW w:w="1277" w:type="dxa"/>
            <w:tcBorders>
              <w:bottom w:val="single" w:sz="4" w:space="0" w:color="auto"/>
            </w:tcBorders>
            <w:noWrap/>
          </w:tcPr>
          <w:p w14:paraId="13CAD168" w14:textId="77777777" w:rsidR="00BD4717" w:rsidRDefault="00BD4717" w:rsidP="00BD4717">
            <w:pPr>
              <w:jc w:val="both"/>
              <w:rPr>
                <w:rFonts w:ascii="Arial" w:hAnsi="Arial" w:cs="Arial"/>
                <w:b/>
                <w:sz w:val="20"/>
                <w:szCs w:val="20"/>
                <w:lang w:eastAsia="cs-CZ"/>
              </w:rPr>
            </w:pPr>
            <w:r>
              <w:rPr>
                <w:rFonts w:ascii="Arial" w:hAnsi="Arial" w:cs="Arial"/>
                <w:b/>
                <w:sz w:val="20"/>
                <w:szCs w:val="20"/>
                <w:lang w:eastAsia="cs-CZ"/>
              </w:rPr>
              <w:t xml:space="preserve">N02CD03       </w:t>
            </w:r>
          </w:p>
        </w:tc>
        <w:tc>
          <w:tcPr>
            <w:tcW w:w="9355" w:type="dxa"/>
            <w:tcBorders>
              <w:bottom w:val="single" w:sz="4" w:space="0" w:color="auto"/>
            </w:tcBorders>
            <w:noWrap/>
          </w:tcPr>
          <w:p w14:paraId="66D05187" w14:textId="77777777" w:rsidR="00BD4717" w:rsidRPr="008447C0" w:rsidRDefault="00BD4717" w:rsidP="00BD4717">
            <w:pPr>
              <w:jc w:val="both"/>
              <w:rPr>
                <w:rFonts w:ascii="Arial" w:hAnsi="Arial" w:cs="Arial"/>
                <w:b/>
                <w:sz w:val="20"/>
                <w:szCs w:val="20"/>
              </w:rPr>
            </w:pPr>
            <w:r w:rsidRPr="008447C0">
              <w:rPr>
                <w:rFonts w:ascii="Arial" w:hAnsi="Arial" w:cs="Arial"/>
                <w:b/>
                <w:sz w:val="20"/>
                <w:szCs w:val="20"/>
              </w:rPr>
              <w:t>Fremanezumab s.c. 225 mg</w:t>
            </w:r>
          </w:p>
        </w:tc>
      </w:tr>
      <w:tr w:rsidR="00BD4717" w:rsidRPr="0000591E" w14:paraId="4E12CA1E" w14:textId="77777777" w:rsidTr="006547A3">
        <w:trPr>
          <w:trHeight w:val="20"/>
        </w:trPr>
        <w:tc>
          <w:tcPr>
            <w:tcW w:w="1277" w:type="dxa"/>
            <w:tcBorders>
              <w:top w:val="single" w:sz="4" w:space="0" w:color="auto"/>
              <w:bottom w:val="single" w:sz="4" w:space="0" w:color="BFBFBF" w:themeColor="background1" w:themeShade="BF"/>
            </w:tcBorders>
            <w:noWrap/>
          </w:tcPr>
          <w:p w14:paraId="5F642465"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F94B580"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Hradená liečba sa môže indikovať na profylaxiu migrény u dospelých pacientov, ktorí majú minimálne 8 dní migrény za mesiac pri splnení nasledujúcich kritérií:  </w:t>
            </w:r>
          </w:p>
          <w:p w14:paraId="2703B58F"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5459026B"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a) spĺňajú kritériá pre začatie profylaktickej liečby migrény podľa odporúčaní EHF (European Headache Federation) a  </w:t>
            </w:r>
          </w:p>
          <w:p w14:paraId="75BEAA0B"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2E8E6CC5"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b) predchádzajúca liečba minimálne tromi účinnými látkami na profylaxiu migrény bola nedostatočne účinná alebo kontraindikovaná alebo pri nej došlo k výskytu nežiaducich reakcií alebo intolerancie/neznášanlivosti.  </w:t>
            </w:r>
          </w:p>
          <w:p w14:paraId="28EF9650"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0A663F40"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Ak sa po 3 mesiacoch od začatia podávania fremanezumabu nedosiahne redukcia počtu migrenóznych dní o aspoň 50 % v porovnaní so stavom pred začatím liečby fremanezumabom, ďalšia liečba nie je hradenou liečbou.  </w:t>
            </w:r>
          </w:p>
          <w:p w14:paraId="0F9538F8"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6AB736D7"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Prehodnotenie liečby sa odporúča každých 6 mesiacov. Ak pacient v dvoch po sebe idúcich mesiacoch nedosiahne redukciu počtu migrenóznych dní o aspoň 50 % v porovnaní so stavom pred začatím liečby fremanezumabom, ďalšia liečba nie je hradenou liečbou.  </w:t>
            </w:r>
          </w:p>
          <w:p w14:paraId="11BFD184"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008D5C08" w14:textId="77777777" w:rsidR="00BD4717" w:rsidRDefault="00BD4717" w:rsidP="00BD4717">
            <w:pPr>
              <w:jc w:val="both"/>
              <w:rPr>
                <w:rFonts w:ascii="Arial" w:hAnsi="Arial" w:cs="Arial"/>
                <w:sz w:val="20"/>
                <w:szCs w:val="20"/>
              </w:rPr>
            </w:pPr>
            <w:r w:rsidRPr="00F47375">
              <w:rPr>
                <w:rFonts w:ascii="Arial" w:hAnsi="Arial" w:cs="Arial"/>
                <w:sz w:val="20"/>
                <w:szCs w:val="20"/>
              </w:rPr>
              <w:t>Hradená liečba podlieha predchádzajúcemu súhlasu zdravotnej poisťovne.</w:t>
            </w:r>
          </w:p>
          <w:p w14:paraId="1FD51EFE" w14:textId="267FC6BE" w:rsidR="00BD4717" w:rsidRPr="00F47375" w:rsidRDefault="00BD4717" w:rsidP="00BD4717">
            <w:pPr>
              <w:jc w:val="both"/>
              <w:rPr>
                <w:rFonts w:ascii="Arial" w:hAnsi="Arial" w:cs="Arial"/>
                <w:sz w:val="20"/>
                <w:szCs w:val="20"/>
              </w:rPr>
            </w:pPr>
          </w:p>
        </w:tc>
      </w:tr>
      <w:tr w:rsidR="00BD4717" w:rsidRPr="0000591E" w14:paraId="55CCA6FB" w14:textId="77777777" w:rsidTr="006547A3">
        <w:trPr>
          <w:trHeight w:val="20"/>
        </w:trPr>
        <w:tc>
          <w:tcPr>
            <w:tcW w:w="1277" w:type="dxa"/>
            <w:tcBorders>
              <w:bottom w:val="single" w:sz="4" w:space="0" w:color="auto"/>
            </w:tcBorders>
            <w:noWrap/>
          </w:tcPr>
          <w:p w14:paraId="04A0BEB0" w14:textId="77777777" w:rsidR="00BD4717" w:rsidRPr="00485804" w:rsidRDefault="00BD4717" w:rsidP="00BD4717">
            <w:pPr>
              <w:jc w:val="both"/>
              <w:rPr>
                <w:rFonts w:ascii="Arial" w:hAnsi="Arial" w:cs="Arial"/>
                <w:b/>
                <w:sz w:val="20"/>
                <w:szCs w:val="20"/>
                <w:lang w:eastAsia="cs-CZ"/>
              </w:rPr>
            </w:pPr>
            <w:r>
              <w:rPr>
                <w:rFonts w:ascii="Arial" w:hAnsi="Arial" w:cs="Arial"/>
                <w:b/>
                <w:sz w:val="20"/>
                <w:szCs w:val="20"/>
                <w:lang w:eastAsia="cs-CZ"/>
              </w:rPr>
              <w:t>N02CD05</w:t>
            </w:r>
          </w:p>
        </w:tc>
        <w:tc>
          <w:tcPr>
            <w:tcW w:w="9355" w:type="dxa"/>
            <w:tcBorders>
              <w:bottom w:val="single" w:sz="4" w:space="0" w:color="auto"/>
            </w:tcBorders>
            <w:noWrap/>
          </w:tcPr>
          <w:p w14:paraId="25C01AB0" w14:textId="77777777" w:rsidR="00BD4717" w:rsidRPr="00485804" w:rsidRDefault="00BD4717" w:rsidP="00BD4717">
            <w:pPr>
              <w:jc w:val="both"/>
              <w:rPr>
                <w:rFonts w:ascii="Arial" w:hAnsi="Arial" w:cs="Arial"/>
                <w:b/>
                <w:sz w:val="20"/>
                <w:szCs w:val="20"/>
              </w:rPr>
            </w:pPr>
            <w:r w:rsidRPr="008F4C5E">
              <w:rPr>
                <w:rFonts w:ascii="Arial" w:hAnsi="Arial" w:cs="Arial"/>
                <w:b/>
                <w:sz w:val="20"/>
                <w:szCs w:val="20"/>
              </w:rPr>
              <w:t>Eptinezumab</w:t>
            </w:r>
            <w:r>
              <w:rPr>
                <w:rFonts w:ascii="Arial" w:hAnsi="Arial" w:cs="Arial"/>
                <w:b/>
                <w:sz w:val="20"/>
                <w:szCs w:val="20"/>
              </w:rPr>
              <w:t xml:space="preserve"> parent. 100 mg</w:t>
            </w:r>
          </w:p>
        </w:tc>
      </w:tr>
      <w:tr w:rsidR="00BD4717" w:rsidRPr="0000591E" w14:paraId="7E9E2979" w14:textId="77777777" w:rsidTr="006547A3">
        <w:trPr>
          <w:trHeight w:val="20"/>
        </w:trPr>
        <w:tc>
          <w:tcPr>
            <w:tcW w:w="1277" w:type="dxa"/>
            <w:tcBorders>
              <w:top w:val="single" w:sz="4" w:space="0" w:color="auto"/>
              <w:bottom w:val="single" w:sz="4" w:space="0" w:color="BFBFBF" w:themeColor="background1" w:themeShade="BF"/>
            </w:tcBorders>
            <w:noWrap/>
          </w:tcPr>
          <w:p w14:paraId="272ECB3E" w14:textId="77777777" w:rsidR="00BD4717" w:rsidRPr="00485804"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4937DE1E"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Hradená liečba sa môže indikovať na profylaxiu migrény u dospelých pacientov, ktorí majú minimálne 8 dn</w:t>
            </w:r>
            <w:r>
              <w:rPr>
                <w:rFonts w:ascii="Arial" w:hAnsi="Arial" w:cs="Arial"/>
                <w:sz w:val="20"/>
                <w:szCs w:val="20"/>
              </w:rPr>
              <w:t xml:space="preserve">í migrény za mesiac pri splnení </w:t>
            </w:r>
            <w:r w:rsidRPr="008F4C5E">
              <w:rPr>
                <w:rFonts w:ascii="Arial" w:hAnsi="Arial" w:cs="Arial"/>
                <w:sz w:val="20"/>
                <w:szCs w:val="20"/>
              </w:rPr>
              <w:t>nasledujúcich kritérií:</w:t>
            </w:r>
          </w:p>
          <w:p w14:paraId="7F510182"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a) spĺňajú kritériá pre začatie profylaktickej liečby migrény podľa odporúčaní EHF (European Headache Federation) a</w:t>
            </w:r>
          </w:p>
          <w:p w14:paraId="61B3C58C"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b) predchádzajúca liečba minimálne tromi účinnými látkami na profylaxiu migrény bola nedostatočne účinná a</w:t>
            </w:r>
            <w:r>
              <w:rPr>
                <w:rFonts w:ascii="Arial" w:hAnsi="Arial" w:cs="Arial"/>
                <w:sz w:val="20"/>
                <w:szCs w:val="20"/>
              </w:rPr>
              <w:t xml:space="preserve">lebo kontraindikovaná alebo pri </w:t>
            </w:r>
            <w:r w:rsidRPr="008F4C5E">
              <w:rPr>
                <w:rFonts w:ascii="Arial" w:hAnsi="Arial" w:cs="Arial"/>
                <w:sz w:val="20"/>
                <w:szCs w:val="20"/>
              </w:rPr>
              <w:t>nej došlo k výskytu nežiaducich reakcií alebo intolerancie/neznášanlivosti.</w:t>
            </w:r>
          </w:p>
          <w:p w14:paraId="659754AA"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Ak sa po 3 mesiacoch od začatia podávania eptinezumabu nedosiahne redukcia počtu migrenóznych dní o aspoň 50 % v porovnaní so stavom</w:t>
            </w:r>
            <w:r>
              <w:rPr>
                <w:rFonts w:ascii="Arial" w:hAnsi="Arial" w:cs="Arial"/>
                <w:sz w:val="20"/>
                <w:szCs w:val="20"/>
              </w:rPr>
              <w:t xml:space="preserve"> </w:t>
            </w:r>
            <w:r w:rsidRPr="008F4C5E">
              <w:rPr>
                <w:rFonts w:ascii="Arial" w:hAnsi="Arial" w:cs="Arial"/>
                <w:sz w:val="20"/>
                <w:szCs w:val="20"/>
              </w:rPr>
              <w:t>pred začatím liečby, ďalšia liečba nie je hradenou liečbou.</w:t>
            </w:r>
          </w:p>
          <w:p w14:paraId="7997DC8A" w14:textId="77777777" w:rsidR="00BD4717" w:rsidRDefault="00BD4717" w:rsidP="00BD4717">
            <w:pPr>
              <w:jc w:val="both"/>
              <w:rPr>
                <w:rFonts w:ascii="Arial" w:hAnsi="Arial" w:cs="Arial"/>
                <w:sz w:val="20"/>
                <w:szCs w:val="20"/>
              </w:rPr>
            </w:pPr>
            <w:r w:rsidRPr="008F4C5E">
              <w:rPr>
                <w:rFonts w:ascii="Arial" w:hAnsi="Arial" w:cs="Arial"/>
                <w:sz w:val="20"/>
                <w:szCs w:val="20"/>
              </w:rPr>
              <w:t xml:space="preserve">Prehodnotenie liečby sa odporúča každých 6 mesiacov. </w:t>
            </w:r>
          </w:p>
          <w:p w14:paraId="2E8715CA" w14:textId="77777777" w:rsidR="00BD4717" w:rsidRDefault="00BD4717" w:rsidP="00BD4717">
            <w:pPr>
              <w:jc w:val="both"/>
              <w:rPr>
                <w:rFonts w:ascii="Arial" w:hAnsi="Arial" w:cs="Arial"/>
                <w:sz w:val="20"/>
                <w:szCs w:val="20"/>
              </w:rPr>
            </w:pPr>
            <w:r w:rsidRPr="008F4C5E">
              <w:rPr>
                <w:rFonts w:ascii="Arial" w:hAnsi="Arial" w:cs="Arial"/>
                <w:sz w:val="20"/>
                <w:szCs w:val="20"/>
              </w:rPr>
              <w:t>Ak pacient v dvoch po sebe idúcich mesiacoch nedosiahne redukciu počtu</w:t>
            </w:r>
            <w:r>
              <w:rPr>
                <w:rFonts w:ascii="Arial" w:hAnsi="Arial" w:cs="Arial"/>
                <w:sz w:val="20"/>
                <w:szCs w:val="20"/>
              </w:rPr>
              <w:t xml:space="preserve"> </w:t>
            </w:r>
            <w:r w:rsidRPr="008F4C5E">
              <w:rPr>
                <w:rFonts w:ascii="Arial" w:hAnsi="Arial" w:cs="Arial"/>
                <w:sz w:val="20"/>
                <w:szCs w:val="20"/>
              </w:rPr>
              <w:t>migrenóznych dní o aspoň 50 % v porovnaní so stavom pred začatím liečby, ďalšia liečba nie je hradenou liečbou. Liečba je hradená v</w:t>
            </w:r>
            <w:r>
              <w:rPr>
                <w:rFonts w:ascii="Arial" w:hAnsi="Arial" w:cs="Arial"/>
                <w:sz w:val="20"/>
                <w:szCs w:val="20"/>
              </w:rPr>
              <w:t xml:space="preserve"> </w:t>
            </w:r>
            <w:r w:rsidRPr="008F4C5E">
              <w:rPr>
                <w:rFonts w:ascii="Arial" w:hAnsi="Arial" w:cs="Arial"/>
                <w:sz w:val="20"/>
                <w:szCs w:val="20"/>
              </w:rPr>
              <w:t>udržiavacej dávke maximálne 100 mg podávaných intravenóznou infúziou každých 12 týždňov.</w:t>
            </w:r>
          </w:p>
          <w:p w14:paraId="0F5BA6F9" w14:textId="77777777" w:rsidR="00BD4717" w:rsidRPr="008F4C5E" w:rsidRDefault="00BD4717" w:rsidP="00BD4717">
            <w:pPr>
              <w:jc w:val="both"/>
              <w:rPr>
                <w:rFonts w:ascii="Arial" w:hAnsi="Arial" w:cs="Arial"/>
                <w:sz w:val="20"/>
                <w:szCs w:val="20"/>
              </w:rPr>
            </w:pPr>
          </w:p>
          <w:p w14:paraId="71E112A1" w14:textId="77777777" w:rsidR="00BD4717" w:rsidRDefault="00BD4717" w:rsidP="00BD4717">
            <w:pPr>
              <w:jc w:val="both"/>
              <w:rPr>
                <w:rFonts w:ascii="Arial" w:hAnsi="Arial" w:cs="Arial"/>
                <w:sz w:val="20"/>
                <w:szCs w:val="20"/>
              </w:rPr>
            </w:pPr>
            <w:r w:rsidRPr="008F4C5E">
              <w:rPr>
                <w:rFonts w:ascii="Arial" w:hAnsi="Arial" w:cs="Arial"/>
                <w:sz w:val="20"/>
                <w:szCs w:val="20"/>
              </w:rPr>
              <w:t>Hradená liečba podlieha predchádzajúcem</w:t>
            </w:r>
            <w:r>
              <w:rPr>
                <w:rFonts w:ascii="Arial" w:hAnsi="Arial" w:cs="Arial"/>
                <w:sz w:val="20"/>
                <w:szCs w:val="20"/>
              </w:rPr>
              <w:t>u súhlasu zdravotnej poisťovne.</w:t>
            </w:r>
          </w:p>
          <w:p w14:paraId="4891472D" w14:textId="77777777" w:rsidR="00BD4717" w:rsidRDefault="00BD4717" w:rsidP="00BD4717">
            <w:pPr>
              <w:jc w:val="both"/>
              <w:rPr>
                <w:rFonts w:ascii="Arial" w:hAnsi="Arial" w:cs="Arial"/>
                <w:b/>
                <w:sz w:val="20"/>
                <w:szCs w:val="20"/>
              </w:rPr>
            </w:pPr>
          </w:p>
          <w:p w14:paraId="0F15906A" w14:textId="77777777" w:rsidR="006B0423" w:rsidRDefault="006B0423" w:rsidP="00BD4717">
            <w:pPr>
              <w:jc w:val="both"/>
              <w:rPr>
                <w:rFonts w:ascii="Arial" w:hAnsi="Arial" w:cs="Arial"/>
                <w:b/>
                <w:sz w:val="20"/>
                <w:szCs w:val="20"/>
              </w:rPr>
            </w:pPr>
          </w:p>
          <w:p w14:paraId="658C2ABE" w14:textId="77777777" w:rsidR="006B0423" w:rsidRDefault="006B0423" w:rsidP="00BD4717">
            <w:pPr>
              <w:jc w:val="both"/>
              <w:rPr>
                <w:rFonts w:ascii="Arial" w:hAnsi="Arial" w:cs="Arial"/>
                <w:b/>
                <w:sz w:val="20"/>
                <w:szCs w:val="20"/>
              </w:rPr>
            </w:pPr>
          </w:p>
          <w:p w14:paraId="2BB8A26D" w14:textId="77777777" w:rsidR="006B0423" w:rsidRDefault="006B0423" w:rsidP="00BD4717">
            <w:pPr>
              <w:jc w:val="both"/>
              <w:rPr>
                <w:rFonts w:ascii="Arial" w:hAnsi="Arial" w:cs="Arial"/>
                <w:b/>
                <w:sz w:val="20"/>
                <w:szCs w:val="20"/>
              </w:rPr>
            </w:pPr>
          </w:p>
          <w:p w14:paraId="4A2167F6" w14:textId="7D2AE6B1" w:rsidR="006B0423" w:rsidRPr="00485804" w:rsidRDefault="006B0423" w:rsidP="00BD4717">
            <w:pPr>
              <w:jc w:val="both"/>
              <w:rPr>
                <w:rFonts w:ascii="Arial" w:hAnsi="Arial" w:cs="Arial"/>
                <w:b/>
                <w:sz w:val="20"/>
                <w:szCs w:val="20"/>
              </w:rPr>
            </w:pPr>
          </w:p>
        </w:tc>
      </w:tr>
      <w:tr w:rsidR="00BD4717" w:rsidRPr="0000591E" w14:paraId="4799922D" w14:textId="77777777" w:rsidTr="006547A3">
        <w:trPr>
          <w:trHeight w:val="20"/>
        </w:trPr>
        <w:tc>
          <w:tcPr>
            <w:tcW w:w="1277" w:type="dxa"/>
            <w:tcBorders>
              <w:bottom w:val="single" w:sz="4" w:space="0" w:color="auto"/>
            </w:tcBorders>
            <w:noWrap/>
          </w:tcPr>
          <w:p w14:paraId="14A9F062" w14:textId="77777777" w:rsidR="00BD4717" w:rsidRPr="00485804" w:rsidRDefault="00BD4717" w:rsidP="00BD4717">
            <w:pPr>
              <w:jc w:val="both"/>
              <w:rPr>
                <w:rFonts w:ascii="Arial" w:hAnsi="Arial" w:cs="Arial"/>
                <w:b/>
                <w:sz w:val="20"/>
                <w:szCs w:val="20"/>
                <w:lang w:eastAsia="cs-CZ"/>
              </w:rPr>
            </w:pPr>
            <w:r w:rsidRPr="00485804">
              <w:rPr>
                <w:rFonts w:ascii="Arial" w:hAnsi="Arial" w:cs="Arial"/>
                <w:b/>
                <w:sz w:val="20"/>
                <w:szCs w:val="20"/>
                <w:lang w:eastAsia="cs-CZ"/>
              </w:rPr>
              <w:t>N02CD06</w:t>
            </w:r>
          </w:p>
        </w:tc>
        <w:tc>
          <w:tcPr>
            <w:tcW w:w="9355" w:type="dxa"/>
            <w:tcBorders>
              <w:bottom w:val="single" w:sz="4" w:space="0" w:color="auto"/>
            </w:tcBorders>
            <w:noWrap/>
          </w:tcPr>
          <w:p w14:paraId="5677A8F5" w14:textId="77777777" w:rsidR="00BD4717" w:rsidRPr="00485804" w:rsidRDefault="00BD4717" w:rsidP="00BD4717">
            <w:pPr>
              <w:jc w:val="both"/>
              <w:rPr>
                <w:rFonts w:ascii="Arial" w:hAnsi="Arial" w:cs="Arial"/>
                <w:b/>
                <w:sz w:val="20"/>
                <w:szCs w:val="20"/>
              </w:rPr>
            </w:pPr>
            <w:r w:rsidRPr="00485804">
              <w:rPr>
                <w:rFonts w:ascii="Arial" w:hAnsi="Arial" w:cs="Arial"/>
                <w:b/>
                <w:sz w:val="20"/>
                <w:szCs w:val="20"/>
              </w:rPr>
              <w:t>Rimegepant p.o. 75 mg</w:t>
            </w:r>
          </w:p>
        </w:tc>
      </w:tr>
      <w:tr w:rsidR="00BD4717" w:rsidRPr="0000591E" w14:paraId="5A4E1F33" w14:textId="77777777" w:rsidTr="006547A3">
        <w:trPr>
          <w:trHeight w:val="20"/>
        </w:trPr>
        <w:tc>
          <w:tcPr>
            <w:tcW w:w="1277" w:type="dxa"/>
            <w:tcBorders>
              <w:top w:val="single" w:sz="4" w:space="0" w:color="auto"/>
              <w:bottom w:val="single" w:sz="4" w:space="0" w:color="BFBFBF" w:themeColor="background1" w:themeShade="BF"/>
            </w:tcBorders>
            <w:noWrap/>
          </w:tcPr>
          <w:p w14:paraId="698993A6"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E15DFC9"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sidRPr="00C63069">
              <w:rPr>
                <w:rFonts w:ascii="Arial" w:hAnsi="Arial"/>
                <w:color w:val="000000"/>
                <w:sz w:val="20"/>
                <w:u w:color="000000"/>
              </w:rPr>
              <w:t>Hradená liečba sa môže indikovať</w:t>
            </w:r>
            <w:r>
              <w:rPr>
                <w:rFonts w:ascii="Arial" w:hAnsi="Arial"/>
                <w:color w:val="000000"/>
                <w:sz w:val="20"/>
                <w:u w:color="000000"/>
              </w:rPr>
              <w:t>:</w:t>
            </w:r>
          </w:p>
          <w:p w14:paraId="6D7DB029"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Pr>
                <w:rFonts w:ascii="Arial" w:hAnsi="Arial"/>
                <w:color w:val="000000"/>
                <w:sz w:val="20"/>
                <w:u w:color="000000"/>
              </w:rPr>
              <w:t xml:space="preserve">1) </w:t>
            </w:r>
            <w:r w:rsidRPr="00C63069">
              <w:rPr>
                <w:rFonts w:ascii="Arial" w:hAnsi="Arial"/>
                <w:color w:val="000000"/>
                <w:sz w:val="20"/>
                <w:u w:color="000000"/>
              </w:rPr>
              <w:t>u dospelých pacientov na akútnu liečbu migrény s aurou alebo bez nej, u ktorých predchádzajúca liečba všetkými dostupnými triptánmi bola nedostatočne účinná alebo kontraindikovaná alebo ju pacienti netolerovali. Za nedostatočne účinnú liečbu jedným triptánom sa považuje, ak je predmetný triptán neúčinný v liečbe troch po sebe nasledujúcich záchvatov migrény.</w:t>
            </w:r>
          </w:p>
          <w:p w14:paraId="537E01BB" w14:textId="799F7371" w:rsidR="00BD4717" w:rsidRPr="003B37AF" w:rsidRDefault="00BD4717" w:rsidP="00BD4717">
            <w:pPr>
              <w:autoSpaceDE w:val="0"/>
              <w:autoSpaceDN w:val="0"/>
              <w:adjustRightInd w:val="0"/>
              <w:spacing w:line="20" w:lineRule="atLeast"/>
              <w:jc w:val="both"/>
              <w:rPr>
                <w:rFonts w:ascii="Arial" w:hAnsi="Arial"/>
                <w:color w:val="000000"/>
                <w:sz w:val="20"/>
                <w:u w:color="000000"/>
              </w:rPr>
            </w:pPr>
            <w:r w:rsidRPr="003B37AF">
              <w:rPr>
                <w:rFonts w:ascii="Arial" w:hAnsi="Arial"/>
                <w:color w:val="000000"/>
                <w:sz w:val="20"/>
                <w:u w:color="000000"/>
              </w:rPr>
              <w:t xml:space="preserve">2) na preventívnu liečbu migrény u dospelých pacientov, ktorí majú minimálne 8 a maximálne 14 dní migrény </w:t>
            </w:r>
            <w:r>
              <w:rPr>
                <w:rFonts w:ascii="Arial" w:hAnsi="Arial"/>
                <w:color w:val="000000"/>
                <w:sz w:val="20"/>
                <w:u w:color="000000"/>
              </w:rPr>
              <w:t>z</w:t>
            </w:r>
            <w:r w:rsidRPr="003B37AF">
              <w:rPr>
                <w:rFonts w:ascii="Arial" w:hAnsi="Arial"/>
                <w:color w:val="000000"/>
                <w:sz w:val="20"/>
                <w:u w:color="000000"/>
              </w:rPr>
              <w:t>a mesiac pri splnení nasledujúcich kritérií:</w:t>
            </w:r>
          </w:p>
          <w:p w14:paraId="24153EE0" w14:textId="77777777" w:rsidR="00BD4717" w:rsidRPr="003B37AF" w:rsidRDefault="00BD4717" w:rsidP="00BD4717">
            <w:pPr>
              <w:autoSpaceDE w:val="0"/>
              <w:autoSpaceDN w:val="0"/>
              <w:adjustRightInd w:val="0"/>
              <w:spacing w:line="20" w:lineRule="atLeast"/>
              <w:jc w:val="both"/>
              <w:rPr>
                <w:rFonts w:ascii="Arial" w:hAnsi="Arial"/>
                <w:color w:val="000000"/>
                <w:sz w:val="20"/>
                <w:u w:color="000000"/>
              </w:rPr>
            </w:pPr>
          </w:p>
          <w:p w14:paraId="1F84D37D" w14:textId="100BFBC3" w:rsidR="00BD4717" w:rsidRDefault="00BD4717" w:rsidP="00BD4717">
            <w:pPr>
              <w:tabs>
                <w:tab w:val="left" w:pos="319"/>
                <w:tab w:val="left" w:pos="602"/>
              </w:tabs>
              <w:autoSpaceDE w:val="0"/>
              <w:autoSpaceDN w:val="0"/>
              <w:adjustRightInd w:val="0"/>
              <w:jc w:val="both"/>
              <w:rPr>
                <w:rFonts w:ascii="Arial" w:hAnsi="Arial"/>
                <w:color w:val="000000"/>
                <w:sz w:val="20"/>
                <w:u w:color="000000"/>
              </w:rPr>
            </w:pPr>
            <w:r>
              <w:rPr>
                <w:rFonts w:ascii="Arial" w:hAnsi="Arial"/>
                <w:color w:val="000000"/>
                <w:sz w:val="20"/>
                <w:u w:color="000000"/>
              </w:rPr>
              <w:tab/>
            </w:r>
            <w:r w:rsidRPr="003B37AF">
              <w:rPr>
                <w:rFonts w:ascii="Arial" w:hAnsi="Arial"/>
                <w:color w:val="000000"/>
                <w:sz w:val="20"/>
                <w:u w:color="000000"/>
              </w:rPr>
              <w:t>a)</w:t>
            </w:r>
            <w:r>
              <w:rPr>
                <w:rFonts w:ascii="Arial" w:hAnsi="Arial"/>
                <w:color w:val="000000"/>
                <w:sz w:val="20"/>
                <w:u w:color="000000"/>
              </w:rPr>
              <w:tab/>
            </w:r>
            <w:r w:rsidRPr="003B37AF">
              <w:rPr>
                <w:rFonts w:ascii="Arial" w:hAnsi="Arial"/>
                <w:color w:val="000000"/>
                <w:sz w:val="20"/>
                <w:u w:color="000000"/>
              </w:rPr>
              <w:t xml:space="preserve">spĺňajú kritériá pre začatie profylaktickej liečby migrény podľa odporúčaní EHF (European </w:t>
            </w:r>
            <w:r>
              <w:rPr>
                <w:rFonts w:ascii="Arial" w:hAnsi="Arial"/>
                <w:color w:val="000000"/>
                <w:sz w:val="20"/>
                <w:u w:color="000000"/>
              </w:rPr>
              <w:tab/>
            </w:r>
            <w:r>
              <w:rPr>
                <w:rFonts w:ascii="Arial" w:hAnsi="Arial"/>
                <w:color w:val="000000"/>
                <w:sz w:val="20"/>
                <w:u w:color="000000"/>
              </w:rPr>
              <w:tab/>
            </w:r>
            <w:r w:rsidRPr="003B37AF">
              <w:rPr>
                <w:rFonts w:ascii="Arial" w:hAnsi="Arial"/>
                <w:color w:val="000000"/>
                <w:sz w:val="20"/>
                <w:u w:color="000000"/>
              </w:rPr>
              <w:t xml:space="preserve">Headache Federation) a </w:t>
            </w:r>
          </w:p>
          <w:p w14:paraId="538AA925" w14:textId="7BE5A601" w:rsidR="00BD4717" w:rsidRPr="003B37AF" w:rsidRDefault="00BD4717" w:rsidP="00BD4717">
            <w:pPr>
              <w:tabs>
                <w:tab w:val="left" w:pos="0"/>
                <w:tab w:val="left" w:pos="319"/>
                <w:tab w:val="left" w:pos="602"/>
              </w:tabs>
              <w:autoSpaceDE w:val="0"/>
              <w:autoSpaceDN w:val="0"/>
              <w:adjustRightInd w:val="0"/>
              <w:spacing w:line="20" w:lineRule="atLeast"/>
              <w:jc w:val="both"/>
              <w:rPr>
                <w:rFonts w:ascii="Arial" w:hAnsi="Arial"/>
                <w:color w:val="000000"/>
                <w:sz w:val="20"/>
                <w:u w:color="000000"/>
              </w:rPr>
            </w:pPr>
            <w:r>
              <w:rPr>
                <w:rFonts w:ascii="Arial" w:hAnsi="Arial"/>
                <w:color w:val="000000"/>
                <w:sz w:val="20"/>
                <w:u w:color="000000"/>
              </w:rPr>
              <w:tab/>
            </w:r>
            <w:r w:rsidRPr="003B37AF">
              <w:rPr>
                <w:rFonts w:ascii="Arial" w:hAnsi="Arial"/>
                <w:color w:val="000000"/>
                <w:sz w:val="20"/>
                <w:u w:color="000000"/>
              </w:rPr>
              <w:t>b)</w:t>
            </w:r>
            <w:r>
              <w:rPr>
                <w:rFonts w:ascii="Arial" w:hAnsi="Arial"/>
                <w:color w:val="000000"/>
                <w:sz w:val="20"/>
                <w:u w:color="000000"/>
              </w:rPr>
              <w:tab/>
            </w:r>
            <w:r w:rsidRPr="003B37AF">
              <w:rPr>
                <w:rFonts w:ascii="Arial" w:hAnsi="Arial"/>
                <w:color w:val="000000"/>
                <w:sz w:val="20"/>
                <w:u w:color="000000"/>
              </w:rPr>
              <w:t xml:space="preserve">predchádzajúca liečba minimálne tromi účinnými látkami na profylaxiu migrény bola nedostatočne </w:t>
            </w:r>
            <w:r>
              <w:rPr>
                <w:rFonts w:ascii="Arial" w:hAnsi="Arial"/>
                <w:color w:val="000000"/>
                <w:sz w:val="20"/>
                <w:u w:color="000000"/>
              </w:rPr>
              <w:tab/>
            </w:r>
            <w:r>
              <w:rPr>
                <w:rFonts w:ascii="Arial" w:hAnsi="Arial"/>
                <w:color w:val="000000"/>
                <w:sz w:val="20"/>
                <w:u w:color="000000"/>
              </w:rPr>
              <w:tab/>
            </w:r>
            <w:r w:rsidRPr="003B37AF">
              <w:rPr>
                <w:rFonts w:ascii="Arial" w:hAnsi="Arial"/>
                <w:color w:val="000000"/>
                <w:sz w:val="20"/>
                <w:u w:color="000000"/>
              </w:rPr>
              <w:t xml:space="preserve">účinná alebo kontraindikovaná alebo pri nej došlo k výskytu nežiaducich reakcií alebo </w:t>
            </w:r>
            <w:r>
              <w:rPr>
                <w:rFonts w:ascii="Arial" w:hAnsi="Arial"/>
                <w:color w:val="000000"/>
                <w:sz w:val="20"/>
                <w:u w:color="000000"/>
              </w:rPr>
              <w:tab/>
            </w:r>
            <w:r>
              <w:rPr>
                <w:rFonts w:ascii="Arial" w:hAnsi="Arial"/>
                <w:color w:val="000000"/>
                <w:sz w:val="20"/>
                <w:u w:color="000000"/>
              </w:rPr>
              <w:tab/>
            </w:r>
            <w:r>
              <w:rPr>
                <w:rFonts w:ascii="Arial" w:hAnsi="Arial"/>
                <w:color w:val="000000"/>
                <w:sz w:val="20"/>
                <w:u w:color="000000"/>
              </w:rPr>
              <w:tab/>
            </w:r>
            <w:r w:rsidRPr="003B37AF">
              <w:rPr>
                <w:rFonts w:ascii="Arial" w:hAnsi="Arial"/>
                <w:color w:val="000000"/>
                <w:sz w:val="20"/>
                <w:u w:color="000000"/>
              </w:rPr>
              <w:t>intolerancie/neznášanlivosti.</w:t>
            </w:r>
          </w:p>
          <w:p w14:paraId="0987D898" w14:textId="77777777" w:rsidR="00BD4717" w:rsidRPr="003B37AF" w:rsidRDefault="00BD4717" w:rsidP="00BD4717">
            <w:pPr>
              <w:autoSpaceDE w:val="0"/>
              <w:autoSpaceDN w:val="0"/>
              <w:adjustRightInd w:val="0"/>
              <w:spacing w:line="20" w:lineRule="atLeast"/>
              <w:jc w:val="both"/>
              <w:rPr>
                <w:rFonts w:ascii="Arial" w:hAnsi="Arial"/>
                <w:color w:val="000000"/>
                <w:sz w:val="20"/>
                <w:u w:color="000000"/>
              </w:rPr>
            </w:pPr>
          </w:p>
          <w:p w14:paraId="2B2445BD" w14:textId="136BA786" w:rsidR="00BD4717" w:rsidRPr="003B37AF" w:rsidRDefault="00BD4717" w:rsidP="00BD4717">
            <w:pPr>
              <w:autoSpaceDE w:val="0"/>
              <w:autoSpaceDN w:val="0"/>
              <w:adjustRightInd w:val="0"/>
              <w:spacing w:line="20" w:lineRule="atLeast"/>
              <w:jc w:val="both"/>
              <w:rPr>
                <w:rFonts w:ascii="Arial" w:hAnsi="Arial"/>
                <w:color w:val="000000"/>
                <w:sz w:val="20"/>
                <w:u w:color="000000"/>
              </w:rPr>
            </w:pPr>
            <w:r w:rsidRPr="003B37AF">
              <w:rPr>
                <w:rFonts w:ascii="Arial" w:hAnsi="Arial"/>
                <w:color w:val="000000"/>
                <w:sz w:val="20"/>
                <w:u w:color="000000"/>
              </w:rPr>
              <w:t>Ak sa po 3 mesiacoch od začatia podávania rimegepantu nedosiahne redukcia počtu migrenóznych dní o aspoň 50% v porovnaní so stavom pred začatím liečby rimegepantom, ďalšia liečba nie je hradenou liečbou.</w:t>
            </w:r>
          </w:p>
          <w:p w14:paraId="2CAB7BCB" w14:textId="77777777" w:rsidR="00BD4717" w:rsidRDefault="00BD4717" w:rsidP="00BD4717">
            <w:pPr>
              <w:autoSpaceDE w:val="0"/>
              <w:autoSpaceDN w:val="0"/>
              <w:adjustRightInd w:val="0"/>
              <w:spacing w:line="20" w:lineRule="atLeast"/>
              <w:jc w:val="both"/>
              <w:rPr>
                <w:rFonts w:ascii="Arial" w:hAnsi="Arial"/>
                <w:color w:val="000000"/>
                <w:sz w:val="20"/>
                <w:u w:color="000000"/>
              </w:rPr>
            </w:pPr>
            <w:r w:rsidRPr="003B37AF">
              <w:rPr>
                <w:rFonts w:ascii="Arial" w:hAnsi="Arial"/>
                <w:color w:val="000000"/>
                <w:sz w:val="20"/>
                <w:u w:color="000000"/>
              </w:rPr>
              <w:t>Prehodnotenie liečby sa odporúča každých 6 mesiacov. Ak pacient v dvoch po sebe idúcich mesiacoch nedosiahne redukciu počtu migrenóznych dní o aspoň 50% v porovnaní so stavom pred začatím liečby rimegepantom, ďalšia liečba nie je hradenou liečbou.</w:t>
            </w:r>
          </w:p>
          <w:p w14:paraId="301615C6" w14:textId="2BD26A43" w:rsidR="00BD4717" w:rsidRPr="003B37AF" w:rsidRDefault="00BD4717" w:rsidP="00BD4717">
            <w:pPr>
              <w:autoSpaceDE w:val="0"/>
              <w:autoSpaceDN w:val="0"/>
              <w:adjustRightInd w:val="0"/>
              <w:spacing w:line="20" w:lineRule="atLeast"/>
              <w:jc w:val="both"/>
              <w:rPr>
                <w:rFonts w:ascii="Arial" w:hAnsi="Arial"/>
                <w:color w:val="000000"/>
                <w:sz w:val="20"/>
                <w:u w:color="000000"/>
              </w:rPr>
            </w:pPr>
          </w:p>
        </w:tc>
      </w:tr>
      <w:tr w:rsidR="00BD4717" w:rsidRPr="0000591E" w14:paraId="4EDBFB26" w14:textId="77777777" w:rsidTr="0000105B">
        <w:trPr>
          <w:trHeight w:val="20"/>
        </w:trPr>
        <w:tc>
          <w:tcPr>
            <w:tcW w:w="1277" w:type="dxa"/>
            <w:tcBorders>
              <w:bottom w:val="single" w:sz="4" w:space="0" w:color="auto"/>
            </w:tcBorders>
            <w:noWrap/>
          </w:tcPr>
          <w:p w14:paraId="728E6E92" w14:textId="6A46CB8E" w:rsidR="00BD4717" w:rsidRPr="002372C1" w:rsidRDefault="00BD4717" w:rsidP="00BD4717">
            <w:pPr>
              <w:jc w:val="both"/>
              <w:rPr>
                <w:rFonts w:ascii="Arial" w:hAnsi="Arial" w:cs="Arial"/>
                <w:b/>
                <w:bCs/>
                <w:sz w:val="20"/>
                <w:szCs w:val="20"/>
                <w:lang w:eastAsia="cs-CZ"/>
              </w:rPr>
            </w:pPr>
            <w:r w:rsidRPr="00485804">
              <w:rPr>
                <w:rFonts w:ascii="Arial" w:hAnsi="Arial" w:cs="Arial"/>
                <w:b/>
                <w:sz w:val="20"/>
                <w:szCs w:val="20"/>
                <w:lang w:eastAsia="cs-CZ"/>
              </w:rPr>
              <w:t>N02CD0</w:t>
            </w:r>
            <w:r>
              <w:rPr>
                <w:rFonts w:ascii="Arial" w:hAnsi="Arial" w:cs="Arial"/>
                <w:b/>
                <w:sz w:val="20"/>
                <w:szCs w:val="20"/>
                <w:lang w:eastAsia="cs-CZ"/>
              </w:rPr>
              <w:t>7</w:t>
            </w:r>
          </w:p>
        </w:tc>
        <w:tc>
          <w:tcPr>
            <w:tcW w:w="9355" w:type="dxa"/>
            <w:tcBorders>
              <w:bottom w:val="single" w:sz="4" w:space="0" w:color="auto"/>
            </w:tcBorders>
          </w:tcPr>
          <w:p w14:paraId="5D34D4FE" w14:textId="17EBA985" w:rsidR="00BD4717" w:rsidRPr="0000591E" w:rsidRDefault="00BD4717" w:rsidP="00BD4717">
            <w:pPr>
              <w:jc w:val="both"/>
              <w:rPr>
                <w:rFonts w:ascii="Arial" w:hAnsi="Arial" w:cs="Arial"/>
                <w:b/>
                <w:bCs/>
                <w:sz w:val="20"/>
                <w:szCs w:val="20"/>
              </w:rPr>
            </w:pPr>
            <w:r w:rsidRPr="0000105B">
              <w:rPr>
                <w:rFonts w:ascii="Arial" w:hAnsi="Arial" w:cs="Arial"/>
                <w:b/>
                <w:bCs/>
                <w:sz w:val="20"/>
                <w:szCs w:val="20"/>
              </w:rPr>
              <w:t>Atogepant</w:t>
            </w:r>
            <w:r>
              <w:rPr>
                <w:rFonts w:ascii="Arial" w:hAnsi="Arial" w:cs="Arial"/>
                <w:b/>
                <w:bCs/>
                <w:sz w:val="20"/>
                <w:szCs w:val="20"/>
              </w:rPr>
              <w:t xml:space="preserve"> </w:t>
            </w:r>
            <w:r w:rsidRPr="0000105B">
              <w:rPr>
                <w:rFonts w:ascii="Arial" w:hAnsi="Arial" w:cs="Arial"/>
                <w:b/>
                <w:bCs/>
                <w:sz w:val="20"/>
                <w:szCs w:val="20"/>
              </w:rPr>
              <w:t xml:space="preserve">p.o. 60 mg </w:t>
            </w:r>
          </w:p>
        </w:tc>
      </w:tr>
      <w:tr w:rsidR="00BD4717" w:rsidRPr="0000591E" w14:paraId="4C0C2B93" w14:textId="77777777" w:rsidTr="0000105B">
        <w:trPr>
          <w:trHeight w:val="20"/>
        </w:trPr>
        <w:tc>
          <w:tcPr>
            <w:tcW w:w="1277" w:type="dxa"/>
            <w:tcBorders>
              <w:top w:val="single" w:sz="4" w:space="0" w:color="auto"/>
              <w:bottom w:val="nil"/>
            </w:tcBorders>
            <w:noWrap/>
          </w:tcPr>
          <w:p w14:paraId="0E450D74" w14:textId="77777777" w:rsidR="00BD4717" w:rsidRPr="002372C1" w:rsidRDefault="00BD4717" w:rsidP="00BD4717">
            <w:pPr>
              <w:jc w:val="both"/>
              <w:rPr>
                <w:rFonts w:ascii="Arial" w:hAnsi="Arial" w:cs="Arial"/>
                <w:b/>
                <w:bCs/>
                <w:sz w:val="20"/>
                <w:szCs w:val="20"/>
                <w:lang w:eastAsia="cs-CZ"/>
              </w:rPr>
            </w:pPr>
          </w:p>
        </w:tc>
        <w:tc>
          <w:tcPr>
            <w:tcW w:w="9355" w:type="dxa"/>
            <w:tcBorders>
              <w:top w:val="single" w:sz="4" w:space="0" w:color="auto"/>
              <w:bottom w:val="nil"/>
            </w:tcBorders>
          </w:tcPr>
          <w:p w14:paraId="35F66BCA"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Hradená liečba sa môže indikovať na profylaxiu  chronickej migrény u dospelých pacientov, ktorí majú minimálne 15 dní migrény za mesiac pri splnení nasledujúcich kritérií:</w:t>
            </w:r>
          </w:p>
          <w:p w14:paraId="499207BD"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a) spĺňajú kritériá pre začatie profylaktickej liečby migrény podľa odporúčaní EHF (European Headache Federation) a </w:t>
            </w:r>
          </w:p>
          <w:p w14:paraId="023FB1F5"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b) predchádzajúca liečba minimálne tromi účinnými látkami na profylaxiu migrény bola nedostatočne účinná alebo kontraindikovaná alebo pri nej došlo k výskytu nežiaducich reakcií alebo intolerancie/neznášanlivosti. </w:t>
            </w:r>
          </w:p>
          <w:p w14:paraId="2C7A8478"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Ak sa po 3 mesiacoch od začatia podávania atogepantu nedosiahne redukcia počtu migrenóznych dní o aspoň 50 % v porovnaní so stavom pred začatím liečby atogepantom, ďalšia liečba nie je hradenou liečbou. </w:t>
            </w:r>
          </w:p>
          <w:p w14:paraId="7338B918"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Prehodnotenie liečby sa odporúča každých 6 mesiacov. Ak pacient v dvoch po sebe idúcich mesiacoch nedosiahne redukciu počtu migrenóznych dní o aspoň 50 % v porovnaní so stavom pred začatím liečby atogepantom, ďalšia liečba nie je hradenou liečbou. </w:t>
            </w:r>
          </w:p>
          <w:p w14:paraId="6221D530" w14:textId="77777777" w:rsidR="00BD4717" w:rsidRPr="00D30021" w:rsidRDefault="00BD4717" w:rsidP="00BD4717">
            <w:pPr>
              <w:jc w:val="both"/>
              <w:rPr>
                <w:rFonts w:ascii="Arial" w:hAnsi="Arial" w:cs="Arial"/>
                <w:sz w:val="20"/>
                <w:szCs w:val="20"/>
              </w:rPr>
            </w:pPr>
          </w:p>
          <w:p w14:paraId="46FC7BDD"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Hradená liečba podlieha predchádzajúcemu súhlasu zdravotnej poisťovne.</w:t>
            </w:r>
          </w:p>
          <w:p w14:paraId="0A21C195" w14:textId="77777777" w:rsidR="00BD4717" w:rsidRPr="00D30021" w:rsidRDefault="00BD4717" w:rsidP="00BD4717">
            <w:pPr>
              <w:jc w:val="both"/>
              <w:rPr>
                <w:rFonts w:ascii="Arial" w:hAnsi="Arial" w:cs="Arial"/>
                <w:sz w:val="20"/>
                <w:szCs w:val="20"/>
              </w:rPr>
            </w:pPr>
          </w:p>
        </w:tc>
      </w:tr>
      <w:tr w:rsidR="00BD4717" w:rsidRPr="0000591E" w14:paraId="4C8F0E51" w14:textId="77777777" w:rsidTr="0000105B">
        <w:trPr>
          <w:trHeight w:val="20"/>
        </w:trPr>
        <w:tc>
          <w:tcPr>
            <w:tcW w:w="1277" w:type="dxa"/>
            <w:tcBorders>
              <w:top w:val="nil"/>
              <w:bottom w:val="single" w:sz="4" w:space="0" w:color="auto"/>
            </w:tcBorders>
            <w:noWrap/>
          </w:tcPr>
          <w:p w14:paraId="61665743" w14:textId="5A8E899C" w:rsidR="00BD4717" w:rsidRPr="0000591E" w:rsidRDefault="00BD4717" w:rsidP="00BD4717">
            <w:pPr>
              <w:jc w:val="both"/>
              <w:rPr>
                <w:rFonts w:ascii="Arial" w:hAnsi="Arial" w:cs="Arial"/>
                <w:b/>
                <w:bCs/>
                <w:sz w:val="20"/>
                <w:szCs w:val="20"/>
                <w:lang w:eastAsia="cs-CZ"/>
              </w:rPr>
            </w:pPr>
            <w:r w:rsidRPr="002372C1">
              <w:rPr>
                <w:rFonts w:ascii="Arial" w:hAnsi="Arial" w:cs="Arial"/>
                <w:b/>
                <w:bCs/>
                <w:sz w:val="20"/>
                <w:szCs w:val="20"/>
                <w:lang w:eastAsia="cs-CZ"/>
              </w:rPr>
              <w:t>N03AF02</w:t>
            </w:r>
          </w:p>
        </w:tc>
        <w:tc>
          <w:tcPr>
            <w:tcW w:w="9355" w:type="dxa"/>
            <w:tcBorders>
              <w:top w:val="nil"/>
              <w:bottom w:val="single" w:sz="4" w:space="0" w:color="auto"/>
            </w:tcBorders>
          </w:tcPr>
          <w:p w14:paraId="2E2E982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Oxkarbazepín p.o. 300 mg</w:t>
            </w:r>
          </w:p>
        </w:tc>
      </w:tr>
      <w:tr w:rsidR="00BD4717" w:rsidRPr="0000591E" w14:paraId="10168270" w14:textId="77777777" w:rsidTr="006547A3">
        <w:trPr>
          <w:trHeight w:val="20"/>
        </w:trPr>
        <w:tc>
          <w:tcPr>
            <w:tcW w:w="1277" w:type="dxa"/>
            <w:tcBorders>
              <w:top w:val="single" w:sz="4" w:space="0" w:color="auto"/>
              <w:bottom w:val="single" w:sz="4" w:space="0" w:color="BFBFBF" w:themeColor="background1" w:themeShade="BF"/>
            </w:tcBorders>
            <w:noWrap/>
          </w:tcPr>
          <w:p w14:paraId="27251B9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59FFB0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u ktorých liečba základnými antiepileptikami je neúčinná alebo nedostatočne účinná.</w:t>
            </w:r>
          </w:p>
          <w:p w14:paraId="756DCB20" w14:textId="77777777" w:rsidR="00BD4717" w:rsidRPr="0000591E" w:rsidRDefault="00BD4717" w:rsidP="00BD4717">
            <w:pPr>
              <w:jc w:val="both"/>
              <w:rPr>
                <w:rFonts w:ascii="Arial" w:hAnsi="Arial" w:cs="Arial"/>
                <w:sz w:val="20"/>
                <w:szCs w:val="20"/>
              </w:rPr>
            </w:pPr>
          </w:p>
        </w:tc>
      </w:tr>
      <w:tr w:rsidR="00BD4717" w:rsidRPr="0000591E" w14:paraId="160508A7" w14:textId="77777777" w:rsidTr="006547A3">
        <w:trPr>
          <w:trHeight w:val="20"/>
        </w:trPr>
        <w:tc>
          <w:tcPr>
            <w:tcW w:w="1277" w:type="dxa"/>
            <w:tcBorders>
              <w:bottom w:val="single" w:sz="4" w:space="0" w:color="auto"/>
            </w:tcBorders>
            <w:noWrap/>
          </w:tcPr>
          <w:p w14:paraId="119952D6" w14:textId="77777777" w:rsidR="00BD4717" w:rsidRDefault="00BD4717" w:rsidP="00BD4717">
            <w:pPr>
              <w:rPr>
                <w:rFonts w:ascii="Arial" w:hAnsi="Arial" w:cs="Arial"/>
                <w:b/>
                <w:bCs/>
                <w:sz w:val="20"/>
                <w:szCs w:val="20"/>
              </w:rPr>
            </w:pPr>
          </w:p>
          <w:p w14:paraId="4A96C73F" w14:textId="01B82CBF" w:rsidR="00BD4717" w:rsidRPr="0000591E" w:rsidRDefault="00BD4717" w:rsidP="00BD4717">
            <w:pPr>
              <w:rPr>
                <w:rFonts w:ascii="Arial" w:hAnsi="Arial" w:cs="Arial"/>
                <w:sz w:val="20"/>
                <w:szCs w:val="20"/>
                <w:lang w:eastAsia="cs-CZ"/>
              </w:rPr>
            </w:pPr>
            <w:r w:rsidRPr="0000591E">
              <w:rPr>
                <w:rFonts w:ascii="Arial" w:hAnsi="Arial" w:cs="Arial"/>
                <w:b/>
                <w:bCs/>
                <w:sz w:val="20"/>
                <w:szCs w:val="20"/>
              </w:rPr>
              <w:t>N03AF03</w:t>
            </w:r>
          </w:p>
        </w:tc>
        <w:tc>
          <w:tcPr>
            <w:tcW w:w="9355" w:type="dxa"/>
            <w:tcBorders>
              <w:bottom w:val="single" w:sz="4" w:space="0" w:color="auto"/>
            </w:tcBorders>
            <w:noWrap/>
          </w:tcPr>
          <w:p w14:paraId="15669D7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Rufinamid p.o. 200 mg, </w:t>
            </w:r>
          </w:p>
          <w:p w14:paraId="1CB2E4ED"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 xml:space="preserve">Rufinamid p.o. 400 mg </w:t>
            </w:r>
          </w:p>
        </w:tc>
      </w:tr>
      <w:tr w:rsidR="00BD4717" w:rsidRPr="0000591E" w14:paraId="237A1752" w14:textId="77777777" w:rsidTr="006547A3">
        <w:trPr>
          <w:trHeight w:val="20"/>
        </w:trPr>
        <w:tc>
          <w:tcPr>
            <w:tcW w:w="1277" w:type="dxa"/>
            <w:tcBorders>
              <w:top w:val="single" w:sz="4" w:space="0" w:color="auto"/>
              <w:bottom w:val="single" w:sz="4" w:space="0" w:color="BFBFBF" w:themeColor="background1" w:themeShade="BF"/>
            </w:tcBorders>
            <w:noWrap/>
          </w:tcPr>
          <w:p w14:paraId="5A29BD1E"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E49088F"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s Lennox – Gestautovým syndrómom starších ako štyri roky, u ktorých antiepileptická liečba druholíniovými antiepileptikami je neúčinná alebo nedostatočne účinná.</w:t>
            </w:r>
          </w:p>
          <w:p w14:paraId="22DA1591" w14:textId="77777777" w:rsidR="00BD4717" w:rsidRPr="0000591E" w:rsidRDefault="00BD4717" w:rsidP="00BD4717">
            <w:pPr>
              <w:rPr>
                <w:rFonts w:ascii="Arial" w:hAnsi="Arial" w:cs="Arial"/>
                <w:sz w:val="20"/>
                <w:szCs w:val="20"/>
              </w:rPr>
            </w:pPr>
          </w:p>
        </w:tc>
      </w:tr>
      <w:tr w:rsidR="00BD4717" w:rsidRPr="0000591E" w14:paraId="1C092577" w14:textId="77777777" w:rsidTr="006547A3">
        <w:trPr>
          <w:trHeight w:val="20"/>
        </w:trPr>
        <w:tc>
          <w:tcPr>
            <w:tcW w:w="1277" w:type="dxa"/>
            <w:tcBorders>
              <w:bottom w:val="single" w:sz="4" w:space="0" w:color="auto"/>
            </w:tcBorders>
            <w:noWrap/>
          </w:tcPr>
          <w:p w14:paraId="1DDD6EBF"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N03AF04</w:t>
            </w:r>
          </w:p>
        </w:tc>
        <w:tc>
          <w:tcPr>
            <w:tcW w:w="9355" w:type="dxa"/>
            <w:tcBorders>
              <w:bottom w:val="single" w:sz="4" w:space="0" w:color="auto"/>
            </w:tcBorders>
          </w:tcPr>
          <w:p w14:paraId="52EE5394" w14:textId="6C12B524"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Eslikarbazepín p.o. 800 mg</w:t>
            </w:r>
          </w:p>
        </w:tc>
      </w:tr>
      <w:tr w:rsidR="00BD4717" w:rsidRPr="0000591E" w14:paraId="35CD1539" w14:textId="77777777" w:rsidTr="006547A3">
        <w:trPr>
          <w:trHeight w:val="20"/>
        </w:trPr>
        <w:tc>
          <w:tcPr>
            <w:tcW w:w="1277" w:type="dxa"/>
            <w:tcBorders>
              <w:top w:val="single" w:sz="4" w:space="0" w:color="auto"/>
              <w:bottom w:val="single" w:sz="4" w:space="0" w:color="BFBFBF" w:themeColor="background1" w:themeShade="BF"/>
            </w:tcBorders>
            <w:noWrap/>
          </w:tcPr>
          <w:p w14:paraId="25EF11C3"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2A2703E4" w14:textId="28181350"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ako prídavná terapia u dospelých pacientov, u ktorých liečba základnými antiepileptikami je neúčinná, alebo nedostatočne účinná.</w:t>
            </w:r>
          </w:p>
        </w:tc>
      </w:tr>
      <w:tr w:rsidR="00BD4717" w:rsidRPr="0000591E" w14:paraId="571A6C80" w14:textId="77777777" w:rsidTr="006547A3">
        <w:trPr>
          <w:trHeight w:val="20"/>
        </w:trPr>
        <w:tc>
          <w:tcPr>
            <w:tcW w:w="1277" w:type="dxa"/>
            <w:tcBorders>
              <w:bottom w:val="single" w:sz="4" w:space="0" w:color="auto"/>
            </w:tcBorders>
            <w:noWrap/>
          </w:tcPr>
          <w:p w14:paraId="17B40BEB"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N03AG04</w:t>
            </w:r>
          </w:p>
        </w:tc>
        <w:tc>
          <w:tcPr>
            <w:tcW w:w="9355" w:type="dxa"/>
            <w:tcBorders>
              <w:bottom w:val="single" w:sz="4" w:space="0" w:color="auto"/>
            </w:tcBorders>
          </w:tcPr>
          <w:p w14:paraId="7139F28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Vigabatrín p.o. 500 mg</w:t>
            </w:r>
          </w:p>
        </w:tc>
      </w:tr>
      <w:tr w:rsidR="00BD4717" w:rsidRPr="0000591E" w14:paraId="1721C074" w14:textId="77777777" w:rsidTr="006547A3">
        <w:trPr>
          <w:trHeight w:val="20"/>
        </w:trPr>
        <w:tc>
          <w:tcPr>
            <w:tcW w:w="1277" w:type="dxa"/>
            <w:tcBorders>
              <w:top w:val="single" w:sz="4" w:space="0" w:color="auto"/>
              <w:bottom w:val="single" w:sz="4" w:space="0" w:color="BFBFBF" w:themeColor="background1" w:themeShade="BF"/>
            </w:tcBorders>
            <w:noWrap/>
          </w:tcPr>
          <w:p w14:paraId="2BC158B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3756C1A"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u ktorých liečba základnými antiepileptikami je neúčinná alebo nedostatočne účinná.</w:t>
            </w:r>
          </w:p>
          <w:p w14:paraId="4A5FC993" w14:textId="77777777" w:rsidR="00BD4717" w:rsidRDefault="00BD4717" w:rsidP="00BD4717">
            <w:pPr>
              <w:jc w:val="both"/>
              <w:rPr>
                <w:rFonts w:ascii="Arial" w:hAnsi="Arial" w:cs="Arial"/>
                <w:sz w:val="20"/>
                <w:szCs w:val="20"/>
                <w:lang w:eastAsia="cs-CZ"/>
              </w:rPr>
            </w:pPr>
          </w:p>
          <w:p w14:paraId="3A7C2AC5" w14:textId="77777777" w:rsidR="006B0423" w:rsidRDefault="006B0423" w:rsidP="00BD4717">
            <w:pPr>
              <w:jc w:val="both"/>
              <w:rPr>
                <w:rFonts w:ascii="Arial" w:hAnsi="Arial" w:cs="Arial"/>
                <w:sz w:val="20"/>
                <w:szCs w:val="20"/>
                <w:lang w:eastAsia="cs-CZ"/>
              </w:rPr>
            </w:pPr>
          </w:p>
          <w:p w14:paraId="3AC0F272" w14:textId="77777777" w:rsidR="006B0423" w:rsidRPr="0000591E" w:rsidRDefault="006B0423" w:rsidP="00BD4717">
            <w:pPr>
              <w:jc w:val="both"/>
              <w:rPr>
                <w:rFonts w:ascii="Arial" w:hAnsi="Arial" w:cs="Arial"/>
                <w:sz w:val="20"/>
                <w:szCs w:val="20"/>
                <w:lang w:eastAsia="cs-CZ"/>
              </w:rPr>
            </w:pPr>
          </w:p>
        </w:tc>
      </w:tr>
      <w:tr w:rsidR="00BD4717" w:rsidRPr="0000591E" w14:paraId="32335026" w14:textId="77777777" w:rsidTr="006547A3">
        <w:trPr>
          <w:trHeight w:val="20"/>
        </w:trPr>
        <w:tc>
          <w:tcPr>
            <w:tcW w:w="1277" w:type="dxa"/>
            <w:tcBorders>
              <w:bottom w:val="single" w:sz="4" w:space="0" w:color="auto"/>
            </w:tcBorders>
            <w:noWrap/>
          </w:tcPr>
          <w:p w14:paraId="52B17C33" w14:textId="77777777" w:rsidR="00BD4717" w:rsidRDefault="00BD4717" w:rsidP="00BD4717">
            <w:pPr>
              <w:rPr>
                <w:rFonts w:ascii="Arial" w:hAnsi="Arial" w:cs="Arial"/>
                <w:b/>
                <w:bCs/>
                <w:sz w:val="20"/>
                <w:szCs w:val="20"/>
              </w:rPr>
            </w:pPr>
          </w:p>
          <w:p w14:paraId="348E9786" w14:textId="77777777" w:rsidR="00BD4717" w:rsidRDefault="00BD4717" w:rsidP="00BD4717">
            <w:pPr>
              <w:rPr>
                <w:rFonts w:ascii="Arial" w:hAnsi="Arial" w:cs="Arial"/>
                <w:b/>
                <w:bCs/>
                <w:sz w:val="20"/>
                <w:szCs w:val="20"/>
              </w:rPr>
            </w:pPr>
          </w:p>
          <w:p w14:paraId="04E0EF19" w14:textId="3523AC1D"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N03AX11</w:t>
            </w:r>
          </w:p>
        </w:tc>
        <w:tc>
          <w:tcPr>
            <w:tcW w:w="9355" w:type="dxa"/>
            <w:tcBorders>
              <w:bottom w:val="single" w:sz="4" w:space="0" w:color="auto"/>
            </w:tcBorders>
          </w:tcPr>
          <w:p w14:paraId="44413419"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Topiramát p.o. 25 mg,</w:t>
            </w:r>
          </w:p>
          <w:p w14:paraId="14788EC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Topiramát p.o. 50 mg,</w:t>
            </w:r>
          </w:p>
          <w:p w14:paraId="70095CA0"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Topiramát p.o. 100 mg</w:t>
            </w:r>
          </w:p>
        </w:tc>
      </w:tr>
      <w:tr w:rsidR="00BD4717" w:rsidRPr="0000591E" w14:paraId="784FAFFF" w14:textId="77777777" w:rsidTr="006547A3">
        <w:trPr>
          <w:trHeight w:val="20"/>
        </w:trPr>
        <w:tc>
          <w:tcPr>
            <w:tcW w:w="1277" w:type="dxa"/>
            <w:tcBorders>
              <w:top w:val="single" w:sz="4" w:space="0" w:color="auto"/>
              <w:bottom w:val="single" w:sz="4" w:space="0" w:color="BFBFBF" w:themeColor="background1" w:themeShade="BF"/>
            </w:tcBorders>
            <w:noWrap/>
          </w:tcPr>
          <w:p w14:paraId="75969C8A"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E005910"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u ktorých liečba základnými antiepileptikami je neúčinná alebo nedostatočne účinná.</w:t>
            </w:r>
          </w:p>
          <w:p w14:paraId="5E658943" w14:textId="77777777" w:rsidR="00BD4717" w:rsidRPr="0000591E" w:rsidRDefault="00BD4717" w:rsidP="00BD4717">
            <w:pPr>
              <w:jc w:val="both"/>
              <w:rPr>
                <w:rFonts w:ascii="Arial" w:hAnsi="Arial" w:cs="Arial"/>
                <w:sz w:val="20"/>
                <w:szCs w:val="20"/>
                <w:lang w:eastAsia="cs-CZ"/>
              </w:rPr>
            </w:pPr>
          </w:p>
        </w:tc>
      </w:tr>
      <w:tr w:rsidR="00BD4717" w:rsidRPr="0000591E" w14:paraId="2A437548" w14:textId="77777777" w:rsidTr="006547A3">
        <w:trPr>
          <w:trHeight w:val="20"/>
        </w:trPr>
        <w:tc>
          <w:tcPr>
            <w:tcW w:w="1277" w:type="dxa"/>
            <w:tcBorders>
              <w:bottom w:val="single" w:sz="4" w:space="0" w:color="auto"/>
            </w:tcBorders>
            <w:noWrap/>
          </w:tcPr>
          <w:p w14:paraId="363B1A56" w14:textId="77777777" w:rsidR="00BD4717" w:rsidRDefault="00BD4717" w:rsidP="00BD4717">
            <w:pPr>
              <w:rPr>
                <w:rFonts w:ascii="Arial" w:hAnsi="Arial" w:cs="Arial"/>
                <w:b/>
                <w:bCs/>
                <w:sz w:val="20"/>
                <w:szCs w:val="20"/>
              </w:rPr>
            </w:pPr>
          </w:p>
          <w:p w14:paraId="03F51FF0" w14:textId="77777777" w:rsidR="00BD4717" w:rsidRDefault="00BD4717" w:rsidP="00BD4717">
            <w:pPr>
              <w:rPr>
                <w:rFonts w:ascii="Arial" w:hAnsi="Arial" w:cs="Arial"/>
                <w:b/>
                <w:bCs/>
                <w:sz w:val="20"/>
                <w:szCs w:val="20"/>
              </w:rPr>
            </w:pPr>
          </w:p>
          <w:p w14:paraId="241FAF9E" w14:textId="6CB8ADEC" w:rsidR="00BD4717" w:rsidRPr="0000591E" w:rsidRDefault="00BD4717" w:rsidP="00BD4717">
            <w:pPr>
              <w:rPr>
                <w:rFonts w:ascii="Arial" w:hAnsi="Arial" w:cs="Arial"/>
                <w:b/>
                <w:bCs/>
                <w:sz w:val="20"/>
                <w:szCs w:val="20"/>
              </w:rPr>
            </w:pPr>
            <w:r w:rsidRPr="0000591E">
              <w:rPr>
                <w:rFonts w:ascii="Arial" w:hAnsi="Arial" w:cs="Arial"/>
                <w:b/>
                <w:bCs/>
                <w:sz w:val="20"/>
                <w:szCs w:val="20"/>
              </w:rPr>
              <w:t>N03AX15</w:t>
            </w:r>
          </w:p>
        </w:tc>
        <w:tc>
          <w:tcPr>
            <w:tcW w:w="9355" w:type="dxa"/>
            <w:tcBorders>
              <w:bottom w:val="single" w:sz="4" w:space="0" w:color="auto"/>
            </w:tcBorders>
            <w:noWrap/>
          </w:tcPr>
          <w:p w14:paraId="6EA0FC1D"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Zonisamid p.o. 25 mg,</w:t>
            </w:r>
          </w:p>
          <w:p w14:paraId="30F4DBD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Zonisamid p.o. 50 mg,</w:t>
            </w:r>
          </w:p>
          <w:p w14:paraId="3CA1E7B9"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Zonisamid p.o. 100 mg</w:t>
            </w:r>
          </w:p>
        </w:tc>
      </w:tr>
      <w:tr w:rsidR="00BD4717" w:rsidRPr="0000591E" w14:paraId="29229C53" w14:textId="77777777" w:rsidTr="00291246">
        <w:trPr>
          <w:trHeight w:val="20"/>
        </w:trPr>
        <w:tc>
          <w:tcPr>
            <w:tcW w:w="1277" w:type="dxa"/>
            <w:tcBorders>
              <w:top w:val="single" w:sz="4" w:space="0" w:color="auto"/>
              <w:bottom w:val="single" w:sz="4" w:space="0" w:color="BFBFBF" w:themeColor="background1" w:themeShade="BF"/>
            </w:tcBorders>
            <w:noWrap/>
          </w:tcPr>
          <w:p w14:paraId="78F71329" w14:textId="77777777" w:rsidR="00BD4717" w:rsidRPr="0000591E" w:rsidRDefault="00BD4717" w:rsidP="00BD4717">
            <w:pPr>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9A6FB1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ako prídavná terapia u dospelých pacientov, u ktorých liečba základnými antiepileptikami je neúčinná alebo nedostatočne účinná.</w:t>
            </w:r>
          </w:p>
          <w:p w14:paraId="55FB6A1C" w14:textId="77777777" w:rsidR="00BD4717" w:rsidRPr="0000591E" w:rsidRDefault="00BD4717" w:rsidP="00BD4717">
            <w:pPr>
              <w:rPr>
                <w:rFonts w:ascii="Arial" w:hAnsi="Arial" w:cs="Arial"/>
                <w:sz w:val="20"/>
                <w:szCs w:val="20"/>
              </w:rPr>
            </w:pPr>
          </w:p>
        </w:tc>
      </w:tr>
      <w:tr w:rsidR="00BD4717" w:rsidRPr="0000591E" w14:paraId="3EC8A1D3" w14:textId="77777777" w:rsidTr="00291246">
        <w:trPr>
          <w:trHeight w:val="20"/>
        </w:trPr>
        <w:tc>
          <w:tcPr>
            <w:tcW w:w="1277" w:type="dxa"/>
            <w:tcBorders>
              <w:bottom w:val="single" w:sz="4" w:space="0" w:color="auto"/>
            </w:tcBorders>
            <w:noWrap/>
          </w:tcPr>
          <w:p w14:paraId="4333E685" w14:textId="77777777" w:rsidR="00BD4717" w:rsidRDefault="00BD4717" w:rsidP="00BD4717">
            <w:pPr>
              <w:rPr>
                <w:rFonts w:ascii="Arial" w:hAnsi="Arial" w:cs="Arial"/>
                <w:b/>
                <w:bCs/>
                <w:sz w:val="20"/>
                <w:szCs w:val="20"/>
              </w:rPr>
            </w:pPr>
          </w:p>
          <w:p w14:paraId="6C508210" w14:textId="77777777" w:rsidR="00BD4717" w:rsidRDefault="00BD4717" w:rsidP="00BD4717">
            <w:pPr>
              <w:rPr>
                <w:rFonts w:ascii="Arial" w:hAnsi="Arial" w:cs="Arial"/>
                <w:b/>
                <w:bCs/>
                <w:sz w:val="20"/>
                <w:szCs w:val="20"/>
              </w:rPr>
            </w:pPr>
          </w:p>
          <w:p w14:paraId="25F4AF24" w14:textId="77777777" w:rsidR="00BD4717" w:rsidRDefault="00BD4717" w:rsidP="00BD4717">
            <w:pPr>
              <w:rPr>
                <w:rFonts w:ascii="Arial" w:hAnsi="Arial" w:cs="Arial"/>
                <w:b/>
                <w:bCs/>
                <w:sz w:val="20"/>
                <w:szCs w:val="20"/>
              </w:rPr>
            </w:pPr>
          </w:p>
          <w:p w14:paraId="3DBF4277" w14:textId="35AC16D5" w:rsidR="00BD4717" w:rsidRPr="0000591E" w:rsidRDefault="00BD4717" w:rsidP="00BD4717">
            <w:pPr>
              <w:rPr>
                <w:rFonts w:ascii="Arial" w:hAnsi="Arial" w:cs="Arial"/>
                <w:sz w:val="20"/>
                <w:szCs w:val="20"/>
                <w:lang w:eastAsia="cs-CZ"/>
              </w:rPr>
            </w:pPr>
            <w:r w:rsidRPr="0000591E">
              <w:rPr>
                <w:rFonts w:ascii="Arial" w:hAnsi="Arial" w:cs="Arial"/>
                <w:b/>
                <w:bCs/>
                <w:sz w:val="20"/>
                <w:szCs w:val="20"/>
              </w:rPr>
              <w:t>N03AX18</w:t>
            </w:r>
          </w:p>
        </w:tc>
        <w:tc>
          <w:tcPr>
            <w:tcW w:w="9355" w:type="dxa"/>
            <w:tcBorders>
              <w:bottom w:val="single" w:sz="4" w:space="0" w:color="auto"/>
            </w:tcBorders>
          </w:tcPr>
          <w:p w14:paraId="6D65B4F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Lakosamid p.o. 50 mg,</w:t>
            </w:r>
          </w:p>
          <w:p w14:paraId="71DCF4A5"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Lakosamid p.o. 100 mg,</w:t>
            </w:r>
          </w:p>
          <w:p w14:paraId="44A25AB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Lakosamid p.o. 150 mg,</w:t>
            </w:r>
          </w:p>
          <w:p w14:paraId="237E4924"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Lakosamid p.o. 200 mg</w:t>
            </w:r>
          </w:p>
        </w:tc>
      </w:tr>
      <w:tr w:rsidR="00BD4717" w:rsidRPr="0000591E" w14:paraId="5C1105A9" w14:textId="77777777" w:rsidTr="00D20C24">
        <w:trPr>
          <w:trHeight w:val="20"/>
        </w:trPr>
        <w:tc>
          <w:tcPr>
            <w:tcW w:w="1277" w:type="dxa"/>
            <w:tcBorders>
              <w:top w:val="single" w:sz="4" w:space="0" w:color="auto"/>
              <w:bottom w:val="single" w:sz="4" w:space="0" w:color="BFBFBF" w:themeColor="background1" w:themeShade="BF"/>
            </w:tcBorders>
            <w:noWrap/>
          </w:tcPr>
          <w:p w14:paraId="31F4FAE3"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E49AB2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ako prídavná terapia u pacientov od dovŕšenia 16. roku veku, u ktorých liečba základnými antiepileptikami je neúčinná alebo nedostatočne účinná.</w:t>
            </w:r>
          </w:p>
          <w:p w14:paraId="0B371AEF" w14:textId="182A27E4" w:rsidR="00BD4717" w:rsidRPr="0000591E" w:rsidRDefault="00BD4717" w:rsidP="00BD4717">
            <w:pPr>
              <w:jc w:val="both"/>
              <w:rPr>
                <w:rFonts w:ascii="Arial" w:hAnsi="Arial" w:cs="Arial"/>
                <w:sz w:val="20"/>
                <w:szCs w:val="20"/>
                <w:lang w:eastAsia="cs-CZ"/>
              </w:rPr>
            </w:pPr>
          </w:p>
        </w:tc>
      </w:tr>
      <w:tr w:rsidR="00BD4717" w:rsidRPr="0000591E" w14:paraId="5338856E" w14:textId="77777777" w:rsidTr="00D20C24">
        <w:trPr>
          <w:trHeight w:val="20"/>
        </w:trPr>
        <w:tc>
          <w:tcPr>
            <w:tcW w:w="1277" w:type="dxa"/>
            <w:tcBorders>
              <w:bottom w:val="single" w:sz="4" w:space="0" w:color="auto"/>
            </w:tcBorders>
            <w:noWrap/>
          </w:tcPr>
          <w:p w14:paraId="02F2D0E2" w14:textId="77777777" w:rsidR="00BD4717" w:rsidRDefault="00BD4717" w:rsidP="00BD4717">
            <w:pPr>
              <w:rPr>
                <w:rFonts w:ascii="Arial" w:hAnsi="Arial" w:cs="Arial"/>
                <w:b/>
                <w:bCs/>
                <w:sz w:val="20"/>
                <w:szCs w:val="20"/>
              </w:rPr>
            </w:pPr>
          </w:p>
          <w:p w14:paraId="3B653EC4" w14:textId="77777777" w:rsidR="00BD4717" w:rsidRDefault="00BD4717" w:rsidP="00BD4717">
            <w:pPr>
              <w:rPr>
                <w:rFonts w:ascii="Arial" w:hAnsi="Arial" w:cs="Arial"/>
                <w:b/>
                <w:bCs/>
                <w:sz w:val="20"/>
                <w:szCs w:val="20"/>
              </w:rPr>
            </w:pPr>
          </w:p>
          <w:p w14:paraId="64587B4D" w14:textId="77777777" w:rsidR="00BD4717" w:rsidRDefault="00BD4717" w:rsidP="00BD4717">
            <w:pPr>
              <w:rPr>
                <w:rFonts w:ascii="Arial" w:hAnsi="Arial" w:cs="Arial"/>
                <w:b/>
                <w:bCs/>
                <w:sz w:val="20"/>
                <w:szCs w:val="20"/>
              </w:rPr>
            </w:pPr>
          </w:p>
          <w:p w14:paraId="1412FF23" w14:textId="2C8E261A" w:rsidR="00BD4717" w:rsidRPr="0000591E" w:rsidRDefault="00BD4717" w:rsidP="00BD4717">
            <w:pPr>
              <w:rPr>
                <w:rFonts w:ascii="Arial" w:hAnsi="Arial" w:cs="Arial"/>
                <w:b/>
                <w:bCs/>
                <w:sz w:val="20"/>
                <w:szCs w:val="20"/>
              </w:rPr>
            </w:pPr>
            <w:r>
              <w:rPr>
                <w:rFonts w:ascii="Arial" w:hAnsi="Arial" w:cs="Arial"/>
                <w:b/>
                <w:bCs/>
                <w:sz w:val="20"/>
                <w:szCs w:val="20"/>
              </w:rPr>
              <w:t>N03AX22</w:t>
            </w:r>
          </w:p>
        </w:tc>
        <w:tc>
          <w:tcPr>
            <w:tcW w:w="9355" w:type="dxa"/>
            <w:tcBorders>
              <w:bottom w:val="single" w:sz="4" w:space="0" w:color="auto"/>
            </w:tcBorders>
            <w:noWrap/>
          </w:tcPr>
          <w:p w14:paraId="37D293EB" w14:textId="77777777" w:rsidR="00BD4717" w:rsidRPr="00206214" w:rsidRDefault="00BD4717" w:rsidP="00BD4717">
            <w:pPr>
              <w:rPr>
                <w:rFonts w:ascii="Arial" w:hAnsi="Arial" w:cs="Arial"/>
                <w:b/>
                <w:bCs/>
                <w:sz w:val="20"/>
                <w:szCs w:val="20"/>
              </w:rPr>
            </w:pPr>
            <w:r w:rsidRPr="00206214">
              <w:rPr>
                <w:rFonts w:ascii="Arial" w:hAnsi="Arial" w:cs="Arial"/>
                <w:b/>
                <w:bCs/>
                <w:sz w:val="20"/>
                <w:szCs w:val="20"/>
              </w:rPr>
              <w:t>Perampanel  p.o. 2 mg</w:t>
            </w:r>
            <w:r>
              <w:rPr>
                <w:rFonts w:ascii="Arial" w:hAnsi="Arial" w:cs="Arial"/>
                <w:b/>
                <w:bCs/>
                <w:sz w:val="20"/>
                <w:szCs w:val="20"/>
              </w:rPr>
              <w:t>,</w:t>
            </w:r>
          </w:p>
          <w:p w14:paraId="24816CAC" w14:textId="77777777" w:rsidR="00BD4717" w:rsidRPr="00206214" w:rsidRDefault="00BD4717" w:rsidP="00BD4717">
            <w:pPr>
              <w:rPr>
                <w:rFonts w:ascii="Arial" w:hAnsi="Arial" w:cs="Arial"/>
                <w:b/>
                <w:bCs/>
                <w:sz w:val="20"/>
                <w:szCs w:val="20"/>
              </w:rPr>
            </w:pPr>
            <w:r w:rsidRPr="00206214">
              <w:rPr>
                <w:rFonts w:ascii="Arial" w:hAnsi="Arial" w:cs="Arial"/>
                <w:b/>
                <w:bCs/>
                <w:sz w:val="20"/>
                <w:szCs w:val="20"/>
              </w:rPr>
              <w:t>Perampanel  p.o. 4 mg</w:t>
            </w:r>
            <w:r>
              <w:rPr>
                <w:rFonts w:ascii="Arial" w:hAnsi="Arial" w:cs="Arial"/>
                <w:b/>
                <w:bCs/>
                <w:sz w:val="20"/>
                <w:szCs w:val="20"/>
              </w:rPr>
              <w:t>,</w:t>
            </w:r>
          </w:p>
          <w:p w14:paraId="1432D535" w14:textId="77777777" w:rsidR="00BD4717" w:rsidRPr="00206214" w:rsidRDefault="00BD4717" w:rsidP="00BD4717">
            <w:pPr>
              <w:rPr>
                <w:rFonts w:ascii="Arial" w:hAnsi="Arial" w:cs="Arial"/>
                <w:b/>
                <w:bCs/>
                <w:sz w:val="20"/>
                <w:szCs w:val="20"/>
              </w:rPr>
            </w:pPr>
            <w:r w:rsidRPr="00206214">
              <w:rPr>
                <w:rFonts w:ascii="Arial" w:hAnsi="Arial" w:cs="Arial"/>
                <w:b/>
                <w:bCs/>
                <w:sz w:val="20"/>
                <w:szCs w:val="20"/>
              </w:rPr>
              <w:t>Perampanel  p.o. 6 mg</w:t>
            </w:r>
            <w:r>
              <w:rPr>
                <w:rFonts w:ascii="Arial" w:hAnsi="Arial" w:cs="Arial"/>
                <w:b/>
                <w:bCs/>
                <w:sz w:val="20"/>
                <w:szCs w:val="20"/>
              </w:rPr>
              <w:t>,</w:t>
            </w:r>
          </w:p>
          <w:p w14:paraId="7D2A1A1B" w14:textId="77777777" w:rsidR="00BD4717" w:rsidRPr="0000591E" w:rsidRDefault="00BD4717" w:rsidP="00BD4717">
            <w:pPr>
              <w:rPr>
                <w:rFonts w:ascii="Arial" w:hAnsi="Arial" w:cs="Arial"/>
                <w:b/>
                <w:bCs/>
                <w:sz w:val="20"/>
                <w:szCs w:val="20"/>
              </w:rPr>
            </w:pPr>
            <w:r w:rsidRPr="00206214">
              <w:rPr>
                <w:rFonts w:ascii="Arial" w:hAnsi="Arial" w:cs="Arial"/>
                <w:b/>
                <w:bCs/>
                <w:sz w:val="20"/>
                <w:szCs w:val="20"/>
              </w:rPr>
              <w:t>Perampanel  p.o. 8 mg</w:t>
            </w:r>
            <w:r>
              <w:rPr>
                <w:rFonts w:ascii="Arial" w:hAnsi="Arial" w:cs="Arial"/>
                <w:b/>
                <w:bCs/>
                <w:sz w:val="20"/>
                <w:szCs w:val="20"/>
              </w:rPr>
              <w:t>,</w:t>
            </w:r>
          </w:p>
        </w:tc>
      </w:tr>
      <w:tr w:rsidR="00BD4717" w:rsidRPr="0000591E" w14:paraId="6CD24E15" w14:textId="77777777" w:rsidTr="00D20C24">
        <w:trPr>
          <w:trHeight w:val="20"/>
        </w:trPr>
        <w:tc>
          <w:tcPr>
            <w:tcW w:w="1277" w:type="dxa"/>
            <w:tcBorders>
              <w:top w:val="single" w:sz="4" w:space="0" w:color="auto"/>
              <w:bottom w:val="single" w:sz="4" w:space="0" w:color="BFBFBF" w:themeColor="background1" w:themeShade="BF"/>
            </w:tcBorders>
            <w:noWrap/>
          </w:tcPr>
          <w:p w14:paraId="3A639E1C"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AB56726" w14:textId="77777777" w:rsidR="00BD4717" w:rsidRDefault="00BD4717" w:rsidP="00BD4717">
            <w:pPr>
              <w:jc w:val="both"/>
              <w:rPr>
                <w:rFonts w:ascii="Arial" w:hAnsi="Arial" w:cs="Arial"/>
                <w:color w:val="000000"/>
                <w:sz w:val="20"/>
                <w:szCs w:val="20"/>
              </w:rPr>
            </w:pPr>
            <w:r w:rsidRPr="00EC705B">
              <w:rPr>
                <w:rFonts w:ascii="Arial" w:hAnsi="Arial" w:cs="Arial"/>
                <w:color w:val="000000"/>
                <w:sz w:val="20"/>
                <w:szCs w:val="20"/>
              </w:rPr>
              <w:t xml:space="preserve">Hradená liečba sa môže indikovať ako prídavná terapia parciálnych záchvatov so sekundárne generalizovanými záchvatmi alebo bez nich u pacientov od dovŕšenia 4. rokov veku, u ktorých liečba základnými antiepileptikami je neúčinná alebo nedostatočne účinná. </w:t>
            </w:r>
          </w:p>
          <w:p w14:paraId="3C42E184" w14:textId="77777777" w:rsidR="00BD4717" w:rsidRPr="00EC705B" w:rsidRDefault="00BD4717" w:rsidP="00BD4717">
            <w:pPr>
              <w:jc w:val="both"/>
              <w:rPr>
                <w:rFonts w:ascii="Arial" w:hAnsi="Arial" w:cs="Arial"/>
                <w:b/>
                <w:bCs/>
                <w:sz w:val="20"/>
                <w:szCs w:val="20"/>
              </w:rPr>
            </w:pPr>
          </w:p>
        </w:tc>
      </w:tr>
      <w:tr w:rsidR="00BD4717" w:rsidRPr="0000591E" w14:paraId="1631B039" w14:textId="77777777" w:rsidTr="00D20C24">
        <w:trPr>
          <w:trHeight w:val="20"/>
        </w:trPr>
        <w:tc>
          <w:tcPr>
            <w:tcW w:w="1277" w:type="dxa"/>
            <w:tcBorders>
              <w:bottom w:val="single" w:sz="4" w:space="0" w:color="auto"/>
            </w:tcBorders>
            <w:noWrap/>
          </w:tcPr>
          <w:p w14:paraId="5B0A6042" w14:textId="77777777" w:rsidR="00BD4717" w:rsidRPr="0000591E" w:rsidRDefault="00BD4717" w:rsidP="00BD4717">
            <w:pPr>
              <w:rPr>
                <w:rFonts w:ascii="Arial" w:hAnsi="Arial" w:cs="Arial"/>
                <w:b/>
                <w:bCs/>
                <w:sz w:val="20"/>
                <w:szCs w:val="20"/>
              </w:rPr>
            </w:pPr>
            <w:r>
              <w:rPr>
                <w:rFonts w:ascii="Arial" w:hAnsi="Arial" w:cs="Arial"/>
                <w:b/>
                <w:bCs/>
                <w:sz w:val="20"/>
                <w:szCs w:val="20"/>
              </w:rPr>
              <w:t>N03AX22</w:t>
            </w:r>
          </w:p>
        </w:tc>
        <w:tc>
          <w:tcPr>
            <w:tcW w:w="9355" w:type="dxa"/>
            <w:tcBorders>
              <w:bottom w:val="single" w:sz="4" w:space="0" w:color="auto"/>
            </w:tcBorders>
            <w:noWrap/>
          </w:tcPr>
          <w:p w14:paraId="381B9BB8" w14:textId="77777777" w:rsidR="00BD4717" w:rsidRPr="00EC705B" w:rsidRDefault="00BD4717" w:rsidP="00BD4717">
            <w:pPr>
              <w:rPr>
                <w:rFonts w:ascii="Arial" w:hAnsi="Arial" w:cs="Arial"/>
                <w:color w:val="000000"/>
                <w:sz w:val="20"/>
                <w:szCs w:val="20"/>
              </w:rPr>
            </w:pPr>
            <w:r w:rsidRPr="00300BA0">
              <w:rPr>
                <w:rFonts w:ascii="Arial" w:hAnsi="Arial" w:cs="Arial"/>
                <w:b/>
                <w:bCs/>
                <w:sz w:val="20"/>
                <w:szCs w:val="20"/>
              </w:rPr>
              <w:t>Perampanel p.o. sus. 340 ml</w:t>
            </w:r>
          </w:p>
        </w:tc>
      </w:tr>
      <w:tr w:rsidR="00BD4717" w:rsidRPr="0000591E" w14:paraId="00B13A1E" w14:textId="77777777" w:rsidTr="00D20C24">
        <w:trPr>
          <w:trHeight w:val="20"/>
        </w:trPr>
        <w:tc>
          <w:tcPr>
            <w:tcW w:w="1277" w:type="dxa"/>
            <w:tcBorders>
              <w:top w:val="single" w:sz="4" w:space="0" w:color="auto"/>
              <w:bottom w:val="single" w:sz="4" w:space="0" w:color="BFBFBF" w:themeColor="background1" w:themeShade="BF"/>
            </w:tcBorders>
            <w:noWrap/>
          </w:tcPr>
          <w:p w14:paraId="0B422E09"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4ECD302" w14:textId="77777777" w:rsidR="00BD4717" w:rsidRDefault="00BD4717" w:rsidP="00BD4717">
            <w:pPr>
              <w:jc w:val="both"/>
              <w:rPr>
                <w:rFonts w:ascii="Arial" w:hAnsi="Arial" w:cs="Arial"/>
                <w:sz w:val="20"/>
                <w:szCs w:val="20"/>
              </w:rPr>
            </w:pPr>
            <w:r w:rsidRPr="00300BA0">
              <w:rPr>
                <w:rFonts w:ascii="Arial" w:hAnsi="Arial" w:cs="Arial"/>
                <w:sz w:val="20"/>
                <w:szCs w:val="20"/>
              </w:rPr>
              <w:t>Hradená liečba sa môže indikovať u pacientov do veku 11 rokov a s hmotnosťou do 30kg ako prídavná liečba parciálnych záchvatov (partial-onset seizures, POS) so sekundárne generalizovanými záchvatmi alebo bez sekundárne generalizovaných záchvatov u pacientov vo veku od 4 rokov, u ktorých liečba základnými antiepileptikami je neúčinná alebo nedostatočne účinná.</w:t>
            </w:r>
          </w:p>
          <w:p w14:paraId="0C67AF00" w14:textId="77777777" w:rsidR="00BD4717" w:rsidRPr="00300BA0" w:rsidRDefault="00BD4717" w:rsidP="00BD4717">
            <w:pPr>
              <w:jc w:val="both"/>
              <w:rPr>
                <w:rFonts w:ascii="Arial" w:hAnsi="Arial" w:cs="Arial"/>
                <w:color w:val="000000"/>
                <w:sz w:val="20"/>
                <w:szCs w:val="20"/>
              </w:rPr>
            </w:pPr>
          </w:p>
        </w:tc>
      </w:tr>
      <w:tr w:rsidR="00BD4717" w:rsidRPr="0000591E" w14:paraId="7C92BA2D" w14:textId="77777777" w:rsidTr="00D20C24">
        <w:trPr>
          <w:trHeight w:val="1123"/>
        </w:trPr>
        <w:tc>
          <w:tcPr>
            <w:tcW w:w="1277" w:type="dxa"/>
            <w:tcBorders>
              <w:bottom w:val="single" w:sz="4" w:space="0" w:color="auto"/>
            </w:tcBorders>
            <w:noWrap/>
          </w:tcPr>
          <w:p w14:paraId="2B6D3E66" w14:textId="77777777" w:rsidR="00BD4717" w:rsidRDefault="00BD4717" w:rsidP="00BD4717">
            <w:pPr>
              <w:rPr>
                <w:rFonts w:ascii="Arial" w:hAnsi="Arial" w:cs="Arial"/>
                <w:b/>
                <w:bCs/>
                <w:sz w:val="20"/>
                <w:szCs w:val="20"/>
              </w:rPr>
            </w:pPr>
          </w:p>
          <w:p w14:paraId="3C6C128D" w14:textId="77777777" w:rsidR="00BD4717" w:rsidRDefault="00BD4717" w:rsidP="00BD4717">
            <w:pPr>
              <w:rPr>
                <w:rFonts w:ascii="Arial" w:hAnsi="Arial" w:cs="Arial"/>
                <w:b/>
                <w:bCs/>
                <w:sz w:val="20"/>
                <w:szCs w:val="20"/>
              </w:rPr>
            </w:pPr>
          </w:p>
          <w:p w14:paraId="6FAC673C" w14:textId="77777777" w:rsidR="00BD4717" w:rsidRDefault="00BD4717" w:rsidP="00BD4717">
            <w:pPr>
              <w:rPr>
                <w:rFonts w:ascii="Arial" w:hAnsi="Arial" w:cs="Arial"/>
                <w:b/>
                <w:bCs/>
                <w:sz w:val="20"/>
                <w:szCs w:val="20"/>
              </w:rPr>
            </w:pPr>
          </w:p>
          <w:p w14:paraId="5E6F19B2" w14:textId="77777777" w:rsidR="00BD4717" w:rsidRDefault="00BD4717" w:rsidP="00BD4717">
            <w:pPr>
              <w:rPr>
                <w:rFonts w:ascii="Arial" w:hAnsi="Arial" w:cs="Arial"/>
                <w:b/>
                <w:bCs/>
                <w:sz w:val="20"/>
                <w:szCs w:val="20"/>
              </w:rPr>
            </w:pPr>
          </w:p>
          <w:p w14:paraId="2A0F3D55" w14:textId="6E2D6456" w:rsidR="00BD4717" w:rsidRPr="0000591E" w:rsidRDefault="00BD4717" w:rsidP="00BD4717">
            <w:pPr>
              <w:rPr>
                <w:rFonts w:ascii="Arial" w:hAnsi="Arial" w:cs="Arial"/>
                <w:b/>
                <w:bCs/>
                <w:sz w:val="20"/>
                <w:szCs w:val="20"/>
              </w:rPr>
            </w:pPr>
            <w:r>
              <w:rPr>
                <w:rFonts w:ascii="Arial" w:hAnsi="Arial" w:cs="Arial"/>
                <w:b/>
                <w:bCs/>
                <w:sz w:val="20"/>
                <w:szCs w:val="20"/>
              </w:rPr>
              <w:t>N03AX23</w:t>
            </w:r>
          </w:p>
        </w:tc>
        <w:tc>
          <w:tcPr>
            <w:tcW w:w="9355" w:type="dxa"/>
            <w:tcBorders>
              <w:bottom w:val="single" w:sz="4" w:space="0" w:color="auto"/>
            </w:tcBorders>
            <w:noWrap/>
          </w:tcPr>
          <w:p w14:paraId="25B0B4B5" w14:textId="77777777" w:rsidR="00BD4717" w:rsidRPr="00206214" w:rsidRDefault="00BD4717" w:rsidP="00BD4717">
            <w:pPr>
              <w:rPr>
                <w:rFonts w:ascii="Arial" w:hAnsi="Arial" w:cs="Arial"/>
                <w:b/>
                <w:bCs/>
                <w:sz w:val="20"/>
                <w:szCs w:val="20"/>
              </w:rPr>
            </w:pPr>
            <w:r>
              <w:rPr>
                <w:rFonts w:ascii="Arial" w:hAnsi="Arial" w:cs="Arial"/>
                <w:b/>
                <w:bCs/>
                <w:sz w:val="20"/>
                <w:szCs w:val="20"/>
              </w:rPr>
              <w:t>Brivaracetam</w:t>
            </w:r>
            <w:r w:rsidRPr="00206214">
              <w:rPr>
                <w:rFonts w:ascii="Arial" w:hAnsi="Arial" w:cs="Arial"/>
                <w:b/>
                <w:bCs/>
                <w:sz w:val="20"/>
                <w:szCs w:val="20"/>
              </w:rPr>
              <w:t xml:space="preserve"> p.o.</w:t>
            </w:r>
            <w:r>
              <w:rPr>
                <w:rFonts w:ascii="Arial" w:hAnsi="Arial" w:cs="Arial"/>
                <w:b/>
                <w:bCs/>
                <w:sz w:val="20"/>
                <w:szCs w:val="20"/>
              </w:rPr>
              <w:t xml:space="preserve"> 10 mg/ml</w:t>
            </w:r>
          </w:p>
          <w:p w14:paraId="07114608" w14:textId="77777777" w:rsidR="00BD4717" w:rsidRPr="00206214" w:rsidRDefault="00BD4717" w:rsidP="00BD4717">
            <w:pPr>
              <w:rPr>
                <w:rFonts w:ascii="Arial" w:hAnsi="Arial" w:cs="Arial"/>
                <w:b/>
                <w:bCs/>
                <w:sz w:val="20"/>
                <w:szCs w:val="20"/>
              </w:rPr>
            </w:pPr>
            <w:r>
              <w:rPr>
                <w:rFonts w:ascii="Arial" w:hAnsi="Arial" w:cs="Arial"/>
                <w:b/>
                <w:bCs/>
                <w:sz w:val="20"/>
                <w:szCs w:val="20"/>
              </w:rPr>
              <w:t>Brivaracetam</w:t>
            </w:r>
            <w:r w:rsidRPr="00206214">
              <w:rPr>
                <w:rFonts w:ascii="Arial" w:hAnsi="Arial" w:cs="Arial"/>
                <w:b/>
                <w:bCs/>
                <w:sz w:val="20"/>
                <w:szCs w:val="20"/>
              </w:rPr>
              <w:t xml:space="preserve"> p.o.</w:t>
            </w:r>
            <w:r>
              <w:rPr>
                <w:rFonts w:ascii="Arial" w:hAnsi="Arial" w:cs="Arial"/>
                <w:b/>
                <w:bCs/>
                <w:sz w:val="20"/>
                <w:szCs w:val="20"/>
              </w:rPr>
              <w:t xml:space="preserve"> 25 mg</w:t>
            </w:r>
          </w:p>
          <w:p w14:paraId="3CB85A90" w14:textId="77777777" w:rsidR="00BD4717" w:rsidRDefault="00BD4717" w:rsidP="00BD4717">
            <w:pPr>
              <w:rPr>
                <w:rFonts w:ascii="Arial" w:hAnsi="Arial" w:cs="Arial"/>
                <w:b/>
                <w:bCs/>
                <w:sz w:val="20"/>
                <w:szCs w:val="20"/>
              </w:rPr>
            </w:pPr>
            <w:r>
              <w:rPr>
                <w:rFonts w:ascii="Arial" w:hAnsi="Arial" w:cs="Arial"/>
                <w:b/>
                <w:bCs/>
                <w:sz w:val="20"/>
                <w:szCs w:val="20"/>
              </w:rPr>
              <w:t>Brivaracetam</w:t>
            </w:r>
            <w:r w:rsidRPr="00206214">
              <w:rPr>
                <w:rFonts w:ascii="Arial" w:hAnsi="Arial" w:cs="Arial"/>
                <w:b/>
                <w:bCs/>
                <w:sz w:val="20"/>
                <w:szCs w:val="20"/>
              </w:rPr>
              <w:t xml:space="preserve"> p.o.</w:t>
            </w:r>
            <w:r>
              <w:rPr>
                <w:rFonts w:ascii="Arial" w:hAnsi="Arial" w:cs="Arial"/>
                <w:b/>
                <w:bCs/>
                <w:sz w:val="20"/>
                <w:szCs w:val="20"/>
              </w:rPr>
              <w:t xml:space="preserve"> 50 mg</w:t>
            </w:r>
          </w:p>
          <w:p w14:paraId="07772A9C" w14:textId="77777777" w:rsidR="00BD4717" w:rsidRDefault="00BD4717" w:rsidP="00BD4717">
            <w:pPr>
              <w:rPr>
                <w:rFonts w:ascii="Arial" w:hAnsi="Arial" w:cs="Arial"/>
                <w:b/>
                <w:bCs/>
                <w:sz w:val="20"/>
                <w:szCs w:val="20"/>
              </w:rPr>
            </w:pPr>
            <w:r>
              <w:rPr>
                <w:rFonts w:ascii="Arial" w:hAnsi="Arial" w:cs="Arial"/>
                <w:b/>
                <w:bCs/>
                <w:sz w:val="20"/>
                <w:szCs w:val="20"/>
              </w:rPr>
              <w:t>Brivaracetam</w:t>
            </w:r>
            <w:r w:rsidRPr="00206214">
              <w:rPr>
                <w:rFonts w:ascii="Arial" w:hAnsi="Arial" w:cs="Arial"/>
                <w:b/>
                <w:bCs/>
                <w:sz w:val="20"/>
                <w:szCs w:val="20"/>
              </w:rPr>
              <w:t xml:space="preserve"> p.o.</w:t>
            </w:r>
            <w:r>
              <w:rPr>
                <w:rFonts w:ascii="Arial" w:hAnsi="Arial" w:cs="Arial"/>
                <w:b/>
                <w:bCs/>
                <w:sz w:val="20"/>
                <w:szCs w:val="20"/>
              </w:rPr>
              <w:t xml:space="preserve"> 75 mg</w:t>
            </w:r>
          </w:p>
          <w:p w14:paraId="01AA47D7" w14:textId="77777777" w:rsidR="00BD4717" w:rsidRPr="0000591E" w:rsidRDefault="00BD4717" w:rsidP="00BD4717">
            <w:pPr>
              <w:rPr>
                <w:rFonts w:ascii="Arial" w:hAnsi="Arial" w:cs="Arial"/>
                <w:b/>
                <w:bCs/>
                <w:sz w:val="20"/>
                <w:szCs w:val="20"/>
              </w:rPr>
            </w:pPr>
            <w:r>
              <w:rPr>
                <w:rFonts w:ascii="Arial" w:hAnsi="Arial" w:cs="Arial"/>
                <w:b/>
                <w:bCs/>
                <w:sz w:val="20"/>
                <w:szCs w:val="20"/>
              </w:rPr>
              <w:t>Brivaracetam</w:t>
            </w:r>
            <w:r w:rsidRPr="00206214">
              <w:rPr>
                <w:rFonts w:ascii="Arial" w:hAnsi="Arial" w:cs="Arial"/>
                <w:b/>
                <w:bCs/>
                <w:sz w:val="20"/>
                <w:szCs w:val="20"/>
              </w:rPr>
              <w:t xml:space="preserve"> p.o.</w:t>
            </w:r>
            <w:r>
              <w:rPr>
                <w:rFonts w:ascii="Arial" w:hAnsi="Arial" w:cs="Arial"/>
                <w:b/>
                <w:bCs/>
                <w:sz w:val="20"/>
                <w:szCs w:val="20"/>
              </w:rPr>
              <w:t xml:space="preserve"> 100 mg</w:t>
            </w:r>
          </w:p>
        </w:tc>
      </w:tr>
      <w:tr w:rsidR="00BD4717" w:rsidRPr="008D3FF6" w14:paraId="345D4E6B" w14:textId="77777777" w:rsidTr="00D20C24">
        <w:trPr>
          <w:trHeight w:val="20"/>
        </w:trPr>
        <w:tc>
          <w:tcPr>
            <w:tcW w:w="1277" w:type="dxa"/>
            <w:tcBorders>
              <w:top w:val="single" w:sz="4" w:space="0" w:color="auto"/>
              <w:bottom w:val="single" w:sz="4" w:space="0" w:color="BFBFBF" w:themeColor="background1" w:themeShade="BF"/>
            </w:tcBorders>
            <w:noWrap/>
          </w:tcPr>
          <w:p w14:paraId="23FD3D99" w14:textId="77777777" w:rsidR="00BD4717" w:rsidRPr="008D3FF6" w:rsidRDefault="00BD4717" w:rsidP="00BD4717">
            <w:pPr>
              <w:rPr>
                <w:rFonts w:ascii="Arial" w:hAnsi="Arial" w:cs="Arial"/>
                <w:b/>
                <w:bCs/>
                <w:sz w:val="20"/>
                <w:szCs w:val="20"/>
              </w:rPr>
            </w:pPr>
          </w:p>
          <w:p w14:paraId="4530CF27" w14:textId="77777777" w:rsidR="00BD4717" w:rsidRPr="008D3FF6" w:rsidRDefault="00BD4717" w:rsidP="00BD4717">
            <w:pPr>
              <w:rPr>
                <w:rFonts w:ascii="Arial" w:hAnsi="Arial" w:cs="Arial"/>
                <w:b/>
                <w:bCs/>
                <w:sz w:val="20"/>
                <w:szCs w:val="20"/>
              </w:rPr>
            </w:pPr>
          </w:p>
          <w:p w14:paraId="7C87EA53" w14:textId="77777777" w:rsidR="00BD4717" w:rsidRPr="008D3FF6" w:rsidRDefault="00BD4717" w:rsidP="00BD4717">
            <w:pPr>
              <w:rPr>
                <w:rFonts w:ascii="Arial" w:hAnsi="Arial" w:cs="Arial"/>
                <w:b/>
                <w:bCs/>
                <w:sz w:val="20"/>
                <w:szCs w:val="20"/>
              </w:rPr>
            </w:pPr>
          </w:p>
          <w:p w14:paraId="05356638"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6C9F33C1" w14:textId="77777777" w:rsidR="00BD4717" w:rsidRDefault="00BD4717" w:rsidP="00BD4717">
            <w:pPr>
              <w:jc w:val="both"/>
              <w:rPr>
                <w:rFonts w:ascii="Arial" w:hAnsi="Arial" w:cs="Arial"/>
                <w:color w:val="000000"/>
                <w:sz w:val="20"/>
                <w:szCs w:val="20"/>
              </w:rPr>
            </w:pPr>
            <w:r w:rsidRPr="00F76C46">
              <w:rPr>
                <w:rFonts w:ascii="Arial" w:hAnsi="Arial" w:cs="Arial"/>
                <w:color w:val="000000"/>
                <w:sz w:val="20"/>
                <w:szCs w:val="20"/>
              </w:rPr>
              <w:t>Hradená liečba sa môže indikovať ako prídavná terapia parciálnych záchvatov so sekundárne generalizovanými záchvatmi alebo bez nich u pacientov od dovŕšenia 4. rokov veku, u ktorých liečba základnými antiepileptikami je neúčinná alebo nedostatočne účinná.</w:t>
            </w:r>
          </w:p>
          <w:p w14:paraId="0E8C386C" w14:textId="18BB3D54" w:rsidR="00BD4717" w:rsidRPr="00215BCA" w:rsidRDefault="00BD4717" w:rsidP="00BD4717">
            <w:pPr>
              <w:jc w:val="both"/>
              <w:rPr>
                <w:rFonts w:ascii="Arial" w:hAnsi="Arial" w:cs="Arial"/>
                <w:b/>
                <w:sz w:val="20"/>
                <w:szCs w:val="20"/>
              </w:rPr>
            </w:pPr>
            <w:r w:rsidRPr="00F76C46">
              <w:rPr>
                <w:rFonts w:ascii="Arial" w:hAnsi="Arial" w:cs="Arial"/>
                <w:color w:val="000000"/>
                <w:sz w:val="20"/>
                <w:szCs w:val="20"/>
              </w:rPr>
              <w:t xml:space="preserve"> </w:t>
            </w:r>
          </w:p>
        </w:tc>
      </w:tr>
      <w:tr w:rsidR="00BD4717" w:rsidRPr="008D3FF6" w14:paraId="0145F67D" w14:textId="77777777" w:rsidTr="00D20C24">
        <w:trPr>
          <w:trHeight w:val="20"/>
        </w:trPr>
        <w:tc>
          <w:tcPr>
            <w:tcW w:w="1277" w:type="dxa"/>
            <w:tcBorders>
              <w:bottom w:val="single" w:sz="4" w:space="0" w:color="auto"/>
            </w:tcBorders>
            <w:noWrap/>
          </w:tcPr>
          <w:p w14:paraId="7A9627C6" w14:textId="77777777" w:rsidR="00BD4717" w:rsidRPr="008D3FF6" w:rsidRDefault="00BD4717" w:rsidP="00BD4717">
            <w:pPr>
              <w:rPr>
                <w:rFonts w:ascii="Arial" w:hAnsi="Arial" w:cs="Arial"/>
                <w:b/>
                <w:bCs/>
                <w:sz w:val="20"/>
                <w:szCs w:val="20"/>
              </w:rPr>
            </w:pPr>
            <w:r>
              <w:rPr>
                <w:rFonts w:ascii="Arial" w:hAnsi="Arial" w:cs="Arial"/>
                <w:b/>
                <w:bCs/>
                <w:sz w:val="20"/>
                <w:szCs w:val="20"/>
              </w:rPr>
              <w:t>N03AX24</w:t>
            </w:r>
          </w:p>
        </w:tc>
        <w:tc>
          <w:tcPr>
            <w:tcW w:w="9355" w:type="dxa"/>
            <w:tcBorders>
              <w:bottom w:val="single" w:sz="4" w:space="0" w:color="auto"/>
            </w:tcBorders>
            <w:noWrap/>
          </w:tcPr>
          <w:p w14:paraId="6D80CD04" w14:textId="77777777" w:rsidR="00BD4717" w:rsidRPr="00112F51" w:rsidRDefault="00BD4717" w:rsidP="00BD4717">
            <w:pPr>
              <w:jc w:val="both"/>
              <w:rPr>
                <w:rFonts w:ascii="Arial" w:hAnsi="Arial" w:cs="Arial"/>
                <w:b/>
                <w:color w:val="000000"/>
                <w:sz w:val="20"/>
                <w:szCs w:val="20"/>
              </w:rPr>
            </w:pPr>
            <w:r w:rsidRPr="00112F51">
              <w:rPr>
                <w:rFonts w:ascii="Arial" w:hAnsi="Arial" w:cs="Arial"/>
                <w:b/>
                <w:color w:val="000000"/>
                <w:sz w:val="20"/>
                <w:szCs w:val="20"/>
              </w:rPr>
              <w:t>Kanabidiol p.o. 100 mg/ml</w:t>
            </w:r>
          </w:p>
        </w:tc>
      </w:tr>
      <w:tr w:rsidR="00BD4717" w:rsidRPr="008D3FF6" w14:paraId="20E70A47" w14:textId="77777777" w:rsidTr="00D20C24">
        <w:trPr>
          <w:trHeight w:val="20"/>
        </w:trPr>
        <w:tc>
          <w:tcPr>
            <w:tcW w:w="1277" w:type="dxa"/>
            <w:tcBorders>
              <w:top w:val="single" w:sz="4" w:space="0" w:color="auto"/>
              <w:bottom w:val="single" w:sz="4" w:space="0" w:color="BFBFBF" w:themeColor="background1" w:themeShade="BF"/>
            </w:tcBorders>
            <w:noWrap/>
          </w:tcPr>
          <w:p w14:paraId="740DB967"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D8E93C3" w14:textId="77777777" w:rsidR="00BD4717" w:rsidRPr="00112F51" w:rsidRDefault="00BD4717" w:rsidP="00BD4717">
            <w:pPr>
              <w:autoSpaceDE w:val="0"/>
              <w:autoSpaceDN w:val="0"/>
              <w:adjustRightInd w:val="0"/>
              <w:spacing w:after="180" w:line="276" w:lineRule="auto"/>
              <w:jc w:val="both"/>
              <w:rPr>
                <w:rFonts w:ascii="Verdana" w:hAnsi="Verdana"/>
                <w:color w:val="000000"/>
                <w:u w:color="000000"/>
              </w:rPr>
            </w:pPr>
            <w:r w:rsidRPr="00112F51">
              <w:rPr>
                <w:rFonts w:ascii="Arial" w:hAnsi="Arial"/>
                <w:color w:val="000000"/>
                <w:sz w:val="20"/>
                <w:u w:color="000000"/>
              </w:rPr>
              <w:t>a) Hradená liečba sa môže indikovať ako adjuvantná liečba záchvatov spojených s Dravetovej syndrómom (DS) v kombinácii s klobazamom u pacientov vo veku od 2 rokov. Liečba sa môže indikovať u pacientov, u ktorých predchádzajúca liečba dvomi antiepileptikami nebola dostatočne účinná.</w:t>
            </w:r>
          </w:p>
          <w:p w14:paraId="71C78211" w14:textId="77777777" w:rsidR="00BD4717" w:rsidRPr="00112F51" w:rsidRDefault="00BD4717" w:rsidP="00BD4717">
            <w:pPr>
              <w:autoSpaceDE w:val="0"/>
              <w:autoSpaceDN w:val="0"/>
              <w:adjustRightInd w:val="0"/>
              <w:spacing w:after="180" w:line="276" w:lineRule="auto"/>
              <w:jc w:val="both"/>
              <w:rPr>
                <w:rFonts w:ascii="Verdana" w:hAnsi="Verdana"/>
                <w:color w:val="000000"/>
                <w:u w:color="000000"/>
              </w:rPr>
            </w:pPr>
            <w:r w:rsidRPr="00112F51">
              <w:rPr>
                <w:rFonts w:ascii="Arial" w:hAnsi="Arial"/>
                <w:color w:val="000000"/>
                <w:sz w:val="20"/>
                <w:u w:color="000000"/>
              </w:rPr>
              <w:t>b) Hradená liečba sa môže indikovať ako adjuvantná liečba záchvatov spojených s Lennox-Gastautovým syndrómom (LGS) v kombinácii s klobazamom u pacientov vo veku od 2 rokov. Liečba sa môže indikovať u pacientov, u ktorých predchádzajúca liečba dvomi antiepileptikami nebola dostatočne účinná.</w:t>
            </w:r>
          </w:p>
          <w:p w14:paraId="0DD5CB67" w14:textId="77777777" w:rsidR="00BD4717" w:rsidRPr="00112F51" w:rsidRDefault="00BD4717" w:rsidP="00BD4717">
            <w:pPr>
              <w:autoSpaceDE w:val="0"/>
              <w:autoSpaceDN w:val="0"/>
              <w:adjustRightInd w:val="0"/>
              <w:jc w:val="both"/>
              <w:rPr>
                <w:rFonts w:ascii="Verdana" w:hAnsi="Verdana"/>
                <w:color w:val="000000"/>
                <w:u w:color="000000"/>
              </w:rPr>
            </w:pPr>
            <w:r w:rsidRPr="00112F51">
              <w:rPr>
                <w:rFonts w:ascii="Arial" w:hAnsi="Arial"/>
                <w:color w:val="000000"/>
                <w:sz w:val="20"/>
                <w:u w:color="000000"/>
              </w:rPr>
              <w:t>c) Hradená liečba sa môže indikovať ako adjuvantná liečba záchvatov spojených s komplexom tuberóznej sklerózy (TSC) u pacientov vo veku od 2 rokov, u ktorých predchádzajúca liečba dvomi antiepileptikami nebola dostatočne účinná.</w:t>
            </w:r>
          </w:p>
          <w:p w14:paraId="5DE8E065" w14:textId="77777777" w:rsidR="00BD4717" w:rsidRDefault="00BD4717" w:rsidP="00BD4717">
            <w:pPr>
              <w:autoSpaceDE w:val="0"/>
              <w:autoSpaceDN w:val="0"/>
              <w:adjustRightInd w:val="0"/>
              <w:jc w:val="both"/>
              <w:rPr>
                <w:rFonts w:ascii="Arial" w:hAnsi="Arial"/>
                <w:color w:val="000000"/>
                <w:sz w:val="20"/>
                <w:u w:color="000000"/>
              </w:rPr>
            </w:pPr>
            <w:r w:rsidRPr="00112F51">
              <w:rPr>
                <w:rFonts w:ascii="Arial" w:hAnsi="Arial"/>
                <w:color w:val="000000"/>
                <w:sz w:val="20"/>
                <w:u w:color="000000"/>
              </w:rPr>
              <w:t>Podmienkou hradenej liečby je vyhodnocovanie efektivity indikovanej liečby v pravidelných šesťmesačných intervaloch. Pokračovanie liečby nie je hradené, ak pri maximálnej tolerovanej dávke nedôjde k redukcii záchvatov o najmenej 50% v porovnaní so stavom 6 mesiacov pred zahájením liečby.</w:t>
            </w:r>
          </w:p>
          <w:p w14:paraId="49F56273" w14:textId="77777777" w:rsidR="00BD4717" w:rsidRPr="00112F51" w:rsidRDefault="00BD4717" w:rsidP="00BD4717">
            <w:pPr>
              <w:autoSpaceDE w:val="0"/>
              <w:autoSpaceDN w:val="0"/>
              <w:adjustRightInd w:val="0"/>
              <w:rPr>
                <w:rFonts w:ascii="Arial" w:hAnsi="Arial"/>
                <w:color w:val="000000"/>
                <w:sz w:val="20"/>
                <w:u w:color="000000"/>
              </w:rPr>
            </w:pPr>
          </w:p>
          <w:p w14:paraId="45FD4904" w14:textId="48819CFC" w:rsidR="00BD4717" w:rsidRPr="00F76C46" w:rsidRDefault="00BD4717" w:rsidP="006B0423">
            <w:pPr>
              <w:autoSpaceDE w:val="0"/>
              <w:autoSpaceDN w:val="0"/>
              <w:adjustRightInd w:val="0"/>
              <w:jc w:val="both"/>
              <w:rPr>
                <w:rFonts w:ascii="Arial" w:hAnsi="Arial" w:cs="Arial"/>
                <w:color w:val="000000"/>
                <w:sz w:val="20"/>
                <w:szCs w:val="20"/>
              </w:rPr>
            </w:pPr>
            <w:r w:rsidRPr="00112F51">
              <w:rPr>
                <w:rFonts w:ascii="Arial" w:hAnsi="Arial"/>
                <w:color w:val="000000"/>
                <w:sz w:val="20"/>
                <w:u w:color="000000"/>
              </w:rPr>
              <w:t>Hradená liečba podlieha predchádzajúcemu súhlasu zdravotnej poisťovne.</w:t>
            </w:r>
          </w:p>
        </w:tc>
      </w:tr>
      <w:tr w:rsidR="00BD4717" w:rsidRPr="008D3FF6" w14:paraId="5AB3CE1A" w14:textId="77777777" w:rsidTr="00D20C24">
        <w:trPr>
          <w:trHeight w:val="20"/>
        </w:trPr>
        <w:tc>
          <w:tcPr>
            <w:tcW w:w="1277" w:type="dxa"/>
            <w:tcBorders>
              <w:bottom w:val="single" w:sz="4" w:space="0" w:color="auto"/>
            </w:tcBorders>
            <w:noWrap/>
          </w:tcPr>
          <w:p w14:paraId="79C0CA45" w14:textId="77777777" w:rsidR="00BD4717" w:rsidRDefault="00BD4717" w:rsidP="00BD4717">
            <w:pPr>
              <w:rPr>
                <w:rFonts w:ascii="Arial" w:hAnsi="Arial" w:cs="Arial"/>
                <w:b/>
                <w:bCs/>
                <w:sz w:val="20"/>
                <w:szCs w:val="20"/>
              </w:rPr>
            </w:pPr>
          </w:p>
          <w:p w14:paraId="3F06ADEC" w14:textId="77777777" w:rsidR="00BD4717" w:rsidRDefault="00BD4717" w:rsidP="00BD4717">
            <w:pPr>
              <w:rPr>
                <w:rFonts w:ascii="Arial" w:hAnsi="Arial" w:cs="Arial"/>
                <w:b/>
                <w:bCs/>
                <w:sz w:val="20"/>
                <w:szCs w:val="20"/>
              </w:rPr>
            </w:pPr>
          </w:p>
          <w:p w14:paraId="5EBCFCFC" w14:textId="77777777" w:rsidR="00BD4717" w:rsidRDefault="00BD4717" w:rsidP="00BD4717">
            <w:pPr>
              <w:rPr>
                <w:rFonts w:ascii="Arial" w:hAnsi="Arial" w:cs="Arial"/>
                <w:b/>
                <w:bCs/>
                <w:sz w:val="20"/>
                <w:szCs w:val="20"/>
              </w:rPr>
            </w:pPr>
          </w:p>
          <w:p w14:paraId="723FFC1B" w14:textId="77777777" w:rsidR="00BD4717" w:rsidRDefault="00BD4717" w:rsidP="00BD4717">
            <w:pPr>
              <w:rPr>
                <w:rFonts w:ascii="Arial" w:hAnsi="Arial" w:cs="Arial"/>
                <w:b/>
                <w:bCs/>
                <w:sz w:val="20"/>
                <w:szCs w:val="20"/>
              </w:rPr>
            </w:pPr>
          </w:p>
          <w:p w14:paraId="5A8207E1" w14:textId="06FB5030" w:rsidR="00BD4717" w:rsidRPr="008D3FF6" w:rsidRDefault="00BD4717" w:rsidP="00BD4717">
            <w:pPr>
              <w:rPr>
                <w:rFonts w:ascii="Arial" w:hAnsi="Arial" w:cs="Arial"/>
                <w:b/>
                <w:bCs/>
                <w:sz w:val="20"/>
                <w:szCs w:val="20"/>
              </w:rPr>
            </w:pPr>
            <w:r>
              <w:rPr>
                <w:rFonts w:ascii="Arial" w:hAnsi="Arial" w:cs="Arial"/>
                <w:b/>
                <w:bCs/>
                <w:sz w:val="20"/>
                <w:szCs w:val="20"/>
              </w:rPr>
              <w:t>N03AX25</w:t>
            </w:r>
          </w:p>
        </w:tc>
        <w:tc>
          <w:tcPr>
            <w:tcW w:w="9355" w:type="dxa"/>
            <w:tcBorders>
              <w:bottom w:val="single" w:sz="4" w:space="0" w:color="auto"/>
            </w:tcBorders>
            <w:noWrap/>
          </w:tcPr>
          <w:p w14:paraId="49752485" w14:textId="77777777" w:rsidR="00BD4717" w:rsidRDefault="00BD4717" w:rsidP="00BD4717">
            <w:pPr>
              <w:jc w:val="both"/>
              <w:rPr>
                <w:rFonts w:ascii="Arial" w:hAnsi="Arial" w:cs="Arial"/>
                <w:b/>
                <w:color w:val="000000"/>
                <w:sz w:val="20"/>
                <w:szCs w:val="20"/>
              </w:rPr>
            </w:pPr>
            <w:r w:rsidRPr="00DC681E">
              <w:rPr>
                <w:rFonts w:ascii="Arial" w:hAnsi="Arial" w:cs="Arial"/>
                <w:b/>
                <w:color w:val="000000"/>
                <w:sz w:val="20"/>
                <w:szCs w:val="20"/>
              </w:rPr>
              <w:t>Cenobamát p.o. 12,5 mg + 25 mg</w:t>
            </w:r>
          </w:p>
          <w:p w14:paraId="2E06DDBB" w14:textId="77777777" w:rsidR="00BD4717" w:rsidRDefault="00BD4717" w:rsidP="00BD4717">
            <w:pPr>
              <w:jc w:val="both"/>
              <w:rPr>
                <w:rFonts w:ascii="Arial" w:hAnsi="Arial" w:cs="Arial"/>
                <w:b/>
                <w:color w:val="000000"/>
                <w:sz w:val="20"/>
                <w:szCs w:val="20"/>
              </w:rPr>
            </w:pPr>
            <w:r w:rsidRPr="00DC681E">
              <w:rPr>
                <w:rFonts w:ascii="Arial" w:hAnsi="Arial" w:cs="Arial"/>
                <w:b/>
                <w:color w:val="000000"/>
                <w:sz w:val="20"/>
                <w:szCs w:val="20"/>
              </w:rPr>
              <w:t xml:space="preserve">Cenobamát p.o. </w:t>
            </w:r>
            <w:r>
              <w:rPr>
                <w:rFonts w:ascii="Arial" w:hAnsi="Arial" w:cs="Arial"/>
                <w:b/>
                <w:color w:val="000000"/>
                <w:sz w:val="20"/>
                <w:szCs w:val="20"/>
              </w:rPr>
              <w:t>50 mg</w:t>
            </w:r>
          </w:p>
          <w:p w14:paraId="5875197C" w14:textId="77777777" w:rsidR="00BD4717" w:rsidRDefault="00BD4717" w:rsidP="00BD4717">
            <w:pPr>
              <w:jc w:val="both"/>
              <w:rPr>
                <w:rFonts w:ascii="Arial" w:hAnsi="Arial" w:cs="Arial"/>
                <w:b/>
                <w:color w:val="000000"/>
                <w:sz w:val="20"/>
                <w:szCs w:val="20"/>
              </w:rPr>
            </w:pPr>
            <w:r w:rsidRPr="00DC681E">
              <w:rPr>
                <w:rFonts w:ascii="Arial" w:hAnsi="Arial" w:cs="Arial"/>
                <w:b/>
                <w:color w:val="000000"/>
                <w:sz w:val="20"/>
                <w:szCs w:val="20"/>
              </w:rPr>
              <w:t xml:space="preserve">Cenobamát p.o. </w:t>
            </w:r>
            <w:r>
              <w:rPr>
                <w:rFonts w:ascii="Arial" w:hAnsi="Arial" w:cs="Arial"/>
                <w:b/>
                <w:color w:val="000000"/>
                <w:sz w:val="20"/>
                <w:szCs w:val="20"/>
              </w:rPr>
              <w:t>100 mg</w:t>
            </w:r>
          </w:p>
          <w:p w14:paraId="1F5F9FFC" w14:textId="77777777" w:rsidR="00BD4717" w:rsidRDefault="00BD4717" w:rsidP="00BD4717">
            <w:pPr>
              <w:jc w:val="both"/>
              <w:rPr>
                <w:rFonts w:ascii="Arial" w:hAnsi="Arial" w:cs="Arial"/>
                <w:b/>
                <w:color w:val="000000"/>
                <w:sz w:val="20"/>
                <w:szCs w:val="20"/>
              </w:rPr>
            </w:pPr>
            <w:r w:rsidRPr="00DC681E">
              <w:rPr>
                <w:rFonts w:ascii="Arial" w:hAnsi="Arial" w:cs="Arial"/>
                <w:b/>
                <w:color w:val="000000"/>
                <w:sz w:val="20"/>
                <w:szCs w:val="20"/>
              </w:rPr>
              <w:t xml:space="preserve">Cenobamát p.o. </w:t>
            </w:r>
            <w:r>
              <w:rPr>
                <w:rFonts w:ascii="Arial" w:hAnsi="Arial" w:cs="Arial"/>
                <w:b/>
                <w:color w:val="000000"/>
                <w:sz w:val="20"/>
                <w:szCs w:val="20"/>
              </w:rPr>
              <w:t>150 mg</w:t>
            </w:r>
          </w:p>
          <w:p w14:paraId="32895CA4" w14:textId="77777777" w:rsidR="00BD4717" w:rsidRPr="00DC681E" w:rsidRDefault="00BD4717" w:rsidP="00BD4717">
            <w:pPr>
              <w:jc w:val="both"/>
              <w:rPr>
                <w:rFonts w:ascii="Arial" w:hAnsi="Arial" w:cs="Arial"/>
                <w:b/>
                <w:color w:val="000000"/>
                <w:sz w:val="20"/>
                <w:szCs w:val="20"/>
              </w:rPr>
            </w:pPr>
            <w:r w:rsidRPr="00DC681E">
              <w:rPr>
                <w:rFonts w:ascii="Arial" w:hAnsi="Arial" w:cs="Arial"/>
                <w:b/>
                <w:color w:val="000000"/>
                <w:sz w:val="20"/>
                <w:szCs w:val="20"/>
              </w:rPr>
              <w:t xml:space="preserve">Cenobamát p.o. </w:t>
            </w:r>
            <w:r>
              <w:rPr>
                <w:rFonts w:ascii="Arial" w:hAnsi="Arial" w:cs="Arial"/>
                <w:b/>
                <w:color w:val="000000"/>
                <w:sz w:val="20"/>
                <w:szCs w:val="20"/>
              </w:rPr>
              <w:t>200 mg</w:t>
            </w:r>
          </w:p>
        </w:tc>
      </w:tr>
      <w:tr w:rsidR="00BD4717" w:rsidRPr="008D3FF6" w14:paraId="0BA3D357" w14:textId="77777777" w:rsidTr="00D20C24">
        <w:trPr>
          <w:trHeight w:val="20"/>
        </w:trPr>
        <w:tc>
          <w:tcPr>
            <w:tcW w:w="1277" w:type="dxa"/>
            <w:tcBorders>
              <w:top w:val="single" w:sz="4" w:space="0" w:color="auto"/>
              <w:bottom w:val="single" w:sz="4" w:space="0" w:color="BFBFBF" w:themeColor="background1" w:themeShade="BF"/>
            </w:tcBorders>
            <w:noWrap/>
          </w:tcPr>
          <w:p w14:paraId="3EF6A312"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6DACB66" w14:textId="77777777" w:rsidR="00BD4717" w:rsidRDefault="00BD4717" w:rsidP="00BD4717">
            <w:pPr>
              <w:jc w:val="both"/>
              <w:rPr>
                <w:rFonts w:ascii="Arial" w:hAnsi="Arial" w:cs="Arial"/>
                <w:sz w:val="20"/>
                <w:szCs w:val="20"/>
              </w:rPr>
            </w:pPr>
            <w:r w:rsidRPr="00DC681E">
              <w:rPr>
                <w:rFonts w:ascii="Arial" w:hAnsi="Arial" w:cs="Arial"/>
                <w:sz w:val="20"/>
                <w:szCs w:val="20"/>
              </w:rPr>
              <w:t>Hradená liečba sa môže indikovať ako prídavná terapia fokálnych záchvatov so sekundárnou generalizáciou alebo bez nej u dospelých pacientov s epilepsiou, ktorí nedosiahli adekvátnu kontrolu napriek anamnéze liečby najmenej 2 antiepileptikami.</w:t>
            </w:r>
          </w:p>
          <w:p w14:paraId="62B9C412" w14:textId="77777777" w:rsidR="00BD4717" w:rsidRPr="00DC681E" w:rsidRDefault="00BD4717" w:rsidP="00BD4717">
            <w:pPr>
              <w:jc w:val="both"/>
              <w:rPr>
                <w:rFonts w:ascii="Arial" w:hAnsi="Arial" w:cs="Arial"/>
                <w:color w:val="000000"/>
                <w:sz w:val="20"/>
                <w:szCs w:val="20"/>
              </w:rPr>
            </w:pPr>
          </w:p>
        </w:tc>
      </w:tr>
      <w:tr w:rsidR="00BD4717" w:rsidRPr="008D3FF6" w14:paraId="5D0A08CB" w14:textId="77777777" w:rsidTr="00D20C24">
        <w:trPr>
          <w:trHeight w:val="20"/>
        </w:trPr>
        <w:tc>
          <w:tcPr>
            <w:tcW w:w="1277" w:type="dxa"/>
            <w:tcBorders>
              <w:bottom w:val="single" w:sz="4" w:space="0" w:color="auto"/>
            </w:tcBorders>
            <w:noWrap/>
          </w:tcPr>
          <w:p w14:paraId="26EF5A31" w14:textId="77777777" w:rsidR="00BD4717" w:rsidRPr="008D3FF6" w:rsidRDefault="00BD4717" w:rsidP="00BD4717">
            <w:pPr>
              <w:rPr>
                <w:rFonts w:ascii="Arial" w:hAnsi="Arial" w:cs="Arial"/>
                <w:b/>
                <w:bCs/>
                <w:sz w:val="20"/>
                <w:szCs w:val="20"/>
              </w:rPr>
            </w:pPr>
            <w:r>
              <w:rPr>
                <w:rFonts w:ascii="Arial" w:hAnsi="Arial" w:cs="Arial"/>
                <w:b/>
                <w:bCs/>
                <w:sz w:val="20"/>
                <w:szCs w:val="20"/>
              </w:rPr>
              <w:t>N03AX26</w:t>
            </w:r>
          </w:p>
        </w:tc>
        <w:tc>
          <w:tcPr>
            <w:tcW w:w="9355" w:type="dxa"/>
            <w:tcBorders>
              <w:bottom w:val="single" w:sz="4" w:space="0" w:color="auto"/>
            </w:tcBorders>
            <w:noWrap/>
          </w:tcPr>
          <w:p w14:paraId="4763DC5F" w14:textId="77777777" w:rsidR="00BD4717" w:rsidRPr="00C953E6" w:rsidRDefault="00BD4717" w:rsidP="00BD4717">
            <w:pPr>
              <w:jc w:val="both"/>
              <w:rPr>
                <w:rFonts w:ascii="Arial" w:hAnsi="Arial" w:cs="Arial"/>
                <w:b/>
                <w:sz w:val="20"/>
                <w:szCs w:val="20"/>
              </w:rPr>
            </w:pPr>
            <w:r w:rsidRPr="00C953E6">
              <w:rPr>
                <w:rFonts w:ascii="Arial" w:hAnsi="Arial" w:cs="Arial"/>
                <w:b/>
                <w:sz w:val="20"/>
                <w:szCs w:val="20"/>
              </w:rPr>
              <w:t>Fenfluramín p.o. 2,2 mg/ml</w:t>
            </w:r>
          </w:p>
        </w:tc>
      </w:tr>
      <w:tr w:rsidR="00BD4717" w:rsidRPr="008D3FF6" w14:paraId="6CA99647" w14:textId="77777777" w:rsidTr="00D20C24">
        <w:trPr>
          <w:trHeight w:val="20"/>
        </w:trPr>
        <w:tc>
          <w:tcPr>
            <w:tcW w:w="1277" w:type="dxa"/>
            <w:tcBorders>
              <w:top w:val="single" w:sz="4" w:space="0" w:color="auto"/>
              <w:bottom w:val="single" w:sz="4" w:space="0" w:color="BFBFBF" w:themeColor="background1" w:themeShade="BF"/>
            </w:tcBorders>
            <w:noWrap/>
          </w:tcPr>
          <w:p w14:paraId="65003D3E"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53A6A22"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1.) Hradenú liečbu môže indikovať neurológ na liečbu záchvatov súvisiacich s Dravetovej syndrómom, ako doplnková liečba k iným antiepileptikám pre pacientov vo veku 2 rokov a starších.</w:t>
            </w:r>
          </w:p>
          <w:p w14:paraId="3D0688CC"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Účinnosť liečby sa vyhodnocuje každých 6 mesiacov; liečba je ukončená, pokiaľ z nej pacient na základe vyhodnotenia ošetrujúceho lekára ďalej neprofituje (napr. v zmysle zníženia frekvencie alebo intenzity záchvatov oproti hodnotám pred liečbou).</w:t>
            </w:r>
          </w:p>
          <w:p w14:paraId="3EBAC9E9"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Hradená liečba podlieha predchádzajúcemu súhlasu zdravotnej poisťovne.</w:t>
            </w:r>
          </w:p>
          <w:p w14:paraId="1EE0B448" w14:textId="77777777" w:rsidR="00BD4717" w:rsidRDefault="00BD4717" w:rsidP="00BD4717">
            <w:pPr>
              <w:jc w:val="both"/>
              <w:rPr>
                <w:rFonts w:ascii="Arial" w:hAnsi="Arial" w:cs="Arial"/>
                <w:sz w:val="20"/>
                <w:szCs w:val="20"/>
              </w:rPr>
            </w:pPr>
          </w:p>
          <w:p w14:paraId="2D70F052"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2.) Hradenú liečbu môže indikovať neurológ na liečbu záchvatov súvisiacich s Lennox-Gastautovým syndrómom, ako doplnková liečba k iným antiepileptikám pre pacientov vo veku 2 rokov a starších.</w:t>
            </w:r>
          </w:p>
          <w:p w14:paraId="60C03C2D"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Účinnosť liečby sa vyhodnocuje každých 6 mesiacov; liečba je ukončená, pokiaľ z nej pacient na základe vyhodnotenia ošetrujúceho lekára ďalej neprofituje (napr. v zmysle zníženia frekvencie alebo intenzity záchvatov oproti hodnotám pred liečbou).</w:t>
            </w:r>
          </w:p>
          <w:p w14:paraId="49D161A4"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Hradená liečba podlieha predchádzajúcemu súhlasu zdravotnej poisťovne.</w:t>
            </w:r>
          </w:p>
          <w:p w14:paraId="009B9B83" w14:textId="77777777" w:rsidR="00BD4717" w:rsidRPr="00DC681E" w:rsidRDefault="00BD4717" w:rsidP="00BD4717">
            <w:pPr>
              <w:jc w:val="both"/>
              <w:rPr>
                <w:rFonts w:ascii="Arial" w:hAnsi="Arial" w:cs="Arial"/>
                <w:sz w:val="20"/>
                <w:szCs w:val="20"/>
              </w:rPr>
            </w:pPr>
          </w:p>
        </w:tc>
      </w:tr>
      <w:tr w:rsidR="00BD4717" w:rsidRPr="008D3FF6" w14:paraId="268EBEB5" w14:textId="77777777" w:rsidTr="00D20C24">
        <w:trPr>
          <w:trHeight w:val="20"/>
        </w:trPr>
        <w:tc>
          <w:tcPr>
            <w:tcW w:w="1277" w:type="dxa"/>
            <w:tcBorders>
              <w:bottom w:val="single" w:sz="4" w:space="0" w:color="auto"/>
            </w:tcBorders>
            <w:noWrap/>
          </w:tcPr>
          <w:p w14:paraId="40F709A5" w14:textId="77777777" w:rsidR="00BD4717" w:rsidRPr="008D3FF6" w:rsidRDefault="00BD4717" w:rsidP="00BD4717">
            <w:pPr>
              <w:rPr>
                <w:rFonts w:ascii="Arial" w:hAnsi="Arial" w:cs="Arial"/>
                <w:b/>
                <w:bCs/>
                <w:sz w:val="20"/>
                <w:szCs w:val="20"/>
              </w:rPr>
            </w:pPr>
            <w:r w:rsidRPr="008D3FF6">
              <w:rPr>
                <w:rFonts w:ascii="Arial" w:hAnsi="Arial" w:cs="Arial"/>
                <w:b/>
                <w:sz w:val="20"/>
                <w:szCs w:val="20"/>
              </w:rPr>
              <w:t>N04BA02</w:t>
            </w:r>
          </w:p>
        </w:tc>
        <w:tc>
          <w:tcPr>
            <w:tcW w:w="9355" w:type="dxa"/>
            <w:tcBorders>
              <w:bottom w:val="single" w:sz="4" w:space="0" w:color="auto"/>
            </w:tcBorders>
            <w:noWrap/>
          </w:tcPr>
          <w:p w14:paraId="6039DAE0" w14:textId="77777777" w:rsidR="00BD4717" w:rsidRPr="00F76C46" w:rsidRDefault="00BD4717" w:rsidP="00BD4717">
            <w:pPr>
              <w:jc w:val="both"/>
              <w:rPr>
                <w:rFonts w:ascii="Arial" w:hAnsi="Arial" w:cs="Arial"/>
                <w:color w:val="000000"/>
                <w:sz w:val="20"/>
                <w:szCs w:val="20"/>
              </w:rPr>
            </w:pPr>
            <w:r w:rsidRPr="008D3FF6">
              <w:rPr>
                <w:rFonts w:ascii="Arial" w:hAnsi="Arial" w:cs="Arial"/>
                <w:b/>
                <w:sz w:val="20"/>
                <w:szCs w:val="20"/>
              </w:rPr>
              <w:t>Levodopa a inhi</w:t>
            </w:r>
            <w:r>
              <w:rPr>
                <w:rFonts w:ascii="Arial" w:hAnsi="Arial" w:cs="Arial"/>
                <w:b/>
                <w:sz w:val="20"/>
                <w:szCs w:val="20"/>
              </w:rPr>
              <w:t>b</w:t>
            </w:r>
            <w:r w:rsidRPr="008D3FF6">
              <w:rPr>
                <w:rFonts w:ascii="Arial" w:hAnsi="Arial" w:cs="Arial"/>
                <w:b/>
                <w:sz w:val="20"/>
                <w:szCs w:val="20"/>
              </w:rPr>
              <w:t>ítor</w:t>
            </w:r>
            <w:r>
              <w:rPr>
                <w:rFonts w:ascii="Arial" w:hAnsi="Arial" w:cs="Arial"/>
                <w:b/>
                <w:sz w:val="20"/>
                <w:szCs w:val="20"/>
              </w:rPr>
              <w:t>y</w:t>
            </w:r>
            <w:r w:rsidRPr="008D3FF6">
              <w:rPr>
                <w:rFonts w:ascii="Arial" w:hAnsi="Arial" w:cs="Arial"/>
                <w:b/>
                <w:sz w:val="20"/>
                <w:szCs w:val="20"/>
              </w:rPr>
              <w:t xml:space="preserve"> dekarboxylázy parent. gel</w:t>
            </w:r>
          </w:p>
        </w:tc>
      </w:tr>
      <w:tr w:rsidR="00BD4717" w:rsidRPr="0000591E" w14:paraId="05A8F927" w14:textId="77777777" w:rsidTr="00D20C24">
        <w:trPr>
          <w:trHeight w:val="2551"/>
        </w:trPr>
        <w:tc>
          <w:tcPr>
            <w:tcW w:w="1277" w:type="dxa"/>
            <w:tcBorders>
              <w:top w:val="single" w:sz="4" w:space="0" w:color="auto"/>
              <w:bottom w:val="single" w:sz="4" w:space="0" w:color="BFBFBF" w:themeColor="background1" w:themeShade="BF"/>
            </w:tcBorders>
            <w:noWrap/>
          </w:tcPr>
          <w:p w14:paraId="4D36FED8" w14:textId="77777777" w:rsidR="00BD4717" w:rsidRDefault="00BD4717" w:rsidP="00BD4717">
            <w:pPr>
              <w:rPr>
                <w:rFonts w:ascii="Arial" w:hAnsi="Arial" w:cs="Arial"/>
                <w:b/>
                <w:sz w:val="20"/>
                <w:szCs w:val="20"/>
              </w:rPr>
            </w:pPr>
          </w:p>
          <w:p w14:paraId="51DB7D2F" w14:textId="77777777" w:rsidR="00BD4717" w:rsidRDefault="00BD4717" w:rsidP="00BD4717">
            <w:pPr>
              <w:rPr>
                <w:rFonts w:ascii="Arial" w:hAnsi="Arial" w:cs="Arial"/>
                <w:b/>
                <w:sz w:val="20"/>
                <w:szCs w:val="20"/>
              </w:rPr>
            </w:pPr>
          </w:p>
          <w:p w14:paraId="6C5E504F" w14:textId="77777777" w:rsidR="00BD4717" w:rsidRDefault="00BD4717" w:rsidP="00BD4717">
            <w:pPr>
              <w:rPr>
                <w:rFonts w:ascii="Arial" w:hAnsi="Arial" w:cs="Arial"/>
                <w:b/>
                <w:sz w:val="20"/>
                <w:szCs w:val="20"/>
              </w:rPr>
            </w:pPr>
          </w:p>
          <w:p w14:paraId="793BD78A"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A51577A" w14:textId="77777777" w:rsidR="00BD4717" w:rsidRDefault="00BD4717" w:rsidP="00BD4717">
            <w:pPr>
              <w:jc w:val="both"/>
              <w:rPr>
                <w:rFonts w:ascii="Arial" w:hAnsi="Arial" w:cs="Arial"/>
                <w:sz w:val="20"/>
                <w:szCs w:val="20"/>
              </w:rPr>
            </w:pPr>
            <w:r w:rsidRPr="00D4058F">
              <w:rPr>
                <w:rFonts w:ascii="Arial" w:hAnsi="Arial" w:cs="Arial"/>
                <w:sz w:val="20"/>
                <w:szCs w:val="20"/>
              </w:rPr>
              <w:t>Hradenú liečbu môže indikovať neurológ na liečbu pokročilej na levodopu reagujúcej Parkinsonovej choroby s</w:t>
            </w:r>
            <w:r>
              <w:rPr>
                <w:rFonts w:ascii="Arial" w:hAnsi="Arial" w:cs="Arial"/>
                <w:sz w:val="20"/>
                <w:szCs w:val="20"/>
              </w:rPr>
              <w:t xml:space="preserve"> </w:t>
            </w:r>
            <w:r w:rsidRPr="00D4058F">
              <w:rPr>
                <w:rFonts w:ascii="Arial" w:hAnsi="Arial" w:cs="Arial"/>
                <w:sz w:val="20"/>
                <w:szCs w:val="20"/>
              </w:rPr>
              <w:t>ťažkými motorickými fluktuáciami a hyperkinézou alebo dyskinézou, ak liečba dostupnou kombináciou</w:t>
            </w:r>
            <w:r>
              <w:rPr>
                <w:rFonts w:ascii="Arial" w:hAnsi="Arial" w:cs="Arial"/>
                <w:sz w:val="20"/>
                <w:szCs w:val="20"/>
              </w:rPr>
              <w:t xml:space="preserve"> </w:t>
            </w:r>
            <w:r w:rsidRPr="00D4058F">
              <w:rPr>
                <w:rFonts w:ascii="Arial" w:hAnsi="Arial" w:cs="Arial"/>
                <w:sz w:val="20"/>
                <w:szCs w:val="20"/>
              </w:rPr>
              <w:t xml:space="preserve">antiparkinsoník neviedla k uspokojivým výsledkom. </w:t>
            </w:r>
          </w:p>
          <w:p w14:paraId="5D95B032" w14:textId="77777777" w:rsidR="00BD4717" w:rsidRDefault="00BD4717" w:rsidP="00BD4717">
            <w:pPr>
              <w:jc w:val="both"/>
              <w:rPr>
                <w:rFonts w:ascii="Arial" w:hAnsi="Arial" w:cs="Arial"/>
                <w:sz w:val="20"/>
                <w:szCs w:val="20"/>
              </w:rPr>
            </w:pPr>
          </w:p>
          <w:p w14:paraId="529555F0" w14:textId="77777777" w:rsidR="00BD4717" w:rsidRDefault="00BD4717" w:rsidP="00BD4717">
            <w:pPr>
              <w:jc w:val="both"/>
              <w:rPr>
                <w:rFonts w:ascii="Arial" w:hAnsi="Arial" w:cs="Arial"/>
                <w:sz w:val="20"/>
                <w:szCs w:val="20"/>
              </w:rPr>
            </w:pPr>
            <w:r w:rsidRPr="00D4058F">
              <w:rPr>
                <w:rFonts w:ascii="Arial" w:hAnsi="Arial" w:cs="Arial"/>
                <w:sz w:val="20"/>
                <w:szCs w:val="20"/>
              </w:rPr>
              <w:t>Hradená liečba sa môže indikovať na Neurologických klinikách</w:t>
            </w:r>
            <w:r>
              <w:rPr>
                <w:rFonts w:ascii="Arial" w:hAnsi="Arial" w:cs="Arial"/>
                <w:sz w:val="20"/>
                <w:szCs w:val="20"/>
              </w:rPr>
              <w:t xml:space="preserve"> </w:t>
            </w:r>
            <w:r w:rsidRPr="00D4058F">
              <w:rPr>
                <w:rFonts w:ascii="Arial" w:hAnsi="Arial" w:cs="Arial"/>
                <w:sz w:val="20"/>
                <w:szCs w:val="20"/>
              </w:rPr>
              <w:t>U</w:t>
            </w:r>
            <w:r>
              <w:rPr>
                <w:rFonts w:ascii="Arial" w:hAnsi="Arial" w:cs="Arial"/>
                <w:sz w:val="20"/>
                <w:szCs w:val="20"/>
              </w:rPr>
              <w:t>niverzitnej nemocnice</w:t>
            </w:r>
            <w:r w:rsidRPr="00D4058F">
              <w:rPr>
                <w:rFonts w:ascii="Arial" w:hAnsi="Arial" w:cs="Arial"/>
                <w:sz w:val="20"/>
                <w:szCs w:val="20"/>
              </w:rPr>
              <w:t xml:space="preserve"> Bratislava, U</w:t>
            </w:r>
            <w:r>
              <w:rPr>
                <w:rFonts w:ascii="Arial" w:hAnsi="Arial" w:cs="Arial"/>
                <w:sz w:val="20"/>
                <w:szCs w:val="20"/>
              </w:rPr>
              <w:t>niverzitnej nemocnice</w:t>
            </w:r>
            <w:r w:rsidRPr="00D4058F">
              <w:rPr>
                <w:rFonts w:ascii="Arial" w:hAnsi="Arial" w:cs="Arial"/>
                <w:sz w:val="20"/>
                <w:szCs w:val="20"/>
              </w:rPr>
              <w:t xml:space="preserve"> Martin, U</w:t>
            </w:r>
            <w:r>
              <w:rPr>
                <w:rFonts w:ascii="Arial" w:hAnsi="Arial" w:cs="Arial"/>
                <w:sz w:val="20"/>
                <w:szCs w:val="20"/>
              </w:rPr>
              <w:t>niverzitnej nemocnice</w:t>
            </w:r>
            <w:r w:rsidRPr="00D4058F">
              <w:rPr>
                <w:rFonts w:ascii="Arial" w:hAnsi="Arial" w:cs="Arial"/>
                <w:sz w:val="20"/>
                <w:szCs w:val="20"/>
              </w:rPr>
              <w:t xml:space="preserve"> Košice a Ústrednej vojenskej nemocnice Ružomberok</w:t>
            </w:r>
            <w:r>
              <w:rPr>
                <w:rFonts w:ascii="Arial" w:hAnsi="Arial" w:cs="Arial"/>
                <w:sz w:val="20"/>
                <w:szCs w:val="20"/>
              </w:rPr>
              <w:t>, Fakultnej nemocnice Nitra, na neurologickom oddelení v nemocnici Agel Zvolen a.s. a vo Fakultnej nemocnici Trnava</w:t>
            </w:r>
            <w:r w:rsidRPr="00D4058F">
              <w:rPr>
                <w:rFonts w:ascii="Arial" w:hAnsi="Arial" w:cs="Arial"/>
                <w:sz w:val="20"/>
                <w:szCs w:val="20"/>
              </w:rPr>
              <w:t>.</w:t>
            </w:r>
          </w:p>
          <w:p w14:paraId="460EC7FB" w14:textId="77777777" w:rsidR="00BD4717" w:rsidRPr="00D4058F" w:rsidRDefault="00BD4717" w:rsidP="00BD4717">
            <w:pPr>
              <w:jc w:val="both"/>
              <w:rPr>
                <w:rFonts w:ascii="Arial" w:hAnsi="Arial" w:cs="Arial"/>
                <w:sz w:val="20"/>
                <w:szCs w:val="20"/>
              </w:rPr>
            </w:pPr>
          </w:p>
          <w:p w14:paraId="401AC253" w14:textId="77777777" w:rsidR="00BD4717" w:rsidRDefault="00BD4717" w:rsidP="00BD4717">
            <w:pPr>
              <w:rPr>
                <w:rFonts w:ascii="Arial" w:hAnsi="Arial" w:cs="Arial"/>
                <w:sz w:val="20"/>
                <w:szCs w:val="20"/>
              </w:rPr>
            </w:pPr>
            <w:r w:rsidRPr="00D4058F">
              <w:rPr>
                <w:rFonts w:ascii="Arial" w:hAnsi="Arial" w:cs="Arial"/>
                <w:sz w:val="20"/>
                <w:szCs w:val="20"/>
              </w:rPr>
              <w:t>Hradená liečba podlieha predchádzajúcemu súhlasu zdravotnej poisťovne.</w:t>
            </w:r>
          </w:p>
          <w:p w14:paraId="5D9DB155" w14:textId="77777777" w:rsidR="00BD4717" w:rsidRPr="008D3FF6" w:rsidRDefault="00BD4717" w:rsidP="00BD4717">
            <w:pPr>
              <w:rPr>
                <w:rFonts w:ascii="Arial" w:hAnsi="Arial" w:cs="Arial"/>
                <w:sz w:val="20"/>
                <w:szCs w:val="20"/>
              </w:rPr>
            </w:pPr>
          </w:p>
        </w:tc>
      </w:tr>
      <w:tr w:rsidR="00BD4717" w:rsidRPr="00E93024" w14:paraId="644B082F" w14:textId="77777777" w:rsidTr="00D20C24">
        <w:trPr>
          <w:trHeight w:val="20"/>
        </w:trPr>
        <w:tc>
          <w:tcPr>
            <w:tcW w:w="1277" w:type="dxa"/>
            <w:tcBorders>
              <w:bottom w:val="single" w:sz="4" w:space="0" w:color="auto"/>
            </w:tcBorders>
            <w:noWrap/>
          </w:tcPr>
          <w:p w14:paraId="3E6AF687" w14:textId="77777777" w:rsidR="00BD4717" w:rsidRPr="00E93024" w:rsidRDefault="00BD4717" w:rsidP="00BD4717">
            <w:pPr>
              <w:rPr>
                <w:rFonts w:ascii="Arial" w:hAnsi="Arial" w:cs="Arial"/>
                <w:b/>
                <w:bCs/>
                <w:sz w:val="20"/>
                <w:szCs w:val="20"/>
              </w:rPr>
            </w:pPr>
            <w:r w:rsidRPr="00E93024">
              <w:rPr>
                <w:rFonts w:ascii="Arial" w:hAnsi="Arial" w:cs="Arial"/>
                <w:b/>
                <w:bCs/>
                <w:sz w:val="20"/>
                <w:szCs w:val="20"/>
              </w:rPr>
              <w:t>N04BA03</w:t>
            </w:r>
          </w:p>
        </w:tc>
        <w:tc>
          <w:tcPr>
            <w:tcW w:w="9355" w:type="dxa"/>
            <w:tcBorders>
              <w:bottom w:val="single" w:sz="4" w:space="0" w:color="auto"/>
            </w:tcBorders>
            <w:noWrap/>
          </w:tcPr>
          <w:p w14:paraId="28807D13" w14:textId="77777777" w:rsidR="00BD4717" w:rsidRPr="00E93024" w:rsidRDefault="00BD4717" w:rsidP="00BD4717">
            <w:pPr>
              <w:rPr>
                <w:rFonts w:ascii="Arial" w:hAnsi="Arial" w:cs="Arial"/>
                <w:sz w:val="20"/>
                <w:szCs w:val="20"/>
              </w:rPr>
            </w:pPr>
            <w:r w:rsidRPr="00E93024">
              <w:rPr>
                <w:rFonts w:ascii="Arial" w:hAnsi="Arial" w:cs="Arial"/>
                <w:b/>
                <w:sz w:val="20"/>
                <w:szCs w:val="20"/>
              </w:rPr>
              <w:t>Levodopa, inhibítor dekarboxylázy a COMT inhibítor</w:t>
            </w:r>
          </w:p>
        </w:tc>
      </w:tr>
      <w:tr w:rsidR="00BD4717" w:rsidRPr="0000591E" w14:paraId="70B87EA5" w14:textId="77777777" w:rsidTr="00D20C24">
        <w:trPr>
          <w:trHeight w:val="1408"/>
        </w:trPr>
        <w:tc>
          <w:tcPr>
            <w:tcW w:w="1277" w:type="dxa"/>
            <w:tcBorders>
              <w:top w:val="single" w:sz="4" w:space="0" w:color="auto"/>
              <w:bottom w:val="single" w:sz="4" w:space="0" w:color="BFBFBF" w:themeColor="background1" w:themeShade="BF"/>
            </w:tcBorders>
            <w:noWrap/>
          </w:tcPr>
          <w:p w14:paraId="2D85DB73"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340A598" w14:textId="77777777" w:rsidR="00BD4717" w:rsidRDefault="00BD4717" w:rsidP="00BD4717">
            <w:pPr>
              <w:autoSpaceDE w:val="0"/>
              <w:autoSpaceDN w:val="0"/>
              <w:adjustRightInd w:val="0"/>
              <w:spacing w:line="20" w:lineRule="atLeast"/>
              <w:jc w:val="both"/>
              <w:rPr>
                <w:rFonts w:ascii="Arial" w:hAnsi="Arial"/>
                <w:color w:val="000000"/>
                <w:sz w:val="20"/>
                <w:u w:color="000000"/>
              </w:rPr>
            </w:pPr>
            <w:r w:rsidRPr="00E93024">
              <w:rPr>
                <w:rFonts w:ascii="Arial" w:hAnsi="Arial"/>
                <w:color w:val="000000"/>
                <w:sz w:val="20"/>
                <w:u w:color="000000"/>
              </w:rPr>
              <w:t xml:space="preserve">Hradenú liečbu môže indikovať neurológ na liečbu pokročilej Parkinsonovej choroby s ťažkými motorickými fluktuáciami a hyperkinézou alebo dyskinézou, ak liečba dostupnou kombináciou antiparkinsoník neviedla k uspokojivým výsledkom. </w:t>
            </w:r>
          </w:p>
          <w:p w14:paraId="621D7163" w14:textId="77777777" w:rsidR="00BD4717" w:rsidRPr="00E93024" w:rsidRDefault="00BD4717" w:rsidP="00BD4717">
            <w:pPr>
              <w:autoSpaceDE w:val="0"/>
              <w:autoSpaceDN w:val="0"/>
              <w:adjustRightInd w:val="0"/>
              <w:spacing w:line="20" w:lineRule="atLeast"/>
              <w:jc w:val="both"/>
              <w:rPr>
                <w:rFonts w:ascii="Arial" w:hAnsi="Arial"/>
                <w:color w:val="000000"/>
                <w:sz w:val="20"/>
                <w:u w:color="000000"/>
              </w:rPr>
            </w:pPr>
          </w:p>
          <w:p w14:paraId="1E93D383" w14:textId="77777777" w:rsidR="00BD4717" w:rsidRDefault="00BD4717" w:rsidP="00BD4717">
            <w:pPr>
              <w:autoSpaceDE w:val="0"/>
              <w:autoSpaceDN w:val="0"/>
              <w:adjustRightInd w:val="0"/>
              <w:spacing w:line="20" w:lineRule="atLeast"/>
              <w:jc w:val="both"/>
              <w:rPr>
                <w:rFonts w:ascii="Arial" w:hAnsi="Arial"/>
                <w:color w:val="000000"/>
                <w:sz w:val="20"/>
                <w:u w:color="000000"/>
              </w:rPr>
            </w:pPr>
            <w:r w:rsidRPr="00E93024">
              <w:rPr>
                <w:rFonts w:ascii="Arial" w:hAnsi="Arial"/>
                <w:color w:val="000000"/>
                <w:sz w:val="20"/>
                <w:u w:color="000000"/>
              </w:rPr>
              <w:t xml:space="preserve">Hradená liečba sa môže indikovať na Neurologických klinikách Univerzitnej nemocnice Bratislava, Univerzitnej nemocnice Martin, Univerzitnej nemocnice Košice, Ústrednej vojenskej nemocnice Ružomberok, Fakultnej nemocnice Nitra, Fakultnej nemocnice Trnava a na neurologickom oddelení Nemocnice Agel Zvolen a.s. </w:t>
            </w:r>
            <w:r>
              <w:rPr>
                <w:rFonts w:ascii="Arial" w:hAnsi="Arial"/>
                <w:color w:val="000000"/>
                <w:sz w:val="20"/>
                <w:u w:color="000000"/>
              </w:rPr>
              <w:t xml:space="preserve">           </w:t>
            </w:r>
          </w:p>
          <w:p w14:paraId="28260C54" w14:textId="77777777" w:rsidR="00BD4717" w:rsidRDefault="00BD4717" w:rsidP="00BD4717">
            <w:pPr>
              <w:autoSpaceDE w:val="0"/>
              <w:autoSpaceDN w:val="0"/>
              <w:adjustRightInd w:val="0"/>
              <w:jc w:val="both"/>
              <w:rPr>
                <w:rFonts w:ascii="Arial" w:hAnsi="Arial"/>
                <w:color w:val="000000"/>
                <w:sz w:val="20"/>
                <w:u w:color="000000"/>
              </w:rPr>
            </w:pPr>
            <w:r>
              <w:rPr>
                <w:rFonts w:ascii="Arial" w:hAnsi="Arial"/>
                <w:color w:val="000000"/>
                <w:sz w:val="20"/>
                <w:u w:color="000000"/>
              </w:rPr>
              <w:t xml:space="preserve">                                                                                                                       </w:t>
            </w:r>
          </w:p>
          <w:p w14:paraId="56B3ADC8" w14:textId="77777777" w:rsidR="00BD4717" w:rsidRDefault="00BD4717" w:rsidP="00BD4717">
            <w:pPr>
              <w:autoSpaceDE w:val="0"/>
              <w:autoSpaceDN w:val="0"/>
              <w:adjustRightInd w:val="0"/>
              <w:jc w:val="both"/>
              <w:rPr>
                <w:rFonts w:ascii="Arial" w:hAnsi="Arial"/>
                <w:color w:val="000000"/>
                <w:sz w:val="20"/>
                <w:u w:color="000000"/>
              </w:rPr>
            </w:pPr>
            <w:r w:rsidRPr="00E93024">
              <w:rPr>
                <w:rFonts w:ascii="Arial" w:hAnsi="Arial"/>
                <w:color w:val="000000"/>
                <w:sz w:val="20"/>
                <w:u w:color="000000"/>
              </w:rPr>
              <w:t>Hradená liečba podlieha predchádzajúcemu súhlasu zdravotnej poisťovne.</w:t>
            </w:r>
          </w:p>
          <w:p w14:paraId="258B6BEF" w14:textId="6956E7FD" w:rsidR="00BD4717" w:rsidRPr="00E93024" w:rsidRDefault="00BD4717" w:rsidP="00BD4717">
            <w:pPr>
              <w:autoSpaceDE w:val="0"/>
              <w:autoSpaceDN w:val="0"/>
              <w:adjustRightInd w:val="0"/>
              <w:jc w:val="both"/>
              <w:rPr>
                <w:rFonts w:ascii="Arial" w:hAnsi="Arial"/>
                <w:color w:val="000000"/>
                <w:sz w:val="20"/>
                <w:u w:color="000000"/>
              </w:rPr>
            </w:pPr>
          </w:p>
        </w:tc>
      </w:tr>
      <w:tr w:rsidR="00BD4717" w:rsidRPr="0000591E" w14:paraId="3FA38E0F" w14:textId="77777777" w:rsidTr="00D20C24">
        <w:trPr>
          <w:trHeight w:val="20"/>
        </w:trPr>
        <w:tc>
          <w:tcPr>
            <w:tcW w:w="1277" w:type="dxa"/>
            <w:tcBorders>
              <w:bottom w:val="single" w:sz="4" w:space="0" w:color="auto"/>
            </w:tcBorders>
            <w:noWrap/>
          </w:tcPr>
          <w:p w14:paraId="70DF8370" w14:textId="77777777" w:rsidR="00BD4717" w:rsidRDefault="00BD4717" w:rsidP="00BD4717">
            <w:pPr>
              <w:rPr>
                <w:rFonts w:ascii="Arial" w:hAnsi="Arial" w:cs="Arial"/>
                <w:b/>
                <w:bCs/>
                <w:sz w:val="20"/>
                <w:szCs w:val="20"/>
              </w:rPr>
            </w:pPr>
            <w:r w:rsidRPr="00B655DE">
              <w:rPr>
                <w:rFonts w:ascii="Arial" w:hAnsi="Arial" w:cs="Arial"/>
                <w:b/>
                <w:bCs/>
                <w:sz w:val="20"/>
                <w:szCs w:val="20"/>
              </w:rPr>
              <w:t>N04BA07</w:t>
            </w:r>
          </w:p>
        </w:tc>
        <w:tc>
          <w:tcPr>
            <w:tcW w:w="9355" w:type="dxa"/>
            <w:tcBorders>
              <w:bottom w:val="single" w:sz="4" w:space="0" w:color="auto"/>
            </w:tcBorders>
            <w:noWrap/>
          </w:tcPr>
          <w:p w14:paraId="49C2577F" w14:textId="77777777" w:rsidR="00BD4717" w:rsidRPr="00B655DE" w:rsidRDefault="00BD4717" w:rsidP="00BD4717">
            <w:pPr>
              <w:autoSpaceDE w:val="0"/>
              <w:autoSpaceDN w:val="0"/>
              <w:adjustRightInd w:val="0"/>
              <w:spacing w:before="100" w:beforeAutospacing="1" w:after="100" w:afterAutospacing="1" w:line="276" w:lineRule="auto"/>
              <w:jc w:val="both"/>
              <w:rPr>
                <w:rFonts w:ascii="Arial" w:hAnsi="Arial"/>
                <w:b/>
                <w:color w:val="000000"/>
                <w:sz w:val="20"/>
                <w:u w:color="000000"/>
              </w:rPr>
            </w:pPr>
            <w:r w:rsidRPr="00B655DE">
              <w:rPr>
                <w:rFonts w:ascii="Arial" w:hAnsi="Arial"/>
                <w:b/>
                <w:color w:val="000000"/>
                <w:sz w:val="20"/>
                <w:u w:color="000000"/>
              </w:rPr>
              <w:t xml:space="preserve">Foslevodopa a inhibítor dekarboxylázy parent. 240mg/ml + 12mg/ml </w:t>
            </w:r>
          </w:p>
        </w:tc>
      </w:tr>
      <w:tr w:rsidR="00BD4717" w:rsidRPr="0000591E" w14:paraId="64C7C925" w14:textId="77777777" w:rsidTr="00D20C24">
        <w:trPr>
          <w:trHeight w:val="20"/>
        </w:trPr>
        <w:tc>
          <w:tcPr>
            <w:tcW w:w="1277" w:type="dxa"/>
            <w:tcBorders>
              <w:top w:val="single" w:sz="4" w:space="0" w:color="auto"/>
              <w:bottom w:val="single" w:sz="4" w:space="0" w:color="BFBFBF" w:themeColor="background1" w:themeShade="BF"/>
            </w:tcBorders>
            <w:noWrap/>
          </w:tcPr>
          <w:p w14:paraId="008DB703"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38EFE5E" w14:textId="77777777" w:rsidR="00BD4717" w:rsidRDefault="00BD4717" w:rsidP="00BD4717">
            <w:pPr>
              <w:autoSpaceDE w:val="0"/>
              <w:autoSpaceDN w:val="0"/>
              <w:adjustRightInd w:val="0"/>
              <w:jc w:val="both"/>
              <w:rPr>
                <w:rFonts w:ascii="Arial" w:hAnsi="Arial"/>
                <w:color w:val="000000"/>
                <w:sz w:val="20"/>
                <w:u w:color="000000"/>
              </w:rPr>
            </w:pPr>
            <w:r w:rsidRPr="00B655DE">
              <w:rPr>
                <w:rFonts w:ascii="Arial" w:hAnsi="Arial"/>
                <w:color w:val="000000"/>
                <w:sz w:val="20"/>
                <w:u w:color="000000"/>
              </w:rPr>
              <w:t>Hradenú liečbu môže indikovať neurológ na liečbu pokročilej na levodopu reagujúcej Parkinsonovej choroby s ťažkými motorickými fluktuáciami a hyperkinézou alebo dyskinézou, ak liečba apomorfínom nie je vhodná, alebo neposkytuje dostatočnú kontrolu symptómov, alebo ju pacient netoleruje a ak liečba dostupnou kombináciou antiparkinsoník neviedla k uspokojivým výsledkom.</w:t>
            </w:r>
            <w:r>
              <w:rPr>
                <w:rFonts w:ascii="Arial" w:hAnsi="Arial"/>
                <w:color w:val="000000"/>
                <w:sz w:val="20"/>
                <w:u w:color="000000"/>
              </w:rPr>
              <w:t xml:space="preserve"> </w:t>
            </w:r>
          </w:p>
          <w:p w14:paraId="78076AB6" w14:textId="253D811D" w:rsidR="00BD4717" w:rsidRPr="00B655DE" w:rsidRDefault="00BD4717" w:rsidP="00BD4717">
            <w:pPr>
              <w:autoSpaceDE w:val="0"/>
              <w:autoSpaceDN w:val="0"/>
              <w:adjustRightInd w:val="0"/>
              <w:jc w:val="both"/>
              <w:rPr>
                <w:rFonts w:ascii="Arial" w:hAnsi="Arial"/>
                <w:color w:val="000000"/>
                <w:sz w:val="20"/>
                <w:u w:color="000000"/>
              </w:rPr>
            </w:pPr>
            <w:r w:rsidRPr="00B655DE">
              <w:rPr>
                <w:rFonts w:ascii="Arial" w:hAnsi="Arial"/>
                <w:color w:val="000000"/>
                <w:sz w:val="20"/>
                <w:u w:color="000000"/>
              </w:rPr>
              <w:t>Hradená liečba sa môže indikovať na Neurologických klinikách Univerzitnej nemocnice Bratislava, Univerzitnej nemocnice Martin, Univerzitnej nemocnice Košice a Ústrednej vojenskej nemocnice Ružomberok, Fakultnej nemocnice Nitra, na Neurologickom oddelení v nemocnici Agel Zvolen a.s. a vo Fakultnej nemocnici Trnava.</w:t>
            </w:r>
          </w:p>
          <w:p w14:paraId="4035A355" w14:textId="2F704C16" w:rsidR="00BD4717" w:rsidRPr="00E93024" w:rsidRDefault="00BD4717" w:rsidP="006B0423">
            <w:pPr>
              <w:autoSpaceDE w:val="0"/>
              <w:autoSpaceDN w:val="0"/>
              <w:adjustRightInd w:val="0"/>
              <w:spacing w:before="100" w:beforeAutospacing="1"/>
              <w:jc w:val="both"/>
              <w:rPr>
                <w:rFonts w:ascii="Arial" w:hAnsi="Arial"/>
                <w:color w:val="000000"/>
                <w:sz w:val="20"/>
                <w:u w:color="000000"/>
              </w:rPr>
            </w:pPr>
            <w:r w:rsidRPr="00B655DE">
              <w:rPr>
                <w:rFonts w:ascii="Arial" w:hAnsi="Arial"/>
                <w:color w:val="000000"/>
                <w:sz w:val="20"/>
                <w:u w:color="000000"/>
              </w:rPr>
              <w:t>Hradená liečba podlieha predchádzajúcemu súhlasu zdravotnej poisťovne</w:t>
            </w:r>
            <w:r>
              <w:rPr>
                <w:rFonts w:ascii="Arial" w:hAnsi="Arial"/>
                <w:color w:val="000000"/>
                <w:sz w:val="20"/>
                <w:u w:color="000000"/>
              </w:rPr>
              <w:t>.</w:t>
            </w:r>
          </w:p>
        </w:tc>
      </w:tr>
      <w:tr w:rsidR="00BD4717" w:rsidRPr="0000591E" w14:paraId="09E4F869" w14:textId="77777777" w:rsidTr="00D20C24">
        <w:trPr>
          <w:trHeight w:val="20"/>
        </w:trPr>
        <w:tc>
          <w:tcPr>
            <w:tcW w:w="1277" w:type="dxa"/>
            <w:tcBorders>
              <w:bottom w:val="single" w:sz="4" w:space="0" w:color="auto"/>
            </w:tcBorders>
            <w:noWrap/>
          </w:tcPr>
          <w:p w14:paraId="0C34AD1A" w14:textId="77777777" w:rsidR="00BD4717" w:rsidRDefault="00BD4717" w:rsidP="00BD4717">
            <w:pPr>
              <w:rPr>
                <w:rFonts w:ascii="Arial" w:hAnsi="Arial" w:cs="Arial"/>
                <w:b/>
                <w:bCs/>
                <w:sz w:val="20"/>
                <w:szCs w:val="20"/>
              </w:rPr>
            </w:pPr>
          </w:p>
          <w:p w14:paraId="5F7C8567" w14:textId="07DB8973" w:rsidR="00BD4717" w:rsidRPr="0000591E" w:rsidRDefault="00BD4717" w:rsidP="00BD4717">
            <w:pPr>
              <w:rPr>
                <w:rFonts w:ascii="Arial" w:hAnsi="Arial" w:cs="Arial"/>
                <w:b/>
                <w:bCs/>
                <w:sz w:val="20"/>
                <w:szCs w:val="20"/>
              </w:rPr>
            </w:pPr>
            <w:r>
              <w:rPr>
                <w:rFonts w:ascii="Arial" w:hAnsi="Arial" w:cs="Arial"/>
                <w:b/>
                <w:bCs/>
                <w:sz w:val="20"/>
                <w:szCs w:val="20"/>
              </w:rPr>
              <w:t>N04BC07</w:t>
            </w:r>
          </w:p>
        </w:tc>
        <w:tc>
          <w:tcPr>
            <w:tcW w:w="9355" w:type="dxa"/>
            <w:tcBorders>
              <w:bottom w:val="single" w:sz="4" w:space="0" w:color="auto"/>
            </w:tcBorders>
            <w:noWrap/>
          </w:tcPr>
          <w:p w14:paraId="4716AF03" w14:textId="77777777" w:rsidR="00BD4717" w:rsidRDefault="00BD4717" w:rsidP="00BD4717">
            <w:pPr>
              <w:rPr>
                <w:rFonts w:ascii="Arial" w:hAnsi="Arial" w:cs="Arial"/>
                <w:b/>
                <w:sz w:val="20"/>
                <w:szCs w:val="20"/>
              </w:rPr>
            </w:pPr>
            <w:r w:rsidRPr="0000591E">
              <w:rPr>
                <w:rFonts w:ascii="Arial" w:hAnsi="Arial" w:cs="Arial"/>
                <w:b/>
                <w:sz w:val="20"/>
                <w:szCs w:val="20"/>
              </w:rPr>
              <w:t xml:space="preserve">Apomorfín parent. subkutánna infúzia, injekčný a infúzny roztok </w:t>
            </w:r>
            <w:r>
              <w:rPr>
                <w:rFonts w:ascii="Arial" w:hAnsi="Arial" w:cs="Arial"/>
                <w:b/>
                <w:sz w:val="20"/>
                <w:szCs w:val="20"/>
              </w:rPr>
              <w:t>30 mg</w:t>
            </w:r>
          </w:p>
          <w:p w14:paraId="4C44E3D3" w14:textId="77777777" w:rsidR="00BD4717" w:rsidRPr="00F80CA7" w:rsidRDefault="00BD4717" w:rsidP="00BD4717">
            <w:pPr>
              <w:rPr>
                <w:rFonts w:ascii="Arial" w:hAnsi="Arial" w:cs="Arial"/>
                <w:b/>
                <w:sz w:val="20"/>
                <w:szCs w:val="20"/>
              </w:rPr>
            </w:pPr>
            <w:r w:rsidRPr="0000591E">
              <w:rPr>
                <w:rFonts w:ascii="Arial" w:hAnsi="Arial" w:cs="Arial"/>
                <w:b/>
                <w:sz w:val="20"/>
                <w:szCs w:val="20"/>
              </w:rPr>
              <w:t xml:space="preserve">Apomorfín parent. subkutánna infúzia, injekčný a infúzny roztok </w:t>
            </w:r>
            <w:r>
              <w:rPr>
                <w:rFonts w:ascii="Arial" w:hAnsi="Arial" w:cs="Arial"/>
                <w:b/>
                <w:sz w:val="20"/>
                <w:szCs w:val="20"/>
              </w:rPr>
              <w:t>50 mg</w:t>
            </w:r>
          </w:p>
        </w:tc>
      </w:tr>
      <w:tr w:rsidR="00BD4717" w:rsidRPr="0000591E" w14:paraId="641BA379" w14:textId="77777777" w:rsidTr="00D20C24">
        <w:trPr>
          <w:trHeight w:val="20"/>
        </w:trPr>
        <w:tc>
          <w:tcPr>
            <w:tcW w:w="1277" w:type="dxa"/>
            <w:tcBorders>
              <w:top w:val="single" w:sz="4" w:space="0" w:color="auto"/>
              <w:bottom w:val="single" w:sz="4" w:space="0" w:color="BFBFBF" w:themeColor="background1" w:themeShade="BF"/>
            </w:tcBorders>
            <w:noWrap/>
          </w:tcPr>
          <w:p w14:paraId="301A970F"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721D5CC"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v neskorých štádiách Parkinsonovej choroby s motorickými fluktuáciami, najmä typu "on-off", ktoré nie sú dostatočne ovplyvniteľné inou perorálnou liečbou.</w:t>
            </w:r>
          </w:p>
          <w:p w14:paraId="3813A131" w14:textId="77777777" w:rsidR="00BD4717" w:rsidRPr="0000591E" w:rsidRDefault="00BD4717" w:rsidP="00BD4717">
            <w:pPr>
              <w:rPr>
                <w:rFonts w:ascii="Arial" w:hAnsi="Arial" w:cs="Arial"/>
                <w:b/>
                <w:bCs/>
                <w:sz w:val="20"/>
                <w:szCs w:val="20"/>
              </w:rPr>
            </w:pPr>
          </w:p>
        </w:tc>
      </w:tr>
      <w:tr w:rsidR="00BD4717" w:rsidRPr="0000591E" w14:paraId="20E91698" w14:textId="77777777" w:rsidTr="00D20C24">
        <w:trPr>
          <w:trHeight w:val="20"/>
        </w:trPr>
        <w:tc>
          <w:tcPr>
            <w:tcW w:w="1277" w:type="dxa"/>
            <w:tcBorders>
              <w:bottom w:val="single" w:sz="4" w:space="0" w:color="auto"/>
            </w:tcBorders>
            <w:noWrap/>
          </w:tcPr>
          <w:p w14:paraId="135B4E86" w14:textId="77777777" w:rsidR="00BD4717" w:rsidRPr="0000591E" w:rsidRDefault="00BD4717" w:rsidP="00BD4717">
            <w:pPr>
              <w:rPr>
                <w:rFonts w:ascii="Arial" w:hAnsi="Arial" w:cs="Arial"/>
                <w:b/>
                <w:bCs/>
                <w:sz w:val="20"/>
                <w:szCs w:val="20"/>
              </w:rPr>
            </w:pPr>
            <w:r>
              <w:rPr>
                <w:rFonts w:ascii="Arial" w:hAnsi="Arial" w:cs="Arial"/>
                <w:b/>
                <w:bCs/>
                <w:sz w:val="20"/>
                <w:szCs w:val="20"/>
              </w:rPr>
              <w:t>N04BX04</w:t>
            </w:r>
          </w:p>
        </w:tc>
        <w:tc>
          <w:tcPr>
            <w:tcW w:w="9355" w:type="dxa"/>
            <w:tcBorders>
              <w:bottom w:val="single" w:sz="4" w:space="0" w:color="auto"/>
            </w:tcBorders>
            <w:noWrap/>
          </w:tcPr>
          <w:p w14:paraId="30E01DEF" w14:textId="77777777" w:rsidR="00BD4717" w:rsidRPr="009E7C5D" w:rsidRDefault="00BD4717" w:rsidP="00BD4717">
            <w:pPr>
              <w:jc w:val="both"/>
              <w:rPr>
                <w:rFonts w:ascii="Arial" w:hAnsi="Arial" w:cs="Arial"/>
                <w:b/>
                <w:sz w:val="20"/>
                <w:szCs w:val="20"/>
              </w:rPr>
            </w:pPr>
            <w:r w:rsidRPr="009E7C5D">
              <w:rPr>
                <w:rFonts w:ascii="Arial" w:hAnsi="Arial" w:cs="Arial"/>
                <w:b/>
                <w:sz w:val="20"/>
                <w:szCs w:val="20"/>
              </w:rPr>
              <w:t xml:space="preserve">Opikapón p.o. 50 mg </w:t>
            </w:r>
          </w:p>
        </w:tc>
      </w:tr>
      <w:tr w:rsidR="00BD4717" w:rsidRPr="0000591E" w14:paraId="00FA7752" w14:textId="77777777" w:rsidTr="00D20C24">
        <w:trPr>
          <w:trHeight w:val="20"/>
        </w:trPr>
        <w:tc>
          <w:tcPr>
            <w:tcW w:w="1277" w:type="dxa"/>
            <w:tcBorders>
              <w:top w:val="single" w:sz="4" w:space="0" w:color="auto"/>
              <w:bottom w:val="single" w:sz="4" w:space="0" w:color="BFBFBF" w:themeColor="background1" w:themeShade="BF"/>
            </w:tcBorders>
            <w:noWrap/>
          </w:tcPr>
          <w:p w14:paraId="2914849C"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33021C7" w14:textId="77777777" w:rsidR="00BD4717" w:rsidRDefault="00BD4717" w:rsidP="00BD4717">
            <w:pPr>
              <w:jc w:val="both"/>
              <w:rPr>
                <w:rFonts w:ascii="Arial" w:hAnsi="Arial" w:cs="Arial"/>
                <w:sz w:val="20"/>
                <w:szCs w:val="20"/>
              </w:rPr>
            </w:pPr>
            <w:r w:rsidRPr="009E7C5D">
              <w:rPr>
                <w:rFonts w:ascii="Arial" w:hAnsi="Arial" w:cs="Arial"/>
                <w:sz w:val="20"/>
                <w:szCs w:val="20"/>
              </w:rPr>
              <w:t>Hradená liečba sa môže indikovať v druhej línii po preukázanej neúčinnosti entakapónu.</w:t>
            </w:r>
          </w:p>
          <w:p w14:paraId="388C7F3F" w14:textId="77777777" w:rsidR="00BD4717" w:rsidRPr="009E7C5D" w:rsidRDefault="00BD4717" w:rsidP="00BD4717">
            <w:pPr>
              <w:jc w:val="both"/>
              <w:rPr>
                <w:rFonts w:ascii="Arial" w:hAnsi="Arial" w:cs="Arial"/>
                <w:sz w:val="20"/>
                <w:szCs w:val="20"/>
              </w:rPr>
            </w:pPr>
          </w:p>
        </w:tc>
      </w:tr>
      <w:tr w:rsidR="00BD4717" w:rsidRPr="0000591E" w14:paraId="15C261E9" w14:textId="77777777" w:rsidTr="00D20C24">
        <w:trPr>
          <w:trHeight w:val="20"/>
        </w:trPr>
        <w:tc>
          <w:tcPr>
            <w:tcW w:w="1277" w:type="dxa"/>
            <w:tcBorders>
              <w:bottom w:val="single" w:sz="4" w:space="0" w:color="auto"/>
            </w:tcBorders>
            <w:noWrap/>
          </w:tcPr>
          <w:p w14:paraId="1841D694" w14:textId="77777777" w:rsidR="00BD4717" w:rsidRDefault="00BD4717" w:rsidP="00BD4717">
            <w:pPr>
              <w:rPr>
                <w:rFonts w:ascii="Arial" w:hAnsi="Arial" w:cs="Arial"/>
                <w:b/>
                <w:bCs/>
                <w:sz w:val="20"/>
                <w:szCs w:val="20"/>
              </w:rPr>
            </w:pPr>
          </w:p>
          <w:p w14:paraId="371B98D7" w14:textId="77777777" w:rsidR="00BD4717" w:rsidRDefault="00BD4717" w:rsidP="00BD4717">
            <w:pPr>
              <w:rPr>
                <w:rFonts w:ascii="Arial" w:hAnsi="Arial" w:cs="Arial"/>
                <w:b/>
                <w:bCs/>
                <w:sz w:val="20"/>
                <w:szCs w:val="20"/>
              </w:rPr>
            </w:pPr>
          </w:p>
          <w:p w14:paraId="4F40D5B0" w14:textId="0EC1AD22" w:rsidR="00BD4717" w:rsidRPr="0000591E" w:rsidRDefault="00BD4717" w:rsidP="00BD4717">
            <w:pPr>
              <w:rPr>
                <w:rFonts w:ascii="Arial" w:hAnsi="Arial" w:cs="Arial"/>
                <w:b/>
                <w:bCs/>
                <w:sz w:val="20"/>
                <w:szCs w:val="20"/>
                <w:lang w:eastAsia="cs-CZ"/>
              </w:rPr>
            </w:pPr>
            <w:r>
              <w:rPr>
                <w:rFonts w:ascii="Arial" w:hAnsi="Arial" w:cs="Arial"/>
                <w:b/>
                <w:bCs/>
                <w:sz w:val="20"/>
                <w:szCs w:val="20"/>
              </w:rPr>
              <w:t>N05AE05</w:t>
            </w:r>
          </w:p>
        </w:tc>
        <w:tc>
          <w:tcPr>
            <w:tcW w:w="9355" w:type="dxa"/>
            <w:tcBorders>
              <w:bottom w:val="single" w:sz="4" w:space="0" w:color="auto"/>
            </w:tcBorders>
            <w:noWrap/>
          </w:tcPr>
          <w:p w14:paraId="0552A4EF" w14:textId="77777777" w:rsidR="00BD4717" w:rsidRDefault="00BD4717" w:rsidP="00BD4717">
            <w:pPr>
              <w:jc w:val="both"/>
              <w:rPr>
                <w:rFonts w:ascii="Arial" w:hAnsi="Arial" w:cs="Arial"/>
                <w:b/>
                <w:bCs/>
                <w:sz w:val="20"/>
                <w:szCs w:val="20"/>
                <w:lang w:eastAsia="cs-CZ"/>
              </w:rPr>
            </w:pPr>
            <w:r>
              <w:rPr>
                <w:rFonts w:ascii="Arial" w:hAnsi="Arial" w:cs="Arial"/>
                <w:b/>
                <w:bCs/>
                <w:sz w:val="20"/>
                <w:szCs w:val="20"/>
                <w:lang w:eastAsia="cs-CZ"/>
              </w:rPr>
              <w:t>Lurazidón p.o. 18,5 mg,</w:t>
            </w:r>
          </w:p>
          <w:p w14:paraId="4E8E147A" w14:textId="77777777" w:rsidR="00BD4717" w:rsidRDefault="00BD4717" w:rsidP="00BD4717">
            <w:pPr>
              <w:jc w:val="both"/>
              <w:rPr>
                <w:rFonts w:ascii="Arial" w:hAnsi="Arial" w:cs="Arial"/>
                <w:b/>
                <w:bCs/>
                <w:sz w:val="20"/>
                <w:szCs w:val="20"/>
                <w:lang w:eastAsia="cs-CZ"/>
              </w:rPr>
            </w:pPr>
            <w:r>
              <w:rPr>
                <w:rFonts w:ascii="Arial" w:hAnsi="Arial" w:cs="Arial"/>
                <w:b/>
                <w:bCs/>
                <w:sz w:val="20"/>
                <w:szCs w:val="20"/>
                <w:lang w:eastAsia="cs-CZ"/>
              </w:rPr>
              <w:t>Lurazidón p.o. 37 mg,</w:t>
            </w:r>
          </w:p>
          <w:p w14:paraId="3BB47A3E"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lang w:eastAsia="cs-CZ"/>
              </w:rPr>
              <w:t>Lurazidón p.o. 74 mg</w:t>
            </w:r>
          </w:p>
        </w:tc>
      </w:tr>
      <w:tr w:rsidR="00BD4717" w:rsidRPr="0000591E" w14:paraId="1F799E1C" w14:textId="77777777" w:rsidTr="00D20C24">
        <w:trPr>
          <w:trHeight w:val="20"/>
        </w:trPr>
        <w:tc>
          <w:tcPr>
            <w:tcW w:w="1277" w:type="dxa"/>
            <w:tcBorders>
              <w:top w:val="single" w:sz="4" w:space="0" w:color="auto"/>
              <w:bottom w:val="single" w:sz="4" w:space="0" w:color="BFBFBF" w:themeColor="background1" w:themeShade="BF"/>
            </w:tcBorders>
            <w:noWrap/>
          </w:tcPr>
          <w:p w14:paraId="5D32E2C3"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43238BF" w14:textId="77777777" w:rsidR="00BD4717" w:rsidRDefault="00BD4717" w:rsidP="00BD4717">
            <w:pPr>
              <w:rPr>
                <w:rFonts w:ascii="Arial" w:hAnsi="Arial" w:cs="Arial"/>
                <w:sz w:val="20"/>
                <w:szCs w:val="20"/>
              </w:rPr>
            </w:pPr>
            <w:r w:rsidRPr="0022638A">
              <w:rPr>
                <w:rFonts w:ascii="Arial" w:hAnsi="Arial" w:cs="Arial"/>
                <w:sz w:val="20"/>
                <w:szCs w:val="20"/>
              </w:rPr>
              <w:t>Hradená liečba sa môže indikovať</w:t>
            </w:r>
          </w:p>
          <w:p w14:paraId="2C787BA5" w14:textId="43F6A834" w:rsidR="00BD4717" w:rsidRDefault="00BD4717" w:rsidP="00BD4717">
            <w:pPr>
              <w:rPr>
                <w:rFonts w:ascii="Arial" w:hAnsi="Arial" w:cs="Arial"/>
                <w:sz w:val="20"/>
                <w:szCs w:val="20"/>
              </w:rPr>
            </w:pPr>
            <w:r w:rsidRPr="0022638A">
              <w:rPr>
                <w:rFonts w:ascii="Arial" w:hAnsi="Arial" w:cs="Arial"/>
                <w:sz w:val="20"/>
                <w:szCs w:val="20"/>
              </w:rPr>
              <w:t xml:space="preserve">a) ako ďalšia voľba pri nedostatočnej účinnosti alebo výskyte nežiadúcich účinkov po predchádzajúcej antipsychotickej liečbe perorálnym risperidónom, amisulpridom, aripiprazolom, klozapínom, kvetiapínom, olanzapínom, sertindolom, ziprasidónom alebo zotepínom </w:t>
            </w:r>
          </w:p>
          <w:p w14:paraId="252C3D2A" w14:textId="77777777" w:rsidR="00BD4717" w:rsidRPr="0022638A" w:rsidRDefault="00BD4717" w:rsidP="00BD4717">
            <w:pPr>
              <w:rPr>
                <w:rFonts w:ascii="Arial" w:hAnsi="Arial" w:cs="Arial"/>
                <w:sz w:val="20"/>
                <w:szCs w:val="20"/>
              </w:rPr>
            </w:pPr>
            <w:r w:rsidRPr="0022638A">
              <w:rPr>
                <w:rFonts w:ascii="Arial" w:hAnsi="Arial" w:cs="Arial"/>
                <w:sz w:val="20"/>
                <w:szCs w:val="20"/>
              </w:rPr>
              <w:t>b) ak je liečba perorálnym rizperidónom, amisulpridom, aripiprazolom, klozapínom, kvetiapínom, olanzapínom, sertindolom, ziprazidónom alebo zotepínom nevhodná podľa údajov v súhrne charakteristických vlastností lieku.</w:t>
            </w:r>
          </w:p>
          <w:p w14:paraId="2D332E07" w14:textId="77777777" w:rsidR="00BD4717" w:rsidRDefault="00BD4717" w:rsidP="00BD4717">
            <w:pPr>
              <w:jc w:val="both"/>
              <w:rPr>
                <w:rFonts w:ascii="Arial" w:hAnsi="Arial" w:cs="Arial"/>
                <w:b/>
                <w:bCs/>
                <w:sz w:val="20"/>
                <w:szCs w:val="20"/>
                <w:lang w:eastAsia="cs-CZ"/>
              </w:rPr>
            </w:pPr>
          </w:p>
        </w:tc>
      </w:tr>
      <w:tr w:rsidR="00BD4717" w:rsidRPr="0000591E" w14:paraId="7D95B693" w14:textId="77777777" w:rsidTr="00D20C24">
        <w:trPr>
          <w:trHeight w:val="20"/>
        </w:trPr>
        <w:tc>
          <w:tcPr>
            <w:tcW w:w="1277" w:type="dxa"/>
            <w:tcBorders>
              <w:bottom w:val="single" w:sz="4" w:space="0" w:color="auto"/>
            </w:tcBorders>
            <w:noWrap/>
          </w:tcPr>
          <w:p w14:paraId="61303EB5" w14:textId="77777777" w:rsidR="00BD4717" w:rsidRDefault="00BD4717" w:rsidP="00BD4717">
            <w:pPr>
              <w:rPr>
                <w:rFonts w:ascii="Arial" w:hAnsi="Arial" w:cs="Arial"/>
                <w:b/>
                <w:bCs/>
                <w:sz w:val="20"/>
                <w:szCs w:val="20"/>
              </w:rPr>
            </w:pPr>
          </w:p>
          <w:p w14:paraId="1003AB47" w14:textId="77777777" w:rsidR="00BD4717" w:rsidRDefault="00BD4717" w:rsidP="00BD4717">
            <w:pPr>
              <w:rPr>
                <w:rFonts w:ascii="Arial" w:hAnsi="Arial" w:cs="Arial"/>
                <w:b/>
                <w:bCs/>
                <w:sz w:val="20"/>
                <w:szCs w:val="20"/>
              </w:rPr>
            </w:pPr>
          </w:p>
          <w:p w14:paraId="17B34A4D" w14:textId="4108F74A" w:rsidR="00BD4717" w:rsidRPr="0000591E" w:rsidRDefault="00BD4717" w:rsidP="00BD4717">
            <w:pPr>
              <w:rPr>
                <w:rFonts w:ascii="Arial" w:hAnsi="Arial" w:cs="Arial"/>
                <w:b/>
                <w:bCs/>
                <w:sz w:val="20"/>
                <w:szCs w:val="20"/>
              </w:rPr>
            </w:pPr>
            <w:r w:rsidRPr="0000591E">
              <w:rPr>
                <w:rFonts w:ascii="Arial" w:hAnsi="Arial" w:cs="Arial"/>
                <w:b/>
                <w:bCs/>
                <w:sz w:val="20"/>
                <w:szCs w:val="20"/>
              </w:rPr>
              <w:t>N05AH03</w:t>
            </w:r>
          </w:p>
        </w:tc>
        <w:tc>
          <w:tcPr>
            <w:tcW w:w="9355" w:type="dxa"/>
            <w:tcBorders>
              <w:bottom w:val="single" w:sz="4" w:space="0" w:color="auto"/>
            </w:tcBorders>
            <w:noWrap/>
          </w:tcPr>
          <w:p w14:paraId="5436334E" w14:textId="26B8D85F" w:rsidR="00BD4717" w:rsidRDefault="00BD4717" w:rsidP="00BD4717">
            <w:pPr>
              <w:rPr>
                <w:rFonts w:ascii="Arial" w:hAnsi="Arial" w:cs="Arial"/>
                <w:b/>
                <w:bCs/>
                <w:sz w:val="20"/>
                <w:szCs w:val="20"/>
              </w:rPr>
            </w:pPr>
            <w:r w:rsidRPr="00EB50E4">
              <w:rPr>
                <w:rFonts w:ascii="Arial" w:hAnsi="Arial" w:cs="Arial"/>
                <w:b/>
                <w:bCs/>
                <w:sz w:val="20"/>
                <w:szCs w:val="20"/>
              </w:rPr>
              <w:t>Olanzapín</w:t>
            </w:r>
            <w:r>
              <w:rPr>
                <w:rFonts w:ascii="Arial" w:hAnsi="Arial" w:cs="Arial"/>
                <w:b/>
                <w:bCs/>
                <w:sz w:val="20"/>
                <w:szCs w:val="20"/>
              </w:rPr>
              <w:t xml:space="preserve"> </w:t>
            </w:r>
            <w:r w:rsidRPr="0000591E">
              <w:rPr>
                <w:rFonts w:ascii="Arial" w:hAnsi="Arial" w:cs="Arial"/>
                <w:b/>
                <w:bCs/>
                <w:sz w:val="20"/>
                <w:szCs w:val="20"/>
              </w:rPr>
              <w:t xml:space="preserve">parent. </w:t>
            </w:r>
            <w:r>
              <w:rPr>
                <w:rFonts w:ascii="Arial" w:hAnsi="Arial" w:cs="Arial"/>
                <w:b/>
                <w:bCs/>
                <w:sz w:val="20"/>
                <w:szCs w:val="20"/>
              </w:rPr>
              <w:t>210 mg</w:t>
            </w:r>
          </w:p>
          <w:p w14:paraId="3E5B0E2E" w14:textId="2ABEEFA9" w:rsidR="00BD4717" w:rsidRDefault="00BD4717" w:rsidP="00BD4717">
            <w:pPr>
              <w:rPr>
                <w:rFonts w:ascii="Arial" w:hAnsi="Arial" w:cs="Arial"/>
                <w:b/>
                <w:bCs/>
                <w:sz w:val="20"/>
                <w:szCs w:val="20"/>
              </w:rPr>
            </w:pPr>
            <w:r w:rsidRPr="00EB50E4">
              <w:rPr>
                <w:rFonts w:ascii="Arial" w:hAnsi="Arial" w:cs="Arial"/>
                <w:b/>
                <w:bCs/>
                <w:sz w:val="20"/>
                <w:szCs w:val="20"/>
              </w:rPr>
              <w:t>Olanzapín</w:t>
            </w:r>
            <w:r>
              <w:rPr>
                <w:rFonts w:ascii="Arial" w:hAnsi="Arial" w:cs="Arial"/>
                <w:b/>
                <w:bCs/>
                <w:sz w:val="20"/>
                <w:szCs w:val="20"/>
              </w:rPr>
              <w:t xml:space="preserve"> </w:t>
            </w:r>
            <w:r w:rsidRPr="0000591E">
              <w:rPr>
                <w:rFonts w:ascii="Arial" w:hAnsi="Arial" w:cs="Arial"/>
                <w:b/>
                <w:bCs/>
                <w:sz w:val="20"/>
                <w:szCs w:val="20"/>
              </w:rPr>
              <w:t xml:space="preserve">parent. </w:t>
            </w:r>
            <w:r>
              <w:rPr>
                <w:rFonts w:ascii="Arial" w:hAnsi="Arial" w:cs="Arial"/>
                <w:b/>
                <w:bCs/>
                <w:sz w:val="20"/>
                <w:szCs w:val="20"/>
              </w:rPr>
              <w:t>300 mg</w:t>
            </w:r>
          </w:p>
          <w:p w14:paraId="463BC231" w14:textId="2F824A97" w:rsidR="00BD4717" w:rsidRPr="0000591E" w:rsidRDefault="00BD4717" w:rsidP="00BD4717">
            <w:pPr>
              <w:rPr>
                <w:rFonts w:ascii="Arial" w:hAnsi="Arial" w:cs="Arial"/>
                <w:b/>
                <w:bCs/>
                <w:sz w:val="20"/>
                <w:szCs w:val="20"/>
              </w:rPr>
            </w:pPr>
            <w:r w:rsidRPr="00EB50E4">
              <w:rPr>
                <w:rFonts w:ascii="Arial" w:hAnsi="Arial" w:cs="Arial"/>
                <w:b/>
                <w:bCs/>
                <w:sz w:val="20"/>
                <w:szCs w:val="20"/>
              </w:rPr>
              <w:t>Olanzapín</w:t>
            </w:r>
            <w:r>
              <w:rPr>
                <w:rFonts w:ascii="Arial" w:hAnsi="Arial" w:cs="Arial"/>
                <w:b/>
                <w:bCs/>
                <w:sz w:val="20"/>
                <w:szCs w:val="20"/>
              </w:rPr>
              <w:t xml:space="preserve"> </w:t>
            </w:r>
            <w:r w:rsidRPr="0000591E">
              <w:rPr>
                <w:rFonts w:ascii="Arial" w:hAnsi="Arial" w:cs="Arial"/>
                <w:b/>
                <w:bCs/>
                <w:sz w:val="20"/>
                <w:szCs w:val="20"/>
              </w:rPr>
              <w:t xml:space="preserve">parent. </w:t>
            </w:r>
            <w:r>
              <w:rPr>
                <w:rFonts w:ascii="Arial" w:hAnsi="Arial" w:cs="Arial"/>
                <w:b/>
                <w:bCs/>
                <w:sz w:val="20"/>
                <w:szCs w:val="20"/>
              </w:rPr>
              <w:t>405 mg</w:t>
            </w:r>
          </w:p>
        </w:tc>
      </w:tr>
      <w:tr w:rsidR="00BD4717" w:rsidRPr="0000591E" w14:paraId="6B97E151" w14:textId="77777777" w:rsidTr="00D20C24">
        <w:trPr>
          <w:trHeight w:val="20"/>
        </w:trPr>
        <w:tc>
          <w:tcPr>
            <w:tcW w:w="1277" w:type="dxa"/>
            <w:tcBorders>
              <w:top w:val="single" w:sz="4" w:space="0" w:color="auto"/>
              <w:bottom w:val="single" w:sz="4" w:space="0" w:color="BFBFBF" w:themeColor="background1" w:themeShade="BF"/>
            </w:tcBorders>
            <w:noWrap/>
          </w:tcPr>
          <w:p w14:paraId="738A315E"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1794C8AE"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u pacientov s diagnózou schizofrénie (F20) pri zachovaní všetkých bezpečnostných opatrení uvedených v SPC, ak sú splnené tieto kritériá: </w:t>
            </w:r>
          </w:p>
          <w:p w14:paraId="41E3737B" w14:textId="77777777" w:rsidR="00BD4717" w:rsidRPr="0000591E" w:rsidRDefault="00BD4717" w:rsidP="00BD4717">
            <w:pPr>
              <w:jc w:val="both"/>
              <w:rPr>
                <w:rFonts w:ascii="Arial" w:hAnsi="Arial" w:cs="Arial"/>
                <w:sz w:val="20"/>
                <w:szCs w:val="20"/>
              </w:rPr>
            </w:pPr>
          </w:p>
          <w:p w14:paraId="4DD21F5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 pre nespoluprácu (non-komplianciu) pacienta pri liečbe došlo k minimálne dvom relapsom alebo recidívam, ktoré boli spojené s manifestáciou pozitívnych alebo negatívnych príznakov schizofrénie s narušením sociálneho fungovania; závažnosť relapsu alebo recidívy poruchy dosahovala taký stupeň, že bola nevyhnutná hospitalizácia,</w:t>
            </w:r>
          </w:p>
          <w:p w14:paraId="1108DE1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b) liečba konvenčnými antipsychotikami vrátane depotných foriem je nevhodná alebo kontraindikovaná podľa údajov v súhrne charakteristických vlastností lieku.</w:t>
            </w:r>
          </w:p>
          <w:p w14:paraId="1C3BF204" w14:textId="77777777" w:rsidR="00BD4717" w:rsidRPr="0000591E" w:rsidRDefault="00BD4717" w:rsidP="00BD4717">
            <w:pPr>
              <w:rPr>
                <w:rFonts w:ascii="Arial" w:hAnsi="Arial" w:cs="Arial"/>
                <w:sz w:val="20"/>
                <w:szCs w:val="20"/>
              </w:rPr>
            </w:pPr>
          </w:p>
          <w:p w14:paraId="42C05400" w14:textId="77777777" w:rsidR="00BD4717" w:rsidRPr="0000591E" w:rsidRDefault="00BD4717" w:rsidP="00BD4717">
            <w:pPr>
              <w:rPr>
                <w:rFonts w:ascii="Arial" w:hAnsi="Arial" w:cs="Arial"/>
                <w:sz w:val="20"/>
                <w:szCs w:val="20"/>
              </w:rPr>
            </w:pPr>
            <w:r w:rsidRPr="0000591E">
              <w:rPr>
                <w:rFonts w:ascii="Arial" w:hAnsi="Arial" w:cs="Arial"/>
                <w:sz w:val="20"/>
                <w:szCs w:val="20"/>
              </w:rPr>
              <w:t>Ak po 12. týždňoch liečby nedôjde k zlepšeniu klinického stavu alebo dôjde k relapsu ochorenia, ďalšia liečba nie je hradenou liečbou.</w:t>
            </w:r>
          </w:p>
          <w:p w14:paraId="676367F4" w14:textId="77777777" w:rsidR="00BD4717" w:rsidRPr="0000591E" w:rsidRDefault="00BD4717" w:rsidP="00BD4717"/>
        </w:tc>
      </w:tr>
      <w:tr w:rsidR="00BD4717" w:rsidRPr="0000591E" w14:paraId="5066FF0A" w14:textId="77777777" w:rsidTr="00D20C24">
        <w:trPr>
          <w:trHeight w:val="180"/>
        </w:trPr>
        <w:tc>
          <w:tcPr>
            <w:tcW w:w="1277" w:type="dxa"/>
            <w:tcBorders>
              <w:bottom w:val="single" w:sz="4" w:space="0" w:color="auto"/>
            </w:tcBorders>
            <w:noWrap/>
          </w:tcPr>
          <w:p w14:paraId="3CABCCEC"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N05AX08</w:t>
            </w:r>
          </w:p>
        </w:tc>
        <w:tc>
          <w:tcPr>
            <w:tcW w:w="9355" w:type="dxa"/>
            <w:tcBorders>
              <w:bottom w:val="single" w:sz="4" w:space="0" w:color="auto"/>
            </w:tcBorders>
            <w:noWrap/>
          </w:tcPr>
          <w:p w14:paraId="25E1542D"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Risperidón p.o. 1 mg/ml</w:t>
            </w:r>
          </w:p>
        </w:tc>
      </w:tr>
      <w:tr w:rsidR="00BD4717" w:rsidRPr="0000591E" w14:paraId="6ED94459" w14:textId="77777777" w:rsidTr="00D20C24">
        <w:trPr>
          <w:trHeight w:val="180"/>
        </w:trPr>
        <w:tc>
          <w:tcPr>
            <w:tcW w:w="1277" w:type="dxa"/>
            <w:tcBorders>
              <w:top w:val="single" w:sz="4" w:space="0" w:color="auto"/>
              <w:bottom w:val="single" w:sz="4" w:space="0" w:color="BFBFBF" w:themeColor="background1" w:themeShade="BF"/>
            </w:tcBorders>
            <w:noWrap/>
          </w:tcPr>
          <w:p w14:paraId="1A53016B"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7D6A3717"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u pacientov s</w:t>
            </w:r>
          </w:p>
          <w:p w14:paraId="6ED069A9" w14:textId="77777777" w:rsidR="00BD4717" w:rsidRPr="0000591E" w:rsidRDefault="00BD4717">
            <w:pPr>
              <w:numPr>
                <w:ilvl w:val="0"/>
                <w:numId w:val="33"/>
              </w:numPr>
              <w:jc w:val="both"/>
              <w:rPr>
                <w:rFonts w:ascii="Arial" w:hAnsi="Arial" w:cs="Arial"/>
                <w:sz w:val="20"/>
                <w:szCs w:val="20"/>
              </w:rPr>
            </w:pPr>
            <w:r w:rsidRPr="0000591E">
              <w:rPr>
                <w:rFonts w:ascii="Arial" w:hAnsi="Arial" w:cs="Arial"/>
                <w:sz w:val="20"/>
                <w:szCs w:val="20"/>
              </w:rPr>
              <w:t>psychotickými poruchami vo vyššom veku, kde treba titrovať dávku,</w:t>
            </w:r>
          </w:p>
          <w:p w14:paraId="4C725F6C" w14:textId="77777777" w:rsidR="00BD4717" w:rsidRPr="0000591E" w:rsidRDefault="00BD4717">
            <w:pPr>
              <w:numPr>
                <w:ilvl w:val="0"/>
                <w:numId w:val="33"/>
              </w:numPr>
              <w:jc w:val="both"/>
              <w:rPr>
                <w:rFonts w:ascii="Arial" w:hAnsi="Arial" w:cs="Arial"/>
                <w:sz w:val="20"/>
                <w:szCs w:val="20"/>
              </w:rPr>
            </w:pPr>
            <w:r w:rsidRPr="0000591E">
              <w:rPr>
                <w:rFonts w:ascii="Arial" w:hAnsi="Arial" w:cs="Arial"/>
                <w:sz w:val="20"/>
                <w:szCs w:val="20"/>
              </w:rPr>
              <w:t>poruchami deglutinácie,</w:t>
            </w:r>
          </w:p>
          <w:p w14:paraId="5AC382C8" w14:textId="77777777" w:rsidR="00BD4717" w:rsidRPr="0000591E" w:rsidRDefault="00BD4717">
            <w:pPr>
              <w:numPr>
                <w:ilvl w:val="0"/>
                <w:numId w:val="33"/>
              </w:numPr>
              <w:jc w:val="both"/>
              <w:rPr>
                <w:rFonts w:ascii="Arial" w:hAnsi="Arial" w:cs="Arial"/>
                <w:sz w:val="20"/>
                <w:szCs w:val="20"/>
                <w:lang w:eastAsia="cs-CZ"/>
              </w:rPr>
            </w:pPr>
            <w:r w:rsidRPr="0000591E">
              <w:rPr>
                <w:rFonts w:ascii="Arial" w:hAnsi="Arial" w:cs="Arial"/>
                <w:sz w:val="20"/>
                <w:szCs w:val="20"/>
              </w:rPr>
              <w:t>diagnózou autizmu.</w:t>
            </w:r>
          </w:p>
          <w:p w14:paraId="197D169D" w14:textId="77777777" w:rsidR="00BD4717" w:rsidRPr="0000591E" w:rsidRDefault="00BD4717" w:rsidP="00BD4717">
            <w:pPr>
              <w:jc w:val="both"/>
              <w:rPr>
                <w:rFonts w:ascii="Arial" w:hAnsi="Arial" w:cs="Arial"/>
                <w:b/>
                <w:bCs/>
                <w:sz w:val="20"/>
                <w:szCs w:val="20"/>
              </w:rPr>
            </w:pPr>
          </w:p>
        </w:tc>
      </w:tr>
      <w:tr w:rsidR="00BD4717" w:rsidRPr="0000591E" w14:paraId="7B82FB11" w14:textId="77777777" w:rsidTr="00D20C24">
        <w:trPr>
          <w:trHeight w:val="20"/>
        </w:trPr>
        <w:tc>
          <w:tcPr>
            <w:tcW w:w="1277" w:type="dxa"/>
            <w:tcBorders>
              <w:bottom w:val="single" w:sz="4" w:space="0" w:color="auto"/>
            </w:tcBorders>
            <w:noWrap/>
          </w:tcPr>
          <w:p w14:paraId="2A3519B0" w14:textId="77777777" w:rsidR="00BD4717" w:rsidRDefault="00BD4717" w:rsidP="00BD4717">
            <w:pPr>
              <w:rPr>
                <w:rFonts w:ascii="Arial" w:hAnsi="Arial" w:cs="Arial"/>
                <w:b/>
                <w:bCs/>
                <w:sz w:val="20"/>
                <w:szCs w:val="20"/>
              </w:rPr>
            </w:pPr>
          </w:p>
          <w:p w14:paraId="201FF6D5" w14:textId="3726AFB8"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N05AX08</w:t>
            </w:r>
          </w:p>
        </w:tc>
        <w:tc>
          <w:tcPr>
            <w:tcW w:w="9355" w:type="dxa"/>
            <w:tcBorders>
              <w:bottom w:val="single" w:sz="4" w:space="0" w:color="auto"/>
            </w:tcBorders>
            <w:noWrap/>
          </w:tcPr>
          <w:p w14:paraId="054CFD75"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Risperidón parent. </w:t>
            </w:r>
            <w:r>
              <w:rPr>
                <w:rFonts w:ascii="Arial" w:hAnsi="Arial" w:cs="Arial"/>
                <w:b/>
                <w:bCs/>
                <w:sz w:val="20"/>
                <w:szCs w:val="20"/>
              </w:rPr>
              <w:t>37,5 mg depot.</w:t>
            </w:r>
          </w:p>
          <w:p w14:paraId="78A560E4" w14:textId="7645F56C"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Risperidón parent. </w:t>
            </w:r>
            <w:r>
              <w:rPr>
                <w:rFonts w:ascii="Arial" w:hAnsi="Arial" w:cs="Arial"/>
                <w:b/>
                <w:bCs/>
                <w:sz w:val="20"/>
                <w:szCs w:val="20"/>
              </w:rPr>
              <w:t>50 mg depot.</w:t>
            </w:r>
          </w:p>
        </w:tc>
      </w:tr>
      <w:tr w:rsidR="00BD4717" w:rsidRPr="0000591E" w14:paraId="73FCA5FC" w14:textId="77777777" w:rsidTr="00D20C24">
        <w:trPr>
          <w:trHeight w:val="20"/>
        </w:trPr>
        <w:tc>
          <w:tcPr>
            <w:tcW w:w="1277" w:type="dxa"/>
            <w:tcBorders>
              <w:top w:val="single" w:sz="4" w:space="0" w:color="auto"/>
              <w:bottom w:val="single" w:sz="4" w:space="0" w:color="BFBFBF" w:themeColor="background1" w:themeShade="BF"/>
            </w:tcBorders>
            <w:noWrap/>
          </w:tcPr>
          <w:p w14:paraId="6AE6BF46"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3144C34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s diagnózou schizofrénie (F20), ak sú splnené tieto kritériá:</w:t>
            </w:r>
          </w:p>
          <w:p w14:paraId="45CF40CD" w14:textId="77777777" w:rsidR="00BD4717" w:rsidRPr="0000591E" w:rsidRDefault="00BD4717">
            <w:pPr>
              <w:numPr>
                <w:ilvl w:val="0"/>
                <w:numId w:val="37"/>
              </w:numPr>
              <w:jc w:val="both"/>
              <w:rPr>
                <w:rFonts w:ascii="Arial" w:hAnsi="Arial" w:cs="Arial"/>
                <w:sz w:val="20"/>
                <w:szCs w:val="20"/>
                <w:lang w:eastAsia="cs-CZ"/>
              </w:rPr>
            </w:pPr>
            <w:r w:rsidRPr="0000591E">
              <w:rPr>
                <w:rFonts w:ascii="Arial" w:hAnsi="Arial" w:cs="Arial"/>
                <w:sz w:val="20"/>
                <w:szCs w:val="20"/>
              </w:rPr>
              <w:t>pre nespoluprácu (non-komplianciu) pacienta pri liečbe došlo k dvom alebo viacerým relapsom alebo recidívam, ktoré boli spojené s manifestáciou pozitívnych alebo negatívnych príznakov schizofrénie so závažným narušením sociálneho fungovania; závažnosť relapsu alebo recidívy poruchy dosahovala taký stupeň, že bola nevyhnutná hospitalizácia,</w:t>
            </w:r>
          </w:p>
          <w:p w14:paraId="3AF5C92C" w14:textId="77777777" w:rsidR="00BD4717" w:rsidRDefault="00BD4717">
            <w:pPr>
              <w:numPr>
                <w:ilvl w:val="0"/>
                <w:numId w:val="37"/>
              </w:numPr>
              <w:jc w:val="both"/>
              <w:rPr>
                <w:rFonts w:ascii="Arial" w:hAnsi="Arial" w:cs="Arial"/>
                <w:sz w:val="20"/>
                <w:szCs w:val="20"/>
                <w:lang w:eastAsia="cs-CZ"/>
              </w:rPr>
            </w:pPr>
            <w:r w:rsidRPr="0000591E">
              <w:rPr>
                <w:rFonts w:ascii="Arial" w:hAnsi="Arial" w:cs="Arial"/>
                <w:sz w:val="20"/>
                <w:szCs w:val="20"/>
              </w:rPr>
              <w:t>liečba konvenčnými antipsychotikami vrátane depotných formiem je nevhodná pre nežiadúce účinky.</w:t>
            </w:r>
          </w:p>
          <w:p w14:paraId="02336884" w14:textId="77777777" w:rsidR="00BD4717" w:rsidRPr="0000591E" w:rsidRDefault="00BD4717" w:rsidP="00BD4717">
            <w:pPr>
              <w:ind w:left="720"/>
              <w:jc w:val="both"/>
              <w:rPr>
                <w:rFonts w:ascii="Arial" w:hAnsi="Arial" w:cs="Arial"/>
                <w:sz w:val="20"/>
                <w:szCs w:val="20"/>
                <w:lang w:eastAsia="cs-CZ"/>
              </w:rPr>
            </w:pPr>
          </w:p>
          <w:p w14:paraId="093D470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 po 12 týždňoch liečby nedôjde k zlepšeniu klinického stavu alebo dôjde k relapsu ochorenia, ďalšia liečba nie je hradenou liečbou.</w:t>
            </w:r>
          </w:p>
          <w:p w14:paraId="0EDA9E6E" w14:textId="77777777" w:rsidR="00BD4717" w:rsidRPr="0000591E" w:rsidRDefault="00BD4717" w:rsidP="00BD4717">
            <w:pPr>
              <w:jc w:val="both"/>
              <w:rPr>
                <w:rFonts w:ascii="Arial" w:hAnsi="Arial" w:cs="Arial"/>
                <w:sz w:val="20"/>
                <w:szCs w:val="20"/>
              </w:rPr>
            </w:pPr>
          </w:p>
        </w:tc>
      </w:tr>
      <w:tr w:rsidR="00BD4717" w:rsidRPr="0000591E" w14:paraId="706D96BE" w14:textId="77777777" w:rsidTr="00D20C24">
        <w:trPr>
          <w:trHeight w:val="20"/>
        </w:trPr>
        <w:tc>
          <w:tcPr>
            <w:tcW w:w="1277" w:type="dxa"/>
            <w:tcBorders>
              <w:bottom w:val="single" w:sz="4" w:space="0" w:color="auto"/>
            </w:tcBorders>
            <w:noWrap/>
          </w:tcPr>
          <w:p w14:paraId="500358D6" w14:textId="77777777" w:rsidR="00BD4717" w:rsidRDefault="00BD4717" w:rsidP="00BD4717">
            <w:pPr>
              <w:rPr>
                <w:rFonts w:ascii="Arial" w:hAnsi="Arial" w:cs="Arial"/>
                <w:b/>
                <w:bCs/>
                <w:sz w:val="20"/>
                <w:szCs w:val="20"/>
              </w:rPr>
            </w:pPr>
          </w:p>
          <w:p w14:paraId="3E78A2CE" w14:textId="3420239F"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N05AX12</w:t>
            </w:r>
          </w:p>
        </w:tc>
        <w:tc>
          <w:tcPr>
            <w:tcW w:w="9355" w:type="dxa"/>
            <w:tcBorders>
              <w:bottom w:val="single" w:sz="4" w:space="0" w:color="auto"/>
            </w:tcBorders>
          </w:tcPr>
          <w:p w14:paraId="623F14A6" w14:textId="77777777" w:rsidR="00BD4717" w:rsidRDefault="00BD4717" w:rsidP="00BD4717">
            <w:pPr>
              <w:jc w:val="both"/>
              <w:rPr>
                <w:rFonts w:ascii="Arial" w:hAnsi="Arial" w:cs="Arial"/>
                <w:b/>
                <w:bCs/>
                <w:sz w:val="20"/>
                <w:szCs w:val="20"/>
                <w:lang w:eastAsia="cs-CZ"/>
              </w:rPr>
            </w:pPr>
            <w:r w:rsidRPr="003C55FD">
              <w:rPr>
                <w:rFonts w:ascii="Arial" w:hAnsi="Arial" w:cs="Arial"/>
                <w:b/>
                <w:bCs/>
                <w:sz w:val="20"/>
                <w:szCs w:val="20"/>
                <w:lang w:eastAsia="cs-CZ"/>
              </w:rPr>
              <w:t>Aripiprazol</w:t>
            </w:r>
            <w:r>
              <w:rPr>
                <w:rFonts w:ascii="Arial" w:hAnsi="Arial" w:cs="Arial"/>
                <w:b/>
                <w:bCs/>
                <w:sz w:val="20"/>
                <w:szCs w:val="20"/>
                <w:lang w:eastAsia="cs-CZ"/>
              </w:rPr>
              <w:t xml:space="preserve"> </w:t>
            </w:r>
            <w:r w:rsidRPr="003C55FD">
              <w:rPr>
                <w:rFonts w:ascii="Arial" w:hAnsi="Arial" w:cs="Arial"/>
                <w:b/>
                <w:bCs/>
                <w:sz w:val="20"/>
                <w:szCs w:val="20"/>
                <w:lang w:eastAsia="cs-CZ"/>
              </w:rPr>
              <w:t>parent. predĺžené uvoľňovanie 400 mg</w:t>
            </w:r>
            <w:r>
              <w:rPr>
                <w:rFonts w:ascii="Arial" w:hAnsi="Arial" w:cs="Arial"/>
                <w:b/>
                <w:bCs/>
                <w:sz w:val="20"/>
                <w:szCs w:val="20"/>
                <w:lang w:eastAsia="cs-CZ"/>
              </w:rPr>
              <w:t>,</w:t>
            </w:r>
          </w:p>
          <w:p w14:paraId="350A8A6F" w14:textId="60955CA0" w:rsidR="00BD4717" w:rsidRPr="0000591E" w:rsidRDefault="00BD4717" w:rsidP="00BD4717">
            <w:pPr>
              <w:jc w:val="both"/>
              <w:rPr>
                <w:rFonts w:ascii="Arial" w:hAnsi="Arial" w:cs="Arial"/>
                <w:b/>
                <w:bCs/>
                <w:sz w:val="20"/>
                <w:szCs w:val="20"/>
                <w:lang w:eastAsia="cs-CZ"/>
              </w:rPr>
            </w:pPr>
            <w:r w:rsidRPr="00CC1626">
              <w:rPr>
                <w:rFonts w:ascii="Arial" w:hAnsi="Arial" w:cs="Arial"/>
                <w:b/>
                <w:bCs/>
                <w:sz w:val="20"/>
                <w:szCs w:val="20"/>
                <w:lang w:eastAsia="cs-CZ"/>
              </w:rPr>
              <w:t>Aripiprazol parent. predĺžené uvoľňovanie 960 mg</w:t>
            </w:r>
            <w:r w:rsidRPr="0000591E">
              <w:rPr>
                <w:rFonts w:ascii="Arial" w:hAnsi="Arial" w:cs="Arial"/>
                <w:b/>
                <w:bCs/>
                <w:sz w:val="20"/>
                <w:szCs w:val="20"/>
                <w:lang w:eastAsia="cs-CZ"/>
              </w:rPr>
              <w:t xml:space="preserve"> </w:t>
            </w:r>
            <w:r w:rsidRPr="0000591E">
              <w:rPr>
                <w:rFonts w:ascii="Arial" w:hAnsi="Arial" w:cs="Arial"/>
                <w:b/>
                <w:bCs/>
                <w:strike/>
                <w:sz w:val="20"/>
                <w:szCs w:val="20"/>
                <w:lang w:eastAsia="cs-CZ"/>
              </w:rPr>
              <w:t xml:space="preserve">                    </w:t>
            </w:r>
          </w:p>
        </w:tc>
      </w:tr>
      <w:tr w:rsidR="00BD4717" w:rsidRPr="0000591E" w14:paraId="4876226D" w14:textId="77777777" w:rsidTr="00D20C24">
        <w:trPr>
          <w:trHeight w:val="180"/>
        </w:trPr>
        <w:tc>
          <w:tcPr>
            <w:tcW w:w="1277" w:type="dxa"/>
            <w:tcBorders>
              <w:top w:val="single" w:sz="4" w:space="0" w:color="auto"/>
              <w:bottom w:val="single" w:sz="4" w:space="0" w:color="BFBFBF" w:themeColor="background1" w:themeShade="BF"/>
            </w:tcBorders>
            <w:noWrap/>
          </w:tcPr>
          <w:p w14:paraId="373CEFB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7C5CAC0" w14:textId="77777777" w:rsidR="00BD4717" w:rsidRDefault="00BD4717" w:rsidP="00BD4717">
            <w:pPr>
              <w:jc w:val="both"/>
              <w:rPr>
                <w:rFonts w:ascii="Arial" w:hAnsi="Arial" w:cs="Arial"/>
                <w:sz w:val="20"/>
                <w:szCs w:val="20"/>
              </w:rPr>
            </w:pPr>
            <w:r>
              <w:rPr>
                <w:rFonts w:ascii="Arial" w:hAnsi="Arial" w:cs="Arial"/>
                <w:sz w:val="20"/>
                <w:szCs w:val="20"/>
              </w:rPr>
              <w:t>Hradená liečba sa môže indikovať u pacientov s diagnózou schizofrénie (F20) pri zachovaní všetkých bezpečnostných opatrení uvedených v SPC, ak sú splnené tieto kritériá:</w:t>
            </w:r>
          </w:p>
          <w:p w14:paraId="39FFFE38" w14:textId="77777777" w:rsidR="00BD4717" w:rsidRDefault="00BD4717">
            <w:pPr>
              <w:pStyle w:val="Odsekzoznamu"/>
              <w:numPr>
                <w:ilvl w:val="0"/>
                <w:numId w:val="83"/>
              </w:numPr>
              <w:spacing w:after="0" w:line="240" w:lineRule="auto"/>
              <w:rPr>
                <w:rFonts w:ascii="Arial" w:hAnsi="Arial" w:cs="Arial"/>
                <w:sz w:val="20"/>
                <w:szCs w:val="20"/>
              </w:rPr>
            </w:pPr>
            <w:r>
              <w:rPr>
                <w:rFonts w:ascii="Arial" w:hAnsi="Arial" w:cs="Arial"/>
                <w:sz w:val="20"/>
                <w:szCs w:val="20"/>
              </w:rPr>
              <w:t>pre nespoluprácu (non-komplianciu) pacienta pri liečbe došlo k dvom alebo viacerým relapsom alebo recidívam, ktoré boli spojené s manifestáciou pozitívnych alebo negatívnych príznakov schizofrénie so závažným narušením sociálneho fungovania; závažnosť relapsu alebo recidívy poruchy dosahovala taký stupeň, že bola nevyhnutná hospitalizácia,</w:t>
            </w:r>
          </w:p>
          <w:p w14:paraId="2CC87559" w14:textId="77777777" w:rsidR="00BD4717" w:rsidRPr="0000591E" w:rsidRDefault="00BD4717">
            <w:pPr>
              <w:numPr>
                <w:ilvl w:val="0"/>
                <w:numId w:val="83"/>
              </w:numPr>
              <w:jc w:val="both"/>
              <w:rPr>
                <w:rFonts w:ascii="Arial" w:hAnsi="Arial" w:cs="Arial"/>
                <w:sz w:val="20"/>
                <w:szCs w:val="20"/>
              </w:rPr>
            </w:pPr>
            <w:r>
              <w:rPr>
                <w:rFonts w:ascii="Arial" w:hAnsi="Arial" w:cs="Arial"/>
                <w:sz w:val="20"/>
                <w:szCs w:val="20"/>
              </w:rPr>
              <w:t>liečba konvenčnými antipsychotikami vrátane depotných foriem je nevhodná alebo kontraindikovaná podľa údajov v súhrne charakteristických vlastností lieku. Ak po 12 týždňoch liečby nedôjde k zlepšeniu klinického stavu alebo dôjde k relapsu ochorenia, ďalšia liečba nie je hradenou liečbou.</w:t>
            </w:r>
          </w:p>
          <w:p w14:paraId="214AAA5B" w14:textId="58A742E8" w:rsidR="00BD4717" w:rsidRPr="0000591E" w:rsidRDefault="00BD4717" w:rsidP="00BD4717">
            <w:pPr>
              <w:jc w:val="both"/>
              <w:rPr>
                <w:rFonts w:ascii="Arial" w:hAnsi="Arial" w:cs="Arial"/>
                <w:sz w:val="20"/>
                <w:szCs w:val="20"/>
              </w:rPr>
            </w:pPr>
          </w:p>
        </w:tc>
      </w:tr>
      <w:tr w:rsidR="00BD4717" w:rsidRPr="0000591E" w14:paraId="65D43160" w14:textId="77777777" w:rsidTr="00D20C24">
        <w:trPr>
          <w:trHeight w:val="20"/>
        </w:trPr>
        <w:tc>
          <w:tcPr>
            <w:tcW w:w="1277" w:type="dxa"/>
            <w:tcBorders>
              <w:bottom w:val="single" w:sz="4" w:space="0" w:color="auto"/>
            </w:tcBorders>
            <w:noWrap/>
          </w:tcPr>
          <w:p w14:paraId="623D427E" w14:textId="77777777" w:rsidR="00BD4717" w:rsidRDefault="00BD4717" w:rsidP="00BD4717">
            <w:pPr>
              <w:rPr>
                <w:rFonts w:ascii="Arial" w:hAnsi="Arial" w:cs="Arial"/>
                <w:b/>
                <w:bCs/>
                <w:sz w:val="20"/>
                <w:szCs w:val="20"/>
              </w:rPr>
            </w:pPr>
          </w:p>
          <w:p w14:paraId="5DBFE291" w14:textId="77777777" w:rsidR="00BD4717" w:rsidRDefault="00BD4717" w:rsidP="00BD4717">
            <w:pPr>
              <w:rPr>
                <w:rFonts w:ascii="Arial" w:hAnsi="Arial" w:cs="Arial"/>
                <w:b/>
                <w:bCs/>
                <w:sz w:val="20"/>
                <w:szCs w:val="20"/>
              </w:rPr>
            </w:pPr>
          </w:p>
          <w:p w14:paraId="7713805E" w14:textId="600FEB39" w:rsidR="00BD4717" w:rsidRPr="0000591E" w:rsidRDefault="00BD4717" w:rsidP="00BD4717">
            <w:pPr>
              <w:rPr>
                <w:rFonts w:ascii="Arial" w:hAnsi="Arial" w:cs="Arial"/>
                <w:b/>
                <w:bCs/>
                <w:sz w:val="20"/>
                <w:szCs w:val="20"/>
              </w:rPr>
            </w:pPr>
            <w:r w:rsidRPr="0000591E">
              <w:rPr>
                <w:rFonts w:ascii="Arial" w:hAnsi="Arial" w:cs="Arial"/>
                <w:b/>
                <w:bCs/>
                <w:sz w:val="20"/>
                <w:szCs w:val="20"/>
              </w:rPr>
              <w:t>N05AX13</w:t>
            </w:r>
          </w:p>
        </w:tc>
        <w:tc>
          <w:tcPr>
            <w:tcW w:w="9355" w:type="dxa"/>
            <w:tcBorders>
              <w:bottom w:val="single" w:sz="4" w:space="0" w:color="auto"/>
            </w:tcBorders>
          </w:tcPr>
          <w:p w14:paraId="42308F02"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Paliperidón p.o. predĺž. uvoľ. 3 mg,</w:t>
            </w:r>
          </w:p>
          <w:p w14:paraId="5BEB191D"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Paliperidón p.o. predĺž. uvoľ. 6 mg,</w:t>
            </w:r>
          </w:p>
          <w:p w14:paraId="652F621F"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Paliperidón p.o. predĺž. uvoľ. 9 mg</w:t>
            </w:r>
          </w:p>
        </w:tc>
      </w:tr>
      <w:tr w:rsidR="00BD4717" w:rsidRPr="0000591E" w14:paraId="23395446" w14:textId="77777777" w:rsidTr="00D20C24">
        <w:trPr>
          <w:trHeight w:val="20"/>
        </w:trPr>
        <w:tc>
          <w:tcPr>
            <w:tcW w:w="1277" w:type="dxa"/>
            <w:tcBorders>
              <w:top w:val="single" w:sz="4" w:space="0" w:color="auto"/>
              <w:bottom w:val="single" w:sz="4" w:space="0" w:color="BFBFBF" w:themeColor="background1" w:themeShade="BF"/>
            </w:tcBorders>
            <w:noWrap/>
          </w:tcPr>
          <w:p w14:paraId="18772238"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2D6878DD"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w:t>
            </w:r>
          </w:p>
          <w:p w14:paraId="1C66D67B" w14:textId="1363458F" w:rsidR="00BD4717" w:rsidRPr="004D7120" w:rsidRDefault="00BD4717">
            <w:pPr>
              <w:numPr>
                <w:ilvl w:val="0"/>
                <w:numId w:val="34"/>
              </w:numPr>
              <w:rPr>
                <w:rFonts w:ascii="Arial" w:hAnsi="Arial" w:cs="Arial"/>
                <w:sz w:val="20"/>
                <w:szCs w:val="20"/>
              </w:rPr>
            </w:pPr>
            <w:r w:rsidRPr="004D7120">
              <w:rPr>
                <w:rFonts w:ascii="Arial" w:hAnsi="Arial" w:cs="Arial"/>
                <w:sz w:val="20"/>
                <w:szCs w:val="20"/>
              </w:rPr>
              <w:t>ako ďalšia voľba pri nedostatočnej účinnosti alebo výskyte nežiadúcich účinkov po predchádzajúcej antipsychotickej liečbe perorálnym risperidónom,</w:t>
            </w:r>
          </w:p>
          <w:p w14:paraId="303EF7C3" w14:textId="77777777" w:rsidR="00BD4717" w:rsidRPr="0000591E" w:rsidRDefault="00BD4717">
            <w:pPr>
              <w:numPr>
                <w:ilvl w:val="0"/>
                <w:numId w:val="34"/>
              </w:numPr>
              <w:rPr>
                <w:rFonts w:ascii="Arial" w:hAnsi="Arial" w:cs="Arial"/>
                <w:sz w:val="20"/>
                <w:szCs w:val="20"/>
              </w:rPr>
            </w:pPr>
            <w:r w:rsidRPr="0000591E">
              <w:rPr>
                <w:rFonts w:ascii="Arial" w:hAnsi="Arial" w:cs="Arial"/>
                <w:sz w:val="20"/>
                <w:szCs w:val="20"/>
              </w:rPr>
              <w:t>ak je liečba perorálnym risperidónom nevhodná podľa údajov v súhrne charakteristických</w:t>
            </w:r>
          </w:p>
          <w:p w14:paraId="7AB3CDD3" w14:textId="77777777" w:rsidR="00BD4717" w:rsidRPr="0000591E" w:rsidRDefault="00BD4717" w:rsidP="00BD4717">
            <w:pPr>
              <w:ind w:left="720"/>
              <w:jc w:val="both"/>
              <w:rPr>
                <w:rFonts w:ascii="Arial" w:hAnsi="Arial" w:cs="Arial"/>
                <w:sz w:val="20"/>
                <w:szCs w:val="20"/>
              </w:rPr>
            </w:pPr>
            <w:r w:rsidRPr="0000591E">
              <w:rPr>
                <w:rFonts w:ascii="Arial" w:hAnsi="Arial" w:cs="Arial"/>
                <w:sz w:val="20"/>
                <w:szCs w:val="20"/>
              </w:rPr>
              <w:t xml:space="preserve">vlastností lieku. </w:t>
            </w:r>
          </w:p>
          <w:p w14:paraId="5EEC1D9F" w14:textId="77777777" w:rsidR="00BD4717" w:rsidRPr="0000591E" w:rsidRDefault="00BD4717" w:rsidP="00BD4717">
            <w:pPr>
              <w:jc w:val="both"/>
              <w:rPr>
                <w:rFonts w:ascii="Arial" w:hAnsi="Arial" w:cs="Arial"/>
                <w:b/>
                <w:bCs/>
                <w:sz w:val="20"/>
                <w:szCs w:val="20"/>
              </w:rPr>
            </w:pPr>
          </w:p>
        </w:tc>
      </w:tr>
      <w:tr w:rsidR="00BD4717" w:rsidRPr="0000591E" w14:paraId="12E1BA74" w14:textId="77777777" w:rsidTr="00D20C24">
        <w:trPr>
          <w:trHeight w:val="20"/>
        </w:trPr>
        <w:tc>
          <w:tcPr>
            <w:tcW w:w="1277" w:type="dxa"/>
            <w:tcBorders>
              <w:bottom w:val="single" w:sz="4" w:space="0" w:color="auto"/>
            </w:tcBorders>
            <w:noWrap/>
          </w:tcPr>
          <w:p w14:paraId="6A4763B8" w14:textId="77777777" w:rsidR="00BD4717" w:rsidRDefault="00BD4717" w:rsidP="00BD4717">
            <w:pPr>
              <w:rPr>
                <w:rFonts w:ascii="Arial" w:hAnsi="Arial" w:cs="Arial"/>
                <w:b/>
                <w:bCs/>
                <w:sz w:val="20"/>
                <w:szCs w:val="20"/>
              </w:rPr>
            </w:pPr>
          </w:p>
          <w:p w14:paraId="14846FB4" w14:textId="77777777" w:rsidR="00BD4717" w:rsidRDefault="00BD4717" w:rsidP="00BD4717">
            <w:pPr>
              <w:rPr>
                <w:rFonts w:ascii="Arial" w:hAnsi="Arial" w:cs="Arial"/>
                <w:b/>
                <w:bCs/>
                <w:sz w:val="20"/>
                <w:szCs w:val="20"/>
              </w:rPr>
            </w:pPr>
          </w:p>
          <w:p w14:paraId="64168F93" w14:textId="77777777" w:rsidR="00BD4717" w:rsidRDefault="00BD4717" w:rsidP="00BD4717">
            <w:pPr>
              <w:rPr>
                <w:rFonts w:ascii="Arial" w:hAnsi="Arial" w:cs="Arial"/>
                <w:b/>
                <w:bCs/>
                <w:sz w:val="20"/>
                <w:szCs w:val="20"/>
              </w:rPr>
            </w:pPr>
          </w:p>
          <w:p w14:paraId="6962D067" w14:textId="029D3568" w:rsidR="00BD4717" w:rsidRPr="0000591E" w:rsidRDefault="00BD4717" w:rsidP="00BD4717">
            <w:pPr>
              <w:rPr>
                <w:rFonts w:ascii="Arial" w:hAnsi="Arial" w:cs="Arial"/>
                <w:b/>
                <w:bCs/>
                <w:sz w:val="20"/>
                <w:szCs w:val="20"/>
              </w:rPr>
            </w:pPr>
            <w:r w:rsidRPr="0000591E">
              <w:rPr>
                <w:rFonts w:ascii="Arial" w:hAnsi="Arial" w:cs="Arial"/>
                <w:b/>
                <w:bCs/>
                <w:sz w:val="20"/>
                <w:szCs w:val="20"/>
              </w:rPr>
              <w:t>N05AX13</w:t>
            </w:r>
          </w:p>
        </w:tc>
        <w:tc>
          <w:tcPr>
            <w:tcW w:w="9355" w:type="dxa"/>
            <w:tcBorders>
              <w:bottom w:val="single" w:sz="4" w:space="0" w:color="auto"/>
            </w:tcBorders>
          </w:tcPr>
          <w:p w14:paraId="0EE1EA7E" w14:textId="77777777" w:rsidR="00BD4717" w:rsidRPr="0000591E" w:rsidRDefault="00BD4717" w:rsidP="00BD4717">
            <w:pPr>
              <w:rPr>
                <w:rFonts w:ascii="Arial" w:hAnsi="Arial" w:cs="Arial"/>
                <w:b/>
                <w:bCs/>
                <w:sz w:val="20"/>
                <w:szCs w:val="20"/>
              </w:rPr>
            </w:pPr>
            <w:r>
              <w:rPr>
                <w:rFonts w:ascii="Arial" w:hAnsi="Arial" w:cs="Arial"/>
                <w:b/>
                <w:bCs/>
                <w:sz w:val="20"/>
                <w:szCs w:val="20"/>
              </w:rPr>
              <w:t>Paliperidón parent</w:t>
            </w:r>
            <w:r w:rsidRPr="0000591E">
              <w:rPr>
                <w:rFonts w:ascii="Arial" w:hAnsi="Arial" w:cs="Arial"/>
                <w:b/>
                <w:bCs/>
                <w:sz w:val="20"/>
                <w:szCs w:val="20"/>
              </w:rPr>
              <w:t xml:space="preserve">. predĺž. uvoľ. </w:t>
            </w:r>
            <w:r>
              <w:rPr>
                <w:rFonts w:ascii="Arial" w:hAnsi="Arial" w:cs="Arial"/>
                <w:b/>
                <w:bCs/>
                <w:sz w:val="20"/>
                <w:szCs w:val="20"/>
              </w:rPr>
              <w:t>175</w:t>
            </w:r>
            <w:r w:rsidRPr="0000591E">
              <w:rPr>
                <w:rFonts w:ascii="Arial" w:hAnsi="Arial" w:cs="Arial"/>
                <w:b/>
                <w:bCs/>
                <w:sz w:val="20"/>
                <w:szCs w:val="20"/>
              </w:rPr>
              <w:t xml:space="preserve"> mg,</w:t>
            </w:r>
          </w:p>
          <w:p w14:paraId="0BEDACE8" w14:textId="77777777" w:rsidR="00BD4717" w:rsidRDefault="00BD4717" w:rsidP="00BD4717">
            <w:pPr>
              <w:jc w:val="both"/>
              <w:rPr>
                <w:rFonts w:ascii="Arial" w:hAnsi="Arial" w:cs="Arial"/>
                <w:b/>
                <w:bCs/>
                <w:sz w:val="20"/>
                <w:szCs w:val="20"/>
              </w:rPr>
            </w:pPr>
            <w:r>
              <w:rPr>
                <w:rFonts w:ascii="Arial" w:hAnsi="Arial" w:cs="Arial"/>
                <w:b/>
                <w:bCs/>
                <w:sz w:val="20"/>
                <w:szCs w:val="20"/>
              </w:rPr>
              <w:t>Paliperidón parent</w:t>
            </w:r>
            <w:r w:rsidRPr="0000591E">
              <w:rPr>
                <w:rFonts w:ascii="Arial" w:hAnsi="Arial" w:cs="Arial"/>
                <w:b/>
                <w:bCs/>
                <w:sz w:val="20"/>
                <w:szCs w:val="20"/>
              </w:rPr>
              <w:t xml:space="preserve">. predĺž. uvoľ. </w:t>
            </w:r>
            <w:r>
              <w:rPr>
                <w:rFonts w:ascii="Arial" w:hAnsi="Arial" w:cs="Arial"/>
                <w:b/>
                <w:bCs/>
                <w:sz w:val="20"/>
                <w:szCs w:val="20"/>
              </w:rPr>
              <w:t>263</w:t>
            </w:r>
            <w:r w:rsidRPr="0000591E">
              <w:rPr>
                <w:rFonts w:ascii="Arial" w:hAnsi="Arial" w:cs="Arial"/>
                <w:b/>
                <w:bCs/>
                <w:sz w:val="20"/>
                <w:szCs w:val="20"/>
              </w:rPr>
              <w:t xml:space="preserve"> mg,</w:t>
            </w:r>
          </w:p>
          <w:p w14:paraId="380EFE8C" w14:textId="77777777" w:rsidR="00BD4717" w:rsidRDefault="00BD4717" w:rsidP="00BD4717">
            <w:pPr>
              <w:jc w:val="both"/>
              <w:rPr>
                <w:rFonts w:ascii="Arial" w:hAnsi="Arial" w:cs="Arial"/>
                <w:b/>
                <w:bCs/>
                <w:sz w:val="20"/>
                <w:szCs w:val="20"/>
              </w:rPr>
            </w:pPr>
            <w:r>
              <w:rPr>
                <w:rFonts w:ascii="Arial" w:hAnsi="Arial" w:cs="Arial"/>
                <w:b/>
                <w:bCs/>
                <w:sz w:val="20"/>
                <w:szCs w:val="20"/>
              </w:rPr>
              <w:t>Paliperidón parent</w:t>
            </w:r>
            <w:r w:rsidRPr="0000591E">
              <w:rPr>
                <w:rFonts w:ascii="Arial" w:hAnsi="Arial" w:cs="Arial"/>
                <w:b/>
                <w:bCs/>
                <w:sz w:val="20"/>
                <w:szCs w:val="20"/>
              </w:rPr>
              <w:t xml:space="preserve">. predĺž. uvoľ. </w:t>
            </w:r>
            <w:r>
              <w:rPr>
                <w:rFonts w:ascii="Arial" w:hAnsi="Arial" w:cs="Arial"/>
                <w:b/>
                <w:bCs/>
                <w:sz w:val="20"/>
                <w:szCs w:val="20"/>
              </w:rPr>
              <w:t>350</w:t>
            </w:r>
            <w:r w:rsidRPr="0000591E">
              <w:rPr>
                <w:rFonts w:ascii="Arial" w:hAnsi="Arial" w:cs="Arial"/>
                <w:b/>
                <w:bCs/>
                <w:sz w:val="20"/>
                <w:szCs w:val="20"/>
              </w:rPr>
              <w:t xml:space="preserve"> mg,</w:t>
            </w:r>
          </w:p>
          <w:p w14:paraId="32481887" w14:textId="77777777" w:rsidR="00BD4717" w:rsidRPr="0000591E" w:rsidRDefault="00BD4717" w:rsidP="00BD4717">
            <w:pPr>
              <w:jc w:val="both"/>
              <w:rPr>
                <w:rFonts w:ascii="Arial" w:hAnsi="Arial" w:cs="Arial"/>
                <w:b/>
                <w:bCs/>
                <w:sz w:val="20"/>
                <w:szCs w:val="20"/>
              </w:rPr>
            </w:pPr>
            <w:r>
              <w:rPr>
                <w:rFonts w:ascii="Arial" w:hAnsi="Arial" w:cs="Arial"/>
                <w:b/>
                <w:bCs/>
                <w:sz w:val="20"/>
                <w:szCs w:val="20"/>
              </w:rPr>
              <w:t>Paliperidón parent</w:t>
            </w:r>
            <w:r w:rsidRPr="0000591E">
              <w:rPr>
                <w:rFonts w:ascii="Arial" w:hAnsi="Arial" w:cs="Arial"/>
                <w:b/>
                <w:bCs/>
                <w:sz w:val="20"/>
                <w:szCs w:val="20"/>
              </w:rPr>
              <w:t xml:space="preserve">. predĺž. uvoľ. </w:t>
            </w:r>
            <w:r>
              <w:rPr>
                <w:rFonts w:ascii="Arial" w:hAnsi="Arial" w:cs="Arial"/>
                <w:b/>
                <w:bCs/>
                <w:sz w:val="20"/>
                <w:szCs w:val="20"/>
              </w:rPr>
              <w:t>525</w:t>
            </w:r>
            <w:r w:rsidRPr="0000591E">
              <w:rPr>
                <w:rFonts w:ascii="Arial" w:hAnsi="Arial" w:cs="Arial"/>
                <w:b/>
                <w:bCs/>
                <w:sz w:val="20"/>
                <w:szCs w:val="20"/>
              </w:rPr>
              <w:t xml:space="preserve"> mg</w:t>
            </w:r>
          </w:p>
        </w:tc>
      </w:tr>
      <w:tr w:rsidR="00BD4717" w:rsidRPr="0000591E" w14:paraId="42CF6C4E" w14:textId="77777777" w:rsidTr="00D20C24">
        <w:trPr>
          <w:trHeight w:val="20"/>
        </w:trPr>
        <w:tc>
          <w:tcPr>
            <w:tcW w:w="1277" w:type="dxa"/>
            <w:tcBorders>
              <w:top w:val="single" w:sz="4" w:space="0" w:color="auto"/>
              <w:bottom w:val="single" w:sz="4" w:space="0" w:color="BFBFBF" w:themeColor="background1" w:themeShade="BF"/>
            </w:tcBorders>
            <w:noWrap/>
          </w:tcPr>
          <w:p w14:paraId="78BAAB96"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2C558338" w14:textId="77777777" w:rsidR="00BD4717" w:rsidRDefault="00BD4717" w:rsidP="00BD4717">
            <w:pPr>
              <w:jc w:val="both"/>
              <w:rPr>
                <w:rFonts w:ascii="Arial" w:hAnsi="Arial" w:cs="Arial"/>
                <w:sz w:val="20"/>
                <w:szCs w:val="20"/>
              </w:rPr>
            </w:pPr>
            <w:r w:rsidRPr="00CC0C00">
              <w:rPr>
                <w:rFonts w:ascii="Arial" w:hAnsi="Arial" w:cs="Arial"/>
                <w:sz w:val="20"/>
                <w:szCs w:val="20"/>
              </w:rPr>
              <w:t>Hradená liečba sa môže indikovať dospelým pacientom ako udržiavacia liečba s diagnózou schizofrénie (F20) pri zachovaní všetkých bezpečnostných opatrení uvedených v SPC, ktorí sú klinicky stabilizovaní na 1-mesačnom injekčnom paliperidón palmitáte.</w:t>
            </w:r>
          </w:p>
          <w:p w14:paraId="6797BA35" w14:textId="77777777" w:rsidR="00BD4717" w:rsidRPr="0000591E" w:rsidRDefault="00BD4717" w:rsidP="00BD4717">
            <w:pPr>
              <w:jc w:val="both"/>
              <w:rPr>
                <w:rFonts w:ascii="Arial" w:hAnsi="Arial" w:cs="Arial"/>
                <w:b/>
                <w:bCs/>
                <w:sz w:val="20"/>
                <w:szCs w:val="20"/>
              </w:rPr>
            </w:pPr>
          </w:p>
        </w:tc>
      </w:tr>
      <w:tr w:rsidR="00BD4717" w:rsidRPr="0000591E" w14:paraId="44A2FEF2" w14:textId="77777777" w:rsidTr="00D20C24">
        <w:trPr>
          <w:trHeight w:val="20"/>
        </w:trPr>
        <w:tc>
          <w:tcPr>
            <w:tcW w:w="1277" w:type="dxa"/>
            <w:tcBorders>
              <w:bottom w:val="single" w:sz="4" w:space="0" w:color="auto"/>
            </w:tcBorders>
            <w:noWrap/>
          </w:tcPr>
          <w:p w14:paraId="613E8680" w14:textId="77777777" w:rsidR="00BD4717" w:rsidRDefault="00BD4717" w:rsidP="00BD4717">
            <w:pPr>
              <w:rPr>
                <w:rFonts w:ascii="Arial" w:hAnsi="Arial" w:cs="Arial"/>
                <w:b/>
                <w:bCs/>
                <w:sz w:val="20"/>
                <w:szCs w:val="20"/>
              </w:rPr>
            </w:pPr>
          </w:p>
          <w:p w14:paraId="1E8F99A9" w14:textId="77777777" w:rsidR="00BD4717" w:rsidRDefault="00BD4717" w:rsidP="00BD4717">
            <w:pPr>
              <w:rPr>
                <w:rFonts w:ascii="Arial" w:hAnsi="Arial" w:cs="Arial"/>
                <w:b/>
                <w:bCs/>
                <w:sz w:val="20"/>
                <w:szCs w:val="20"/>
              </w:rPr>
            </w:pPr>
          </w:p>
          <w:p w14:paraId="4FECD8F9" w14:textId="77777777" w:rsidR="00BD4717" w:rsidRDefault="00BD4717" w:rsidP="00BD4717">
            <w:pPr>
              <w:rPr>
                <w:rFonts w:ascii="Arial" w:hAnsi="Arial" w:cs="Arial"/>
                <w:b/>
                <w:bCs/>
                <w:sz w:val="20"/>
                <w:szCs w:val="20"/>
              </w:rPr>
            </w:pPr>
          </w:p>
          <w:p w14:paraId="2A7AB924" w14:textId="393F6405" w:rsidR="00BD4717" w:rsidRPr="0000591E" w:rsidRDefault="00BD4717" w:rsidP="00BD4717">
            <w:pPr>
              <w:rPr>
                <w:rFonts w:ascii="Arial" w:hAnsi="Arial" w:cs="Arial"/>
                <w:b/>
                <w:bCs/>
                <w:sz w:val="20"/>
                <w:szCs w:val="20"/>
              </w:rPr>
            </w:pPr>
            <w:r w:rsidRPr="0000591E">
              <w:rPr>
                <w:rFonts w:ascii="Arial" w:hAnsi="Arial" w:cs="Arial"/>
                <w:b/>
                <w:bCs/>
                <w:sz w:val="20"/>
                <w:szCs w:val="20"/>
              </w:rPr>
              <w:t>N05AX13</w:t>
            </w:r>
          </w:p>
        </w:tc>
        <w:tc>
          <w:tcPr>
            <w:tcW w:w="9355" w:type="dxa"/>
            <w:tcBorders>
              <w:bottom w:val="single" w:sz="4" w:space="0" w:color="auto"/>
            </w:tcBorders>
          </w:tcPr>
          <w:p w14:paraId="411D5486"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Paliperidón palmitát parent. predĺž. uvoľ. 50 mg,</w:t>
            </w:r>
          </w:p>
          <w:p w14:paraId="1D40663C"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Paliperidón palmitát parent. predĺž. uvoľ. 75 mg,</w:t>
            </w:r>
          </w:p>
          <w:p w14:paraId="4A9EBF33"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Paliperidón palmitát parent. predĺž. uvoľ. 100 mg,</w:t>
            </w:r>
          </w:p>
          <w:p w14:paraId="4719D23B"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Paliperidón palmitát parent. predĺž. uvoľ. 150 mg</w:t>
            </w:r>
          </w:p>
        </w:tc>
      </w:tr>
      <w:tr w:rsidR="00BD4717" w:rsidRPr="0000591E" w14:paraId="05613F77" w14:textId="77777777" w:rsidTr="00D20C24">
        <w:trPr>
          <w:trHeight w:val="20"/>
        </w:trPr>
        <w:tc>
          <w:tcPr>
            <w:tcW w:w="1277" w:type="dxa"/>
            <w:tcBorders>
              <w:top w:val="single" w:sz="4" w:space="0" w:color="auto"/>
              <w:bottom w:val="single" w:sz="4" w:space="0" w:color="BFBFBF" w:themeColor="background1" w:themeShade="BF"/>
            </w:tcBorders>
            <w:noWrap/>
          </w:tcPr>
          <w:p w14:paraId="3C1B57C4"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002C97B"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s diagnózou schizofrénie (F20) pri zachovaní všetkých bezpečnostných opatrení uvedených v SPC, ak sú splnené tieto kritériá:</w:t>
            </w:r>
          </w:p>
          <w:p w14:paraId="05F82DE8" w14:textId="77777777" w:rsidR="00BD4717" w:rsidRPr="0000591E" w:rsidRDefault="00BD4717" w:rsidP="00BD4717">
            <w:pPr>
              <w:jc w:val="both"/>
              <w:rPr>
                <w:rFonts w:ascii="Arial" w:hAnsi="Arial" w:cs="Arial"/>
                <w:sz w:val="20"/>
                <w:szCs w:val="20"/>
                <w:lang w:eastAsia="cs-CZ"/>
              </w:rPr>
            </w:pPr>
          </w:p>
          <w:p w14:paraId="1D05D5EE" w14:textId="77777777" w:rsidR="00BD4717" w:rsidRPr="0000591E" w:rsidRDefault="00BD4717">
            <w:pPr>
              <w:numPr>
                <w:ilvl w:val="0"/>
                <w:numId w:val="54"/>
              </w:numPr>
              <w:jc w:val="both"/>
              <w:rPr>
                <w:rFonts w:ascii="Arial" w:hAnsi="Arial" w:cs="Arial"/>
                <w:sz w:val="20"/>
                <w:szCs w:val="20"/>
                <w:lang w:eastAsia="cs-CZ"/>
              </w:rPr>
            </w:pPr>
            <w:r w:rsidRPr="0000591E">
              <w:rPr>
                <w:rFonts w:ascii="Arial" w:hAnsi="Arial" w:cs="Arial"/>
                <w:sz w:val="20"/>
                <w:szCs w:val="20"/>
              </w:rPr>
              <w:t>pre nespoluprácu (non-komplianciu) pacienta pri liečbe došlo k dvom alebo viacerým relapsom alebo recidívam, ktoré boli spojené s manifestáciou pozitívnych alebo negatívnych príznakov schizofrénie so závažným narušením sociálneho fungovania; závažnosť relapsu alebo recidívy poruchy dosahovala taký stupeň, že bola nevyhnutná hospitalizácia,</w:t>
            </w:r>
          </w:p>
          <w:p w14:paraId="03ECD910" w14:textId="77777777" w:rsidR="00BD4717" w:rsidRPr="0000591E" w:rsidRDefault="00BD4717">
            <w:pPr>
              <w:numPr>
                <w:ilvl w:val="0"/>
                <w:numId w:val="54"/>
              </w:numPr>
              <w:rPr>
                <w:rFonts w:ascii="Arial" w:hAnsi="Arial" w:cs="Arial"/>
                <w:sz w:val="20"/>
                <w:szCs w:val="20"/>
              </w:rPr>
            </w:pPr>
            <w:r w:rsidRPr="0000591E">
              <w:rPr>
                <w:rFonts w:ascii="Arial" w:hAnsi="Arial" w:cs="Arial"/>
                <w:sz w:val="20"/>
                <w:szCs w:val="20"/>
              </w:rPr>
              <w:t xml:space="preserve">liečba konvenčnými antipsychotikami vrátane depotných formiem je nevhodná alebo kontraindikovaná podľa údajov v súhrne charakteristických vlastností lieku. </w:t>
            </w:r>
          </w:p>
          <w:p w14:paraId="54AC84DB" w14:textId="77777777" w:rsidR="00BD4717" w:rsidRDefault="00BD4717" w:rsidP="00BD4717">
            <w:pPr>
              <w:jc w:val="both"/>
              <w:rPr>
                <w:rFonts w:ascii="Arial" w:hAnsi="Arial" w:cs="Arial"/>
                <w:sz w:val="20"/>
                <w:szCs w:val="20"/>
              </w:rPr>
            </w:pPr>
          </w:p>
          <w:p w14:paraId="20587B95" w14:textId="77777777" w:rsidR="00BD4717" w:rsidRDefault="00BD4717" w:rsidP="00BD4717">
            <w:pPr>
              <w:jc w:val="both"/>
              <w:rPr>
                <w:rFonts w:ascii="Arial" w:hAnsi="Arial" w:cs="Arial"/>
                <w:sz w:val="20"/>
                <w:szCs w:val="20"/>
              </w:rPr>
            </w:pPr>
            <w:r w:rsidRPr="0000591E">
              <w:rPr>
                <w:rFonts w:ascii="Arial" w:hAnsi="Arial" w:cs="Arial"/>
                <w:sz w:val="20"/>
                <w:szCs w:val="20"/>
              </w:rPr>
              <w:t>Ak po 12 týždňoch liečby nedôjde k zlepšeniu klinického stavu alebo dôjde k relapsu ochorenia, ďalšia liečba nie je hradenou liečbou.</w:t>
            </w:r>
          </w:p>
          <w:p w14:paraId="304FEDC4" w14:textId="7895A7EF" w:rsidR="00BD4717" w:rsidRPr="0002359B" w:rsidRDefault="00BD4717" w:rsidP="00BD4717">
            <w:pPr>
              <w:jc w:val="both"/>
              <w:rPr>
                <w:rFonts w:ascii="Arial" w:hAnsi="Arial" w:cs="Arial"/>
                <w:sz w:val="20"/>
                <w:szCs w:val="20"/>
              </w:rPr>
            </w:pPr>
          </w:p>
        </w:tc>
      </w:tr>
      <w:tr w:rsidR="00BD4717" w:rsidRPr="0000591E" w14:paraId="73589D83" w14:textId="77777777" w:rsidTr="00D20C24">
        <w:trPr>
          <w:trHeight w:val="20"/>
        </w:trPr>
        <w:tc>
          <w:tcPr>
            <w:tcW w:w="1277" w:type="dxa"/>
            <w:tcBorders>
              <w:bottom w:val="single" w:sz="4" w:space="0" w:color="auto"/>
            </w:tcBorders>
            <w:noWrap/>
          </w:tcPr>
          <w:p w14:paraId="4C413D0A" w14:textId="77777777" w:rsidR="00BD4717" w:rsidRDefault="00BD4717" w:rsidP="00BD4717">
            <w:pPr>
              <w:rPr>
                <w:rFonts w:ascii="Arial" w:hAnsi="Arial" w:cs="Arial"/>
                <w:b/>
                <w:bCs/>
                <w:sz w:val="20"/>
                <w:szCs w:val="20"/>
              </w:rPr>
            </w:pPr>
          </w:p>
          <w:p w14:paraId="049566B7" w14:textId="77777777" w:rsidR="00BD4717" w:rsidRDefault="00BD4717" w:rsidP="00BD4717">
            <w:pPr>
              <w:rPr>
                <w:rFonts w:ascii="Arial" w:hAnsi="Arial" w:cs="Arial"/>
                <w:b/>
                <w:bCs/>
                <w:sz w:val="20"/>
                <w:szCs w:val="20"/>
              </w:rPr>
            </w:pPr>
          </w:p>
          <w:p w14:paraId="38327D1D" w14:textId="77777777" w:rsidR="00BD4717" w:rsidRDefault="00BD4717" w:rsidP="00BD4717">
            <w:pPr>
              <w:rPr>
                <w:rFonts w:ascii="Arial" w:hAnsi="Arial" w:cs="Arial"/>
                <w:b/>
                <w:bCs/>
                <w:sz w:val="20"/>
                <w:szCs w:val="20"/>
              </w:rPr>
            </w:pPr>
          </w:p>
          <w:p w14:paraId="7ECC61BD" w14:textId="35DB46A8" w:rsidR="00BD4717" w:rsidRPr="0000591E" w:rsidRDefault="00BD4717" w:rsidP="00BD4717">
            <w:pPr>
              <w:rPr>
                <w:rFonts w:ascii="Arial" w:hAnsi="Arial" w:cs="Arial"/>
                <w:b/>
                <w:bCs/>
                <w:sz w:val="20"/>
                <w:szCs w:val="20"/>
              </w:rPr>
            </w:pPr>
            <w:r>
              <w:rPr>
                <w:rFonts w:ascii="Arial" w:hAnsi="Arial" w:cs="Arial"/>
                <w:b/>
                <w:bCs/>
                <w:sz w:val="20"/>
                <w:szCs w:val="20"/>
              </w:rPr>
              <w:t>N05AX15</w:t>
            </w:r>
          </w:p>
        </w:tc>
        <w:tc>
          <w:tcPr>
            <w:tcW w:w="9355" w:type="dxa"/>
            <w:tcBorders>
              <w:bottom w:val="single" w:sz="4" w:space="0" w:color="auto"/>
            </w:tcBorders>
          </w:tcPr>
          <w:p w14:paraId="01CE81A1" w14:textId="77777777" w:rsidR="00BD4717" w:rsidRPr="00DD295F" w:rsidRDefault="00BD4717" w:rsidP="00BD4717">
            <w:pPr>
              <w:jc w:val="both"/>
              <w:rPr>
                <w:rFonts w:ascii="Arial" w:hAnsi="Arial" w:cs="Arial"/>
                <w:b/>
                <w:sz w:val="20"/>
                <w:szCs w:val="20"/>
              </w:rPr>
            </w:pPr>
            <w:r>
              <w:rPr>
                <w:rFonts w:ascii="Arial" w:hAnsi="Arial" w:cs="Arial"/>
                <w:b/>
                <w:sz w:val="20"/>
                <w:szCs w:val="20"/>
              </w:rPr>
              <w:t>Kari</w:t>
            </w:r>
            <w:r w:rsidRPr="00DD295F">
              <w:rPr>
                <w:rFonts w:ascii="Arial" w:hAnsi="Arial" w:cs="Arial"/>
                <w:b/>
                <w:sz w:val="20"/>
                <w:szCs w:val="20"/>
              </w:rPr>
              <w:t>prazín p.o. 1,5 mg</w:t>
            </w:r>
          </w:p>
          <w:p w14:paraId="6A4FBB9A" w14:textId="77777777" w:rsidR="00BD4717" w:rsidRPr="00DD295F" w:rsidRDefault="00BD4717" w:rsidP="00BD4717">
            <w:pPr>
              <w:jc w:val="both"/>
              <w:rPr>
                <w:rFonts w:ascii="Arial" w:hAnsi="Arial" w:cs="Arial"/>
                <w:b/>
                <w:sz w:val="20"/>
                <w:szCs w:val="20"/>
              </w:rPr>
            </w:pPr>
            <w:r>
              <w:rPr>
                <w:rFonts w:ascii="Arial" w:hAnsi="Arial" w:cs="Arial"/>
                <w:b/>
                <w:sz w:val="20"/>
                <w:szCs w:val="20"/>
              </w:rPr>
              <w:t>Kari</w:t>
            </w:r>
            <w:r w:rsidRPr="00DD295F">
              <w:rPr>
                <w:rFonts w:ascii="Arial" w:hAnsi="Arial" w:cs="Arial"/>
                <w:b/>
                <w:sz w:val="20"/>
                <w:szCs w:val="20"/>
              </w:rPr>
              <w:t>prazín p.o. 3 mg</w:t>
            </w:r>
          </w:p>
          <w:p w14:paraId="0FDCF30B" w14:textId="77777777" w:rsidR="00BD4717" w:rsidRPr="00DD295F" w:rsidRDefault="00BD4717" w:rsidP="00BD4717">
            <w:pPr>
              <w:jc w:val="both"/>
              <w:rPr>
                <w:rFonts w:ascii="Arial" w:hAnsi="Arial" w:cs="Arial"/>
                <w:b/>
                <w:sz w:val="20"/>
                <w:szCs w:val="20"/>
              </w:rPr>
            </w:pPr>
            <w:r>
              <w:rPr>
                <w:rFonts w:ascii="Arial" w:hAnsi="Arial" w:cs="Arial"/>
                <w:b/>
                <w:sz w:val="20"/>
                <w:szCs w:val="20"/>
              </w:rPr>
              <w:t>Kari</w:t>
            </w:r>
            <w:r w:rsidRPr="00DD295F">
              <w:rPr>
                <w:rFonts w:ascii="Arial" w:hAnsi="Arial" w:cs="Arial"/>
                <w:b/>
                <w:sz w:val="20"/>
                <w:szCs w:val="20"/>
              </w:rPr>
              <w:t>prazín p.o. 4,5 mg</w:t>
            </w:r>
          </w:p>
          <w:p w14:paraId="2A64AD49" w14:textId="77777777" w:rsidR="00BD4717" w:rsidRPr="0000591E" w:rsidRDefault="00BD4717" w:rsidP="00BD4717">
            <w:pPr>
              <w:jc w:val="both"/>
              <w:rPr>
                <w:rFonts w:ascii="Arial" w:hAnsi="Arial" w:cs="Arial"/>
                <w:sz w:val="20"/>
                <w:szCs w:val="20"/>
              </w:rPr>
            </w:pPr>
            <w:r>
              <w:rPr>
                <w:rFonts w:ascii="Arial" w:hAnsi="Arial" w:cs="Arial"/>
                <w:b/>
                <w:sz w:val="20"/>
                <w:szCs w:val="20"/>
              </w:rPr>
              <w:t>Kari</w:t>
            </w:r>
            <w:r w:rsidRPr="00DD295F">
              <w:rPr>
                <w:rFonts w:ascii="Arial" w:hAnsi="Arial" w:cs="Arial"/>
                <w:b/>
                <w:sz w:val="20"/>
                <w:szCs w:val="20"/>
              </w:rPr>
              <w:t>prazín p.o. 6 mg</w:t>
            </w:r>
          </w:p>
        </w:tc>
      </w:tr>
      <w:tr w:rsidR="00BD4717" w:rsidRPr="0000591E" w14:paraId="29EA122D" w14:textId="77777777" w:rsidTr="00D20C24">
        <w:trPr>
          <w:trHeight w:val="20"/>
        </w:trPr>
        <w:tc>
          <w:tcPr>
            <w:tcW w:w="1277" w:type="dxa"/>
            <w:tcBorders>
              <w:top w:val="single" w:sz="4" w:space="0" w:color="auto"/>
              <w:bottom w:val="single" w:sz="4" w:space="0" w:color="BFBFBF" w:themeColor="background1" w:themeShade="BF"/>
            </w:tcBorders>
            <w:noWrap/>
          </w:tcPr>
          <w:p w14:paraId="299F9C2F"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B3778A2" w14:textId="77777777" w:rsidR="00BD4717" w:rsidRPr="00DD295F" w:rsidRDefault="00BD4717" w:rsidP="00BD4717">
            <w:pPr>
              <w:jc w:val="both"/>
              <w:rPr>
                <w:rFonts w:ascii="Arial" w:hAnsi="Arial" w:cs="Arial"/>
                <w:color w:val="000000"/>
                <w:sz w:val="20"/>
                <w:szCs w:val="20"/>
              </w:rPr>
            </w:pPr>
            <w:r w:rsidRPr="00DD295F">
              <w:rPr>
                <w:rFonts w:ascii="Arial" w:hAnsi="Arial" w:cs="Arial"/>
                <w:color w:val="000000"/>
                <w:sz w:val="20"/>
                <w:szCs w:val="20"/>
              </w:rPr>
              <w:t>Hradená liečba je indikovaná u dospelých pacientov so schizofréniou s predominantne negatívnymi symptómami, ktoré pretrvávajú napriek predchádza</w:t>
            </w:r>
            <w:r>
              <w:rPr>
                <w:rFonts w:ascii="Arial" w:hAnsi="Arial" w:cs="Arial"/>
                <w:color w:val="000000"/>
                <w:sz w:val="20"/>
                <w:szCs w:val="20"/>
              </w:rPr>
              <w:t xml:space="preserve">júcej antipsychotickej liečbe. </w:t>
            </w:r>
          </w:p>
          <w:p w14:paraId="4A1BDC95" w14:textId="77777777" w:rsidR="00BD4717" w:rsidRPr="00DD295F" w:rsidRDefault="00BD4717" w:rsidP="00BD4717">
            <w:pPr>
              <w:jc w:val="both"/>
              <w:rPr>
                <w:rFonts w:ascii="Arial" w:hAnsi="Arial" w:cs="Arial"/>
                <w:b/>
                <w:sz w:val="20"/>
                <w:szCs w:val="20"/>
              </w:rPr>
            </w:pPr>
          </w:p>
        </w:tc>
      </w:tr>
      <w:tr w:rsidR="00BD4717" w:rsidRPr="0000591E" w14:paraId="16330167" w14:textId="77777777" w:rsidTr="00D20C24">
        <w:trPr>
          <w:trHeight w:val="20"/>
        </w:trPr>
        <w:tc>
          <w:tcPr>
            <w:tcW w:w="1277" w:type="dxa"/>
            <w:tcBorders>
              <w:bottom w:val="single" w:sz="4" w:space="0" w:color="auto"/>
            </w:tcBorders>
            <w:noWrap/>
          </w:tcPr>
          <w:p w14:paraId="01B15CB2" w14:textId="77777777" w:rsidR="00BD4717" w:rsidRDefault="00BD4717" w:rsidP="00BD4717">
            <w:pPr>
              <w:rPr>
                <w:rFonts w:ascii="Arial" w:hAnsi="Arial" w:cs="Arial"/>
                <w:b/>
                <w:bCs/>
                <w:sz w:val="20"/>
                <w:szCs w:val="20"/>
              </w:rPr>
            </w:pPr>
          </w:p>
          <w:p w14:paraId="49558D9F" w14:textId="77777777" w:rsidR="00BD4717" w:rsidRDefault="00BD4717" w:rsidP="00BD4717">
            <w:pPr>
              <w:rPr>
                <w:rFonts w:ascii="Arial" w:hAnsi="Arial" w:cs="Arial"/>
                <w:b/>
                <w:bCs/>
                <w:sz w:val="20"/>
                <w:szCs w:val="20"/>
              </w:rPr>
            </w:pPr>
          </w:p>
          <w:p w14:paraId="45099EE2" w14:textId="77777777" w:rsidR="00BD4717" w:rsidRDefault="00BD4717" w:rsidP="00BD4717">
            <w:pPr>
              <w:rPr>
                <w:rFonts w:ascii="Arial" w:hAnsi="Arial" w:cs="Arial"/>
                <w:b/>
                <w:bCs/>
                <w:sz w:val="20"/>
                <w:szCs w:val="20"/>
              </w:rPr>
            </w:pPr>
          </w:p>
          <w:p w14:paraId="13C81E38" w14:textId="21E0B843" w:rsidR="00BD4717" w:rsidRDefault="00BD4717" w:rsidP="00BD4717">
            <w:pPr>
              <w:rPr>
                <w:rFonts w:ascii="Arial" w:hAnsi="Arial" w:cs="Arial"/>
                <w:b/>
                <w:bCs/>
                <w:sz w:val="20"/>
                <w:szCs w:val="20"/>
              </w:rPr>
            </w:pPr>
            <w:r>
              <w:rPr>
                <w:rFonts w:ascii="Arial" w:hAnsi="Arial" w:cs="Arial"/>
                <w:b/>
                <w:bCs/>
                <w:sz w:val="20"/>
                <w:szCs w:val="20"/>
              </w:rPr>
              <w:t>N05CD08</w:t>
            </w:r>
          </w:p>
        </w:tc>
        <w:tc>
          <w:tcPr>
            <w:tcW w:w="9355" w:type="dxa"/>
            <w:tcBorders>
              <w:bottom w:val="single" w:sz="4" w:space="0" w:color="auto"/>
            </w:tcBorders>
          </w:tcPr>
          <w:p w14:paraId="7F3C03F6" w14:textId="77777777" w:rsidR="00BD4717" w:rsidRDefault="00BD4717" w:rsidP="00BD4717">
            <w:pPr>
              <w:jc w:val="both"/>
              <w:rPr>
                <w:rFonts w:ascii="Arial" w:hAnsi="Arial" w:cs="Arial"/>
                <w:b/>
                <w:color w:val="000000"/>
                <w:sz w:val="20"/>
                <w:szCs w:val="20"/>
              </w:rPr>
            </w:pPr>
            <w:r w:rsidRPr="00021540">
              <w:rPr>
                <w:rFonts w:ascii="Arial" w:hAnsi="Arial" w:cs="Arial"/>
                <w:b/>
                <w:color w:val="000000"/>
                <w:sz w:val="20"/>
                <w:szCs w:val="20"/>
              </w:rPr>
              <w:t xml:space="preserve">Midazolam p.o. </w:t>
            </w:r>
            <w:r>
              <w:rPr>
                <w:rFonts w:ascii="Arial" w:hAnsi="Arial" w:cs="Arial"/>
                <w:b/>
                <w:color w:val="000000"/>
                <w:sz w:val="20"/>
                <w:szCs w:val="20"/>
              </w:rPr>
              <w:t>2,5 mg</w:t>
            </w:r>
          </w:p>
          <w:p w14:paraId="3C70E85B" w14:textId="77777777" w:rsidR="00BD4717" w:rsidRDefault="00BD4717" w:rsidP="00BD4717">
            <w:pPr>
              <w:jc w:val="both"/>
              <w:rPr>
                <w:rFonts w:ascii="Arial" w:hAnsi="Arial" w:cs="Arial"/>
                <w:b/>
                <w:color w:val="000000"/>
                <w:sz w:val="20"/>
                <w:szCs w:val="20"/>
              </w:rPr>
            </w:pPr>
            <w:r w:rsidRPr="00021540">
              <w:rPr>
                <w:rFonts w:ascii="Arial" w:hAnsi="Arial" w:cs="Arial"/>
                <w:b/>
                <w:color w:val="000000"/>
                <w:sz w:val="20"/>
                <w:szCs w:val="20"/>
              </w:rPr>
              <w:t xml:space="preserve">Midazolam p.o. </w:t>
            </w:r>
            <w:r>
              <w:rPr>
                <w:rFonts w:ascii="Arial" w:hAnsi="Arial" w:cs="Arial"/>
                <w:b/>
                <w:color w:val="000000"/>
                <w:sz w:val="20"/>
                <w:szCs w:val="20"/>
              </w:rPr>
              <w:t>5 mg</w:t>
            </w:r>
          </w:p>
          <w:p w14:paraId="528ECBCA" w14:textId="77777777" w:rsidR="00BD4717" w:rsidRDefault="00BD4717" w:rsidP="00BD4717">
            <w:pPr>
              <w:jc w:val="both"/>
              <w:rPr>
                <w:rFonts w:ascii="Arial" w:hAnsi="Arial" w:cs="Arial"/>
                <w:b/>
                <w:color w:val="000000"/>
                <w:sz w:val="20"/>
                <w:szCs w:val="20"/>
              </w:rPr>
            </w:pPr>
            <w:r w:rsidRPr="00021540">
              <w:rPr>
                <w:rFonts w:ascii="Arial" w:hAnsi="Arial" w:cs="Arial"/>
                <w:b/>
                <w:color w:val="000000"/>
                <w:sz w:val="20"/>
                <w:szCs w:val="20"/>
              </w:rPr>
              <w:t xml:space="preserve">Midazolam p.o. </w:t>
            </w:r>
            <w:r>
              <w:rPr>
                <w:rFonts w:ascii="Arial" w:hAnsi="Arial" w:cs="Arial"/>
                <w:b/>
                <w:color w:val="000000"/>
                <w:sz w:val="20"/>
                <w:szCs w:val="20"/>
              </w:rPr>
              <w:t>7,5 mg</w:t>
            </w:r>
          </w:p>
          <w:p w14:paraId="4B2CF154" w14:textId="77777777" w:rsidR="00BD4717" w:rsidRPr="00021540" w:rsidRDefault="00BD4717" w:rsidP="00BD4717">
            <w:pPr>
              <w:jc w:val="both"/>
              <w:rPr>
                <w:rFonts w:ascii="Arial" w:hAnsi="Arial" w:cs="Arial"/>
                <w:b/>
                <w:color w:val="000000"/>
                <w:sz w:val="20"/>
                <w:szCs w:val="20"/>
              </w:rPr>
            </w:pPr>
            <w:r w:rsidRPr="00021540">
              <w:rPr>
                <w:rFonts w:ascii="Arial" w:hAnsi="Arial" w:cs="Arial"/>
                <w:b/>
                <w:color w:val="000000"/>
                <w:sz w:val="20"/>
                <w:szCs w:val="20"/>
              </w:rPr>
              <w:t xml:space="preserve">Midazolam p.o. </w:t>
            </w:r>
            <w:r>
              <w:rPr>
                <w:rFonts w:ascii="Arial" w:hAnsi="Arial" w:cs="Arial"/>
                <w:b/>
                <w:color w:val="000000"/>
                <w:sz w:val="20"/>
                <w:szCs w:val="20"/>
              </w:rPr>
              <w:t>10 mg</w:t>
            </w:r>
          </w:p>
        </w:tc>
      </w:tr>
      <w:tr w:rsidR="00BD4717" w:rsidRPr="0000591E" w14:paraId="0AB23112" w14:textId="77777777" w:rsidTr="00D20C24">
        <w:trPr>
          <w:trHeight w:val="20"/>
        </w:trPr>
        <w:tc>
          <w:tcPr>
            <w:tcW w:w="1277" w:type="dxa"/>
            <w:tcBorders>
              <w:top w:val="single" w:sz="4" w:space="0" w:color="auto"/>
              <w:bottom w:val="single" w:sz="4" w:space="0" w:color="BFBFBF" w:themeColor="background1" w:themeShade="BF"/>
            </w:tcBorders>
            <w:noWrap/>
          </w:tcPr>
          <w:p w14:paraId="3DC996BF"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79A8FE6A" w14:textId="77777777" w:rsidR="00BD4717" w:rsidRDefault="00BD4717" w:rsidP="00BD4717">
            <w:pPr>
              <w:jc w:val="both"/>
              <w:rPr>
                <w:rFonts w:ascii="Arial" w:hAnsi="Arial" w:cs="Arial"/>
                <w:color w:val="000000"/>
                <w:sz w:val="20"/>
                <w:szCs w:val="20"/>
              </w:rPr>
            </w:pPr>
            <w:r>
              <w:rPr>
                <w:rFonts w:ascii="Arial" w:hAnsi="Arial" w:cs="Arial"/>
                <w:sz w:val="20"/>
                <w:szCs w:val="20"/>
              </w:rPr>
              <w:t>Hradená liečba sa môže indikovať u pediatrických pacientov vo veku od 3 mesiacov do 18 rokov s potvrdenou diagnózou epilepsie na liečbu akútnych konvulzívnych záchvatov trvajúcich viac ako 5 minút.</w:t>
            </w:r>
          </w:p>
          <w:p w14:paraId="50E46FF1" w14:textId="77777777" w:rsidR="00BD4717" w:rsidRDefault="00BD4717" w:rsidP="00BD4717">
            <w:pPr>
              <w:jc w:val="both"/>
              <w:rPr>
                <w:rFonts w:ascii="Arial" w:hAnsi="Arial" w:cs="Arial"/>
                <w:color w:val="000000"/>
                <w:sz w:val="20"/>
                <w:szCs w:val="20"/>
              </w:rPr>
            </w:pPr>
          </w:p>
          <w:p w14:paraId="3D6769C7" w14:textId="77777777" w:rsidR="00F762B8" w:rsidRDefault="00F762B8" w:rsidP="00BD4717">
            <w:pPr>
              <w:jc w:val="both"/>
              <w:rPr>
                <w:rFonts w:ascii="Arial" w:hAnsi="Arial" w:cs="Arial"/>
                <w:color w:val="000000"/>
                <w:sz w:val="20"/>
                <w:szCs w:val="20"/>
              </w:rPr>
            </w:pPr>
          </w:p>
          <w:p w14:paraId="63353153" w14:textId="77777777" w:rsidR="00F762B8" w:rsidRPr="00DD295F" w:rsidRDefault="00F762B8" w:rsidP="00BD4717">
            <w:pPr>
              <w:jc w:val="both"/>
              <w:rPr>
                <w:rFonts w:ascii="Arial" w:hAnsi="Arial" w:cs="Arial"/>
                <w:color w:val="000000"/>
                <w:sz w:val="20"/>
                <w:szCs w:val="20"/>
              </w:rPr>
            </w:pPr>
          </w:p>
        </w:tc>
      </w:tr>
      <w:tr w:rsidR="00BD4717" w:rsidRPr="0000591E" w14:paraId="6C945AD9" w14:textId="77777777" w:rsidTr="00D20C24">
        <w:trPr>
          <w:trHeight w:val="180"/>
        </w:trPr>
        <w:tc>
          <w:tcPr>
            <w:tcW w:w="1277" w:type="dxa"/>
            <w:tcBorders>
              <w:bottom w:val="single" w:sz="4" w:space="0" w:color="auto"/>
            </w:tcBorders>
            <w:noWrap/>
          </w:tcPr>
          <w:p w14:paraId="0921FF64" w14:textId="77777777" w:rsidR="00BD4717" w:rsidRDefault="00BD4717" w:rsidP="00BD4717">
            <w:pPr>
              <w:rPr>
                <w:rFonts w:ascii="Arial" w:hAnsi="Arial" w:cs="Arial"/>
                <w:b/>
                <w:bCs/>
                <w:sz w:val="20"/>
                <w:szCs w:val="20"/>
              </w:rPr>
            </w:pPr>
          </w:p>
          <w:p w14:paraId="3460EA59" w14:textId="461E07E7" w:rsidR="00BD4717" w:rsidRPr="0000591E" w:rsidRDefault="00BD4717" w:rsidP="00BD4717">
            <w:pPr>
              <w:rPr>
                <w:rFonts w:ascii="Arial" w:hAnsi="Arial" w:cs="Arial"/>
                <w:b/>
                <w:bCs/>
                <w:sz w:val="20"/>
                <w:szCs w:val="20"/>
              </w:rPr>
            </w:pPr>
            <w:r w:rsidRPr="002C7946">
              <w:rPr>
                <w:rFonts w:ascii="Arial" w:hAnsi="Arial" w:cs="Arial"/>
                <w:b/>
                <w:bCs/>
                <w:sz w:val="20"/>
                <w:szCs w:val="20"/>
              </w:rPr>
              <w:t>N05CH01</w:t>
            </w:r>
          </w:p>
        </w:tc>
        <w:tc>
          <w:tcPr>
            <w:tcW w:w="9355" w:type="dxa"/>
            <w:tcBorders>
              <w:bottom w:val="single" w:sz="4" w:space="0" w:color="auto"/>
            </w:tcBorders>
            <w:noWrap/>
          </w:tcPr>
          <w:p w14:paraId="050B237D" w14:textId="77777777" w:rsidR="00BD4717" w:rsidRDefault="00BD4717" w:rsidP="00BD4717">
            <w:pPr>
              <w:jc w:val="both"/>
              <w:rPr>
                <w:rFonts w:ascii="Arial" w:hAnsi="Arial" w:cs="Arial"/>
                <w:b/>
                <w:bCs/>
                <w:sz w:val="20"/>
                <w:szCs w:val="20"/>
              </w:rPr>
            </w:pPr>
            <w:r w:rsidRPr="002C7946">
              <w:rPr>
                <w:rFonts w:ascii="Arial" w:hAnsi="Arial" w:cs="Arial"/>
                <w:b/>
                <w:bCs/>
                <w:sz w:val="20"/>
                <w:szCs w:val="20"/>
              </w:rPr>
              <w:t>Melatonín</w:t>
            </w:r>
            <w:r>
              <w:rPr>
                <w:rFonts w:ascii="Arial" w:hAnsi="Arial" w:cs="Arial"/>
                <w:b/>
                <w:bCs/>
                <w:sz w:val="20"/>
                <w:szCs w:val="20"/>
              </w:rPr>
              <w:t xml:space="preserve"> </w:t>
            </w:r>
            <w:r w:rsidRPr="0000591E">
              <w:rPr>
                <w:rFonts w:ascii="Arial" w:hAnsi="Arial" w:cs="Arial"/>
                <w:b/>
                <w:bCs/>
                <w:sz w:val="20"/>
                <w:szCs w:val="20"/>
              </w:rPr>
              <w:t xml:space="preserve">p.o. predĺž. uvoľ. </w:t>
            </w:r>
            <w:r>
              <w:rPr>
                <w:rFonts w:ascii="Arial" w:hAnsi="Arial" w:cs="Arial"/>
                <w:b/>
                <w:bCs/>
                <w:sz w:val="20"/>
                <w:szCs w:val="20"/>
              </w:rPr>
              <w:t>1</w:t>
            </w:r>
            <w:r w:rsidRPr="002C7946">
              <w:rPr>
                <w:rFonts w:ascii="Arial" w:hAnsi="Arial" w:cs="Arial"/>
                <w:b/>
                <w:bCs/>
                <w:sz w:val="20"/>
                <w:szCs w:val="20"/>
              </w:rPr>
              <w:t xml:space="preserve"> mg</w:t>
            </w:r>
          </w:p>
          <w:p w14:paraId="175D2D02" w14:textId="77777777" w:rsidR="00BD4717" w:rsidRPr="0000591E" w:rsidRDefault="00BD4717" w:rsidP="00BD4717">
            <w:pPr>
              <w:jc w:val="both"/>
              <w:rPr>
                <w:rFonts w:ascii="Arial" w:hAnsi="Arial" w:cs="Arial"/>
                <w:b/>
                <w:bCs/>
                <w:sz w:val="20"/>
                <w:szCs w:val="20"/>
              </w:rPr>
            </w:pPr>
            <w:r w:rsidRPr="002C7946">
              <w:rPr>
                <w:rFonts w:ascii="Arial" w:hAnsi="Arial" w:cs="Arial"/>
                <w:b/>
                <w:bCs/>
                <w:sz w:val="20"/>
                <w:szCs w:val="20"/>
              </w:rPr>
              <w:t xml:space="preserve">Melatonín </w:t>
            </w:r>
            <w:r w:rsidRPr="0000591E">
              <w:rPr>
                <w:rFonts w:ascii="Arial" w:hAnsi="Arial" w:cs="Arial"/>
                <w:b/>
                <w:bCs/>
                <w:sz w:val="20"/>
                <w:szCs w:val="20"/>
              </w:rPr>
              <w:t xml:space="preserve">p.o. predĺž. uvoľ. </w:t>
            </w:r>
            <w:r>
              <w:rPr>
                <w:rFonts w:ascii="Arial" w:hAnsi="Arial" w:cs="Arial"/>
                <w:b/>
                <w:bCs/>
                <w:sz w:val="20"/>
                <w:szCs w:val="20"/>
              </w:rPr>
              <w:t xml:space="preserve">5 </w:t>
            </w:r>
            <w:r w:rsidRPr="002C7946">
              <w:rPr>
                <w:rFonts w:ascii="Arial" w:hAnsi="Arial" w:cs="Arial"/>
                <w:b/>
                <w:bCs/>
                <w:sz w:val="20"/>
                <w:szCs w:val="20"/>
              </w:rPr>
              <w:t>mg</w:t>
            </w:r>
          </w:p>
        </w:tc>
      </w:tr>
      <w:tr w:rsidR="00BD4717" w:rsidRPr="0000591E" w14:paraId="27A79045" w14:textId="77777777" w:rsidTr="00D20C24">
        <w:trPr>
          <w:trHeight w:val="180"/>
        </w:trPr>
        <w:tc>
          <w:tcPr>
            <w:tcW w:w="1277" w:type="dxa"/>
            <w:tcBorders>
              <w:top w:val="single" w:sz="4" w:space="0" w:color="auto"/>
              <w:bottom w:val="single" w:sz="4" w:space="0" w:color="BFBFBF" w:themeColor="background1" w:themeShade="BF"/>
            </w:tcBorders>
            <w:noWrap/>
          </w:tcPr>
          <w:p w14:paraId="126E2EB8" w14:textId="77777777" w:rsidR="00BD4717" w:rsidRPr="002C794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2803144C" w14:textId="77777777" w:rsidR="00BD4717" w:rsidRDefault="00BD4717" w:rsidP="00BD4717">
            <w:pPr>
              <w:jc w:val="both"/>
              <w:rPr>
                <w:rFonts w:ascii="Arial" w:hAnsi="Arial" w:cs="Arial"/>
                <w:sz w:val="20"/>
                <w:szCs w:val="20"/>
              </w:rPr>
            </w:pPr>
            <w:r w:rsidRPr="002C7946">
              <w:rPr>
                <w:rFonts w:ascii="Arial" w:hAnsi="Arial" w:cs="Arial"/>
                <w:sz w:val="20"/>
                <w:szCs w:val="20"/>
              </w:rPr>
              <w:t>Slenyto je indikovaný na liečbu nespavosti detí a dospievajúcich vo veku 2–18 rokov s poruchou autistického spektra (Autism Spectrum Disorder, ASD) a/alebo syndrómom Smith-Magenis (SMS), kde opatrenia týkajúce sa hygieny spánku neboli dostatočné. Podmienkou hradenej liečby je nutnosť monitorovania účinnosti liečby v 6 mesačných intervaloch. V prípade nedostatočnej účinnosti ďalšia liečba nie je hradená.</w:t>
            </w:r>
          </w:p>
          <w:p w14:paraId="192E7E14" w14:textId="32EA2A47" w:rsidR="00BD4717" w:rsidRPr="002C7946" w:rsidRDefault="00BD4717" w:rsidP="00BD4717">
            <w:pPr>
              <w:jc w:val="both"/>
              <w:rPr>
                <w:rFonts w:ascii="Arial" w:hAnsi="Arial" w:cs="Arial"/>
                <w:b/>
                <w:bCs/>
                <w:sz w:val="20"/>
                <w:szCs w:val="20"/>
              </w:rPr>
            </w:pPr>
          </w:p>
        </w:tc>
      </w:tr>
      <w:tr w:rsidR="00BD4717" w:rsidRPr="0000591E" w14:paraId="49AA7DAE" w14:textId="77777777" w:rsidTr="00D20C24">
        <w:trPr>
          <w:trHeight w:val="180"/>
        </w:trPr>
        <w:tc>
          <w:tcPr>
            <w:tcW w:w="1277" w:type="dxa"/>
            <w:tcBorders>
              <w:bottom w:val="single" w:sz="4" w:space="0" w:color="auto"/>
            </w:tcBorders>
            <w:noWrap/>
          </w:tcPr>
          <w:p w14:paraId="162F65ED" w14:textId="77777777" w:rsidR="00BD4717" w:rsidRDefault="00BD4717" w:rsidP="00BD4717">
            <w:pPr>
              <w:rPr>
                <w:rFonts w:ascii="Arial" w:hAnsi="Arial" w:cs="Arial"/>
                <w:b/>
                <w:bCs/>
                <w:sz w:val="20"/>
                <w:szCs w:val="20"/>
              </w:rPr>
            </w:pPr>
          </w:p>
          <w:p w14:paraId="62567A16" w14:textId="112010C1" w:rsidR="00BD4717" w:rsidRPr="0000591E" w:rsidRDefault="00BD4717" w:rsidP="00BD4717">
            <w:pPr>
              <w:rPr>
                <w:rFonts w:ascii="Arial" w:hAnsi="Arial" w:cs="Arial"/>
                <w:b/>
                <w:bCs/>
                <w:sz w:val="20"/>
                <w:szCs w:val="20"/>
              </w:rPr>
            </w:pPr>
            <w:r w:rsidRPr="0000591E">
              <w:rPr>
                <w:rFonts w:ascii="Arial" w:hAnsi="Arial" w:cs="Arial"/>
                <w:b/>
                <w:bCs/>
                <w:sz w:val="20"/>
                <w:szCs w:val="20"/>
              </w:rPr>
              <w:t>N06AX21</w:t>
            </w:r>
          </w:p>
        </w:tc>
        <w:tc>
          <w:tcPr>
            <w:tcW w:w="9355" w:type="dxa"/>
            <w:tcBorders>
              <w:bottom w:val="single" w:sz="4" w:space="0" w:color="auto"/>
            </w:tcBorders>
            <w:noWrap/>
          </w:tcPr>
          <w:p w14:paraId="2A9681B9"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Duloxetín p.o. 20 mg,</w:t>
            </w:r>
          </w:p>
          <w:p w14:paraId="6AFB66F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Duloxetín p.o. 40 mg</w:t>
            </w:r>
          </w:p>
        </w:tc>
      </w:tr>
      <w:tr w:rsidR="00BD4717" w:rsidRPr="0000591E" w14:paraId="3CB6D9B2" w14:textId="77777777" w:rsidTr="00D20C24">
        <w:trPr>
          <w:trHeight w:val="180"/>
        </w:trPr>
        <w:tc>
          <w:tcPr>
            <w:tcW w:w="1277" w:type="dxa"/>
            <w:tcBorders>
              <w:top w:val="single" w:sz="4" w:space="0" w:color="auto"/>
              <w:bottom w:val="single" w:sz="4" w:space="0" w:color="BFBFBF" w:themeColor="background1" w:themeShade="BF"/>
            </w:tcBorders>
            <w:noWrap/>
          </w:tcPr>
          <w:p w14:paraId="2CA4559A" w14:textId="77777777" w:rsidR="00BD4717" w:rsidRPr="0000591E" w:rsidRDefault="00BD4717" w:rsidP="00BD4717">
            <w:pPr>
              <w:jc w:val="both"/>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3774C32C" w14:textId="77777777" w:rsidR="00BD4717" w:rsidRPr="0000591E" w:rsidRDefault="00BD4717" w:rsidP="00BD4717">
            <w:pPr>
              <w:pStyle w:val="Zkladntext"/>
              <w:jc w:val="both"/>
              <w:rPr>
                <w:lang w:val="sk-SK"/>
              </w:rPr>
            </w:pPr>
            <w:r w:rsidRPr="0000591E">
              <w:rPr>
                <w:lang w:val="sk-SK"/>
              </w:rPr>
              <w:t>Hradená liečba sa môže indikovať u pacientok po dovŕšení 18. roku veku so stredne ťažkou až ťažkou čistou stresovou inkontinenciou moču a stredne závažným až závažným stupňom inkontinencie (viac ako 14 epizód mimovoľného úniku moču za týždeň s dvomi a viac epizódami úniku moču denne, čo zodpovedá bodovej hodnote dotazníka ICIQ minimálne 14 bodov)</w:t>
            </w:r>
          </w:p>
          <w:p w14:paraId="15703ABD" w14:textId="77777777" w:rsidR="00BD4717" w:rsidRPr="0000591E" w:rsidRDefault="00BD4717">
            <w:pPr>
              <w:pStyle w:val="Zkladntext"/>
              <w:numPr>
                <w:ilvl w:val="0"/>
                <w:numId w:val="49"/>
              </w:numPr>
              <w:overflowPunct w:val="0"/>
              <w:autoSpaceDE w:val="0"/>
              <w:autoSpaceDN w:val="0"/>
              <w:adjustRightInd w:val="0"/>
              <w:jc w:val="both"/>
              <w:rPr>
                <w:lang w:val="sk-SK"/>
              </w:rPr>
            </w:pPr>
            <w:r w:rsidRPr="0000591E">
              <w:rPr>
                <w:lang w:val="sk-SK"/>
              </w:rPr>
              <w:t>u ktorých primárne nie je indikovaná chirurgická liečba</w:t>
            </w:r>
          </w:p>
          <w:p w14:paraId="0D8A30A4" w14:textId="77777777" w:rsidR="00BD4717" w:rsidRPr="0000591E" w:rsidRDefault="00BD4717">
            <w:pPr>
              <w:pStyle w:val="Zkladntext"/>
              <w:numPr>
                <w:ilvl w:val="1"/>
                <w:numId w:val="11"/>
              </w:numPr>
              <w:tabs>
                <w:tab w:val="num" w:pos="1091"/>
              </w:tabs>
              <w:overflowPunct w:val="0"/>
              <w:autoSpaceDE w:val="0"/>
              <w:autoSpaceDN w:val="0"/>
              <w:adjustRightInd w:val="0"/>
              <w:ind w:left="1091"/>
              <w:jc w:val="both"/>
              <w:rPr>
                <w:lang w:val="sk-SK"/>
              </w:rPr>
            </w:pPr>
            <w:r w:rsidRPr="0000591E">
              <w:rPr>
                <w:lang w:val="sk-SK"/>
              </w:rPr>
              <w:t>sú vo fertilnom veku a plánujú tehotenstvo,</w:t>
            </w:r>
          </w:p>
          <w:p w14:paraId="0978BE1A" w14:textId="77777777" w:rsidR="00BD4717" w:rsidRPr="0000591E" w:rsidRDefault="00BD4717">
            <w:pPr>
              <w:pStyle w:val="Zkladntext"/>
              <w:numPr>
                <w:ilvl w:val="1"/>
                <w:numId w:val="11"/>
              </w:numPr>
              <w:tabs>
                <w:tab w:val="num" w:pos="1091"/>
              </w:tabs>
              <w:overflowPunct w:val="0"/>
              <w:autoSpaceDE w:val="0"/>
              <w:autoSpaceDN w:val="0"/>
              <w:adjustRightInd w:val="0"/>
              <w:ind w:left="1091"/>
              <w:jc w:val="both"/>
              <w:rPr>
                <w:lang w:val="sk-SK"/>
              </w:rPr>
            </w:pPr>
            <w:r w:rsidRPr="0000591E">
              <w:rPr>
                <w:lang w:val="sk-SK"/>
              </w:rPr>
              <w:t>sú polymorbídne (liečba antikoagulanciami),</w:t>
            </w:r>
          </w:p>
          <w:p w14:paraId="78219999" w14:textId="77777777" w:rsidR="00BD4717" w:rsidRPr="0000591E" w:rsidRDefault="00BD4717">
            <w:pPr>
              <w:pStyle w:val="Zkladntext"/>
              <w:numPr>
                <w:ilvl w:val="1"/>
                <w:numId w:val="11"/>
              </w:numPr>
              <w:tabs>
                <w:tab w:val="num" w:pos="1091"/>
              </w:tabs>
              <w:overflowPunct w:val="0"/>
              <w:autoSpaceDE w:val="0"/>
              <w:autoSpaceDN w:val="0"/>
              <w:adjustRightInd w:val="0"/>
              <w:ind w:left="1091"/>
              <w:jc w:val="both"/>
              <w:rPr>
                <w:lang w:val="sk-SK"/>
              </w:rPr>
            </w:pPr>
            <w:r w:rsidRPr="0000591E">
              <w:rPr>
                <w:lang w:val="sk-SK"/>
              </w:rPr>
              <w:t>majú vyššie riziko neúspechu chirurgickej liečby (reoperácia),</w:t>
            </w:r>
          </w:p>
          <w:p w14:paraId="3C0E7E97" w14:textId="77777777" w:rsidR="00BD4717" w:rsidRPr="0000591E" w:rsidRDefault="00BD4717">
            <w:pPr>
              <w:pStyle w:val="Zkladntext"/>
              <w:numPr>
                <w:ilvl w:val="0"/>
                <w:numId w:val="49"/>
              </w:numPr>
              <w:overflowPunct w:val="0"/>
              <w:autoSpaceDE w:val="0"/>
              <w:autoSpaceDN w:val="0"/>
              <w:adjustRightInd w:val="0"/>
              <w:jc w:val="both"/>
              <w:rPr>
                <w:lang w:val="sk-SK"/>
              </w:rPr>
            </w:pPr>
            <w:r w:rsidRPr="0000591E">
              <w:rPr>
                <w:lang w:val="sk-SK"/>
              </w:rPr>
              <w:t>v príprave na chirurgickú liečbu,</w:t>
            </w:r>
          </w:p>
          <w:p w14:paraId="131B3203" w14:textId="77777777" w:rsidR="00BD4717" w:rsidRPr="0000591E" w:rsidRDefault="00BD4717">
            <w:pPr>
              <w:pStyle w:val="Zkladntext"/>
              <w:numPr>
                <w:ilvl w:val="0"/>
                <w:numId w:val="49"/>
              </w:numPr>
              <w:overflowPunct w:val="0"/>
              <w:autoSpaceDE w:val="0"/>
              <w:autoSpaceDN w:val="0"/>
              <w:adjustRightInd w:val="0"/>
              <w:jc w:val="both"/>
              <w:rPr>
                <w:lang w:val="sk-SK"/>
              </w:rPr>
            </w:pPr>
            <w:r w:rsidRPr="0000591E">
              <w:rPr>
                <w:lang w:val="sk-SK"/>
              </w:rPr>
              <w:t>u ktorých chirurgická liečba zlyhala.</w:t>
            </w:r>
          </w:p>
          <w:p w14:paraId="155A57B0"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 po štyroch týždňoch liečby duloxetínom nedôjde k poklesu frekvencie epizód mimovoľného úniku moču za týždeň pod 50% epizód (v porovnaní so situáciou pred liečbou), ďalšia liečba nie je hradenou liečbou.</w:t>
            </w:r>
          </w:p>
          <w:p w14:paraId="24892756" w14:textId="77777777" w:rsidR="00BD4717" w:rsidRPr="0000591E" w:rsidRDefault="00BD4717" w:rsidP="00BD4717">
            <w:pPr>
              <w:jc w:val="both"/>
              <w:rPr>
                <w:rFonts w:ascii="Arial" w:hAnsi="Arial" w:cs="Arial"/>
                <w:sz w:val="20"/>
                <w:szCs w:val="20"/>
              </w:rPr>
            </w:pPr>
          </w:p>
        </w:tc>
      </w:tr>
      <w:tr w:rsidR="00BD4717" w:rsidRPr="0000591E" w14:paraId="37230514" w14:textId="77777777" w:rsidTr="00D20C24">
        <w:trPr>
          <w:trHeight w:val="20"/>
        </w:trPr>
        <w:tc>
          <w:tcPr>
            <w:tcW w:w="1277" w:type="dxa"/>
            <w:tcBorders>
              <w:bottom w:val="single" w:sz="4" w:space="0" w:color="auto"/>
            </w:tcBorders>
            <w:noWrap/>
          </w:tcPr>
          <w:p w14:paraId="4DCA5821" w14:textId="77777777" w:rsidR="00BD4717" w:rsidRPr="0000591E" w:rsidRDefault="00BD4717" w:rsidP="00BD4717">
            <w:pPr>
              <w:rPr>
                <w:rFonts w:ascii="Arial" w:hAnsi="Arial" w:cs="Arial"/>
                <w:b/>
                <w:sz w:val="20"/>
                <w:szCs w:val="20"/>
              </w:rPr>
            </w:pPr>
            <w:r w:rsidRPr="0000591E">
              <w:rPr>
                <w:rFonts w:ascii="Arial" w:hAnsi="Arial" w:cs="Arial"/>
                <w:b/>
                <w:bCs/>
                <w:sz w:val="20"/>
                <w:szCs w:val="20"/>
                <w:lang w:eastAsia="cs-CZ"/>
              </w:rPr>
              <w:t>N06AX2</w:t>
            </w:r>
            <w:r>
              <w:rPr>
                <w:rFonts w:ascii="Arial" w:hAnsi="Arial" w:cs="Arial"/>
                <w:b/>
                <w:bCs/>
                <w:sz w:val="20"/>
                <w:szCs w:val="20"/>
                <w:lang w:eastAsia="cs-CZ"/>
              </w:rPr>
              <w:t>6</w:t>
            </w:r>
          </w:p>
        </w:tc>
        <w:tc>
          <w:tcPr>
            <w:tcW w:w="9355" w:type="dxa"/>
            <w:tcBorders>
              <w:bottom w:val="single" w:sz="4" w:space="0" w:color="auto"/>
            </w:tcBorders>
          </w:tcPr>
          <w:p w14:paraId="66A3DB5A" w14:textId="77777777" w:rsidR="00BD4717" w:rsidRPr="0000591E" w:rsidRDefault="00BD4717" w:rsidP="00BD4717">
            <w:pPr>
              <w:jc w:val="both"/>
              <w:rPr>
                <w:rFonts w:ascii="Arial" w:hAnsi="Arial" w:cs="Arial"/>
                <w:b/>
                <w:bCs/>
                <w:sz w:val="20"/>
                <w:szCs w:val="20"/>
                <w:lang w:eastAsia="cs-CZ"/>
              </w:rPr>
            </w:pPr>
            <w:r w:rsidRPr="005167C6">
              <w:rPr>
                <w:rFonts w:ascii="Arial" w:hAnsi="Arial" w:cs="Arial"/>
                <w:b/>
                <w:bCs/>
                <w:sz w:val="20"/>
                <w:szCs w:val="20"/>
              </w:rPr>
              <w:t>Vortioxetín p.o. 10 mg</w:t>
            </w:r>
          </w:p>
        </w:tc>
      </w:tr>
      <w:tr w:rsidR="00BD4717" w:rsidRPr="0000591E" w14:paraId="73E138BD" w14:textId="77777777" w:rsidTr="002A153F">
        <w:trPr>
          <w:trHeight w:val="20"/>
        </w:trPr>
        <w:tc>
          <w:tcPr>
            <w:tcW w:w="1277" w:type="dxa"/>
            <w:tcBorders>
              <w:top w:val="single" w:sz="4" w:space="0" w:color="auto"/>
              <w:bottom w:val="single" w:sz="4" w:space="0" w:color="BFBFBF" w:themeColor="background1" w:themeShade="BF"/>
            </w:tcBorders>
            <w:noWrap/>
          </w:tcPr>
          <w:p w14:paraId="1B15D473" w14:textId="77777777" w:rsidR="00BD4717" w:rsidRPr="0000591E" w:rsidRDefault="00BD4717" w:rsidP="00BD4717">
            <w:pPr>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tcPr>
          <w:p w14:paraId="01FA419B" w14:textId="77777777" w:rsidR="00BD4717" w:rsidRDefault="00BD4717" w:rsidP="00BD4717">
            <w:pPr>
              <w:rPr>
                <w:rFonts w:ascii="Arial" w:hAnsi="Arial" w:cs="Arial"/>
                <w:sz w:val="20"/>
                <w:szCs w:val="20"/>
              </w:rPr>
            </w:pPr>
            <w:r w:rsidRPr="005167C6">
              <w:rPr>
                <w:rFonts w:ascii="Arial" w:hAnsi="Arial" w:cs="Arial"/>
                <w:sz w:val="20"/>
                <w:szCs w:val="20"/>
              </w:rPr>
              <w:t>Hradená liečba sa môže indikovať na liečbu depresívnych epizód a recidívnych depresívnych porúch u dospelých ako druhá voľba po nedostatočnom efekte iniciálnej terapie.</w:t>
            </w:r>
          </w:p>
          <w:p w14:paraId="2F83F1D5" w14:textId="77777777" w:rsidR="00BD4717" w:rsidRPr="005167C6" w:rsidRDefault="00BD4717" w:rsidP="00BD4717">
            <w:pPr>
              <w:jc w:val="both"/>
              <w:rPr>
                <w:rFonts w:ascii="Arial" w:hAnsi="Arial" w:cs="Arial"/>
                <w:b/>
                <w:bCs/>
                <w:sz w:val="20"/>
                <w:szCs w:val="20"/>
              </w:rPr>
            </w:pPr>
          </w:p>
        </w:tc>
      </w:tr>
      <w:tr w:rsidR="00BD4717" w:rsidRPr="0000591E" w14:paraId="4AE9A945" w14:textId="77777777" w:rsidTr="002A153F">
        <w:trPr>
          <w:trHeight w:val="20"/>
        </w:trPr>
        <w:tc>
          <w:tcPr>
            <w:tcW w:w="1277" w:type="dxa"/>
            <w:tcBorders>
              <w:bottom w:val="single" w:sz="4" w:space="0" w:color="auto"/>
            </w:tcBorders>
            <w:noWrap/>
          </w:tcPr>
          <w:p w14:paraId="65851872" w14:textId="77777777" w:rsidR="00BD4717" w:rsidRPr="00485804" w:rsidRDefault="00BD4717" w:rsidP="00BD4717">
            <w:pPr>
              <w:rPr>
                <w:rFonts w:ascii="Arial" w:hAnsi="Arial" w:cs="Arial"/>
                <w:b/>
                <w:sz w:val="20"/>
                <w:szCs w:val="20"/>
              </w:rPr>
            </w:pPr>
            <w:r w:rsidRPr="00485804">
              <w:rPr>
                <w:rFonts w:ascii="Arial" w:hAnsi="Arial" w:cs="Arial"/>
                <w:b/>
                <w:bCs/>
                <w:sz w:val="20"/>
                <w:szCs w:val="20"/>
                <w:lang w:eastAsia="cs-CZ"/>
              </w:rPr>
              <w:t>N06AX27</w:t>
            </w:r>
          </w:p>
        </w:tc>
        <w:tc>
          <w:tcPr>
            <w:tcW w:w="9355" w:type="dxa"/>
            <w:tcBorders>
              <w:bottom w:val="single" w:sz="4" w:space="0" w:color="auto"/>
            </w:tcBorders>
          </w:tcPr>
          <w:p w14:paraId="3E07C3A7" w14:textId="77777777" w:rsidR="00BD4717" w:rsidRPr="00485804" w:rsidRDefault="00BD4717" w:rsidP="00BD4717">
            <w:pPr>
              <w:rPr>
                <w:rFonts w:ascii="Arial" w:hAnsi="Arial" w:cs="Arial"/>
                <w:b/>
                <w:bCs/>
                <w:sz w:val="20"/>
                <w:szCs w:val="20"/>
              </w:rPr>
            </w:pPr>
            <w:r w:rsidRPr="00485804">
              <w:rPr>
                <w:rFonts w:ascii="Arial" w:hAnsi="Arial" w:cs="Arial"/>
                <w:b/>
                <w:bCs/>
                <w:sz w:val="20"/>
                <w:szCs w:val="20"/>
              </w:rPr>
              <w:t>Esketamín nasal. 28 mg</w:t>
            </w:r>
          </w:p>
        </w:tc>
      </w:tr>
      <w:tr w:rsidR="00BD4717" w:rsidRPr="0000591E" w14:paraId="4A307D5D" w14:textId="77777777" w:rsidTr="002A153F">
        <w:trPr>
          <w:trHeight w:val="20"/>
        </w:trPr>
        <w:tc>
          <w:tcPr>
            <w:tcW w:w="1277" w:type="dxa"/>
            <w:tcBorders>
              <w:top w:val="single" w:sz="4" w:space="0" w:color="auto"/>
              <w:bottom w:val="single" w:sz="4" w:space="0" w:color="BFBFBF" w:themeColor="background1" w:themeShade="BF"/>
            </w:tcBorders>
            <w:noWrap/>
          </w:tcPr>
          <w:p w14:paraId="010FA079" w14:textId="77777777" w:rsidR="00BD4717" w:rsidRPr="0000591E" w:rsidRDefault="00BD4717" w:rsidP="00BD4717">
            <w:pPr>
              <w:rPr>
                <w:rFonts w:ascii="Arial" w:hAnsi="Arial" w:cs="Arial"/>
                <w:b/>
                <w:sz w:val="20"/>
                <w:szCs w:val="20"/>
              </w:rPr>
            </w:pPr>
          </w:p>
        </w:tc>
        <w:tc>
          <w:tcPr>
            <w:tcW w:w="9355" w:type="dxa"/>
            <w:tcBorders>
              <w:top w:val="single" w:sz="4" w:space="0" w:color="auto"/>
              <w:bottom w:val="single" w:sz="4" w:space="0" w:color="BFBFBF" w:themeColor="background1" w:themeShade="BF"/>
            </w:tcBorders>
          </w:tcPr>
          <w:p w14:paraId="4F8C04B8" w14:textId="77777777" w:rsidR="00BD4717" w:rsidRPr="00A45DAD" w:rsidRDefault="00BD4717" w:rsidP="00BD4717">
            <w:pPr>
              <w:jc w:val="both"/>
              <w:rPr>
                <w:rFonts w:ascii="Arial" w:hAnsi="Arial" w:cs="Arial"/>
                <w:bCs/>
                <w:sz w:val="20"/>
                <w:szCs w:val="20"/>
              </w:rPr>
            </w:pPr>
            <w:r w:rsidRPr="00A45DAD">
              <w:rPr>
                <w:rFonts w:ascii="Arial" w:hAnsi="Arial" w:cs="Arial"/>
                <w:bCs/>
                <w:sz w:val="20"/>
                <w:szCs w:val="20"/>
              </w:rPr>
              <w:t>Hradená liečba sa môže indikovať v kombinácii so SSRI alebo SNRI na liečbu dospelých pacientov vo veku 18 – 64</w:t>
            </w:r>
            <w:r>
              <w:rPr>
                <w:rFonts w:ascii="Arial" w:hAnsi="Arial" w:cs="Arial"/>
                <w:bCs/>
                <w:sz w:val="20"/>
                <w:szCs w:val="20"/>
              </w:rPr>
              <w:t xml:space="preserve"> </w:t>
            </w:r>
            <w:r w:rsidRPr="00A45DAD">
              <w:rPr>
                <w:rFonts w:ascii="Arial" w:hAnsi="Arial" w:cs="Arial"/>
                <w:bCs/>
                <w:sz w:val="20"/>
                <w:szCs w:val="20"/>
              </w:rPr>
              <w:t>rokov s depresívnou poruchou rezistentnou na liečbu bez psychotických príznakov, ktorí počas súčasnej stredne</w:t>
            </w:r>
            <w:r>
              <w:rPr>
                <w:rFonts w:ascii="Arial" w:hAnsi="Arial" w:cs="Arial"/>
                <w:bCs/>
                <w:sz w:val="20"/>
                <w:szCs w:val="20"/>
              </w:rPr>
              <w:t xml:space="preserve"> </w:t>
            </w:r>
            <w:r w:rsidRPr="00A45DAD">
              <w:rPr>
                <w:rFonts w:ascii="Arial" w:hAnsi="Arial" w:cs="Arial"/>
                <w:bCs/>
                <w:sz w:val="20"/>
                <w:szCs w:val="20"/>
              </w:rPr>
              <w:t>ťažkej až ťažkej depresívnej epizódy neodpovedali najmenej na tri rôzne liečby AD samostatne alebo v kombinácii s</w:t>
            </w:r>
            <w:r>
              <w:rPr>
                <w:rFonts w:ascii="Arial" w:hAnsi="Arial" w:cs="Arial"/>
                <w:bCs/>
                <w:sz w:val="20"/>
                <w:szCs w:val="20"/>
              </w:rPr>
              <w:t xml:space="preserve"> </w:t>
            </w:r>
            <w:r w:rsidRPr="00A45DAD">
              <w:rPr>
                <w:rFonts w:ascii="Arial" w:hAnsi="Arial" w:cs="Arial"/>
                <w:bCs/>
                <w:sz w:val="20"/>
                <w:szCs w:val="20"/>
              </w:rPr>
              <w:t>ďalším AD alebo v augmentácii s inými liečivami.</w:t>
            </w:r>
          </w:p>
          <w:p w14:paraId="499DDA9D" w14:textId="77777777" w:rsidR="00BD4717" w:rsidRPr="00A45DAD" w:rsidRDefault="00BD4717" w:rsidP="00BD4717">
            <w:pPr>
              <w:jc w:val="both"/>
              <w:rPr>
                <w:rFonts w:ascii="Arial" w:hAnsi="Arial" w:cs="Arial"/>
                <w:bCs/>
                <w:sz w:val="20"/>
                <w:szCs w:val="20"/>
              </w:rPr>
            </w:pPr>
            <w:r w:rsidRPr="00A45DAD">
              <w:rPr>
                <w:rFonts w:ascii="Arial" w:hAnsi="Arial" w:cs="Arial"/>
                <w:bCs/>
                <w:sz w:val="20"/>
                <w:szCs w:val="20"/>
              </w:rPr>
              <w:t>Účinnosť liečby sa prehodnotí po uplynutí indukčnej fázy (4 týždne od začatia liečby) a následne každé 3 mesiace</w:t>
            </w:r>
            <w:r>
              <w:rPr>
                <w:rFonts w:ascii="Arial" w:hAnsi="Arial" w:cs="Arial"/>
                <w:bCs/>
                <w:sz w:val="20"/>
                <w:szCs w:val="20"/>
              </w:rPr>
              <w:t xml:space="preserve"> </w:t>
            </w:r>
            <w:r w:rsidRPr="00A45DAD">
              <w:rPr>
                <w:rFonts w:ascii="Arial" w:hAnsi="Arial" w:cs="Arial"/>
                <w:bCs/>
                <w:sz w:val="20"/>
                <w:szCs w:val="20"/>
              </w:rPr>
              <w:t>počas udržiavacej fázy.</w:t>
            </w:r>
          </w:p>
          <w:p w14:paraId="47D8A12F" w14:textId="77777777" w:rsidR="00BD4717" w:rsidRDefault="00BD4717" w:rsidP="00BD4717">
            <w:pPr>
              <w:jc w:val="both"/>
              <w:rPr>
                <w:rFonts w:ascii="Arial" w:hAnsi="Arial" w:cs="Arial"/>
                <w:bCs/>
                <w:sz w:val="20"/>
                <w:szCs w:val="20"/>
              </w:rPr>
            </w:pPr>
            <w:r w:rsidRPr="00A45DAD">
              <w:rPr>
                <w:rFonts w:ascii="Arial" w:hAnsi="Arial" w:cs="Arial"/>
                <w:bCs/>
                <w:sz w:val="20"/>
                <w:szCs w:val="20"/>
              </w:rPr>
              <w:t>Kritérium odpovede na liečbu je hodnotenie na škále CGI-S a to dosiahnutie CGI-S skóre ≤ 3 body alebo zlepšenie o</w:t>
            </w:r>
            <w:r>
              <w:rPr>
                <w:rFonts w:ascii="Arial" w:hAnsi="Arial" w:cs="Arial"/>
                <w:bCs/>
                <w:sz w:val="20"/>
                <w:szCs w:val="20"/>
              </w:rPr>
              <w:t xml:space="preserve"> </w:t>
            </w:r>
            <w:r w:rsidRPr="00A45DAD">
              <w:rPr>
                <w:rFonts w:ascii="Arial" w:hAnsi="Arial" w:cs="Arial"/>
                <w:bCs/>
                <w:sz w:val="20"/>
                <w:szCs w:val="20"/>
              </w:rPr>
              <w:t>minimálne 2 body na CGI-S.</w:t>
            </w:r>
          </w:p>
          <w:p w14:paraId="5CAC7458" w14:textId="77777777" w:rsidR="00BD4717" w:rsidRPr="00A45DAD" w:rsidRDefault="00BD4717" w:rsidP="00BD4717">
            <w:pPr>
              <w:jc w:val="both"/>
              <w:rPr>
                <w:rFonts w:ascii="Arial" w:hAnsi="Arial" w:cs="Arial"/>
                <w:bCs/>
                <w:sz w:val="20"/>
                <w:szCs w:val="20"/>
              </w:rPr>
            </w:pPr>
          </w:p>
          <w:p w14:paraId="5EF83FDD" w14:textId="77777777" w:rsidR="00BD4717" w:rsidRDefault="00BD4717" w:rsidP="00BD4717">
            <w:pPr>
              <w:jc w:val="both"/>
              <w:rPr>
                <w:rFonts w:ascii="Arial" w:hAnsi="Arial" w:cs="Arial"/>
                <w:bCs/>
                <w:sz w:val="20"/>
                <w:szCs w:val="20"/>
              </w:rPr>
            </w:pPr>
            <w:r w:rsidRPr="00A45DAD">
              <w:rPr>
                <w:rFonts w:ascii="Arial" w:hAnsi="Arial" w:cs="Arial"/>
                <w:bCs/>
                <w:sz w:val="20"/>
                <w:szCs w:val="20"/>
              </w:rPr>
              <w:t>V prípade, že k uvedenej odpovedi nedôjde, liečba prestáva byť hradenou liečbou.</w:t>
            </w:r>
          </w:p>
          <w:p w14:paraId="74B6F0B3" w14:textId="77777777" w:rsidR="00BD4717" w:rsidRPr="00A45DAD" w:rsidRDefault="00BD4717" w:rsidP="00BD4717">
            <w:pPr>
              <w:jc w:val="both"/>
              <w:rPr>
                <w:rFonts w:ascii="Arial" w:hAnsi="Arial" w:cs="Arial"/>
                <w:bCs/>
                <w:sz w:val="20"/>
                <w:szCs w:val="20"/>
              </w:rPr>
            </w:pPr>
          </w:p>
          <w:p w14:paraId="293D070D" w14:textId="77777777" w:rsidR="00BD4717" w:rsidRDefault="00BD4717" w:rsidP="00BD4717">
            <w:pPr>
              <w:jc w:val="both"/>
              <w:rPr>
                <w:rFonts w:ascii="Arial" w:hAnsi="Arial" w:cs="Arial"/>
                <w:bCs/>
                <w:sz w:val="20"/>
                <w:szCs w:val="20"/>
              </w:rPr>
            </w:pPr>
            <w:r w:rsidRPr="00A45DAD">
              <w:rPr>
                <w:rFonts w:ascii="Arial" w:hAnsi="Arial" w:cs="Arial"/>
                <w:bCs/>
                <w:sz w:val="20"/>
                <w:szCs w:val="20"/>
              </w:rPr>
              <w:t>Hradená liečba podlieha predchádzajúcemu súhlasu zdravotnej poisťovne.</w:t>
            </w:r>
          </w:p>
          <w:p w14:paraId="254459A9" w14:textId="77777777" w:rsidR="00BD4717" w:rsidRPr="0000591E" w:rsidRDefault="00BD4717" w:rsidP="00BD4717">
            <w:pPr>
              <w:jc w:val="both"/>
              <w:rPr>
                <w:rFonts w:ascii="Arial" w:hAnsi="Arial" w:cs="Arial"/>
                <w:b/>
                <w:bCs/>
                <w:sz w:val="20"/>
                <w:szCs w:val="20"/>
              </w:rPr>
            </w:pPr>
          </w:p>
        </w:tc>
      </w:tr>
      <w:tr w:rsidR="00BD4717" w:rsidRPr="0000591E" w14:paraId="0AB999C9" w14:textId="77777777" w:rsidTr="002A153F">
        <w:trPr>
          <w:trHeight w:val="20"/>
        </w:trPr>
        <w:tc>
          <w:tcPr>
            <w:tcW w:w="1277" w:type="dxa"/>
            <w:tcBorders>
              <w:bottom w:val="single" w:sz="4" w:space="0" w:color="auto"/>
            </w:tcBorders>
            <w:noWrap/>
          </w:tcPr>
          <w:p w14:paraId="46CF565B" w14:textId="77777777" w:rsidR="00BD4717" w:rsidRDefault="00BD4717" w:rsidP="00BD4717">
            <w:pPr>
              <w:rPr>
                <w:rFonts w:ascii="Arial" w:hAnsi="Arial" w:cs="Arial"/>
                <w:b/>
                <w:sz w:val="20"/>
                <w:szCs w:val="20"/>
              </w:rPr>
            </w:pPr>
          </w:p>
          <w:p w14:paraId="2DB58145" w14:textId="77777777" w:rsidR="00BD4717" w:rsidRDefault="00BD4717" w:rsidP="00BD4717">
            <w:pPr>
              <w:rPr>
                <w:rFonts w:ascii="Arial" w:hAnsi="Arial" w:cs="Arial"/>
                <w:b/>
                <w:sz w:val="20"/>
                <w:szCs w:val="20"/>
              </w:rPr>
            </w:pPr>
          </w:p>
          <w:p w14:paraId="414631E0" w14:textId="581160A5" w:rsidR="00BD4717" w:rsidRPr="0000591E" w:rsidRDefault="00BD4717" w:rsidP="00BD4717">
            <w:pPr>
              <w:rPr>
                <w:rFonts w:ascii="Arial" w:hAnsi="Arial" w:cs="Arial"/>
                <w:b/>
                <w:sz w:val="20"/>
                <w:szCs w:val="20"/>
              </w:rPr>
            </w:pPr>
            <w:r w:rsidRPr="0000591E">
              <w:rPr>
                <w:rFonts w:ascii="Arial" w:hAnsi="Arial" w:cs="Arial"/>
                <w:b/>
                <w:sz w:val="20"/>
                <w:szCs w:val="20"/>
              </w:rPr>
              <w:t>N06BA04</w:t>
            </w:r>
          </w:p>
        </w:tc>
        <w:tc>
          <w:tcPr>
            <w:tcW w:w="9355" w:type="dxa"/>
            <w:tcBorders>
              <w:bottom w:val="single" w:sz="4" w:space="0" w:color="auto"/>
            </w:tcBorders>
          </w:tcPr>
          <w:p w14:paraId="3CF43717"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Metylfenidát p.o. predĺž. uvoľ. 18 mg,</w:t>
            </w:r>
          </w:p>
          <w:p w14:paraId="7FF24997"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Metylfenidát p.o. predĺž. uvoľ. 36 mg,</w:t>
            </w:r>
          </w:p>
          <w:p w14:paraId="0CFE16B3"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Metylfenidát p.o. predĺž. uvoľ. 54 mg</w:t>
            </w:r>
          </w:p>
        </w:tc>
      </w:tr>
      <w:tr w:rsidR="00BD4717" w:rsidRPr="0000591E" w14:paraId="5DC0A929" w14:textId="77777777" w:rsidTr="002A153F">
        <w:trPr>
          <w:trHeight w:val="20"/>
        </w:trPr>
        <w:tc>
          <w:tcPr>
            <w:tcW w:w="1277" w:type="dxa"/>
            <w:tcBorders>
              <w:top w:val="single" w:sz="4" w:space="0" w:color="auto"/>
              <w:bottom w:val="single" w:sz="4" w:space="0" w:color="BFBFBF" w:themeColor="background1" w:themeShade="BF"/>
            </w:tcBorders>
            <w:noWrap/>
          </w:tcPr>
          <w:p w14:paraId="1BEB0BC3" w14:textId="77777777" w:rsidR="00BD4717" w:rsidRDefault="00BD4717" w:rsidP="00BD4717">
            <w:pPr>
              <w:rPr>
                <w:rFonts w:ascii="Arial" w:hAnsi="Arial" w:cs="Arial"/>
                <w:b/>
                <w:sz w:val="20"/>
                <w:szCs w:val="20"/>
              </w:rPr>
            </w:pPr>
          </w:p>
        </w:tc>
        <w:tc>
          <w:tcPr>
            <w:tcW w:w="9355" w:type="dxa"/>
            <w:tcBorders>
              <w:top w:val="single" w:sz="4" w:space="0" w:color="auto"/>
              <w:bottom w:val="single" w:sz="4" w:space="0" w:color="BFBFBF" w:themeColor="background1" w:themeShade="BF"/>
            </w:tcBorders>
          </w:tcPr>
          <w:p w14:paraId="5A055E2E" w14:textId="77777777" w:rsidR="00BD4717" w:rsidRPr="0000591E" w:rsidRDefault="00BD4717" w:rsidP="00BD4717">
            <w:pPr>
              <w:pStyle w:val="Zkladntext"/>
              <w:jc w:val="both"/>
              <w:rPr>
                <w:lang w:val="sk-SK"/>
              </w:rPr>
            </w:pPr>
            <w:r w:rsidRPr="0000591E">
              <w:rPr>
                <w:lang w:val="sk-SK"/>
              </w:rPr>
              <w:t xml:space="preserve">Hradená liečba sa môže indikovať u detí a adolescentov od dovŕšenia šiesteho roku veku do dovŕšenia 18. roku veku s klinicky závažnou hyperkinetickou poruchou (poruchou aktivity a pozornosti (ADHD)). </w:t>
            </w:r>
          </w:p>
          <w:p w14:paraId="3E03232D" w14:textId="77777777" w:rsidR="00BD4717" w:rsidRDefault="00BD4717" w:rsidP="00BD4717">
            <w:pPr>
              <w:rPr>
                <w:rFonts w:ascii="Arial" w:hAnsi="Arial" w:cs="Arial"/>
                <w:sz w:val="20"/>
                <w:szCs w:val="20"/>
              </w:rPr>
            </w:pPr>
            <w:r w:rsidRPr="0000591E">
              <w:rPr>
                <w:rFonts w:ascii="Arial" w:hAnsi="Arial" w:cs="Arial"/>
                <w:sz w:val="20"/>
                <w:szCs w:val="20"/>
              </w:rPr>
              <w:t>Ak po jednom mesiaci liečby nedôjde ku klinicky významnej redukcii príznakov hyperkinetickej poruchy (ADHD), ďalšia liečba nie je hradenou liečbou.</w:t>
            </w:r>
          </w:p>
          <w:p w14:paraId="232F0432" w14:textId="1A0131E9" w:rsidR="00BD4717" w:rsidRPr="0000591E" w:rsidRDefault="00BD4717" w:rsidP="00BD4717">
            <w:pPr>
              <w:rPr>
                <w:rFonts w:ascii="Arial" w:hAnsi="Arial" w:cs="Arial"/>
                <w:b/>
                <w:bCs/>
                <w:sz w:val="20"/>
                <w:szCs w:val="20"/>
              </w:rPr>
            </w:pPr>
          </w:p>
        </w:tc>
      </w:tr>
      <w:tr w:rsidR="00BD4717" w:rsidRPr="0000591E" w14:paraId="248276AF" w14:textId="77777777" w:rsidTr="002A153F">
        <w:trPr>
          <w:trHeight w:val="20"/>
        </w:trPr>
        <w:tc>
          <w:tcPr>
            <w:tcW w:w="1277" w:type="dxa"/>
            <w:tcBorders>
              <w:bottom w:val="single" w:sz="4" w:space="0" w:color="auto"/>
            </w:tcBorders>
            <w:noWrap/>
          </w:tcPr>
          <w:p w14:paraId="77A6DFB7" w14:textId="77777777" w:rsidR="00BD4717" w:rsidRDefault="00BD4717" w:rsidP="00BD4717">
            <w:pPr>
              <w:rPr>
                <w:rFonts w:ascii="Arial" w:hAnsi="Arial" w:cs="Arial"/>
                <w:b/>
                <w:bCs/>
                <w:sz w:val="20"/>
                <w:szCs w:val="20"/>
              </w:rPr>
            </w:pPr>
          </w:p>
          <w:p w14:paraId="48CAA185" w14:textId="77777777" w:rsidR="00BD4717" w:rsidRDefault="00BD4717" w:rsidP="00BD4717">
            <w:pPr>
              <w:rPr>
                <w:rFonts w:ascii="Arial" w:hAnsi="Arial" w:cs="Arial"/>
                <w:b/>
                <w:bCs/>
                <w:sz w:val="20"/>
                <w:szCs w:val="20"/>
              </w:rPr>
            </w:pPr>
          </w:p>
          <w:p w14:paraId="2A8A95DC" w14:textId="5B723E3D" w:rsidR="00BD4717" w:rsidRPr="0000591E" w:rsidRDefault="00BD4717" w:rsidP="00BD4717">
            <w:pPr>
              <w:rPr>
                <w:rFonts w:ascii="Arial" w:hAnsi="Arial" w:cs="Arial"/>
                <w:b/>
                <w:bCs/>
                <w:sz w:val="20"/>
                <w:szCs w:val="20"/>
              </w:rPr>
            </w:pPr>
            <w:r w:rsidRPr="0000591E">
              <w:rPr>
                <w:rFonts w:ascii="Arial" w:hAnsi="Arial" w:cs="Arial"/>
                <w:b/>
                <w:bCs/>
                <w:sz w:val="20"/>
                <w:szCs w:val="20"/>
              </w:rPr>
              <w:t>N06BA09</w:t>
            </w:r>
          </w:p>
        </w:tc>
        <w:tc>
          <w:tcPr>
            <w:tcW w:w="9355" w:type="dxa"/>
            <w:tcBorders>
              <w:bottom w:val="single" w:sz="4" w:space="0" w:color="auto"/>
            </w:tcBorders>
          </w:tcPr>
          <w:p w14:paraId="21A3F4B6"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Atomoxetín p.o. 10 mg,</w:t>
            </w:r>
          </w:p>
          <w:p w14:paraId="29EFB127"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Atomoxetín p.o. 18 mg,</w:t>
            </w:r>
          </w:p>
          <w:p w14:paraId="6B6BE022"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Atomoxetín p.o. 25 mg</w:t>
            </w:r>
          </w:p>
        </w:tc>
      </w:tr>
      <w:tr w:rsidR="00BD4717" w:rsidRPr="0000591E" w14:paraId="140FF024" w14:textId="77777777" w:rsidTr="002A153F">
        <w:trPr>
          <w:trHeight w:val="20"/>
        </w:trPr>
        <w:tc>
          <w:tcPr>
            <w:tcW w:w="1277" w:type="dxa"/>
            <w:tcBorders>
              <w:top w:val="single" w:sz="4" w:space="0" w:color="auto"/>
              <w:bottom w:val="single" w:sz="4" w:space="0" w:color="BFBFBF" w:themeColor="background1" w:themeShade="BF"/>
            </w:tcBorders>
            <w:noWrap/>
          </w:tcPr>
          <w:p w14:paraId="3C0FD4A4"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65D72D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u pacientov od dovŕšenia šiesteho roku veku s klinicky závažnou hyperkinetickou poruchou (poruchou aktivity a pozornosti (ADHD)). </w:t>
            </w:r>
          </w:p>
          <w:p w14:paraId="0A0B851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Ak po troch mesiacoch liečby nedôjde ku klinicky významnej redukcii príznakov hyperkinetickej poruchy (ADHD), ďalšia liečba nie je hradenou liečbou. </w:t>
            </w:r>
          </w:p>
          <w:p w14:paraId="7476FE8A" w14:textId="4351BCFA" w:rsidR="00BD4717" w:rsidRPr="0000591E" w:rsidRDefault="00BD4717" w:rsidP="00F762B8">
            <w:pPr>
              <w:jc w:val="both"/>
              <w:rPr>
                <w:rFonts w:ascii="Arial" w:hAnsi="Arial" w:cs="Arial"/>
                <w:b/>
                <w:bCs/>
                <w:sz w:val="20"/>
                <w:szCs w:val="20"/>
              </w:rPr>
            </w:pPr>
            <w:r w:rsidRPr="0000591E">
              <w:rPr>
                <w:rFonts w:ascii="Arial" w:hAnsi="Arial" w:cs="Arial"/>
                <w:sz w:val="20"/>
                <w:szCs w:val="20"/>
              </w:rPr>
              <w:t>Podmienkou hradenej liečby po 18. roku veku je predchádzajúca účinná liečba atomoxetínom pred dovŕšením 18. roku veku a v pravidelných minimálne trojmesačných intervaloch vyhodnocovanie efektivity a bezpečnosti indikovanej liečby podľa súhrnu charakteristických vlastností lieku.</w:t>
            </w:r>
          </w:p>
        </w:tc>
      </w:tr>
      <w:tr w:rsidR="00BD4717" w:rsidRPr="0000591E" w14:paraId="4046853B" w14:textId="77777777" w:rsidTr="002A153F">
        <w:trPr>
          <w:trHeight w:val="20"/>
        </w:trPr>
        <w:tc>
          <w:tcPr>
            <w:tcW w:w="1277" w:type="dxa"/>
            <w:tcBorders>
              <w:bottom w:val="single" w:sz="4" w:space="0" w:color="auto"/>
            </w:tcBorders>
            <w:noWrap/>
          </w:tcPr>
          <w:p w14:paraId="09A7BCB9" w14:textId="77777777" w:rsidR="00BD4717" w:rsidRDefault="00BD4717" w:rsidP="00BD4717">
            <w:pPr>
              <w:rPr>
                <w:rFonts w:ascii="Arial" w:hAnsi="Arial" w:cs="Arial"/>
                <w:b/>
                <w:bCs/>
                <w:sz w:val="20"/>
                <w:szCs w:val="20"/>
              </w:rPr>
            </w:pPr>
          </w:p>
          <w:p w14:paraId="00760A12" w14:textId="77777777" w:rsidR="00BD4717" w:rsidRDefault="00BD4717" w:rsidP="00BD4717">
            <w:pPr>
              <w:rPr>
                <w:rFonts w:ascii="Arial" w:hAnsi="Arial" w:cs="Arial"/>
                <w:b/>
                <w:bCs/>
                <w:sz w:val="20"/>
                <w:szCs w:val="20"/>
              </w:rPr>
            </w:pPr>
          </w:p>
          <w:p w14:paraId="427C603B" w14:textId="455246E1" w:rsidR="00BD4717" w:rsidRPr="0000591E" w:rsidRDefault="00BD4717" w:rsidP="00BD4717">
            <w:pPr>
              <w:rPr>
                <w:rFonts w:ascii="Arial" w:hAnsi="Arial" w:cs="Arial"/>
                <w:b/>
                <w:bCs/>
                <w:sz w:val="20"/>
                <w:szCs w:val="20"/>
              </w:rPr>
            </w:pPr>
            <w:r w:rsidRPr="0000591E">
              <w:rPr>
                <w:rFonts w:ascii="Arial" w:hAnsi="Arial" w:cs="Arial"/>
                <w:b/>
                <w:bCs/>
                <w:sz w:val="20"/>
                <w:szCs w:val="20"/>
              </w:rPr>
              <w:t>N06BA09</w:t>
            </w:r>
          </w:p>
        </w:tc>
        <w:tc>
          <w:tcPr>
            <w:tcW w:w="9355" w:type="dxa"/>
            <w:tcBorders>
              <w:bottom w:val="single" w:sz="4" w:space="0" w:color="auto"/>
            </w:tcBorders>
          </w:tcPr>
          <w:p w14:paraId="38849864"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Atomoxetín p.o. 40 mg,</w:t>
            </w:r>
          </w:p>
          <w:p w14:paraId="51D70FD1" w14:textId="77777777" w:rsidR="00BD4717" w:rsidRDefault="00BD4717" w:rsidP="00BD4717">
            <w:pPr>
              <w:rPr>
                <w:rFonts w:ascii="Arial" w:hAnsi="Arial" w:cs="Arial"/>
                <w:b/>
                <w:bCs/>
                <w:sz w:val="20"/>
                <w:szCs w:val="20"/>
              </w:rPr>
            </w:pPr>
            <w:r w:rsidRPr="0000591E">
              <w:rPr>
                <w:rFonts w:ascii="Arial" w:hAnsi="Arial" w:cs="Arial"/>
                <w:b/>
                <w:bCs/>
                <w:sz w:val="20"/>
                <w:szCs w:val="20"/>
              </w:rPr>
              <w:t>Atomoxetín p.o. 60 mg</w:t>
            </w:r>
            <w:r>
              <w:rPr>
                <w:rFonts w:ascii="Arial" w:hAnsi="Arial" w:cs="Arial"/>
                <w:b/>
                <w:bCs/>
                <w:sz w:val="20"/>
                <w:szCs w:val="20"/>
              </w:rPr>
              <w:t>,</w:t>
            </w:r>
          </w:p>
          <w:p w14:paraId="42869673"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 xml:space="preserve">Atomoxetín p.o. </w:t>
            </w:r>
            <w:r>
              <w:rPr>
                <w:rFonts w:ascii="Arial" w:hAnsi="Arial" w:cs="Arial"/>
                <w:b/>
                <w:bCs/>
                <w:sz w:val="20"/>
                <w:szCs w:val="20"/>
              </w:rPr>
              <w:t>8</w:t>
            </w:r>
            <w:r w:rsidRPr="0000591E">
              <w:rPr>
                <w:rFonts w:ascii="Arial" w:hAnsi="Arial" w:cs="Arial"/>
                <w:b/>
                <w:bCs/>
                <w:sz w:val="20"/>
                <w:szCs w:val="20"/>
              </w:rPr>
              <w:t>0 mg</w:t>
            </w:r>
          </w:p>
        </w:tc>
      </w:tr>
      <w:tr w:rsidR="00BD4717" w:rsidRPr="0000591E" w14:paraId="63EE2076" w14:textId="77777777" w:rsidTr="002A153F">
        <w:trPr>
          <w:trHeight w:val="20"/>
        </w:trPr>
        <w:tc>
          <w:tcPr>
            <w:tcW w:w="1277" w:type="dxa"/>
            <w:tcBorders>
              <w:top w:val="single" w:sz="4" w:space="0" w:color="auto"/>
              <w:bottom w:val="single" w:sz="4" w:space="0" w:color="BFBFBF" w:themeColor="background1" w:themeShade="BF"/>
            </w:tcBorders>
            <w:noWrap/>
          </w:tcPr>
          <w:p w14:paraId="6C71FEE6"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C4CAEEB" w14:textId="77777777" w:rsidR="00BD4717" w:rsidRDefault="00BD4717" w:rsidP="00BD4717">
            <w:pPr>
              <w:rPr>
                <w:rFonts w:ascii="Arial" w:hAnsi="Arial" w:cs="Arial"/>
                <w:bCs/>
                <w:sz w:val="20"/>
                <w:szCs w:val="20"/>
                <w:lang w:val="cs-CZ"/>
              </w:rPr>
            </w:pPr>
            <w:r w:rsidRPr="00A0129F">
              <w:rPr>
                <w:rFonts w:ascii="Arial" w:hAnsi="Arial" w:cs="Arial"/>
                <w:bCs/>
                <w:sz w:val="20"/>
                <w:szCs w:val="20"/>
                <w:lang w:val="cs-CZ"/>
              </w:rPr>
              <w:t xml:space="preserve">Hradená liečba sa môže indikovať </w:t>
            </w:r>
          </w:p>
          <w:p w14:paraId="1978BDCB" w14:textId="77777777" w:rsidR="00BD4717" w:rsidRPr="00A0129F" w:rsidRDefault="00BD4717">
            <w:pPr>
              <w:numPr>
                <w:ilvl w:val="0"/>
                <w:numId w:val="82"/>
              </w:numPr>
              <w:ind w:left="321" w:hanging="321"/>
              <w:rPr>
                <w:rFonts w:ascii="Arial" w:hAnsi="Arial" w:cs="Arial"/>
                <w:bCs/>
                <w:sz w:val="20"/>
                <w:szCs w:val="20"/>
                <w:lang w:val="cs-CZ"/>
              </w:rPr>
            </w:pPr>
            <w:r w:rsidRPr="00A0129F">
              <w:rPr>
                <w:rFonts w:ascii="Arial" w:hAnsi="Arial" w:cs="Arial"/>
                <w:bCs/>
                <w:sz w:val="20"/>
                <w:szCs w:val="20"/>
                <w:lang w:val="cs-CZ"/>
              </w:rPr>
              <w:t xml:space="preserve">u pacientov od dovŕšenia šiesteho roku veku s klinicky závažnou hyperkinetickou poruchou (poruchou aktivity a pozornosti (ADHD)). </w:t>
            </w:r>
          </w:p>
          <w:p w14:paraId="4815C201" w14:textId="77777777" w:rsidR="00BD4717" w:rsidRPr="00A0129F" w:rsidRDefault="00BD4717" w:rsidP="00BD4717">
            <w:pPr>
              <w:jc w:val="both"/>
              <w:rPr>
                <w:rFonts w:ascii="Arial" w:hAnsi="Arial" w:cs="Arial"/>
                <w:bCs/>
                <w:sz w:val="20"/>
                <w:szCs w:val="20"/>
                <w:lang w:val="cs-CZ"/>
              </w:rPr>
            </w:pPr>
            <w:r w:rsidRPr="00A0129F">
              <w:rPr>
                <w:rFonts w:ascii="Arial" w:hAnsi="Arial" w:cs="Arial"/>
                <w:bCs/>
                <w:sz w:val="20"/>
                <w:szCs w:val="20"/>
                <w:lang w:val="cs-CZ"/>
              </w:rPr>
              <w:t>Ak po troch mesiacoch liečby nedôjde ku klinicky významnej redukcii príznakov hyperkinetickej poruchy (ADHD), ďalšia liečba nie je hradenou liečbou.</w:t>
            </w:r>
          </w:p>
          <w:p w14:paraId="05C06F1E" w14:textId="77777777" w:rsidR="00BD4717" w:rsidRDefault="00BD4717" w:rsidP="00BD4717">
            <w:pPr>
              <w:jc w:val="both"/>
              <w:rPr>
                <w:rFonts w:ascii="Arial" w:hAnsi="Arial" w:cs="Arial"/>
                <w:bCs/>
                <w:sz w:val="20"/>
                <w:szCs w:val="20"/>
                <w:lang w:val="cs-CZ"/>
              </w:rPr>
            </w:pPr>
            <w:r w:rsidRPr="00A0129F">
              <w:rPr>
                <w:rFonts w:ascii="Arial" w:hAnsi="Arial" w:cs="Arial"/>
                <w:bCs/>
                <w:sz w:val="20"/>
                <w:szCs w:val="20"/>
                <w:lang w:val="cs-CZ"/>
              </w:rPr>
              <w:t>Podmienkou hradenej liečby po 18. roku veku je predchádzajúca účinná liečba atomoxetínom pred dovŕšením 18. roku veku a v pravidelných minimálne trojmesačných intervaloch vyhodnocovanie efektivity a bezpečnosti indikovanej liečby podľa súhrnu charakteristických vlastností lieku.</w:t>
            </w:r>
          </w:p>
          <w:p w14:paraId="427381B4" w14:textId="77777777" w:rsidR="00BD4717" w:rsidRPr="00A0129F" w:rsidRDefault="00BD4717" w:rsidP="00BD4717">
            <w:pPr>
              <w:jc w:val="both"/>
              <w:rPr>
                <w:rFonts w:ascii="Arial" w:hAnsi="Arial" w:cs="Arial"/>
                <w:bCs/>
                <w:sz w:val="20"/>
                <w:szCs w:val="20"/>
                <w:lang w:val="cs-CZ"/>
              </w:rPr>
            </w:pPr>
          </w:p>
          <w:p w14:paraId="6443ABE2" w14:textId="77777777" w:rsidR="00BD4717" w:rsidRPr="00A0129F" w:rsidRDefault="00BD4717">
            <w:pPr>
              <w:numPr>
                <w:ilvl w:val="0"/>
                <w:numId w:val="82"/>
              </w:numPr>
              <w:ind w:left="321" w:hanging="321"/>
              <w:jc w:val="both"/>
              <w:rPr>
                <w:rFonts w:ascii="Arial" w:hAnsi="Arial" w:cs="Arial"/>
                <w:sz w:val="20"/>
                <w:szCs w:val="20"/>
              </w:rPr>
            </w:pPr>
            <w:r w:rsidRPr="00A0129F">
              <w:rPr>
                <w:rFonts w:ascii="Arial" w:hAnsi="Arial" w:cs="Arial"/>
                <w:sz w:val="20"/>
                <w:szCs w:val="20"/>
              </w:rPr>
              <w:t xml:space="preserve">u novodiagnostikovaných dospelých pacientov </w:t>
            </w:r>
            <w:r w:rsidRPr="00A0129F">
              <w:rPr>
                <w:rFonts w:ascii="Arial" w:hAnsi="Arial" w:cs="Arial"/>
                <w:bCs/>
                <w:sz w:val="20"/>
                <w:szCs w:val="20"/>
              </w:rPr>
              <w:t xml:space="preserve">s hyperkinetickou poruchou (poruchou aktivity </w:t>
            </w:r>
            <w:r>
              <w:rPr>
                <w:rFonts w:ascii="Arial" w:hAnsi="Arial" w:cs="Arial"/>
                <w:bCs/>
                <w:sz w:val="20"/>
                <w:szCs w:val="20"/>
              </w:rPr>
              <w:t xml:space="preserve">               </w:t>
            </w:r>
            <w:r w:rsidRPr="00A0129F">
              <w:rPr>
                <w:rFonts w:ascii="Arial" w:hAnsi="Arial" w:cs="Arial"/>
                <w:bCs/>
                <w:sz w:val="20"/>
                <w:szCs w:val="20"/>
              </w:rPr>
              <w:t>a pozornosti, ADHD) aspoň strednej závažnosti prejavujúce sa funkčným narušením aspoň strednej intenzity vo 2 alebo viacerých oblastiach (napr. sociálne, akademické a/alebo profesijné fungovanie), ktoré ovplyvňuje viaceré aspekty života jednotlivca.</w:t>
            </w:r>
          </w:p>
          <w:p w14:paraId="2F267C8A" w14:textId="77777777" w:rsidR="00BD4717" w:rsidRDefault="00BD4717" w:rsidP="00BD4717">
            <w:pPr>
              <w:jc w:val="both"/>
              <w:rPr>
                <w:rFonts w:ascii="Arial" w:hAnsi="Arial" w:cs="Arial"/>
                <w:bCs/>
                <w:sz w:val="20"/>
                <w:szCs w:val="20"/>
              </w:rPr>
            </w:pPr>
            <w:r w:rsidRPr="00A0129F">
              <w:rPr>
                <w:rFonts w:ascii="Arial" w:hAnsi="Arial" w:cs="Arial"/>
                <w:bCs/>
                <w:sz w:val="20"/>
                <w:szCs w:val="20"/>
              </w:rPr>
              <w:t xml:space="preserve">Diagnóza má byť stanovená v súlade s aktuálnymi kritériami DSM alebo inštrukciami medzinárodnej klasifikácie chorôb MKCH.  </w:t>
            </w:r>
          </w:p>
          <w:p w14:paraId="7133EE49" w14:textId="77777777" w:rsidR="00BD4717" w:rsidRDefault="00BD4717" w:rsidP="00BD4717">
            <w:pPr>
              <w:jc w:val="both"/>
              <w:rPr>
                <w:rFonts w:ascii="Arial" w:hAnsi="Arial" w:cs="Arial"/>
                <w:sz w:val="20"/>
                <w:szCs w:val="20"/>
              </w:rPr>
            </w:pPr>
            <w:r w:rsidRPr="00A0129F">
              <w:rPr>
                <w:rFonts w:ascii="Arial" w:hAnsi="Arial" w:cs="Arial"/>
                <w:sz w:val="20"/>
                <w:szCs w:val="20"/>
              </w:rPr>
              <w:t xml:space="preserve">U dospelých pacientov môže byť použitá titračná dávka použitím 7x 40 mg alebo 7x 60 mg balenia </w:t>
            </w:r>
            <w:r>
              <w:rPr>
                <w:rFonts w:ascii="Arial" w:hAnsi="Arial" w:cs="Arial"/>
                <w:sz w:val="20"/>
                <w:szCs w:val="20"/>
              </w:rPr>
              <w:t>l</w:t>
            </w:r>
            <w:r w:rsidRPr="00A0129F">
              <w:rPr>
                <w:rFonts w:ascii="Arial" w:hAnsi="Arial" w:cs="Arial"/>
                <w:sz w:val="20"/>
                <w:szCs w:val="20"/>
              </w:rPr>
              <w:t>ieku na dobu maximálne 14 dní.</w:t>
            </w:r>
          </w:p>
          <w:p w14:paraId="728498FD" w14:textId="0719508D" w:rsidR="00BD4717" w:rsidRPr="00EC7187" w:rsidRDefault="00BD4717" w:rsidP="00BD4717">
            <w:pPr>
              <w:jc w:val="both"/>
              <w:rPr>
                <w:rFonts w:ascii="Arial" w:hAnsi="Arial" w:cs="Arial"/>
                <w:sz w:val="20"/>
                <w:szCs w:val="20"/>
              </w:rPr>
            </w:pPr>
          </w:p>
        </w:tc>
      </w:tr>
      <w:tr w:rsidR="00BD4717" w:rsidRPr="0000591E" w14:paraId="10347FD3" w14:textId="77777777" w:rsidTr="006C7A79">
        <w:trPr>
          <w:trHeight w:val="20"/>
        </w:trPr>
        <w:tc>
          <w:tcPr>
            <w:tcW w:w="1277" w:type="dxa"/>
            <w:tcBorders>
              <w:bottom w:val="single" w:sz="4" w:space="0" w:color="auto"/>
            </w:tcBorders>
            <w:noWrap/>
          </w:tcPr>
          <w:p w14:paraId="289C8224" w14:textId="0134C434" w:rsidR="00BD4717" w:rsidRDefault="00BD4717" w:rsidP="00BD4717">
            <w:pPr>
              <w:rPr>
                <w:rFonts w:ascii="Arial" w:hAnsi="Arial" w:cs="Arial"/>
                <w:b/>
                <w:bCs/>
                <w:sz w:val="20"/>
                <w:szCs w:val="20"/>
              </w:rPr>
            </w:pPr>
            <w:r w:rsidRPr="006C7A79">
              <w:rPr>
                <w:rFonts w:ascii="Arial" w:hAnsi="Arial" w:cs="Arial"/>
                <w:b/>
                <w:bCs/>
                <w:sz w:val="20"/>
                <w:szCs w:val="20"/>
              </w:rPr>
              <w:t>N06</w:t>
            </w:r>
            <w:r>
              <w:rPr>
                <w:rFonts w:ascii="Arial" w:hAnsi="Arial" w:cs="Arial"/>
                <w:b/>
                <w:bCs/>
                <w:sz w:val="20"/>
                <w:szCs w:val="20"/>
              </w:rPr>
              <w:t>B</w:t>
            </w:r>
            <w:r w:rsidRPr="006C7A79">
              <w:rPr>
                <w:rFonts w:ascii="Arial" w:hAnsi="Arial" w:cs="Arial"/>
                <w:b/>
                <w:bCs/>
                <w:sz w:val="20"/>
                <w:szCs w:val="20"/>
              </w:rPr>
              <w:t>A</w:t>
            </w:r>
            <w:r>
              <w:rPr>
                <w:rFonts w:ascii="Arial" w:hAnsi="Arial" w:cs="Arial"/>
                <w:b/>
                <w:bCs/>
                <w:sz w:val="20"/>
                <w:szCs w:val="20"/>
              </w:rPr>
              <w:t>1</w:t>
            </w:r>
            <w:r w:rsidRPr="006C7A79">
              <w:rPr>
                <w:rFonts w:ascii="Arial" w:hAnsi="Arial" w:cs="Arial"/>
                <w:b/>
                <w:bCs/>
                <w:sz w:val="20"/>
                <w:szCs w:val="20"/>
              </w:rPr>
              <w:t>2</w:t>
            </w:r>
          </w:p>
        </w:tc>
        <w:tc>
          <w:tcPr>
            <w:tcW w:w="9355" w:type="dxa"/>
            <w:tcBorders>
              <w:bottom w:val="single" w:sz="4" w:space="0" w:color="auto"/>
            </w:tcBorders>
            <w:noWrap/>
          </w:tcPr>
          <w:p w14:paraId="68B162F0" w14:textId="77777777" w:rsidR="00BD4717" w:rsidRDefault="00BD4717" w:rsidP="00BD4717">
            <w:pPr>
              <w:jc w:val="both"/>
              <w:rPr>
                <w:rFonts w:ascii="Arial" w:hAnsi="Arial" w:cs="Arial"/>
                <w:b/>
                <w:bCs/>
                <w:sz w:val="20"/>
                <w:szCs w:val="20"/>
              </w:rPr>
            </w:pPr>
            <w:r w:rsidRPr="006C7A79">
              <w:rPr>
                <w:rFonts w:ascii="Arial" w:hAnsi="Arial" w:cs="Arial"/>
                <w:b/>
                <w:bCs/>
                <w:sz w:val="20"/>
                <w:szCs w:val="20"/>
              </w:rPr>
              <w:t>Lisdexamfetamín</w:t>
            </w:r>
            <w:r>
              <w:rPr>
                <w:rFonts w:ascii="Arial" w:hAnsi="Arial" w:cs="Arial"/>
                <w:b/>
                <w:bCs/>
                <w:sz w:val="20"/>
                <w:szCs w:val="20"/>
              </w:rPr>
              <w:t xml:space="preserve"> </w:t>
            </w:r>
            <w:r w:rsidRPr="006C7A79">
              <w:rPr>
                <w:rFonts w:ascii="Arial" w:hAnsi="Arial" w:cs="Arial"/>
                <w:b/>
                <w:bCs/>
                <w:sz w:val="20"/>
                <w:szCs w:val="20"/>
              </w:rPr>
              <w:t>p.o. 30 mg</w:t>
            </w:r>
          </w:p>
          <w:p w14:paraId="18C63CCD" w14:textId="77777777" w:rsidR="00BD4717" w:rsidRDefault="00BD4717" w:rsidP="00BD4717">
            <w:pPr>
              <w:jc w:val="both"/>
              <w:rPr>
                <w:rFonts w:ascii="Arial" w:hAnsi="Arial" w:cs="Arial"/>
                <w:b/>
                <w:bCs/>
                <w:sz w:val="20"/>
                <w:szCs w:val="20"/>
              </w:rPr>
            </w:pPr>
            <w:r w:rsidRPr="006C7A79">
              <w:rPr>
                <w:rFonts w:ascii="Arial" w:hAnsi="Arial" w:cs="Arial"/>
                <w:b/>
                <w:bCs/>
                <w:sz w:val="20"/>
                <w:szCs w:val="20"/>
              </w:rPr>
              <w:t>Lisdexamfetamín</w:t>
            </w:r>
            <w:r>
              <w:rPr>
                <w:rFonts w:ascii="Arial" w:hAnsi="Arial" w:cs="Arial"/>
                <w:b/>
                <w:bCs/>
                <w:sz w:val="20"/>
                <w:szCs w:val="20"/>
              </w:rPr>
              <w:t xml:space="preserve"> </w:t>
            </w:r>
            <w:r w:rsidRPr="006C7A79">
              <w:rPr>
                <w:rFonts w:ascii="Arial" w:hAnsi="Arial" w:cs="Arial"/>
                <w:b/>
                <w:bCs/>
                <w:sz w:val="20"/>
                <w:szCs w:val="20"/>
              </w:rPr>
              <w:t xml:space="preserve">p.o. </w:t>
            </w:r>
            <w:r>
              <w:rPr>
                <w:rFonts w:ascii="Arial" w:hAnsi="Arial" w:cs="Arial"/>
                <w:b/>
                <w:bCs/>
                <w:sz w:val="20"/>
                <w:szCs w:val="20"/>
              </w:rPr>
              <w:t>5</w:t>
            </w:r>
            <w:r w:rsidRPr="006C7A79">
              <w:rPr>
                <w:rFonts w:ascii="Arial" w:hAnsi="Arial" w:cs="Arial"/>
                <w:b/>
                <w:bCs/>
                <w:sz w:val="20"/>
                <w:szCs w:val="20"/>
              </w:rPr>
              <w:t>0 mg</w:t>
            </w:r>
          </w:p>
          <w:p w14:paraId="17396716" w14:textId="6AC1CDD1" w:rsidR="00BD4717" w:rsidRPr="0000591E" w:rsidRDefault="00BD4717" w:rsidP="00BD4717">
            <w:pPr>
              <w:jc w:val="both"/>
              <w:rPr>
                <w:rFonts w:ascii="Arial" w:hAnsi="Arial" w:cs="Arial"/>
                <w:b/>
                <w:bCs/>
                <w:sz w:val="20"/>
                <w:szCs w:val="20"/>
              </w:rPr>
            </w:pPr>
            <w:r w:rsidRPr="006C7A79">
              <w:rPr>
                <w:rFonts w:ascii="Arial" w:hAnsi="Arial" w:cs="Arial"/>
                <w:b/>
                <w:bCs/>
                <w:sz w:val="20"/>
                <w:szCs w:val="20"/>
              </w:rPr>
              <w:t>Lisdexamfetamín</w:t>
            </w:r>
            <w:r>
              <w:rPr>
                <w:rFonts w:ascii="Arial" w:hAnsi="Arial" w:cs="Arial"/>
                <w:b/>
                <w:bCs/>
                <w:sz w:val="20"/>
                <w:szCs w:val="20"/>
              </w:rPr>
              <w:t xml:space="preserve"> </w:t>
            </w:r>
            <w:r w:rsidRPr="006C7A79">
              <w:rPr>
                <w:rFonts w:ascii="Arial" w:hAnsi="Arial" w:cs="Arial"/>
                <w:b/>
                <w:bCs/>
                <w:sz w:val="20"/>
                <w:szCs w:val="20"/>
              </w:rPr>
              <w:t xml:space="preserve">p.o. </w:t>
            </w:r>
            <w:r>
              <w:rPr>
                <w:rFonts w:ascii="Arial" w:hAnsi="Arial" w:cs="Arial"/>
                <w:b/>
                <w:bCs/>
                <w:sz w:val="20"/>
                <w:szCs w:val="20"/>
              </w:rPr>
              <w:t>7</w:t>
            </w:r>
            <w:r w:rsidRPr="006C7A79">
              <w:rPr>
                <w:rFonts w:ascii="Arial" w:hAnsi="Arial" w:cs="Arial"/>
                <w:b/>
                <w:bCs/>
                <w:sz w:val="20"/>
                <w:szCs w:val="20"/>
              </w:rPr>
              <w:t xml:space="preserve">0 mg </w:t>
            </w:r>
          </w:p>
        </w:tc>
      </w:tr>
      <w:tr w:rsidR="00BD4717" w:rsidRPr="0000591E" w14:paraId="4B7B226F" w14:textId="77777777" w:rsidTr="006C7A79">
        <w:trPr>
          <w:trHeight w:val="20"/>
        </w:trPr>
        <w:tc>
          <w:tcPr>
            <w:tcW w:w="1277" w:type="dxa"/>
            <w:tcBorders>
              <w:top w:val="single" w:sz="4" w:space="0" w:color="auto"/>
              <w:bottom w:val="nil"/>
            </w:tcBorders>
            <w:noWrap/>
          </w:tcPr>
          <w:p w14:paraId="273E59BC" w14:textId="77777777" w:rsidR="00BD4717" w:rsidRDefault="00BD4717" w:rsidP="00BD4717">
            <w:pPr>
              <w:rPr>
                <w:rFonts w:ascii="Arial" w:hAnsi="Arial" w:cs="Arial"/>
                <w:b/>
                <w:bCs/>
                <w:sz w:val="20"/>
                <w:szCs w:val="20"/>
              </w:rPr>
            </w:pPr>
          </w:p>
        </w:tc>
        <w:tc>
          <w:tcPr>
            <w:tcW w:w="9355" w:type="dxa"/>
            <w:tcBorders>
              <w:top w:val="single" w:sz="4" w:space="0" w:color="auto"/>
              <w:bottom w:val="nil"/>
            </w:tcBorders>
            <w:noWrap/>
          </w:tcPr>
          <w:p w14:paraId="2D1980EC" w14:textId="77777777" w:rsidR="00BD4717" w:rsidRDefault="00BD4717" w:rsidP="00BD4717">
            <w:pPr>
              <w:jc w:val="both"/>
              <w:rPr>
                <w:rFonts w:ascii="Arial" w:hAnsi="Arial" w:cs="Arial"/>
                <w:sz w:val="20"/>
                <w:szCs w:val="20"/>
              </w:rPr>
            </w:pPr>
            <w:r w:rsidRPr="006C7A79">
              <w:rPr>
                <w:rFonts w:ascii="Arial" w:hAnsi="Arial" w:cs="Arial"/>
                <w:sz w:val="20"/>
                <w:szCs w:val="20"/>
              </w:rPr>
              <w:t>Hradená liečba sa môže indikovať na liečbu detí a adolescentov s poruchou pozornosti a hyperaktivity (ADHD), od dovŕšenia šiesteho roku veku do dovŕšenia 18. roku veku, ak sa odpoveď na predchádzajúcu liečbu metylfenidátom považuje za klinicky nedostatočnú.</w:t>
            </w:r>
          </w:p>
          <w:p w14:paraId="1E0546D5" w14:textId="3B2EA90F" w:rsidR="00BD4717" w:rsidRPr="006C7A79" w:rsidRDefault="00BD4717" w:rsidP="00BD4717">
            <w:pPr>
              <w:jc w:val="both"/>
              <w:rPr>
                <w:rFonts w:ascii="Arial" w:hAnsi="Arial" w:cs="Arial"/>
                <w:sz w:val="20"/>
                <w:szCs w:val="20"/>
              </w:rPr>
            </w:pPr>
          </w:p>
        </w:tc>
      </w:tr>
      <w:tr w:rsidR="00BD4717" w:rsidRPr="0000591E" w14:paraId="0111A176" w14:textId="77777777" w:rsidTr="006C7A79">
        <w:trPr>
          <w:trHeight w:val="20"/>
        </w:trPr>
        <w:tc>
          <w:tcPr>
            <w:tcW w:w="1277" w:type="dxa"/>
            <w:tcBorders>
              <w:top w:val="nil"/>
              <w:bottom w:val="single" w:sz="4" w:space="0" w:color="auto"/>
            </w:tcBorders>
            <w:noWrap/>
          </w:tcPr>
          <w:p w14:paraId="6ED6D265" w14:textId="77777777" w:rsidR="00BD4717" w:rsidRDefault="00BD4717" w:rsidP="00BD4717">
            <w:pPr>
              <w:rPr>
                <w:rFonts w:ascii="Arial" w:hAnsi="Arial" w:cs="Arial"/>
                <w:b/>
                <w:bCs/>
                <w:sz w:val="20"/>
                <w:szCs w:val="20"/>
              </w:rPr>
            </w:pPr>
          </w:p>
          <w:p w14:paraId="41604721" w14:textId="0EA519AE"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N06DA02</w:t>
            </w:r>
          </w:p>
        </w:tc>
        <w:tc>
          <w:tcPr>
            <w:tcW w:w="9355" w:type="dxa"/>
            <w:tcBorders>
              <w:top w:val="nil"/>
              <w:bottom w:val="single" w:sz="4" w:space="0" w:color="auto"/>
            </w:tcBorders>
            <w:noWrap/>
          </w:tcPr>
          <w:p w14:paraId="259584EC" w14:textId="77777777" w:rsidR="00BD4717" w:rsidRDefault="00BD4717" w:rsidP="00BD4717">
            <w:pPr>
              <w:jc w:val="both"/>
              <w:rPr>
                <w:rFonts w:ascii="Arial" w:hAnsi="Arial" w:cs="Arial"/>
                <w:b/>
                <w:bCs/>
                <w:sz w:val="20"/>
                <w:szCs w:val="20"/>
              </w:rPr>
            </w:pPr>
            <w:r w:rsidRPr="0000591E">
              <w:rPr>
                <w:rFonts w:ascii="Arial" w:hAnsi="Arial" w:cs="Arial"/>
                <w:b/>
                <w:bCs/>
                <w:sz w:val="20"/>
                <w:szCs w:val="20"/>
              </w:rPr>
              <w:t>Donepezil p.o. 5 mg</w:t>
            </w:r>
            <w:r>
              <w:rPr>
                <w:rFonts w:ascii="Arial" w:hAnsi="Arial" w:cs="Arial"/>
                <w:b/>
                <w:bCs/>
                <w:sz w:val="20"/>
                <w:szCs w:val="20"/>
              </w:rPr>
              <w:t>,</w:t>
            </w:r>
          </w:p>
          <w:p w14:paraId="74191398"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Donepezil p.o. 10 mg</w:t>
            </w:r>
          </w:p>
        </w:tc>
      </w:tr>
      <w:tr w:rsidR="00BD4717" w:rsidRPr="0000591E" w14:paraId="15D331D9" w14:textId="77777777" w:rsidTr="002A153F">
        <w:trPr>
          <w:trHeight w:val="20"/>
        </w:trPr>
        <w:tc>
          <w:tcPr>
            <w:tcW w:w="1277" w:type="dxa"/>
            <w:tcBorders>
              <w:top w:val="single" w:sz="4" w:space="0" w:color="auto"/>
              <w:bottom w:val="single" w:sz="4" w:space="0" w:color="BFBFBF" w:themeColor="background1" w:themeShade="BF"/>
            </w:tcBorders>
            <w:noWrap/>
          </w:tcPr>
          <w:p w14:paraId="1C6BED6F"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73806C53"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pri ľahkom a stredne ťažkom stupni demencie Alzheimerovho typu, pričom stupeň postihnutia je vyjadrený škálou Mini Mental State Examination (MMSE) rozsahom dosiahnutého skóre 13 až 24 bodov vrátane.</w:t>
            </w:r>
            <w:r w:rsidRPr="0000591E">
              <w:rPr>
                <w:rFonts w:ascii="Arial" w:hAnsi="Arial" w:cs="Arial"/>
                <w:sz w:val="20"/>
                <w:szCs w:val="20"/>
              </w:rPr>
              <w:br/>
              <w:t xml:space="preserve">Hradená liečba sa môže indikovať pri klinickom potvrdení demencie Alzheimerovho typu (vylúčenie systémového ochorenia ako príčiny demencie). </w:t>
            </w:r>
          </w:p>
          <w:p w14:paraId="20C8AFEA"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Každé tri mesiace počas podávania AchE I sa opakuje testovanie kognitívnych funkcií (MMSE) a zhodnotí sa celkový stav pacienta vrátane hodnotenia globálneho fungovania v denných aktivitách a posúdenia porúch správania. </w:t>
            </w:r>
          </w:p>
          <w:p w14:paraId="4E117AB3" w14:textId="77777777" w:rsidR="00BD4717" w:rsidRPr="0000591E" w:rsidRDefault="00BD4717" w:rsidP="00BD4717">
            <w:pPr>
              <w:rPr>
                <w:rFonts w:ascii="Arial" w:hAnsi="Arial" w:cs="Arial"/>
                <w:sz w:val="20"/>
                <w:szCs w:val="20"/>
              </w:rPr>
            </w:pPr>
            <w:r w:rsidRPr="0000591E">
              <w:rPr>
                <w:rFonts w:ascii="Arial" w:hAnsi="Arial" w:cs="Arial"/>
                <w:sz w:val="20"/>
                <w:szCs w:val="20"/>
              </w:rPr>
              <w:t>Ak skóre MMSE klesne pod 13 bodov, ďalšia liečba nie je hradenou liečbou.</w:t>
            </w:r>
          </w:p>
          <w:p w14:paraId="0F9D04F0" w14:textId="77777777" w:rsidR="00BD4717" w:rsidRPr="0000591E" w:rsidRDefault="00BD4717" w:rsidP="00BD4717">
            <w:pPr>
              <w:rPr>
                <w:rFonts w:ascii="Arial" w:hAnsi="Arial" w:cs="Arial"/>
                <w:sz w:val="20"/>
                <w:szCs w:val="20"/>
              </w:rPr>
            </w:pPr>
          </w:p>
        </w:tc>
      </w:tr>
      <w:tr w:rsidR="00BD4717" w:rsidRPr="0000591E" w14:paraId="516D4E63" w14:textId="77777777" w:rsidTr="002A153F">
        <w:trPr>
          <w:trHeight w:val="20"/>
        </w:trPr>
        <w:tc>
          <w:tcPr>
            <w:tcW w:w="1277" w:type="dxa"/>
            <w:tcBorders>
              <w:bottom w:val="single" w:sz="4" w:space="0" w:color="auto"/>
            </w:tcBorders>
            <w:noWrap/>
          </w:tcPr>
          <w:p w14:paraId="03176ACE" w14:textId="77777777" w:rsidR="00BD4717" w:rsidRDefault="00BD4717" w:rsidP="00BD4717">
            <w:pPr>
              <w:rPr>
                <w:rFonts w:ascii="Arial" w:hAnsi="Arial" w:cs="Arial"/>
                <w:b/>
                <w:bCs/>
                <w:sz w:val="20"/>
                <w:szCs w:val="20"/>
              </w:rPr>
            </w:pPr>
          </w:p>
          <w:p w14:paraId="51727E2B" w14:textId="77777777" w:rsidR="00BD4717" w:rsidRDefault="00BD4717" w:rsidP="00BD4717">
            <w:pPr>
              <w:rPr>
                <w:rFonts w:ascii="Arial" w:hAnsi="Arial" w:cs="Arial"/>
                <w:b/>
                <w:bCs/>
                <w:sz w:val="20"/>
                <w:szCs w:val="20"/>
              </w:rPr>
            </w:pPr>
          </w:p>
          <w:p w14:paraId="06EBAA8A" w14:textId="77777777" w:rsidR="00BD4717" w:rsidRDefault="00BD4717" w:rsidP="00BD4717">
            <w:pPr>
              <w:rPr>
                <w:rFonts w:ascii="Arial" w:hAnsi="Arial" w:cs="Arial"/>
                <w:b/>
                <w:bCs/>
                <w:sz w:val="20"/>
                <w:szCs w:val="20"/>
              </w:rPr>
            </w:pPr>
          </w:p>
          <w:p w14:paraId="622C1052" w14:textId="2ED044C9" w:rsidR="00BD4717" w:rsidRPr="0000591E" w:rsidRDefault="00BD4717" w:rsidP="00BD4717">
            <w:pPr>
              <w:rPr>
                <w:rFonts w:ascii="Arial" w:hAnsi="Arial" w:cs="Arial"/>
                <w:sz w:val="20"/>
                <w:szCs w:val="20"/>
                <w:lang w:eastAsia="cs-CZ"/>
              </w:rPr>
            </w:pPr>
            <w:r w:rsidRPr="0000591E">
              <w:rPr>
                <w:rFonts w:ascii="Arial" w:hAnsi="Arial" w:cs="Arial"/>
                <w:b/>
                <w:bCs/>
                <w:sz w:val="20"/>
                <w:szCs w:val="20"/>
              </w:rPr>
              <w:t>N06DA03</w:t>
            </w:r>
          </w:p>
        </w:tc>
        <w:tc>
          <w:tcPr>
            <w:tcW w:w="9355" w:type="dxa"/>
            <w:tcBorders>
              <w:bottom w:val="single" w:sz="4" w:space="0" w:color="auto"/>
            </w:tcBorders>
          </w:tcPr>
          <w:p w14:paraId="4F7B065C"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Rivastigmín p.o. 1,5 mg,</w:t>
            </w:r>
          </w:p>
          <w:p w14:paraId="3DAFD8D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Rivastigmín p.o. 3 mg,</w:t>
            </w:r>
          </w:p>
          <w:p w14:paraId="1E1E1BF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Rivastigmín p.o. 4,5 mg,</w:t>
            </w:r>
          </w:p>
          <w:p w14:paraId="04231871" w14:textId="77777777" w:rsidR="00BD4717" w:rsidRPr="0000591E" w:rsidRDefault="00BD4717" w:rsidP="00BD4717">
            <w:pPr>
              <w:jc w:val="both"/>
              <w:rPr>
                <w:rFonts w:ascii="Arial" w:hAnsi="Arial" w:cs="Arial"/>
                <w:b/>
                <w:bCs/>
              </w:rPr>
            </w:pPr>
            <w:r w:rsidRPr="0000591E">
              <w:rPr>
                <w:rFonts w:ascii="Arial" w:hAnsi="Arial" w:cs="Arial"/>
                <w:b/>
                <w:bCs/>
                <w:sz w:val="20"/>
                <w:szCs w:val="20"/>
              </w:rPr>
              <w:t>Rivastigmín p.o. 6,0 mg</w:t>
            </w:r>
          </w:p>
        </w:tc>
      </w:tr>
      <w:tr w:rsidR="00BD4717" w:rsidRPr="0000591E" w14:paraId="1EB6EEBD" w14:textId="77777777" w:rsidTr="002A153F">
        <w:trPr>
          <w:trHeight w:val="20"/>
        </w:trPr>
        <w:tc>
          <w:tcPr>
            <w:tcW w:w="1277" w:type="dxa"/>
            <w:tcBorders>
              <w:top w:val="single" w:sz="4" w:space="0" w:color="auto"/>
              <w:bottom w:val="single" w:sz="4" w:space="0" w:color="BFBFBF" w:themeColor="background1" w:themeShade="BF"/>
            </w:tcBorders>
            <w:noWrap/>
          </w:tcPr>
          <w:p w14:paraId="640E8EF6"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A14DDF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pri ľahkom a stredne ťažkom stupni demencie Alzheimerovho typu a v symptomatickej liečbe ľahkej až stredne ťažkej demencie u pacientov s idiopatickou Parkinsonovou chorobou, pričom stupeň postihnutia je vyjadrený škálou MMSE rozsahom dosiahnutého skóre 13 až 24 bodov vrátane.</w:t>
            </w:r>
          </w:p>
          <w:p w14:paraId="1D9397FC" w14:textId="11890448"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klinickom potvrdení demencie Alzheimerovho typu (vylúčenie systémového ochorenia ako príčiny demencie) a ľahkej až stredne ťažkej demencie u pacientov s idiopatickou Parkinsonovou chorobou. </w:t>
            </w:r>
          </w:p>
          <w:p w14:paraId="423A6DD2"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Každé tri mesiace počas podávania AchE I sa opakuje testovanie kognitívnych funkcií MMSE a zhodnotí sa celkový stav pacienta vrátane hodnotenia globálneho fungovania v denných aktivitách a posúdenia porúch správania. </w:t>
            </w:r>
          </w:p>
          <w:p w14:paraId="3A63193C" w14:textId="77777777" w:rsidR="00BD4717" w:rsidRDefault="00BD4717" w:rsidP="00BD4717">
            <w:pPr>
              <w:rPr>
                <w:rFonts w:ascii="Arial" w:hAnsi="Arial" w:cs="Arial"/>
                <w:sz w:val="20"/>
                <w:szCs w:val="20"/>
              </w:rPr>
            </w:pPr>
          </w:p>
          <w:p w14:paraId="6AD895FA" w14:textId="77777777" w:rsidR="00BD4717" w:rsidRDefault="00BD4717" w:rsidP="00BD4717">
            <w:pPr>
              <w:rPr>
                <w:rFonts w:ascii="Arial" w:hAnsi="Arial" w:cs="Arial"/>
                <w:sz w:val="20"/>
                <w:szCs w:val="20"/>
              </w:rPr>
            </w:pPr>
            <w:r w:rsidRPr="0000591E">
              <w:rPr>
                <w:rFonts w:ascii="Arial" w:hAnsi="Arial" w:cs="Arial"/>
                <w:sz w:val="20"/>
                <w:szCs w:val="20"/>
              </w:rPr>
              <w:t>Ak skóre MMSE klesne pod 13 bodov, ďalšia liečba nie je hradenou liečbou.</w:t>
            </w:r>
          </w:p>
          <w:p w14:paraId="6F826B45" w14:textId="77777777" w:rsidR="00F762B8" w:rsidRDefault="00F762B8" w:rsidP="00BD4717">
            <w:pPr>
              <w:rPr>
                <w:rFonts w:ascii="Arial" w:hAnsi="Arial" w:cs="Arial"/>
                <w:sz w:val="20"/>
                <w:szCs w:val="20"/>
              </w:rPr>
            </w:pPr>
          </w:p>
          <w:p w14:paraId="10DE9510" w14:textId="77777777" w:rsidR="00F762B8" w:rsidRDefault="00F762B8" w:rsidP="00BD4717">
            <w:pPr>
              <w:rPr>
                <w:rFonts w:ascii="Arial" w:hAnsi="Arial" w:cs="Arial"/>
                <w:sz w:val="20"/>
                <w:szCs w:val="20"/>
              </w:rPr>
            </w:pPr>
          </w:p>
          <w:p w14:paraId="69590E36" w14:textId="77777777" w:rsidR="00F762B8" w:rsidRDefault="00F762B8" w:rsidP="00BD4717">
            <w:pPr>
              <w:rPr>
                <w:rFonts w:ascii="Arial" w:hAnsi="Arial" w:cs="Arial"/>
                <w:sz w:val="20"/>
                <w:szCs w:val="20"/>
              </w:rPr>
            </w:pPr>
          </w:p>
          <w:p w14:paraId="1D8F54DA" w14:textId="1102D27B" w:rsidR="00F762B8" w:rsidRPr="0000591E" w:rsidRDefault="00F762B8" w:rsidP="00BD4717">
            <w:pPr>
              <w:rPr>
                <w:rFonts w:ascii="Arial" w:hAnsi="Arial" w:cs="Arial"/>
                <w:b/>
                <w:bCs/>
                <w:sz w:val="20"/>
                <w:szCs w:val="20"/>
              </w:rPr>
            </w:pPr>
          </w:p>
        </w:tc>
      </w:tr>
      <w:tr w:rsidR="00BD4717" w:rsidRPr="0000591E" w14:paraId="04008878" w14:textId="77777777" w:rsidTr="002A153F">
        <w:trPr>
          <w:trHeight w:val="20"/>
        </w:trPr>
        <w:tc>
          <w:tcPr>
            <w:tcW w:w="1277" w:type="dxa"/>
            <w:tcBorders>
              <w:bottom w:val="single" w:sz="4" w:space="0" w:color="auto"/>
            </w:tcBorders>
            <w:noWrap/>
          </w:tcPr>
          <w:p w14:paraId="6B02869E" w14:textId="77777777" w:rsidR="00BD4717" w:rsidRDefault="00BD4717" w:rsidP="00BD4717">
            <w:pPr>
              <w:rPr>
                <w:rFonts w:ascii="Arial" w:hAnsi="Arial" w:cs="Arial"/>
                <w:b/>
                <w:bCs/>
                <w:sz w:val="20"/>
                <w:szCs w:val="20"/>
              </w:rPr>
            </w:pPr>
          </w:p>
          <w:p w14:paraId="7F3F1BF0" w14:textId="77777777" w:rsidR="00BD4717" w:rsidRDefault="00BD4717" w:rsidP="00BD4717">
            <w:pPr>
              <w:rPr>
                <w:rFonts w:ascii="Arial" w:hAnsi="Arial" w:cs="Arial"/>
                <w:b/>
                <w:bCs/>
                <w:sz w:val="20"/>
                <w:szCs w:val="20"/>
              </w:rPr>
            </w:pPr>
          </w:p>
          <w:p w14:paraId="296CD5F0" w14:textId="3341D2C2" w:rsidR="00BD4717" w:rsidRPr="0000591E" w:rsidRDefault="00BD4717" w:rsidP="00BD4717">
            <w:pPr>
              <w:rPr>
                <w:rFonts w:ascii="Arial" w:hAnsi="Arial" w:cs="Arial"/>
                <w:b/>
                <w:bCs/>
                <w:sz w:val="20"/>
                <w:szCs w:val="20"/>
              </w:rPr>
            </w:pPr>
            <w:r w:rsidRPr="0000591E">
              <w:rPr>
                <w:rFonts w:ascii="Arial" w:hAnsi="Arial" w:cs="Arial"/>
                <w:b/>
                <w:bCs/>
                <w:sz w:val="20"/>
                <w:szCs w:val="20"/>
              </w:rPr>
              <w:t>N06DA03</w:t>
            </w:r>
          </w:p>
        </w:tc>
        <w:tc>
          <w:tcPr>
            <w:tcW w:w="9355" w:type="dxa"/>
            <w:tcBorders>
              <w:bottom w:val="single" w:sz="4" w:space="0" w:color="auto"/>
            </w:tcBorders>
          </w:tcPr>
          <w:p w14:paraId="4F58301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Rivastigmín transd. emp. tdm. 4,6 mg,</w:t>
            </w:r>
          </w:p>
          <w:p w14:paraId="05394B95"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Rivastigmín transd. emp. tdm. 9,5 mg,</w:t>
            </w:r>
          </w:p>
          <w:p w14:paraId="02153E37"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Rivastigmín transd. emp. tdm. 13,3 mg </w:t>
            </w:r>
          </w:p>
        </w:tc>
      </w:tr>
      <w:tr w:rsidR="00BD4717" w:rsidRPr="0000591E" w14:paraId="4EDD35D2" w14:textId="77777777" w:rsidTr="002A153F">
        <w:trPr>
          <w:trHeight w:val="20"/>
        </w:trPr>
        <w:tc>
          <w:tcPr>
            <w:tcW w:w="1277" w:type="dxa"/>
            <w:tcBorders>
              <w:top w:val="single" w:sz="4" w:space="0" w:color="auto"/>
              <w:bottom w:val="single" w:sz="4" w:space="0" w:color="BFBFBF" w:themeColor="background1" w:themeShade="BF"/>
            </w:tcBorders>
            <w:noWrap/>
          </w:tcPr>
          <w:p w14:paraId="238017D3"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41EB4EA" w14:textId="7E8A603F"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pri ľahkom a stredne ťažkom stupni demencie Alzheimerovho typu, pričom stupeň postihnutia je vyjadrený škálou MMSE rozsahom dosiahnutého skóre 13 až 24 bodov vrátane.</w:t>
            </w:r>
          </w:p>
          <w:p w14:paraId="290F333D"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klinickom potvrdení demencie Alzheimerovho typu (vylúčenie systémového ochorenia ako príčiny demencie). </w:t>
            </w:r>
          </w:p>
          <w:p w14:paraId="472D6C29"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Každé tri mesiace počas podávania AchE I sa opakuje testovanie kognitívnych funkcií MMSE a zhodnotí sa celkový stav pacienta vrátane hodnotenia globálneho fungovania v denných aktivitách a posúdenia porúch správania. </w:t>
            </w:r>
          </w:p>
          <w:p w14:paraId="5650A9AA" w14:textId="77777777" w:rsidR="00BD4717" w:rsidRDefault="00BD4717" w:rsidP="00BD4717">
            <w:pPr>
              <w:rPr>
                <w:rFonts w:ascii="Arial" w:hAnsi="Arial" w:cs="Arial"/>
                <w:sz w:val="20"/>
                <w:szCs w:val="20"/>
              </w:rPr>
            </w:pPr>
            <w:r w:rsidRPr="0000591E">
              <w:rPr>
                <w:rFonts w:ascii="Arial" w:hAnsi="Arial" w:cs="Arial"/>
                <w:sz w:val="20"/>
                <w:szCs w:val="20"/>
              </w:rPr>
              <w:t>Ak skóre MMSE klesne pod 13 bodov, ďalšia liečba nie je hradenou liečbou.</w:t>
            </w:r>
          </w:p>
          <w:p w14:paraId="63A86951" w14:textId="4332FA67" w:rsidR="00BD4717" w:rsidRPr="0000591E" w:rsidRDefault="00BD4717" w:rsidP="00BD4717">
            <w:pPr>
              <w:rPr>
                <w:rFonts w:ascii="Arial" w:hAnsi="Arial" w:cs="Arial"/>
                <w:b/>
                <w:bCs/>
                <w:sz w:val="20"/>
                <w:szCs w:val="20"/>
              </w:rPr>
            </w:pPr>
          </w:p>
        </w:tc>
      </w:tr>
      <w:tr w:rsidR="00BD4717" w:rsidRPr="0000591E" w14:paraId="08223786" w14:textId="77777777" w:rsidTr="002A153F">
        <w:trPr>
          <w:trHeight w:val="20"/>
        </w:trPr>
        <w:tc>
          <w:tcPr>
            <w:tcW w:w="1277" w:type="dxa"/>
            <w:tcBorders>
              <w:bottom w:val="single" w:sz="4" w:space="0" w:color="auto"/>
            </w:tcBorders>
            <w:noWrap/>
          </w:tcPr>
          <w:p w14:paraId="33A38BC4" w14:textId="77777777" w:rsidR="00BD4717" w:rsidRDefault="00BD4717" w:rsidP="00BD4717">
            <w:pPr>
              <w:rPr>
                <w:rFonts w:ascii="Arial" w:hAnsi="Arial" w:cs="Arial"/>
                <w:b/>
                <w:bCs/>
                <w:sz w:val="20"/>
                <w:szCs w:val="20"/>
              </w:rPr>
            </w:pPr>
          </w:p>
          <w:p w14:paraId="17669AA0" w14:textId="668912CF"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N06DA04</w:t>
            </w:r>
          </w:p>
        </w:tc>
        <w:tc>
          <w:tcPr>
            <w:tcW w:w="9355" w:type="dxa"/>
            <w:tcBorders>
              <w:bottom w:val="single" w:sz="4" w:space="0" w:color="auto"/>
            </w:tcBorders>
          </w:tcPr>
          <w:p w14:paraId="56469DB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Galantamín p.o. predĺž. uvoľ. 8 mg,</w:t>
            </w:r>
          </w:p>
          <w:p w14:paraId="6E1DCBD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 xml:space="preserve">Galantamín p.o. predĺž. uvoľ. 16 mg </w:t>
            </w:r>
          </w:p>
        </w:tc>
      </w:tr>
      <w:tr w:rsidR="00BD4717" w:rsidRPr="0000591E" w14:paraId="1604BAFD" w14:textId="77777777" w:rsidTr="002A153F">
        <w:trPr>
          <w:trHeight w:val="20"/>
        </w:trPr>
        <w:tc>
          <w:tcPr>
            <w:tcW w:w="1277" w:type="dxa"/>
            <w:tcBorders>
              <w:top w:val="single" w:sz="4" w:space="0" w:color="auto"/>
              <w:bottom w:val="single" w:sz="4" w:space="0" w:color="BFBFBF" w:themeColor="background1" w:themeShade="BF"/>
            </w:tcBorders>
            <w:noWrap/>
          </w:tcPr>
          <w:p w14:paraId="23B8D48A"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4BE8934"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Hradená liečba sa môže indikovať pri ľahkom a stredne ťažkom stupni demencie Alzheimerovho typu, pričom stupeň postihnutia je vyjadrený škálou MMSE rozsahom dosiahnutého skóre 13 až 24 bodov vrátane.</w:t>
            </w:r>
            <w:r w:rsidRPr="0000591E">
              <w:rPr>
                <w:rFonts w:ascii="Arial" w:hAnsi="Arial" w:cs="Arial"/>
                <w:sz w:val="20"/>
                <w:szCs w:val="20"/>
              </w:rPr>
              <w:br/>
              <w:t xml:space="preserve">Hradená liečba sa môže indikovať pri klinickom potvrdení demencie Alzheimerovho typu (vylúčenie systémového ochorenia ako príčiny demencie). </w:t>
            </w:r>
          </w:p>
          <w:p w14:paraId="1CA245EB"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Každé tri mesiace počas podávania AchE I sa opakuje testovanie kognitívnych funkcií MMSE a zhodnotí sa celkový stav pacienta vrátane hodnotenia globálneho fungovania v denných aktivitách a posúdenia porúch správania. </w:t>
            </w:r>
          </w:p>
          <w:p w14:paraId="1860FA6D"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 skóre MMSE klesne pod 13 bodov, ďalšia liečba nie je hradenou liečbou.</w:t>
            </w:r>
          </w:p>
          <w:p w14:paraId="0896A355" w14:textId="77777777" w:rsidR="00BD4717" w:rsidRPr="0000591E" w:rsidRDefault="00BD4717" w:rsidP="00BD4717">
            <w:pPr>
              <w:jc w:val="both"/>
              <w:rPr>
                <w:rFonts w:ascii="Arial" w:hAnsi="Arial" w:cs="Arial"/>
                <w:sz w:val="20"/>
                <w:szCs w:val="20"/>
                <w:lang w:eastAsia="cs-CZ"/>
              </w:rPr>
            </w:pPr>
          </w:p>
        </w:tc>
      </w:tr>
      <w:tr w:rsidR="00BD4717" w:rsidRPr="0000591E" w14:paraId="1E1431D1" w14:textId="77777777" w:rsidTr="002A153F">
        <w:trPr>
          <w:trHeight w:val="20"/>
        </w:trPr>
        <w:tc>
          <w:tcPr>
            <w:tcW w:w="1277" w:type="dxa"/>
            <w:tcBorders>
              <w:bottom w:val="single" w:sz="4" w:space="0" w:color="auto"/>
            </w:tcBorders>
            <w:noWrap/>
          </w:tcPr>
          <w:p w14:paraId="3EC0B391" w14:textId="77777777" w:rsidR="00BD4717" w:rsidRDefault="00BD4717" w:rsidP="00BD4717">
            <w:pPr>
              <w:rPr>
                <w:rFonts w:ascii="Arial" w:hAnsi="Arial" w:cs="Arial"/>
                <w:b/>
                <w:bCs/>
                <w:sz w:val="20"/>
                <w:szCs w:val="20"/>
              </w:rPr>
            </w:pPr>
          </w:p>
          <w:p w14:paraId="42F24675" w14:textId="77777777" w:rsidR="00BD4717" w:rsidRDefault="00BD4717" w:rsidP="00BD4717">
            <w:pPr>
              <w:rPr>
                <w:rFonts w:ascii="Arial" w:hAnsi="Arial" w:cs="Arial"/>
                <w:b/>
                <w:bCs/>
                <w:sz w:val="20"/>
                <w:szCs w:val="20"/>
              </w:rPr>
            </w:pPr>
          </w:p>
          <w:p w14:paraId="4E863DD9" w14:textId="2359B144"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N06DX01</w:t>
            </w:r>
          </w:p>
        </w:tc>
        <w:tc>
          <w:tcPr>
            <w:tcW w:w="9355" w:type="dxa"/>
            <w:tcBorders>
              <w:bottom w:val="single" w:sz="4" w:space="0" w:color="auto"/>
            </w:tcBorders>
            <w:noWrap/>
          </w:tcPr>
          <w:p w14:paraId="0EFF81AE"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Memantín p.o. 10 mg</w:t>
            </w:r>
          </w:p>
          <w:p w14:paraId="7B1EAD80"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Memantín p.o. 20 mg</w:t>
            </w:r>
          </w:p>
          <w:p w14:paraId="62F2F7A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Memantín p.o. 10 mg/ml</w:t>
            </w:r>
          </w:p>
        </w:tc>
      </w:tr>
      <w:tr w:rsidR="00BD4717" w:rsidRPr="0000591E" w14:paraId="1E5E10D1" w14:textId="77777777" w:rsidTr="00770A6F">
        <w:trPr>
          <w:trHeight w:val="20"/>
        </w:trPr>
        <w:tc>
          <w:tcPr>
            <w:tcW w:w="1277" w:type="dxa"/>
            <w:tcBorders>
              <w:top w:val="single" w:sz="4" w:space="0" w:color="auto"/>
              <w:bottom w:val="single" w:sz="4" w:space="0" w:color="BFBFBF" w:themeColor="background1" w:themeShade="BF"/>
            </w:tcBorders>
            <w:noWrap/>
          </w:tcPr>
          <w:p w14:paraId="07C7D87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8C8609E"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neurológ alebo psychiater pri strednom až ťažkom stupni demencie Alzheimerovho typu, pričom stupeň postihnutia je vyjadrený škálou MMSE rozsahom dosiahnutého skóre 8 až 17 bodov vrátane. Každé tri mesiace sa opakuje testovanie kognitívnych funkcií MMSE a zhodnotí sa celkový stav pacienta vrátane hodnotenia globálneho fungovania v denných aktivitách a posúdenia porúch správania. </w:t>
            </w:r>
          </w:p>
          <w:p w14:paraId="5A2F4BE3" w14:textId="77777777" w:rsidR="00BD4717" w:rsidRPr="0000591E" w:rsidRDefault="00BD4717" w:rsidP="00BD4717">
            <w:pPr>
              <w:rPr>
                <w:rFonts w:ascii="Arial" w:hAnsi="Arial" w:cs="Arial"/>
                <w:sz w:val="20"/>
                <w:szCs w:val="20"/>
              </w:rPr>
            </w:pPr>
            <w:r w:rsidRPr="0000591E">
              <w:rPr>
                <w:rFonts w:ascii="Arial" w:hAnsi="Arial" w:cs="Arial"/>
                <w:sz w:val="20"/>
                <w:szCs w:val="20"/>
              </w:rPr>
              <w:t>Ak skóre MMSE klesne pod 8 bodov, ďalšia liečba nie je hradenou liečbou.</w:t>
            </w:r>
          </w:p>
          <w:p w14:paraId="613A8DC8" w14:textId="77777777" w:rsidR="00BD4717" w:rsidRPr="0000591E" w:rsidRDefault="00BD4717" w:rsidP="00BD4717">
            <w:pPr>
              <w:jc w:val="both"/>
              <w:rPr>
                <w:rFonts w:ascii="Arial" w:hAnsi="Arial" w:cs="Arial"/>
                <w:strike/>
                <w:sz w:val="20"/>
                <w:szCs w:val="20"/>
              </w:rPr>
            </w:pPr>
          </w:p>
        </w:tc>
      </w:tr>
      <w:tr w:rsidR="00BD4717" w:rsidRPr="0000591E" w14:paraId="3ED5EB7A" w14:textId="77777777" w:rsidTr="00770A6F">
        <w:trPr>
          <w:trHeight w:val="20"/>
        </w:trPr>
        <w:tc>
          <w:tcPr>
            <w:tcW w:w="1277" w:type="dxa"/>
            <w:tcBorders>
              <w:bottom w:val="single" w:sz="4" w:space="0" w:color="auto"/>
            </w:tcBorders>
            <w:noWrap/>
          </w:tcPr>
          <w:p w14:paraId="19B7EFA1"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N07BB05</w:t>
            </w:r>
          </w:p>
        </w:tc>
        <w:tc>
          <w:tcPr>
            <w:tcW w:w="9355" w:type="dxa"/>
            <w:tcBorders>
              <w:bottom w:val="single" w:sz="4" w:space="0" w:color="auto"/>
            </w:tcBorders>
            <w:noWrap/>
          </w:tcPr>
          <w:p w14:paraId="4070B4D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Nalmefén p.o. 18 mg</w:t>
            </w:r>
          </w:p>
        </w:tc>
      </w:tr>
      <w:tr w:rsidR="00BD4717" w:rsidRPr="0000591E" w14:paraId="450C455D" w14:textId="77777777" w:rsidTr="00423E0D">
        <w:trPr>
          <w:trHeight w:val="20"/>
        </w:trPr>
        <w:tc>
          <w:tcPr>
            <w:tcW w:w="1277" w:type="dxa"/>
            <w:tcBorders>
              <w:top w:val="single" w:sz="4" w:space="0" w:color="auto"/>
              <w:bottom w:val="single" w:sz="4" w:space="0" w:color="BFBFBF" w:themeColor="background1" w:themeShade="BF"/>
            </w:tcBorders>
            <w:noWrap/>
          </w:tcPr>
          <w:p w14:paraId="2FB7859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2E8C6BF0"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po dobu najviac 12 mesiacov.</w:t>
            </w:r>
          </w:p>
          <w:p w14:paraId="5C15A29D" w14:textId="77777777" w:rsidR="00BD4717" w:rsidRPr="0000591E" w:rsidRDefault="00BD4717" w:rsidP="00BD4717">
            <w:pPr>
              <w:jc w:val="both"/>
              <w:rPr>
                <w:rFonts w:ascii="Arial" w:hAnsi="Arial" w:cs="Arial"/>
                <w:strike/>
                <w:sz w:val="20"/>
                <w:szCs w:val="20"/>
              </w:rPr>
            </w:pPr>
          </w:p>
        </w:tc>
      </w:tr>
      <w:tr w:rsidR="00BD4717" w:rsidRPr="0000591E" w14:paraId="56F65E3C" w14:textId="77777777" w:rsidTr="00423E0D">
        <w:trPr>
          <w:trHeight w:val="20"/>
        </w:trPr>
        <w:tc>
          <w:tcPr>
            <w:tcW w:w="1277" w:type="dxa"/>
            <w:tcBorders>
              <w:bottom w:val="single" w:sz="4" w:space="0" w:color="auto"/>
            </w:tcBorders>
            <w:noWrap/>
          </w:tcPr>
          <w:p w14:paraId="5D597439" w14:textId="77777777" w:rsidR="00BD4717" w:rsidRPr="00423E0D" w:rsidRDefault="00BD4717" w:rsidP="00BD4717">
            <w:pPr>
              <w:rPr>
                <w:rFonts w:ascii="Arial" w:hAnsi="Arial" w:cs="Arial"/>
                <w:b/>
                <w:bCs/>
                <w:sz w:val="20"/>
                <w:szCs w:val="20"/>
              </w:rPr>
            </w:pPr>
          </w:p>
          <w:p w14:paraId="02CDE2F2" w14:textId="23C1D01B" w:rsidR="00BD4717" w:rsidRPr="00423E0D" w:rsidRDefault="00BD4717" w:rsidP="00BD4717">
            <w:pPr>
              <w:rPr>
                <w:rFonts w:ascii="Arial" w:hAnsi="Arial" w:cs="Arial"/>
                <w:b/>
                <w:bCs/>
                <w:sz w:val="20"/>
                <w:szCs w:val="20"/>
                <w:lang w:eastAsia="cs-CZ"/>
              </w:rPr>
            </w:pPr>
            <w:r w:rsidRPr="00423E0D">
              <w:rPr>
                <w:rFonts w:ascii="Arial" w:hAnsi="Arial" w:cs="Arial"/>
                <w:b/>
                <w:bCs/>
                <w:sz w:val="20"/>
                <w:szCs w:val="20"/>
              </w:rPr>
              <w:t>N07X</w:t>
            </w:r>
          </w:p>
        </w:tc>
        <w:tc>
          <w:tcPr>
            <w:tcW w:w="9355" w:type="dxa"/>
            <w:tcBorders>
              <w:bottom w:val="single" w:sz="4" w:space="0" w:color="auto"/>
            </w:tcBorders>
          </w:tcPr>
          <w:p w14:paraId="2F880F71" w14:textId="77777777" w:rsidR="00BD4717" w:rsidRPr="00423E0D" w:rsidRDefault="00BD4717" w:rsidP="00BD4717">
            <w:pPr>
              <w:jc w:val="both"/>
              <w:rPr>
                <w:rFonts w:ascii="Arial" w:hAnsi="Arial" w:cs="Arial"/>
                <w:b/>
                <w:bCs/>
                <w:sz w:val="20"/>
                <w:szCs w:val="20"/>
              </w:rPr>
            </w:pPr>
            <w:r w:rsidRPr="00423E0D">
              <w:rPr>
                <w:rFonts w:ascii="Arial" w:hAnsi="Arial" w:cs="Arial"/>
                <w:b/>
                <w:bCs/>
                <w:sz w:val="20"/>
                <w:szCs w:val="20"/>
              </w:rPr>
              <w:t>Iné liečivá CNS parent. 1076 mg  (hydrolyzát z mozgového tkaniva)</w:t>
            </w:r>
          </w:p>
          <w:p w14:paraId="11C53E5E" w14:textId="77777777" w:rsidR="00BD4717" w:rsidRPr="00423E0D" w:rsidRDefault="00BD4717" w:rsidP="00BD4717">
            <w:pPr>
              <w:jc w:val="both"/>
              <w:rPr>
                <w:rFonts w:ascii="Arial" w:hAnsi="Arial" w:cs="Arial"/>
                <w:b/>
                <w:bCs/>
                <w:sz w:val="20"/>
                <w:szCs w:val="20"/>
                <w:lang w:eastAsia="cs-CZ"/>
              </w:rPr>
            </w:pPr>
            <w:r w:rsidRPr="00423E0D">
              <w:rPr>
                <w:rFonts w:ascii="Arial" w:hAnsi="Arial" w:cs="Arial"/>
                <w:b/>
                <w:bCs/>
                <w:sz w:val="20"/>
                <w:szCs w:val="20"/>
              </w:rPr>
              <w:t>Iné liečivá CNS parent. 2152 mg (hydrolyzát z mozgového tkaniva)</w:t>
            </w:r>
          </w:p>
        </w:tc>
      </w:tr>
      <w:tr w:rsidR="00BD4717" w:rsidRPr="0000591E" w14:paraId="32CC4D5F" w14:textId="77777777" w:rsidTr="00423E0D">
        <w:trPr>
          <w:trHeight w:val="20"/>
        </w:trPr>
        <w:tc>
          <w:tcPr>
            <w:tcW w:w="1277" w:type="dxa"/>
            <w:tcBorders>
              <w:top w:val="single" w:sz="4" w:space="0" w:color="auto"/>
              <w:bottom w:val="single" w:sz="4" w:space="0" w:color="BFBFBF" w:themeColor="background1" w:themeShade="BF"/>
            </w:tcBorders>
            <w:noWrap/>
          </w:tcPr>
          <w:p w14:paraId="0BF464F3" w14:textId="77777777" w:rsidR="00BD4717" w:rsidRPr="00770A6F" w:rsidRDefault="00BD4717" w:rsidP="00BD4717">
            <w:pPr>
              <w:rPr>
                <w:rFonts w:ascii="Arial" w:hAnsi="Arial" w:cs="Arial"/>
                <w:b/>
                <w:bCs/>
                <w:color w:val="FF0000"/>
                <w:sz w:val="20"/>
                <w:szCs w:val="20"/>
              </w:rPr>
            </w:pPr>
          </w:p>
        </w:tc>
        <w:tc>
          <w:tcPr>
            <w:tcW w:w="9355" w:type="dxa"/>
            <w:tcBorders>
              <w:top w:val="single" w:sz="4" w:space="0" w:color="auto"/>
              <w:bottom w:val="single" w:sz="4" w:space="0" w:color="BFBFBF" w:themeColor="background1" w:themeShade="BF"/>
            </w:tcBorders>
          </w:tcPr>
          <w:p w14:paraId="7C439DE2"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u detí do dovŕšenia tretieho roku veku pri detskej mozgovej obrne a posttraumatických stavoch. </w:t>
            </w:r>
          </w:p>
          <w:p w14:paraId="490CD89E"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dvakrát ročne.</w:t>
            </w:r>
          </w:p>
          <w:p w14:paraId="39D17041" w14:textId="77777777" w:rsidR="00BD4717" w:rsidRPr="00770A6F" w:rsidRDefault="00BD4717" w:rsidP="00BD4717">
            <w:pPr>
              <w:jc w:val="both"/>
              <w:rPr>
                <w:rFonts w:ascii="Arial" w:hAnsi="Arial" w:cs="Arial"/>
                <w:b/>
                <w:bCs/>
                <w:color w:val="FF0000"/>
                <w:sz w:val="20"/>
                <w:szCs w:val="20"/>
              </w:rPr>
            </w:pPr>
          </w:p>
        </w:tc>
      </w:tr>
      <w:tr w:rsidR="00BD4717" w:rsidRPr="0000591E" w14:paraId="57C796E1" w14:textId="77777777" w:rsidTr="00770A6F">
        <w:trPr>
          <w:trHeight w:val="20"/>
        </w:trPr>
        <w:tc>
          <w:tcPr>
            <w:tcW w:w="1277" w:type="dxa"/>
            <w:tcBorders>
              <w:bottom w:val="single" w:sz="4" w:space="0" w:color="auto"/>
            </w:tcBorders>
            <w:noWrap/>
          </w:tcPr>
          <w:p w14:paraId="448A0594" w14:textId="1917AA51" w:rsidR="00BD4717" w:rsidRPr="00F004C0" w:rsidRDefault="00BD4717" w:rsidP="00BD4717">
            <w:pPr>
              <w:jc w:val="both"/>
              <w:rPr>
                <w:rFonts w:ascii="Arial" w:hAnsi="Arial" w:cs="Arial"/>
                <w:b/>
                <w:sz w:val="20"/>
                <w:szCs w:val="20"/>
                <w:lang w:eastAsia="cs-CZ"/>
              </w:rPr>
            </w:pPr>
            <w:r w:rsidRPr="00F004C0">
              <w:rPr>
                <w:rFonts w:ascii="Arial" w:hAnsi="Arial" w:cs="Arial"/>
                <w:b/>
                <w:sz w:val="20"/>
                <w:szCs w:val="20"/>
                <w:lang w:eastAsia="cs-CZ"/>
              </w:rPr>
              <w:t>N07XX04</w:t>
            </w:r>
          </w:p>
        </w:tc>
        <w:tc>
          <w:tcPr>
            <w:tcW w:w="9355" w:type="dxa"/>
            <w:tcBorders>
              <w:bottom w:val="single" w:sz="4" w:space="0" w:color="auto"/>
            </w:tcBorders>
            <w:noWrap/>
          </w:tcPr>
          <w:p w14:paraId="268502C2" w14:textId="77777777" w:rsidR="00BD4717" w:rsidRPr="00F004C0" w:rsidRDefault="00BD4717" w:rsidP="00BD4717">
            <w:pPr>
              <w:jc w:val="both"/>
              <w:rPr>
                <w:rFonts w:ascii="Arial" w:hAnsi="Arial" w:cs="Arial"/>
                <w:b/>
                <w:sz w:val="20"/>
                <w:szCs w:val="20"/>
              </w:rPr>
            </w:pPr>
            <w:r w:rsidRPr="00F004C0">
              <w:rPr>
                <w:rFonts w:ascii="Arial" w:hAnsi="Arial" w:cs="Arial"/>
                <w:b/>
                <w:sz w:val="20"/>
                <w:szCs w:val="20"/>
              </w:rPr>
              <w:t>Nátriumoxybát p.o. 500 mg/ml</w:t>
            </w:r>
          </w:p>
        </w:tc>
      </w:tr>
      <w:tr w:rsidR="00BD4717" w:rsidRPr="0000591E" w14:paraId="53705FD0" w14:textId="77777777" w:rsidTr="00770A6F">
        <w:trPr>
          <w:trHeight w:val="20"/>
        </w:trPr>
        <w:tc>
          <w:tcPr>
            <w:tcW w:w="1277" w:type="dxa"/>
            <w:tcBorders>
              <w:top w:val="single" w:sz="4" w:space="0" w:color="auto"/>
              <w:bottom w:val="single" w:sz="4" w:space="0" w:color="BFBFBF" w:themeColor="background1" w:themeShade="BF"/>
            </w:tcBorders>
            <w:noWrap/>
          </w:tcPr>
          <w:p w14:paraId="1EF41DBE" w14:textId="77777777" w:rsidR="00BD4717" w:rsidRPr="00021540"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625B9FF" w14:textId="77777777" w:rsidR="00BD4717" w:rsidRDefault="00BD4717" w:rsidP="00BD4717">
            <w:pPr>
              <w:jc w:val="both"/>
              <w:rPr>
                <w:rFonts w:ascii="Arial" w:hAnsi="Arial" w:cs="Arial"/>
                <w:sz w:val="20"/>
                <w:szCs w:val="20"/>
              </w:rPr>
            </w:pPr>
            <w:r w:rsidRPr="00A57B62">
              <w:rPr>
                <w:rFonts w:ascii="Arial" w:hAnsi="Arial" w:cs="Arial"/>
                <w:sz w:val="20"/>
                <w:szCs w:val="20"/>
              </w:rPr>
              <w:t>Hradená liečba sa môže indikovať po zlyhaní liečby modafinilom.</w:t>
            </w:r>
          </w:p>
          <w:p w14:paraId="405D396A" w14:textId="77777777" w:rsidR="00BD4717" w:rsidRPr="00021540" w:rsidRDefault="00BD4717" w:rsidP="00BD4717">
            <w:pPr>
              <w:jc w:val="both"/>
              <w:rPr>
                <w:rFonts w:ascii="Arial" w:hAnsi="Arial" w:cs="Arial"/>
                <w:b/>
                <w:sz w:val="20"/>
                <w:szCs w:val="20"/>
              </w:rPr>
            </w:pPr>
          </w:p>
        </w:tc>
      </w:tr>
      <w:tr w:rsidR="00BD4717" w:rsidRPr="0000591E" w14:paraId="6486AAE4" w14:textId="77777777" w:rsidTr="00770A6F">
        <w:trPr>
          <w:trHeight w:val="20"/>
        </w:trPr>
        <w:tc>
          <w:tcPr>
            <w:tcW w:w="1277" w:type="dxa"/>
            <w:tcBorders>
              <w:bottom w:val="single" w:sz="4" w:space="0" w:color="auto"/>
            </w:tcBorders>
            <w:noWrap/>
          </w:tcPr>
          <w:p w14:paraId="19189345" w14:textId="77777777" w:rsidR="00BD4717" w:rsidRPr="00021540" w:rsidRDefault="00BD4717" w:rsidP="00BD4717">
            <w:pPr>
              <w:jc w:val="both"/>
              <w:rPr>
                <w:rFonts w:ascii="Arial" w:hAnsi="Arial" w:cs="Arial"/>
                <w:b/>
                <w:sz w:val="20"/>
                <w:szCs w:val="20"/>
                <w:lang w:eastAsia="cs-CZ"/>
              </w:rPr>
            </w:pPr>
            <w:r>
              <w:rPr>
                <w:rFonts w:ascii="Arial" w:hAnsi="Arial" w:cs="Arial"/>
                <w:b/>
                <w:sz w:val="20"/>
                <w:szCs w:val="20"/>
                <w:lang w:eastAsia="cs-CZ"/>
              </w:rPr>
              <w:t>N07XX05</w:t>
            </w:r>
          </w:p>
        </w:tc>
        <w:tc>
          <w:tcPr>
            <w:tcW w:w="9355" w:type="dxa"/>
            <w:tcBorders>
              <w:bottom w:val="single" w:sz="4" w:space="0" w:color="auto"/>
            </w:tcBorders>
            <w:noWrap/>
          </w:tcPr>
          <w:p w14:paraId="5ED67656" w14:textId="77777777" w:rsidR="00BD4717" w:rsidRPr="00021540" w:rsidRDefault="00BD4717" w:rsidP="00BD4717">
            <w:pPr>
              <w:jc w:val="both"/>
              <w:rPr>
                <w:rFonts w:ascii="Arial" w:hAnsi="Arial" w:cs="Arial"/>
                <w:b/>
                <w:sz w:val="20"/>
                <w:szCs w:val="20"/>
              </w:rPr>
            </w:pPr>
            <w:r w:rsidRPr="00021540">
              <w:rPr>
                <w:rFonts w:ascii="Arial" w:hAnsi="Arial" w:cs="Arial"/>
                <w:b/>
                <w:sz w:val="20"/>
                <w:szCs w:val="20"/>
              </w:rPr>
              <w:t>Amifampridín p.o. 10 mg</w:t>
            </w:r>
          </w:p>
        </w:tc>
      </w:tr>
      <w:tr w:rsidR="00BD4717" w:rsidRPr="0000591E" w14:paraId="4A030C61" w14:textId="77777777" w:rsidTr="00770A6F">
        <w:trPr>
          <w:trHeight w:val="20"/>
        </w:trPr>
        <w:tc>
          <w:tcPr>
            <w:tcW w:w="1277" w:type="dxa"/>
            <w:tcBorders>
              <w:top w:val="single" w:sz="4" w:space="0" w:color="auto"/>
              <w:bottom w:val="single" w:sz="4" w:space="0" w:color="BFBFBF" w:themeColor="background1" w:themeShade="BF"/>
            </w:tcBorders>
            <w:noWrap/>
          </w:tcPr>
          <w:p w14:paraId="1D56CB04" w14:textId="77777777" w:rsidR="00BD4717"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5B7184B" w14:textId="77777777" w:rsidR="00BD4717" w:rsidRDefault="00BD4717" w:rsidP="00BD4717">
            <w:pPr>
              <w:autoSpaceDE w:val="0"/>
              <w:autoSpaceDN w:val="0"/>
              <w:adjustRightInd w:val="0"/>
              <w:jc w:val="both"/>
              <w:rPr>
                <w:rFonts w:ascii="Arial" w:hAnsi="Arial" w:cs="Arial"/>
                <w:color w:val="000000"/>
                <w:sz w:val="20"/>
                <w:szCs w:val="20"/>
              </w:rPr>
            </w:pPr>
            <w:r>
              <w:rPr>
                <w:rFonts w:ascii="Arial" w:hAnsi="Arial" w:cs="Arial"/>
                <w:color w:val="000000"/>
                <w:sz w:val="20"/>
                <w:szCs w:val="20"/>
              </w:rPr>
              <w:t>Hradenú liečbu môže indikovať neurológ u dospelých pacientov  v symptomatickej liečbe idiopatickej formy Lambert-Eatonovho myastenického syndrómu (LEMS), po vylúčení prítomnosti neoplatického procesu. Diagnóza musí byť potvrdená elektrofyziologickým vyšetrením, ktoré demonštruje výrazný, viac ako 100% vzostup amplitúdy evokovaného motorického akčeného potenciálu pri vysokofrekvenčnej stimulácii (30 Hz) periférneho nervu alebo plexus brachialis impulzami a sérologickým testom na autoprotilátky VGCC.</w:t>
            </w:r>
          </w:p>
          <w:p w14:paraId="364FE0B4" w14:textId="77777777" w:rsidR="00BD4717" w:rsidRDefault="00BD4717" w:rsidP="00BD4717">
            <w:pPr>
              <w:autoSpaceDE w:val="0"/>
              <w:autoSpaceDN w:val="0"/>
              <w:adjustRightInd w:val="0"/>
              <w:jc w:val="both"/>
              <w:rPr>
                <w:rFonts w:ascii="Arial" w:hAnsi="Arial" w:cs="Arial"/>
                <w:color w:val="000000"/>
                <w:sz w:val="20"/>
                <w:szCs w:val="20"/>
              </w:rPr>
            </w:pPr>
            <w:r>
              <w:rPr>
                <w:rFonts w:ascii="Arial" w:hAnsi="Arial" w:cs="Arial"/>
                <w:color w:val="000000"/>
                <w:sz w:val="20"/>
                <w:szCs w:val="20"/>
              </w:rPr>
              <w:t>Hradená liečba sa môže indikovať na Neurologickej klinike SZU a UNB Univerzitnej nemocnice Bratislava-Ružinov a na Neurologickej klinike  JLF UK a UNM Univerzitnej nemocnice Martin.</w:t>
            </w:r>
          </w:p>
          <w:p w14:paraId="316C18DB" w14:textId="77777777" w:rsidR="00BD4717" w:rsidRDefault="00BD4717" w:rsidP="00BD4717">
            <w:pPr>
              <w:autoSpaceDE w:val="0"/>
              <w:autoSpaceDN w:val="0"/>
              <w:adjustRightInd w:val="0"/>
              <w:jc w:val="both"/>
              <w:rPr>
                <w:rFonts w:ascii="Arial" w:hAnsi="Arial" w:cs="Arial"/>
                <w:color w:val="000000"/>
                <w:sz w:val="20"/>
                <w:szCs w:val="20"/>
              </w:rPr>
            </w:pPr>
          </w:p>
          <w:p w14:paraId="75CF6757" w14:textId="77777777" w:rsidR="00BD4717" w:rsidRDefault="00BD4717" w:rsidP="00BD4717">
            <w:pPr>
              <w:jc w:val="both"/>
              <w:rPr>
                <w:rFonts w:ascii="Arial" w:hAnsi="Arial" w:cs="Arial"/>
                <w:color w:val="000000"/>
                <w:sz w:val="20"/>
                <w:szCs w:val="20"/>
              </w:rPr>
            </w:pPr>
            <w:r>
              <w:rPr>
                <w:rFonts w:ascii="Arial" w:hAnsi="Arial" w:cs="Arial"/>
                <w:color w:val="000000"/>
                <w:sz w:val="20"/>
                <w:szCs w:val="20"/>
              </w:rPr>
              <w:t>Hradená liečba podlieha predchádzajúcemu súhlasu zdravotnej poisťovne.</w:t>
            </w:r>
          </w:p>
          <w:p w14:paraId="77939039" w14:textId="77777777" w:rsidR="00F762B8" w:rsidRDefault="00F762B8" w:rsidP="00BD4717">
            <w:pPr>
              <w:jc w:val="both"/>
              <w:rPr>
                <w:rFonts w:ascii="Arial" w:hAnsi="Arial" w:cs="Arial"/>
                <w:color w:val="000000"/>
                <w:sz w:val="20"/>
                <w:szCs w:val="20"/>
              </w:rPr>
            </w:pPr>
          </w:p>
          <w:p w14:paraId="44CEBBAF" w14:textId="66F8E754" w:rsidR="00BD4717" w:rsidRPr="00A57B62" w:rsidRDefault="00BD4717" w:rsidP="00BD4717">
            <w:pPr>
              <w:jc w:val="both"/>
              <w:rPr>
                <w:rFonts w:ascii="Arial" w:hAnsi="Arial" w:cs="Arial"/>
                <w:sz w:val="20"/>
                <w:szCs w:val="20"/>
              </w:rPr>
            </w:pPr>
          </w:p>
        </w:tc>
      </w:tr>
      <w:tr w:rsidR="00BD4717" w:rsidRPr="0000591E" w14:paraId="4E22C2CA" w14:textId="77777777" w:rsidTr="00770A6F">
        <w:trPr>
          <w:trHeight w:val="20"/>
        </w:trPr>
        <w:tc>
          <w:tcPr>
            <w:tcW w:w="1277" w:type="dxa"/>
            <w:tcBorders>
              <w:bottom w:val="single" w:sz="4" w:space="0" w:color="auto"/>
            </w:tcBorders>
            <w:noWrap/>
          </w:tcPr>
          <w:p w14:paraId="71FEBCFA"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N07X</w:t>
            </w:r>
            <w:r>
              <w:rPr>
                <w:rFonts w:ascii="Arial" w:hAnsi="Arial" w:cs="Arial"/>
                <w:b/>
                <w:bCs/>
                <w:sz w:val="20"/>
                <w:szCs w:val="20"/>
              </w:rPr>
              <w:t>X06</w:t>
            </w:r>
          </w:p>
        </w:tc>
        <w:tc>
          <w:tcPr>
            <w:tcW w:w="9355" w:type="dxa"/>
            <w:tcBorders>
              <w:bottom w:val="single" w:sz="4" w:space="0" w:color="auto"/>
            </w:tcBorders>
          </w:tcPr>
          <w:p w14:paraId="54A4B78F"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rPr>
              <w:t>Tetrabenazín</w:t>
            </w:r>
            <w:r w:rsidRPr="00492068">
              <w:rPr>
                <w:rFonts w:ascii="Arial" w:hAnsi="Arial" w:cs="Arial"/>
                <w:b/>
                <w:bCs/>
                <w:sz w:val="20"/>
                <w:szCs w:val="20"/>
              </w:rPr>
              <w:t xml:space="preserve"> p.o. 25 mg</w:t>
            </w:r>
            <w:r w:rsidRPr="0000591E">
              <w:rPr>
                <w:rFonts w:ascii="Arial" w:hAnsi="Arial" w:cs="Arial"/>
                <w:b/>
                <w:bCs/>
                <w:sz w:val="20"/>
                <w:szCs w:val="20"/>
              </w:rPr>
              <w:t xml:space="preserve"> </w:t>
            </w:r>
          </w:p>
        </w:tc>
      </w:tr>
      <w:tr w:rsidR="00BD4717" w:rsidRPr="0000591E" w14:paraId="15549B9D" w14:textId="77777777" w:rsidTr="00770A6F">
        <w:trPr>
          <w:trHeight w:val="20"/>
        </w:trPr>
        <w:tc>
          <w:tcPr>
            <w:tcW w:w="1277" w:type="dxa"/>
            <w:tcBorders>
              <w:top w:val="single" w:sz="4" w:space="0" w:color="auto"/>
              <w:bottom w:val="single" w:sz="4" w:space="0" w:color="BFBFBF" w:themeColor="background1" w:themeShade="BF"/>
            </w:tcBorders>
            <w:noWrap/>
          </w:tcPr>
          <w:p w14:paraId="2697910E"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1FA49F7A" w14:textId="77777777" w:rsidR="00BD4717" w:rsidRPr="0000591E" w:rsidRDefault="00BD4717" w:rsidP="00BD4717">
            <w:pPr>
              <w:jc w:val="both"/>
              <w:rPr>
                <w:rFonts w:ascii="Arial" w:hAnsi="Arial" w:cs="Arial"/>
                <w:sz w:val="20"/>
                <w:szCs w:val="20"/>
              </w:rPr>
            </w:pPr>
            <w:r w:rsidRPr="00A94C80">
              <w:rPr>
                <w:rFonts w:ascii="Arial" w:hAnsi="Arial" w:cs="Arial"/>
                <w:sz w:val="20"/>
                <w:szCs w:val="20"/>
              </w:rPr>
              <w:t>Hradenú liečbu môže indikovať neurológ na liečbu hyperkinetických motorických ochorení u pacientov s Huntingtonovou choreou, u ktorých zlyhali alebo nie sú tolerované lieky zo skupiny neuroleptík.</w:t>
            </w:r>
          </w:p>
          <w:p w14:paraId="0986D98D" w14:textId="77777777" w:rsidR="00BD4717" w:rsidRPr="0000591E" w:rsidRDefault="00BD4717" w:rsidP="00BD4717">
            <w:pPr>
              <w:jc w:val="both"/>
              <w:rPr>
                <w:rFonts w:ascii="Arial" w:hAnsi="Arial" w:cs="Arial"/>
                <w:sz w:val="20"/>
                <w:szCs w:val="20"/>
              </w:rPr>
            </w:pPr>
          </w:p>
        </w:tc>
      </w:tr>
      <w:tr w:rsidR="00BD4717" w:rsidRPr="0000591E" w14:paraId="75BAEDAF" w14:textId="77777777" w:rsidTr="00770A6F">
        <w:trPr>
          <w:trHeight w:val="20"/>
        </w:trPr>
        <w:tc>
          <w:tcPr>
            <w:tcW w:w="1277" w:type="dxa"/>
            <w:tcBorders>
              <w:bottom w:val="single" w:sz="4" w:space="0" w:color="auto"/>
            </w:tcBorders>
            <w:noWrap/>
          </w:tcPr>
          <w:p w14:paraId="147BB577"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t>N07XX08</w:t>
            </w:r>
          </w:p>
        </w:tc>
        <w:tc>
          <w:tcPr>
            <w:tcW w:w="9355" w:type="dxa"/>
            <w:tcBorders>
              <w:bottom w:val="single" w:sz="4" w:space="0" w:color="auto"/>
            </w:tcBorders>
            <w:noWrap/>
          </w:tcPr>
          <w:p w14:paraId="68ED614E"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t>Tafamidis p.o. 61 mg</w:t>
            </w:r>
          </w:p>
        </w:tc>
      </w:tr>
      <w:tr w:rsidR="00BD4717" w:rsidRPr="0000591E" w14:paraId="3006B403" w14:textId="77777777" w:rsidTr="00910035">
        <w:trPr>
          <w:trHeight w:val="20"/>
        </w:trPr>
        <w:tc>
          <w:tcPr>
            <w:tcW w:w="1277" w:type="dxa"/>
            <w:tcBorders>
              <w:top w:val="single" w:sz="4" w:space="0" w:color="auto"/>
              <w:bottom w:val="single" w:sz="4" w:space="0" w:color="BFBFBF" w:themeColor="background1" w:themeShade="BF"/>
            </w:tcBorders>
            <w:noWrap/>
          </w:tcPr>
          <w:p w14:paraId="1F3D588C" w14:textId="77777777" w:rsidR="00BD4717" w:rsidRPr="00D37683"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F7AC403" w14:textId="77777777" w:rsidR="00BD4717" w:rsidRPr="00147FEE" w:rsidRDefault="00BD4717" w:rsidP="00BD4717">
            <w:pPr>
              <w:jc w:val="both"/>
              <w:rPr>
                <w:rFonts w:ascii="Arial" w:hAnsi="Arial" w:cs="Arial"/>
                <w:bCs/>
                <w:sz w:val="20"/>
                <w:szCs w:val="20"/>
              </w:rPr>
            </w:pPr>
            <w:r w:rsidRPr="00147FEE">
              <w:rPr>
                <w:rFonts w:ascii="Arial" w:hAnsi="Arial" w:cs="Arial"/>
                <w:bCs/>
                <w:sz w:val="20"/>
                <w:szCs w:val="20"/>
              </w:rPr>
              <w:t>Hradená liečba sa môže indikovať dospelým pacientom s transtyretínovou amyloidózou divokého typu (wild type) s</w:t>
            </w:r>
            <w:r>
              <w:rPr>
                <w:rFonts w:ascii="Arial" w:hAnsi="Arial" w:cs="Arial"/>
                <w:bCs/>
                <w:sz w:val="20"/>
                <w:szCs w:val="20"/>
              </w:rPr>
              <w:t xml:space="preserve"> </w:t>
            </w:r>
            <w:r w:rsidRPr="00147FEE">
              <w:rPr>
                <w:rFonts w:ascii="Arial" w:hAnsi="Arial" w:cs="Arial"/>
                <w:bCs/>
                <w:sz w:val="20"/>
                <w:szCs w:val="20"/>
              </w:rPr>
              <w:t>kardiomyopatiou, ktorí sú v triedach I-III vo funkčnej klasifikácie srdcového zlyhávania podľa NYHA (New York Heart</w:t>
            </w:r>
            <w:r>
              <w:rPr>
                <w:rFonts w:ascii="Arial" w:hAnsi="Arial" w:cs="Arial"/>
                <w:bCs/>
                <w:sz w:val="20"/>
                <w:szCs w:val="20"/>
              </w:rPr>
              <w:t xml:space="preserve"> </w:t>
            </w:r>
            <w:r w:rsidRPr="00147FEE">
              <w:rPr>
                <w:rFonts w:ascii="Arial" w:hAnsi="Arial" w:cs="Arial"/>
                <w:bCs/>
                <w:sz w:val="20"/>
                <w:szCs w:val="20"/>
              </w:rPr>
              <w:t>Association).</w:t>
            </w:r>
          </w:p>
          <w:p w14:paraId="73BE4FB3" w14:textId="5C106B9E" w:rsidR="00BD4717" w:rsidRDefault="00BD4717" w:rsidP="00BD4717">
            <w:pPr>
              <w:jc w:val="both"/>
              <w:rPr>
                <w:rFonts w:ascii="Arial" w:hAnsi="Arial" w:cs="Arial"/>
                <w:bCs/>
                <w:sz w:val="20"/>
                <w:szCs w:val="20"/>
              </w:rPr>
            </w:pPr>
            <w:r w:rsidRPr="00147FEE">
              <w:rPr>
                <w:rFonts w:ascii="Arial" w:hAnsi="Arial" w:cs="Arial"/>
                <w:bCs/>
                <w:sz w:val="20"/>
                <w:szCs w:val="20"/>
              </w:rPr>
              <w:t>Hradená liečba sa môže indikovať v Národnom ústave srdcových a cievnych chorôb, a. s., Bratislava, v</w:t>
            </w:r>
            <w:r>
              <w:rPr>
                <w:rFonts w:ascii="Arial" w:hAnsi="Arial" w:cs="Arial"/>
                <w:bCs/>
                <w:sz w:val="20"/>
                <w:szCs w:val="20"/>
              </w:rPr>
              <w:t xml:space="preserve"> </w:t>
            </w:r>
            <w:r w:rsidRPr="00147FEE">
              <w:rPr>
                <w:rFonts w:ascii="Arial" w:hAnsi="Arial" w:cs="Arial"/>
                <w:bCs/>
                <w:sz w:val="20"/>
                <w:szCs w:val="20"/>
              </w:rPr>
              <w:t>Stredoslovenskom ústave srdcových a cievnych chorôb, a.s., Banská Bystrica a vo Východoslovenskom ústave</w:t>
            </w:r>
            <w:r>
              <w:rPr>
                <w:rFonts w:ascii="Arial" w:hAnsi="Arial" w:cs="Arial"/>
                <w:bCs/>
                <w:sz w:val="20"/>
                <w:szCs w:val="20"/>
              </w:rPr>
              <w:t xml:space="preserve"> </w:t>
            </w:r>
            <w:r w:rsidRPr="00147FEE">
              <w:rPr>
                <w:rFonts w:ascii="Arial" w:hAnsi="Arial" w:cs="Arial"/>
                <w:bCs/>
                <w:sz w:val="20"/>
                <w:szCs w:val="20"/>
              </w:rPr>
              <w:t>srdcových chorôb, Košice.</w:t>
            </w:r>
          </w:p>
          <w:p w14:paraId="623E7B7E" w14:textId="77777777" w:rsidR="00BD4717" w:rsidRDefault="00BD4717" w:rsidP="00BD4717">
            <w:pPr>
              <w:jc w:val="both"/>
              <w:rPr>
                <w:rFonts w:ascii="Arial" w:hAnsi="Arial" w:cs="Arial"/>
                <w:bCs/>
                <w:sz w:val="20"/>
                <w:szCs w:val="20"/>
              </w:rPr>
            </w:pPr>
            <w:r w:rsidRPr="00147FEE">
              <w:rPr>
                <w:rFonts w:ascii="Arial" w:hAnsi="Arial" w:cs="Arial"/>
                <w:bCs/>
                <w:sz w:val="20"/>
                <w:szCs w:val="20"/>
              </w:rPr>
              <w:t>Hradená liečba podlieha predchádzajúcemu súhlasu zdravotnej poisťovne.</w:t>
            </w:r>
          </w:p>
          <w:p w14:paraId="14F90377" w14:textId="3CA346A5" w:rsidR="00BD4717" w:rsidRPr="00D37683" w:rsidRDefault="00BD4717" w:rsidP="00BD4717">
            <w:pPr>
              <w:jc w:val="both"/>
              <w:rPr>
                <w:rFonts w:ascii="Arial" w:hAnsi="Arial" w:cs="Arial"/>
                <w:b/>
                <w:bCs/>
                <w:sz w:val="20"/>
                <w:szCs w:val="20"/>
              </w:rPr>
            </w:pPr>
          </w:p>
        </w:tc>
      </w:tr>
      <w:tr w:rsidR="00BD4717" w:rsidRPr="0000591E" w14:paraId="59A51B6B" w14:textId="77777777" w:rsidTr="003366F8">
        <w:trPr>
          <w:trHeight w:val="20"/>
        </w:trPr>
        <w:tc>
          <w:tcPr>
            <w:tcW w:w="1277" w:type="dxa"/>
            <w:tcBorders>
              <w:bottom w:val="single" w:sz="4" w:space="0" w:color="auto"/>
            </w:tcBorders>
            <w:noWrap/>
          </w:tcPr>
          <w:p w14:paraId="189953CC" w14:textId="3078F3EC" w:rsidR="00BD4717" w:rsidRPr="00D37683" w:rsidRDefault="00BD4717" w:rsidP="00BD4717">
            <w:pPr>
              <w:jc w:val="both"/>
              <w:rPr>
                <w:rFonts w:ascii="Arial" w:hAnsi="Arial" w:cs="Arial"/>
                <w:b/>
                <w:bCs/>
                <w:sz w:val="20"/>
                <w:szCs w:val="20"/>
              </w:rPr>
            </w:pPr>
            <w:r w:rsidRPr="00485804">
              <w:rPr>
                <w:rFonts w:ascii="Arial" w:hAnsi="Arial" w:cs="Arial"/>
                <w:b/>
                <w:bCs/>
                <w:sz w:val="20"/>
                <w:szCs w:val="20"/>
              </w:rPr>
              <w:t>N07XX</w:t>
            </w:r>
            <w:r>
              <w:rPr>
                <w:rFonts w:ascii="Arial" w:hAnsi="Arial" w:cs="Arial"/>
                <w:b/>
                <w:bCs/>
                <w:sz w:val="20"/>
                <w:szCs w:val="20"/>
              </w:rPr>
              <w:t>1</w:t>
            </w:r>
            <w:r w:rsidRPr="00485804">
              <w:rPr>
                <w:rFonts w:ascii="Arial" w:hAnsi="Arial" w:cs="Arial"/>
                <w:b/>
                <w:bCs/>
                <w:sz w:val="20"/>
                <w:szCs w:val="20"/>
              </w:rPr>
              <w:t>8</w:t>
            </w:r>
          </w:p>
        </w:tc>
        <w:tc>
          <w:tcPr>
            <w:tcW w:w="9355" w:type="dxa"/>
            <w:tcBorders>
              <w:bottom w:val="single" w:sz="4" w:space="0" w:color="auto"/>
            </w:tcBorders>
            <w:noWrap/>
          </w:tcPr>
          <w:p w14:paraId="4D308683" w14:textId="2EA9492B" w:rsidR="00BD4717" w:rsidRPr="00D37683" w:rsidRDefault="00BD4717" w:rsidP="00BD4717">
            <w:pPr>
              <w:jc w:val="both"/>
              <w:rPr>
                <w:rFonts w:ascii="Arial" w:hAnsi="Arial" w:cs="Arial"/>
                <w:b/>
                <w:bCs/>
                <w:sz w:val="20"/>
                <w:szCs w:val="20"/>
              </w:rPr>
            </w:pPr>
            <w:r w:rsidRPr="003366F8">
              <w:rPr>
                <w:rFonts w:ascii="Arial" w:hAnsi="Arial" w:cs="Arial"/>
                <w:b/>
                <w:bCs/>
                <w:sz w:val="20"/>
                <w:szCs w:val="20"/>
              </w:rPr>
              <w:t>Vutrisíran</w:t>
            </w:r>
            <w:r>
              <w:rPr>
                <w:rFonts w:ascii="Arial" w:hAnsi="Arial" w:cs="Arial"/>
                <w:b/>
                <w:bCs/>
                <w:sz w:val="20"/>
                <w:szCs w:val="20"/>
              </w:rPr>
              <w:t xml:space="preserve"> </w:t>
            </w:r>
            <w:r w:rsidRPr="003366F8">
              <w:rPr>
                <w:rFonts w:ascii="Arial" w:hAnsi="Arial" w:cs="Arial"/>
                <w:b/>
                <w:bCs/>
                <w:sz w:val="20"/>
                <w:szCs w:val="20"/>
              </w:rPr>
              <w:t>parent. 25 mg</w:t>
            </w:r>
          </w:p>
        </w:tc>
      </w:tr>
      <w:tr w:rsidR="00BD4717" w:rsidRPr="0000591E" w14:paraId="59C13856" w14:textId="77777777" w:rsidTr="003366F8">
        <w:trPr>
          <w:trHeight w:val="20"/>
        </w:trPr>
        <w:tc>
          <w:tcPr>
            <w:tcW w:w="1277" w:type="dxa"/>
            <w:tcBorders>
              <w:top w:val="single" w:sz="4" w:space="0" w:color="auto"/>
              <w:bottom w:val="nil"/>
            </w:tcBorders>
            <w:noWrap/>
          </w:tcPr>
          <w:p w14:paraId="03B064D6" w14:textId="77777777" w:rsidR="00BD4717" w:rsidRPr="00D37683"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469D2D6F" w14:textId="77777777" w:rsidR="00BD4717" w:rsidRPr="003366F8" w:rsidRDefault="00BD4717" w:rsidP="00BD4717">
            <w:pPr>
              <w:jc w:val="both"/>
              <w:rPr>
                <w:rFonts w:ascii="Arial" w:hAnsi="Arial" w:cs="Arial"/>
                <w:sz w:val="20"/>
                <w:szCs w:val="20"/>
              </w:rPr>
            </w:pPr>
            <w:r w:rsidRPr="003366F8">
              <w:rPr>
                <w:rFonts w:ascii="Arial" w:hAnsi="Arial" w:cs="Arial"/>
                <w:sz w:val="20"/>
                <w:szCs w:val="20"/>
              </w:rPr>
              <w:t>Hradená liečba je indikovaná na liečbu dedičnej formy transtyretínovej amyloidózy (hereditary transthyretin-mediated amyloidosis, hATTR amyloidosis) u dospelých pacientov s polyneuropatiou 1. alebo 2. stupňa. </w:t>
            </w:r>
          </w:p>
          <w:p w14:paraId="16E4D4A4" w14:textId="77777777" w:rsidR="00BD4717" w:rsidRPr="003366F8" w:rsidRDefault="00BD4717" w:rsidP="00BD4717">
            <w:pPr>
              <w:jc w:val="both"/>
              <w:rPr>
                <w:rFonts w:ascii="Arial" w:hAnsi="Arial" w:cs="Arial"/>
                <w:sz w:val="20"/>
                <w:szCs w:val="20"/>
              </w:rPr>
            </w:pPr>
            <w:r w:rsidRPr="003366F8">
              <w:rPr>
                <w:rFonts w:ascii="Arial" w:hAnsi="Arial" w:cs="Arial"/>
                <w:sz w:val="20"/>
                <w:szCs w:val="20"/>
              </w:rPr>
              <w:t>Hradená liečba sa môže indikovať v Univerzitnej nemocnici Bratislava – Ružinov. Hradená liečba sa môže aplikovať na neurologických pracoviskách. </w:t>
            </w:r>
          </w:p>
          <w:p w14:paraId="21B60401" w14:textId="77777777" w:rsidR="00BD4717" w:rsidRDefault="00BD4717" w:rsidP="00BD4717">
            <w:pPr>
              <w:jc w:val="both"/>
              <w:rPr>
                <w:rFonts w:ascii="Arial" w:hAnsi="Arial" w:cs="Arial"/>
                <w:sz w:val="20"/>
                <w:szCs w:val="20"/>
              </w:rPr>
            </w:pPr>
            <w:r w:rsidRPr="003366F8">
              <w:rPr>
                <w:rFonts w:ascii="Arial" w:hAnsi="Arial" w:cs="Arial"/>
                <w:sz w:val="20"/>
                <w:szCs w:val="20"/>
              </w:rPr>
              <w:t>Hradená liečba podlieha predchádzajúcemu schváleniu zdravotnou poisťovňou.</w:t>
            </w:r>
          </w:p>
          <w:p w14:paraId="21191181" w14:textId="63BE5ED5" w:rsidR="00BD4717" w:rsidRPr="003366F8" w:rsidRDefault="00BD4717" w:rsidP="00BD4717">
            <w:pPr>
              <w:jc w:val="both"/>
              <w:rPr>
                <w:rFonts w:ascii="Arial" w:hAnsi="Arial" w:cs="Arial"/>
                <w:sz w:val="20"/>
                <w:szCs w:val="20"/>
              </w:rPr>
            </w:pPr>
          </w:p>
        </w:tc>
      </w:tr>
      <w:tr w:rsidR="00BD4717" w:rsidRPr="0000591E" w14:paraId="01AC1517" w14:textId="77777777" w:rsidTr="009B1328">
        <w:trPr>
          <w:trHeight w:val="20"/>
        </w:trPr>
        <w:tc>
          <w:tcPr>
            <w:tcW w:w="1277" w:type="dxa"/>
            <w:tcBorders>
              <w:top w:val="nil"/>
              <w:bottom w:val="single" w:sz="4" w:space="0" w:color="auto"/>
            </w:tcBorders>
            <w:noWrap/>
          </w:tcPr>
          <w:p w14:paraId="6A09D9A6" w14:textId="4DEC33D9" w:rsidR="00BD4717" w:rsidRPr="00D37683" w:rsidRDefault="00BD4717" w:rsidP="00BD4717">
            <w:pPr>
              <w:jc w:val="both"/>
              <w:rPr>
                <w:rFonts w:ascii="Arial" w:hAnsi="Arial" w:cs="Arial"/>
                <w:b/>
                <w:bCs/>
                <w:sz w:val="20"/>
                <w:szCs w:val="20"/>
              </w:rPr>
            </w:pPr>
            <w:r w:rsidRPr="009B1328">
              <w:rPr>
                <w:rFonts w:ascii="Arial" w:hAnsi="Arial" w:cs="Arial"/>
                <w:b/>
                <w:bCs/>
                <w:sz w:val="20"/>
                <w:szCs w:val="20"/>
              </w:rPr>
              <w:t>N07XX25</w:t>
            </w:r>
          </w:p>
        </w:tc>
        <w:tc>
          <w:tcPr>
            <w:tcW w:w="9355" w:type="dxa"/>
            <w:tcBorders>
              <w:top w:val="nil"/>
              <w:bottom w:val="single" w:sz="4" w:space="0" w:color="auto"/>
            </w:tcBorders>
            <w:noWrap/>
          </w:tcPr>
          <w:p w14:paraId="16EF9ECE" w14:textId="350EF4A7" w:rsidR="00BD4717" w:rsidRPr="00D37683" w:rsidRDefault="00BD4717" w:rsidP="00BD4717">
            <w:pPr>
              <w:jc w:val="both"/>
              <w:rPr>
                <w:rFonts w:ascii="Arial" w:hAnsi="Arial" w:cs="Arial"/>
                <w:b/>
                <w:bCs/>
                <w:sz w:val="20"/>
                <w:szCs w:val="20"/>
              </w:rPr>
            </w:pPr>
            <w:r>
              <w:rPr>
                <w:rFonts w:ascii="Arial" w:hAnsi="Arial" w:cs="Arial"/>
                <w:b/>
                <w:bCs/>
                <w:sz w:val="20"/>
                <w:szCs w:val="20"/>
              </w:rPr>
              <w:t>O</w:t>
            </w:r>
            <w:r w:rsidRPr="009B1328">
              <w:rPr>
                <w:rFonts w:ascii="Arial" w:hAnsi="Arial" w:cs="Arial"/>
                <w:b/>
                <w:bCs/>
                <w:sz w:val="20"/>
                <w:szCs w:val="20"/>
              </w:rPr>
              <w:t>maveloxolón</w:t>
            </w:r>
            <w:r>
              <w:rPr>
                <w:rFonts w:ascii="Arial" w:hAnsi="Arial" w:cs="Arial"/>
                <w:b/>
                <w:bCs/>
                <w:sz w:val="20"/>
                <w:szCs w:val="20"/>
              </w:rPr>
              <w:t xml:space="preserve"> </w:t>
            </w:r>
            <w:r w:rsidRPr="009B1328">
              <w:rPr>
                <w:rFonts w:ascii="Arial" w:hAnsi="Arial" w:cs="Arial"/>
                <w:b/>
                <w:bCs/>
                <w:sz w:val="20"/>
                <w:szCs w:val="20"/>
              </w:rPr>
              <w:t>p.o. 50 mg</w:t>
            </w:r>
          </w:p>
        </w:tc>
      </w:tr>
      <w:tr w:rsidR="00BD4717" w:rsidRPr="0000591E" w14:paraId="0C00BEB6" w14:textId="77777777" w:rsidTr="009B1328">
        <w:trPr>
          <w:trHeight w:val="20"/>
        </w:trPr>
        <w:tc>
          <w:tcPr>
            <w:tcW w:w="1277" w:type="dxa"/>
            <w:tcBorders>
              <w:top w:val="single" w:sz="4" w:space="0" w:color="auto"/>
              <w:bottom w:val="nil"/>
            </w:tcBorders>
            <w:noWrap/>
          </w:tcPr>
          <w:p w14:paraId="70DA20E6" w14:textId="77777777" w:rsidR="00BD4717" w:rsidRPr="00D37683"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3111F193"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Hradenú liečbu môže indikovať neurológ u pacientov:</w:t>
            </w:r>
          </w:p>
          <w:p w14:paraId="36C9AD9D"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1. vo veku ≥ 16 rokov,</w:t>
            </w:r>
          </w:p>
          <w:p w14:paraId="721630BB"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2. s diagnózou Friedreichovej ataxie, potvrdenej molekulárno-genetickým testovaním a prítomnosťou bialelického patogénneho variantu v géne FXN,</w:t>
            </w:r>
          </w:p>
          <w:p w14:paraId="585867D3"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3. s modifikovaným skóre FARS (mFARS) viac ako 20 až ≤ 80,</w:t>
            </w:r>
          </w:p>
          <w:p w14:paraId="5293E716"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4. ktorí nemajú závažné poškodenie funkcie pečene (Child-Pugh C),</w:t>
            </w:r>
          </w:p>
          <w:p w14:paraId="0F15243E"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5. ktorí nemajú nedostatočne kontrolovaný diabetes mellitus (HbA1c &gt; 11,0 %).</w:t>
            </w:r>
          </w:p>
          <w:p w14:paraId="391C0B8E" w14:textId="77777777" w:rsidR="00BD4717" w:rsidRPr="009B1328" w:rsidRDefault="00BD4717" w:rsidP="00BD4717">
            <w:pPr>
              <w:jc w:val="both"/>
              <w:rPr>
                <w:rFonts w:ascii="Arial" w:hAnsi="Arial" w:cs="Arial"/>
                <w:sz w:val="20"/>
                <w:szCs w:val="20"/>
              </w:rPr>
            </w:pPr>
          </w:p>
          <w:p w14:paraId="03F426CC"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Ďalšia liečba nie je hradenou liečbou, ak je zistené aspoň jedno z týchto kritérií:</w:t>
            </w:r>
          </w:p>
          <w:p w14:paraId="1C26A42A"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 xml:space="preserve">1. Ak u pacienta došlo od začiatku liečby k zvýšeniu skóre mFARS po 5 mesiacoch liečby doporučenou dávkou omaveloxolónu 150 mg denne, pričom úprava dávky v dôsledku nežiaducich účinkov lieku nie je považovaná za nedostatočnú účinnosť liečby, resp. odpoveď na liečbu. Ak sa u pacienta dosiahne kritérium ukončenia liečby v 5. mesiaci, liečba sa má prerušiť len vtedy, ak druhé meranie skóre mFARS v priebehu jedného mesiaca potvrdí výsledok predchádzajúceho skóre mFARS. </w:t>
            </w:r>
          </w:p>
          <w:p w14:paraId="1174A6F8"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2. Ak u pacienta došlo k zvýšeniu skóre mFARS o viac ako 1,5 bodu po prvých 12 mesiacoch liečby v porovnaní s hodnotou na začiatku liečby alebo 3 body po prvých 24 mesiacoch liečby v porovnaní s hodnotou na začiatku liečby. U pacientov s geneticky potvrdeným počtom repetícií tripletov GAA1 viac ako 500, liečba nie je hradenou liečbou ak došlo k zvýšeniu skóre mFARS o viac ako 2 body po prvých 12 mesiacoch liečby v porovnaní s hodnotou na začiatku liečby alebo o viac ako 4 body po prvých 24 mesiacoch liečby v porovnaní s hodnotou na začiatku liečby.</w:t>
            </w:r>
          </w:p>
          <w:p w14:paraId="4336250D"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Liečba sa má prerušiť len vtedy, ak druhé meranie skóre mFARS v priebehu jedného mesiaca potvrdí výsledok.</w:t>
            </w:r>
          </w:p>
          <w:p w14:paraId="0F383CF7"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3. Srdcové zlyhanie vyhodnotené kardiológom podľa aktuálnych štandardných klinických usmernení.</w:t>
            </w:r>
          </w:p>
          <w:p w14:paraId="7B879004"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4. ALT alebo AST &gt; 5-násobok ULN s príznakmi zlyhania pečene.</w:t>
            </w:r>
          </w:p>
          <w:p w14:paraId="1AACE3D0"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5. Život ohrozujúce nežiaduce účinky napriek adekvátnej odpovede na liečbu.</w:t>
            </w:r>
          </w:p>
          <w:p w14:paraId="75AC6DDD"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6. Nedostatočná spolupráca pacienta alebo jeho zákonného zástupcu, najmä ak sa opakovane nedostavuje na pravidelné sledovanie účinnosti a bezpečnosti liečby.</w:t>
            </w:r>
          </w:p>
          <w:p w14:paraId="549705F5"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Hradená liečba sa môže indikovať na Neurologickej klinike LF UPJŠ a Univerzitnej nemocnice L. Pasteura Košice, Neurologickej klinike JLF a Univerzitnej nemocnice Martin, II. neurologickej klinike LF UK a Univerzitnej nemocnice Bratislava a Klinike detskej neurológie LF UK a Národného ústavu detských chorôb v Bratislave.</w:t>
            </w:r>
          </w:p>
          <w:p w14:paraId="41D4909E" w14:textId="77777777" w:rsidR="00BD4717" w:rsidRDefault="00BD4717" w:rsidP="00BD4717">
            <w:pPr>
              <w:jc w:val="both"/>
              <w:rPr>
                <w:rFonts w:ascii="Arial" w:hAnsi="Arial" w:cs="Arial"/>
                <w:sz w:val="20"/>
                <w:szCs w:val="20"/>
              </w:rPr>
            </w:pPr>
            <w:r w:rsidRPr="009B1328">
              <w:rPr>
                <w:rFonts w:ascii="Arial" w:hAnsi="Arial" w:cs="Arial"/>
                <w:sz w:val="20"/>
                <w:szCs w:val="20"/>
              </w:rPr>
              <w:t>Hradená liečba podlieha predchádzajúcemu súhlasu zdravotnej poisťovne.</w:t>
            </w:r>
          </w:p>
          <w:p w14:paraId="7B2D180E" w14:textId="7AB2FA12" w:rsidR="00BD4717" w:rsidRPr="009B1328" w:rsidRDefault="00BD4717" w:rsidP="00BD4717">
            <w:pPr>
              <w:jc w:val="both"/>
              <w:rPr>
                <w:rFonts w:ascii="Arial" w:hAnsi="Arial" w:cs="Arial"/>
                <w:sz w:val="20"/>
                <w:szCs w:val="20"/>
              </w:rPr>
            </w:pPr>
          </w:p>
        </w:tc>
      </w:tr>
      <w:tr w:rsidR="00BD4717" w:rsidRPr="0000591E" w14:paraId="0F0BA917" w14:textId="77777777" w:rsidTr="009B1328">
        <w:trPr>
          <w:trHeight w:val="20"/>
        </w:trPr>
        <w:tc>
          <w:tcPr>
            <w:tcW w:w="1277" w:type="dxa"/>
            <w:tcBorders>
              <w:top w:val="nil"/>
              <w:bottom w:val="single" w:sz="4" w:space="0" w:color="auto"/>
            </w:tcBorders>
            <w:noWrap/>
          </w:tcPr>
          <w:p w14:paraId="0C34B162" w14:textId="77777777" w:rsidR="00BD4717" w:rsidRPr="0000591E" w:rsidRDefault="00BD4717" w:rsidP="00BD4717">
            <w:pPr>
              <w:jc w:val="both"/>
              <w:rPr>
                <w:rFonts w:ascii="Arial" w:hAnsi="Arial" w:cs="Arial"/>
                <w:b/>
                <w:bCs/>
                <w:sz w:val="20"/>
                <w:szCs w:val="20"/>
              </w:rPr>
            </w:pPr>
            <w:r w:rsidRPr="00D37683">
              <w:rPr>
                <w:rFonts w:ascii="Arial" w:hAnsi="Arial" w:cs="Arial"/>
                <w:b/>
                <w:bCs/>
                <w:sz w:val="20"/>
                <w:szCs w:val="20"/>
              </w:rPr>
              <w:t>P01BA02</w:t>
            </w:r>
          </w:p>
        </w:tc>
        <w:tc>
          <w:tcPr>
            <w:tcW w:w="9355" w:type="dxa"/>
            <w:tcBorders>
              <w:top w:val="nil"/>
              <w:bottom w:val="single" w:sz="4" w:space="0" w:color="auto"/>
            </w:tcBorders>
            <w:noWrap/>
          </w:tcPr>
          <w:p w14:paraId="5C85AB5B" w14:textId="77777777" w:rsidR="00BD4717" w:rsidRPr="0000591E" w:rsidRDefault="00BD4717" w:rsidP="00BD4717">
            <w:pPr>
              <w:jc w:val="both"/>
              <w:rPr>
                <w:rFonts w:ascii="Arial" w:hAnsi="Arial" w:cs="Arial"/>
                <w:b/>
                <w:bCs/>
                <w:sz w:val="20"/>
                <w:szCs w:val="20"/>
              </w:rPr>
            </w:pPr>
            <w:r w:rsidRPr="00D37683">
              <w:rPr>
                <w:rFonts w:ascii="Arial" w:hAnsi="Arial" w:cs="Arial"/>
                <w:b/>
                <w:bCs/>
                <w:sz w:val="20"/>
                <w:szCs w:val="20"/>
              </w:rPr>
              <w:t>Hydroxychlorochin p.o. 200 mg</w:t>
            </w:r>
          </w:p>
        </w:tc>
      </w:tr>
      <w:tr w:rsidR="00BD4717" w:rsidRPr="0000591E" w14:paraId="4D72E214" w14:textId="77777777" w:rsidTr="00484CB0">
        <w:trPr>
          <w:trHeight w:val="20"/>
        </w:trPr>
        <w:tc>
          <w:tcPr>
            <w:tcW w:w="1277" w:type="dxa"/>
            <w:tcBorders>
              <w:top w:val="single" w:sz="4" w:space="0" w:color="auto"/>
              <w:bottom w:val="single" w:sz="4" w:space="0" w:color="BFBFBF" w:themeColor="background1" w:themeShade="BF"/>
            </w:tcBorders>
            <w:noWrap/>
          </w:tcPr>
          <w:p w14:paraId="4D628177"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70D8F37"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 xml:space="preserve">Hradenú liečbu  môže indikovať  </w:t>
            </w:r>
          </w:p>
          <w:p w14:paraId="3E3C1AC8"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a) reumatológ, detský reumatológ a dermatológ u pacientov so systémovým lupus erythematosus,</w:t>
            </w:r>
          </w:p>
          <w:p w14:paraId="22DC306B"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b) reumatológ, detský reumatológ a dermatológ  u pacientov s diskoidným lupus erythematosus,</w:t>
            </w:r>
          </w:p>
          <w:p w14:paraId="743A3077"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c) reumatológ u dospelých pacientov s reumatoidnou artritídou, ktorí už užívajú liečbu hydroxychlorochinom,</w:t>
            </w:r>
          </w:p>
          <w:p w14:paraId="77623CE3"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d) detský reumatológ u pacientov s juvenilnou idiopatickou  artritídou (v kombinácii s inou liečbou),</w:t>
            </w:r>
          </w:p>
          <w:p w14:paraId="0EC6D3D1"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e) dermatológ u pacientov s dermatologickými problémami spôsobenými alebo ovplyvnenými slnečným žiarením,</w:t>
            </w:r>
          </w:p>
          <w:p w14:paraId="7CB8BC6F"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f) infektológ na profylaxiu a liečbu akútnych atakov malárie spôsobenej Plasmodium vivax, P. ovale a P. malariae a citlivými kmeňmi P. falciparum,</w:t>
            </w:r>
          </w:p>
          <w:p w14:paraId="5621E16A"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g) infektológ pri radikálnej liečbe malárie spôsobenej citlivými kmeňmi P. falciparum.</w:t>
            </w:r>
          </w:p>
          <w:p w14:paraId="334A88E7" w14:textId="35146E0C" w:rsidR="00BD4717" w:rsidRPr="0000591E" w:rsidRDefault="00BD4717" w:rsidP="00BD4717">
            <w:pPr>
              <w:jc w:val="both"/>
              <w:rPr>
                <w:rFonts w:ascii="Arial" w:hAnsi="Arial" w:cs="Arial"/>
                <w:sz w:val="20"/>
                <w:szCs w:val="20"/>
              </w:rPr>
            </w:pPr>
            <w:r w:rsidRPr="00D37683">
              <w:rPr>
                <w:rFonts w:ascii="Arial" w:hAnsi="Arial" w:cs="Arial"/>
                <w:sz w:val="20"/>
                <w:szCs w:val="20"/>
              </w:rPr>
              <w:t>Je možné predpísať maximálne jedno balenie lieku na jeden mesiac.</w:t>
            </w:r>
          </w:p>
        </w:tc>
      </w:tr>
      <w:tr w:rsidR="00BD4717" w:rsidRPr="0000591E" w14:paraId="035EE0AE" w14:textId="77777777" w:rsidTr="00484CB0">
        <w:trPr>
          <w:trHeight w:val="20"/>
        </w:trPr>
        <w:tc>
          <w:tcPr>
            <w:tcW w:w="1277" w:type="dxa"/>
            <w:tcBorders>
              <w:bottom w:val="single" w:sz="4" w:space="0" w:color="auto"/>
            </w:tcBorders>
            <w:noWrap/>
          </w:tcPr>
          <w:p w14:paraId="4B58032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P01BB51</w:t>
            </w:r>
          </w:p>
        </w:tc>
        <w:tc>
          <w:tcPr>
            <w:tcW w:w="9355" w:type="dxa"/>
            <w:tcBorders>
              <w:bottom w:val="single" w:sz="4" w:space="0" w:color="auto"/>
            </w:tcBorders>
            <w:noWrap/>
          </w:tcPr>
          <w:p w14:paraId="0A7D48CF" w14:textId="05AA834A" w:rsidR="00BD4717" w:rsidRPr="0000591E" w:rsidRDefault="00BD4717" w:rsidP="00BD4717">
            <w:pPr>
              <w:jc w:val="both"/>
              <w:rPr>
                <w:rFonts w:ascii="Arial" w:hAnsi="Arial" w:cs="Arial"/>
                <w:b/>
                <w:bCs/>
                <w:sz w:val="20"/>
                <w:szCs w:val="20"/>
              </w:rPr>
            </w:pPr>
            <w:r w:rsidRPr="00484CB0">
              <w:rPr>
                <w:rFonts w:ascii="Arial" w:hAnsi="Arial" w:cs="Arial"/>
                <w:b/>
                <w:bCs/>
                <w:sz w:val="20"/>
                <w:szCs w:val="20"/>
              </w:rPr>
              <w:t>Proguanil, kombinácie</w:t>
            </w:r>
            <w:r>
              <w:rPr>
                <w:rFonts w:ascii="Arial" w:hAnsi="Arial" w:cs="Arial"/>
                <w:b/>
                <w:bCs/>
                <w:sz w:val="20"/>
                <w:szCs w:val="20"/>
              </w:rPr>
              <w:t xml:space="preserve"> </w:t>
            </w:r>
            <w:r w:rsidRPr="0000591E">
              <w:rPr>
                <w:rFonts w:ascii="Arial" w:hAnsi="Arial" w:cs="Arial"/>
                <w:b/>
                <w:bCs/>
                <w:sz w:val="20"/>
                <w:szCs w:val="20"/>
              </w:rPr>
              <w:t>p.o. 250/100 mg</w:t>
            </w:r>
          </w:p>
        </w:tc>
      </w:tr>
      <w:tr w:rsidR="00BD4717" w:rsidRPr="0000591E" w14:paraId="314F56F0" w14:textId="77777777" w:rsidTr="00484CB0">
        <w:trPr>
          <w:trHeight w:val="20"/>
        </w:trPr>
        <w:tc>
          <w:tcPr>
            <w:tcW w:w="1277" w:type="dxa"/>
            <w:tcBorders>
              <w:top w:val="single" w:sz="4" w:space="0" w:color="auto"/>
              <w:bottom w:val="single" w:sz="4" w:space="0" w:color="BFBFBF" w:themeColor="background1" w:themeShade="BF"/>
            </w:tcBorders>
            <w:noWrap/>
          </w:tcPr>
          <w:p w14:paraId="69DE1E8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945ADB6"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pri tropickej malárii z oblastí s vysokou rezistenciou voči chlorochinu na Plasmodium falciparum.</w:t>
            </w:r>
          </w:p>
          <w:p w14:paraId="5125C6FA" w14:textId="77777777" w:rsidR="00BD4717" w:rsidRPr="0000591E" w:rsidRDefault="00BD4717" w:rsidP="00BD4717">
            <w:pPr>
              <w:jc w:val="both"/>
              <w:rPr>
                <w:rFonts w:ascii="Arial" w:hAnsi="Arial" w:cs="Arial"/>
                <w:sz w:val="20"/>
                <w:szCs w:val="20"/>
              </w:rPr>
            </w:pPr>
          </w:p>
        </w:tc>
      </w:tr>
      <w:tr w:rsidR="00BD4717" w:rsidRPr="0000591E" w14:paraId="2A4A6270" w14:textId="77777777" w:rsidTr="00484CB0">
        <w:trPr>
          <w:trHeight w:val="20"/>
        </w:trPr>
        <w:tc>
          <w:tcPr>
            <w:tcW w:w="1277" w:type="dxa"/>
            <w:tcBorders>
              <w:bottom w:val="single" w:sz="4" w:space="0" w:color="auto"/>
            </w:tcBorders>
            <w:noWrap/>
          </w:tcPr>
          <w:p w14:paraId="1C5CD096" w14:textId="262679CD" w:rsidR="00BD4717" w:rsidRPr="0000591E" w:rsidRDefault="00BD4717" w:rsidP="00BD4717">
            <w:pPr>
              <w:rPr>
                <w:rFonts w:ascii="Arial" w:hAnsi="Arial" w:cs="Arial"/>
                <w:b/>
                <w:bCs/>
                <w:sz w:val="20"/>
                <w:szCs w:val="20"/>
              </w:rPr>
            </w:pPr>
            <w:r w:rsidRPr="00485804">
              <w:rPr>
                <w:rFonts w:ascii="Arial" w:hAnsi="Arial" w:cs="Arial"/>
                <w:b/>
                <w:bCs/>
                <w:sz w:val="20"/>
                <w:szCs w:val="20"/>
              </w:rPr>
              <w:t>R01AD59</w:t>
            </w:r>
          </w:p>
        </w:tc>
        <w:tc>
          <w:tcPr>
            <w:tcW w:w="9355" w:type="dxa"/>
            <w:tcBorders>
              <w:bottom w:val="single" w:sz="4" w:space="0" w:color="auto"/>
            </w:tcBorders>
          </w:tcPr>
          <w:p w14:paraId="2FBABF51" w14:textId="52F93778" w:rsidR="00BD4717" w:rsidRPr="0000591E" w:rsidRDefault="00BD4717" w:rsidP="00BD4717">
            <w:pPr>
              <w:jc w:val="both"/>
              <w:rPr>
                <w:rFonts w:ascii="Arial" w:hAnsi="Arial" w:cs="Arial"/>
                <w:b/>
                <w:bCs/>
                <w:sz w:val="20"/>
                <w:szCs w:val="20"/>
              </w:rPr>
            </w:pPr>
            <w:r w:rsidRPr="00485804">
              <w:rPr>
                <w:rFonts w:ascii="Arial" w:hAnsi="Arial" w:cs="Arial"/>
                <w:b/>
                <w:bCs/>
                <w:sz w:val="20"/>
                <w:szCs w:val="20"/>
              </w:rPr>
              <w:t>Mometazón, kombinácie loc. olopatadín aer nau 600/25 mcg</w:t>
            </w:r>
          </w:p>
        </w:tc>
      </w:tr>
      <w:tr w:rsidR="00BD4717" w:rsidRPr="0000591E" w14:paraId="6023300B" w14:textId="77777777" w:rsidTr="00484CB0">
        <w:trPr>
          <w:trHeight w:val="20"/>
        </w:trPr>
        <w:tc>
          <w:tcPr>
            <w:tcW w:w="1277" w:type="dxa"/>
            <w:tcBorders>
              <w:top w:val="single" w:sz="4" w:space="0" w:color="auto"/>
              <w:bottom w:val="single" w:sz="4" w:space="0" w:color="BFBFBF" w:themeColor="background1" w:themeShade="BF"/>
            </w:tcBorders>
            <w:noWrap/>
          </w:tcPr>
          <w:p w14:paraId="3465C02E"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0BE87CF" w14:textId="77777777" w:rsidR="00BD4717" w:rsidRDefault="00BD4717" w:rsidP="00BD4717">
            <w:pPr>
              <w:jc w:val="both"/>
              <w:rPr>
                <w:rFonts w:ascii="Arial" w:hAnsi="Arial" w:cs="Arial"/>
                <w:bCs/>
                <w:sz w:val="20"/>
                <w:szCs w:val="20"/>
              </w:rPr>
            </w:pPr>
            <w:r w:rsidRPr="000532AC">
              <w:rPr>
                <w:rFonts w:ascii="Arial" w:hAnsi="Arial" w:cs="Arial"/>
                <w:bCs/>
                <w:sz w:val="20"/>
                <w:szCs w:val="20"/>
              </w:rPr>
              <w:t>Hradená liečba je indikovaná u dospelých a detí vo veku 12 rokov a starších na li</w:t>
            </w:r>
            <w:r>
              <w:rPr>
                <w:rFonts w:ascii="Arial" w:hAnsi="Arial" w:cs="Arial"/>
                <w:bCs/>
                <w:sz w:val="20"/>
                <w:szCs w:val="20"/>
              </w:rPr>
              <w:t xml:space="preserve">ečbu stredne ťažkých až ťažkých </w:t>
            </w:r>
            <w:r w:rsidRPr="000532AC">
              <w:rPr>
                <w:rFonts w:ascii="Arial" w:hAnsi="Arial" w:cs="Arial"/>
                <w:bCs/>
                <w:sz w:val="20"/>
                <w:szCs w:val="20"/>
              </w:rPr>
              <w:t>príznakov alergickej rinitídy ak sa monoterapia intranazálnym antihistaminikom alebo glukokortikoidom nepovažuje</w:t>
            </w:r>
            <w:r>
              <w:rPr>
                <w:rFonts w:ascii="Arial" w:hAnsi="Arial" w:cs="Arial"/>
                <w:bCs/>
                <w:sz w:val="20"/>
                <w:szCs w:val="20"/>
              </w:rPr>
              <w:t xml:space="preserve"> </w:t>
            </w:r>
            <w:r w:rsidRPr="000532AC">
              <w:rPr>
                <w:rFonts w:ascii="Arial" w:hAnsi="Arial" w:cs="Arial"/>
                <w:bCs/>
                <w:sz w:val="20"/>
                <w:szCs w:val="20"/>
              </w:rPr>
              <w:t>za dostatočnú.</w:t>
            </w:r>
          </w:p>
          <w:p w14:paraId="3E8A7123" w14:textId="74D594E8" w:rsidR="00BD4717" w:rsidRPr="0000591E" w:rsidRDefault="00BD4717" w:rsidP="00BD4717">
            <w:pPr>
              <w:jc w:val="both"/>
              <w:rPr>
                <w:rFonts w:ascii="Arial" w:hAnsi="Arial" w:cs="Arial"/>
                <w:b/>
                <w:bCs/>
                <w:sz w:val="20"/>
                <w:szCs w:val="20"/>
              </w:rPr>
            </w:pPr>
          </w:p>
        </w:tc>
      </w:tr>
      <w:tr w:rsidR="00BD4717" w:rsidRPr="0000591E" w14:paraId="738DFE98" w14:textId="77777777" w:rsidTr="00484CB0">
        <w:trPr>
          <w:trHeight w:val="20"/>
        </w:trPr>
        <w:tc>
          <w:tcPr>
            <w:tcW w:w="1277" w:type="dxa"/>
            <w:tcBorders>
              <w:bottom w:val="single" w:sz="4" w:space="0" w:color="auto"/>
            </w:tcBorders>
            <w:noWrap/>
          </w:tcPr>
          <w:p w14:paraId="4BC7012A"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R03AC18</w:t>
            </w:r>
          </w:p>
        </w:tc>
        <w:tc>
          <w:tcPr>
            <w:tcW w:w="9355" w:type="dxa"/>
            <w:tcBorders>
              <w:bottom w:val="single" w:sz="4" w:space="0" w:color="auto"/>
            </w:tcBorders>
          </w:tcPr>
          <w:p w14:paraId="2C84892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Indakaterol inhal. 150 mcg</w:t>
            </w:r>
          </w:p>
        </w:tc>
      </w:tr>
      <w:tr w:rsidR="00BD4717" w:rsidRPr="0000591E" w14:paraId="665FEB68" w14:textId="77777777" w:rsidTr="00484CB0">
        <w:trPr>
          <w:trHeight w:val="20"/>
        </w:trPr>
        <w:tc>
          <w:tcPr>
            <w:tcW w:w="1277" w:type="dxa"/>
            <w:tcBorders>
              <w:top w:val="single" w:sz="4" w:space="0" w:color="auto"/>
              <w:bottom w:val="single" w:sz="4" w:space="0" w:color="BFBFBF" w:themeColor="background1" w:themeShade="BF"/>
            </w:tcBorders>
            <w:noWrap/>
          </w:tcPr>
          <w:p w14:paraId="296D093A" w14:textId="77777777" w:rsidR="00BD4717" w:rsidRPr="00485804" w:rsidRDefault="00BD4717" w:rsidP="00BD4717">
            <w:pPr>
              <w:jc w:val="both"/>
              <w:rPr>
                <w:rFonts w:ascii="Arial" w:hAnsi="Arial" w:cs="Arial"/>
                <w:b/>
                <w:bCs/>
                <w:sz w:val="20"/>
                <w:szCs w:val="20"/>
              </w:rPr>
            </w:pPr>
          </w:p>
          <w:p w14:paraId="5707C139" w14:textId="77777777" w:rsidR="00BD4717" w:rsidRPr="00485804"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F8C88AA" w14:textId="77777777" w:rsidR="00BD4717" w:rsidRPr="00485804" w:rsidRDefault="00BD4717" w:rsidP="00BD4717">
            <w:pPr>
              <w:jc w:val="both"/>
              <w:rPr>
                <w:rFonts w:ascii="Arial" w:hAnsi="Arial" w:cs="Arial"/>
                <w:sz w:val="20"/>
                <w:szCs w:val="20"/>
              </w:rPr>
            </w:pPr>
            <w:r w:rsidRPr="00485804">
              <w:rPr>
                <w:rFonts w:ascii="Arial" w:hAnsi="Arial" w:cs="Arial"/>
                <w:sz w:val="20"/>
                <w:szCs w:val="20"/>
              </w:rPr>
              <w:t>Hradená liečba je indikovaná pneumológom na udržiavaciu bronchodilatačnú liečbu pri obštrukcii dýchacích ciest u dospelých pacientov s chronickou obštrukčnou chorobou pľúc (CHOCHP) podľa odborného usmernenia GOLD 2011. Podmienkou hradenej liečby u novodiagnostikovaných pacientov je vykonanie bronchodilatčného testu.</w:t>
            </w:r>
          </w:p>
          <w:p w14:paraId="2D63BD3F" w14:textId="77777777" w:rsidR="00BD4717" w:rsidRPr="00485804" w:rsidRDefault="00BD4717" w:rsidP="00BD4717">
            <w:pPr>
              <w:jc w:val="both"/>
              <w:rPr>
                <w:rFonts w:ascii="Arial" w:hAnsi="Arial" w:cs="Arial"/>
                <w:sz w:val="20"/>
                <w:szCs w:val="20"/>
              </w:rPr>
            </w:pPr>
          </w:p>
        </w:tc>
      </w:tr>
      <w:tr w:rsidR="00BD4717" w:rsidRPr="0000591E" w14:paraId="45DF1DBA" w14:textId="77777777" w:rsidTr="00484CB0">
        <w:trPr>
          <w:trHeight w:val="20"/>
        </w:trPr>
        <w:tc>
          <w:tcPr>
            <w:tcW w:w="1277" w:type="dxa"/>
            <w:tcBorders>
              <w:bottom w:val="single" w:sz="4" w:space="0" w:color="auto"/>
            </w:tcBorders>
            <w:noWrap/>
          </w:tcPr>
          <w:p w14:paraId="77399732" w14:textId="77777777" w:rsidR="00BD4717" w:rsidRPr="0000591E" w:rsidRDefault="00BD4717" w:rsidP="00BD4717">
            <w:pPr>
              <w:rPr>
                <w:rFonts w:ascii="Arial" w:hAnsi="Arial" w:cs="Arial"/>
                <w:b/>
                <w:bCs/>
                <w:sz w:val="20"/>
                <w:szCs w:val="20"/>
              </w:rPr>
            </w:pPr>
            <w:r>
              <w:rPr>
                <w:rFonts w:ascii="Arial" w:hAnsi="Arial" w:cs="Arial"/>
                <w:b/>
                <w:bCs/>
                <w:sz w:val="20"/>
                <w:szCs w:val="20"/>
              </w:rPr>
              <w:t>R03AC19</w:t>
            </w:r>
          </w:p>
        </w:tc>
        <w:tc>
          <w:tcPr>
            <w:tcW w:w="9355" w:type="dxa"/>
            <w:tcBorders>
              <w:bottom w:val="single" w:sz="4" w:space="0" w:color="auto"/>
            </w:tcBorders>
          </w:tcPr>
          <w:p w14:paraId="776A58D7" w14:textId="77777777" w:rsidR="00BD4717" w:rsidRPr="0000591E" w:rsidRDefault="00BD4717" w:rsidP="00BD4717">
            <w:pPr>
              <w:jc w:val="both"/>
              <w:rPr>
                <w:rFonts w:ascii="Arial" w:hAnsi="Arial" w:cs="Arial"/>
                <w:b/>
                <w:bCs/>
                <w:sz w:val="20"/>
                <w:szCs w:val="20"/>
              </w:rPr>
            </w:pPr>
            <w:r w:rsidRPr="00C02A45">
              <w:rPr>
                <w:rFonts w:ascii="Arial" w:hAnsi="Arial" w:cs="Arial"/>
                <w:b/>
                <w:bCs/>
                <w:sz w:val="20"/>
                <w:szCs w:val="20"/>
              </w:rPr>
              <w:t>Olodaterol inhal. sol. 2,5 mcg</w:t>
            </w:r>
          </w:p>
        </w:tc>
      </w:tr>
      <w:tr w:rsidR="00BD4717" w:rsidRPr="0000591E" w14:paraId="3CB7B8B7" w14:textId="77777777" w:rsidTr="00484CB0">
        <w:trPr>
          <w:trHeight w:val="20"/>
        </w:trPr>
        <w:tc>
          <w:tcPr>
            <w:tcW w:w="1277" w:type="dxa"/>
            <w:tcBorders>
              <w:top w:val="single" w:sz="4" w:space="0" w:color="auto"/>
              <w:bottom w:val="single" w:sz="4" w:space="0" w:color="BFBFBF" w:themeColor="background1" w:themeShade="BF"/>
            </w:tcBorders>
            <w:noWrap/>
          </w:tcPr>
          <w:p w14:paraId="1B843885" w14:textId="77777777" w:rsidR="00BD4717" w:rsidRPr="0000591E" w:rsidRDefault="00BD4717" w:rsidP="00BD4717">
            <w:pPr>
              <w:jc w:val="both"/>
              <w:rPr>
                <w:rFonts w:ascii="Arial" w:hAnsi="Arial" w:cs="Arial"/>
                <w:b/>
                <w:bCs/>
                <w:sz w:val="20"/>
                <w:szCs w:val="20"/>
              </w:rPr>
            </w:pPr>
          </w:p>
          <w:p w14:paraId="3A7918E3"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2BC9CBF"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pri obštrukcii dýchacích ciest u dospelých pacientov s chronickou obštrukčnou chorobou pľúc (CHOCHP) podľa odborného usmernenia GOLD 2011. Podmienkou hradenej liečby u novodiagnostikovaných pacientov je vykonanie bronchodilatčného testu.</w:t>
            </w:r>
          </w:p>
          <w:p w14:paraId="28D634E3" w14:textId="77777777" w:rsidR="00BD4717" w:rsidRPr="0000591E" w:rsidRDefault="00BD4717" w:rsidP="00BD4717">
            <w:pPr>
              <w:jc w:val="both"/>
              <w:rPr>
                <w:rFonts w:ascii="Arial" w:hAnsi="Arial" w:cs="Arial"/>
                <w:sz w:val="20"/>
                <w:szCs w:val="20"/>
              </w:rPr>
            </w:pPr>
          </w:p>
        </w:tc>
      </w:tr>
      <w:tr w:rsidR="00BD4717" w:rsidRPr="0000591E" w14:paraId="270C26CD" w14:textId="77777777" w:rsidTr="00DD5ADD">
        <w:trPr>
          <w:trHeight w:val="20"/>
        </w:trPr>
        <w:tc>
          <w:tcPr>
            <w:tcW w:w="1277" w:type="dxa"/>
            <w:tcBorders>
              <w:bottom w:val="single" w:sz="4" w:space="0" w:color="auto"/>
            </w:tcBorders>
            <w:noWrap/>
          </w:tcPr>
          <w:p w14:paraId="6F360C8F" w14:textId="77777777" w:rsidR="00BD4717" w:rsidRPr="0000591E" w:rsidRDefault="00BD4717" w:rsidP="00BD4717">
            <w:pPr>
              <w:rPr>
                <w:rFonts w:ascii="Arial" w:hAnsi="Arial" w:cs="Arial"/>
                <w:b/>
                <w:bCs/>
                <w:sz w:val="20"/>
                <w:szCs w:val="20"/>
              </w:rPr>
            </w:pPr>
          </w:p>
          <w:p w14:paraId="078CC01D" w14:textId="77777777" w:rsidR="00BD4717" w:rsidRPr="0000591E" w:rsidRDefault="00BD4717" w:rsidP="00BD4717">
            <w:pPr>
              <w:rPr>
                <w:rFonts w:ascii="Arial" w:hAnsi="Arial" w:cs="Arial"/>
                <w:b/>
                <w:bCs/>
                <w:sz w:val="20"/>
                <w:szCs w:val="20"/>
              </w:rPr>
            </w:pPr>
          </w:p>
          <w:p w14:paraId="3DB2DD3F" w14:textId="77777777" w:rsidR="00BD4717" w:rsidRPr="0000591E" w:rsidRDefault="00BD4717" w:rsidP="00BD4717">
            <w:pPr>
              <w:rPr>
                <w:rFonts w:ascii="Arial" w:hAnsi="Arial" w:cs="Arial"/>
                <w:b/>
                <w:bCs/>
                <w:sz w:val="20"/>
                <w:szCs w:val="20"/>
              </w:rPr>
            </w:pPr>
          </w:p>
          <w:p w14:paraId="20551516" w14:textId="77777777" w:rsidR="00BD4717" w:rsidRPr="0000591E" w:rsidRDefault="00BD4717" w:rsidP="00BD4717">
            <w:pPr>
              <w:rPr>
                <w:rFonts w:ascii="Arial" w:hAnsi="Arial" w:cs="Arial"/>
                <w:b/>
                <w:bCs/>
                <w:sz w:val="20"/>
                <w:szCs w:val="20"/>
              </w:rPr>
            </w:pPr>
          </w:p>
          <w:p w14:paraId="7B169E4B"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R03AK06</w:t>
            </w:r>
          </w:p>
        </w:tc>
        <w:tc>
          <w:tcPr>
            <w:tcW w:w="9355" w:type="dxa"/>
            <w:tcBorders>
              <w:bottom w:val="single" w:sz="4" w:space="0" w:color="auto"/>
            </w:tcBorders>
            <w:noWrap/>
          </w:tcPr>
          <w:p w14:paraId="79AFAA6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Salmeterol a </w:t>
            </w:r>
            <w:r w:rsidRPr="00F4357A">
              <w:rPr>
                <w:rFonts w:ascii="Arial" w:hAnsi="Arial" w:cs="Arial"/>
                <w:b/>
                <w:bCs/>
                <w:sz w:val="20"/>
                <w:szCs w:val="20"/>
              </w:rPr>
              <w:t>flutikazón</w:t>
            </w:r>
            <w:r w:rsidRPr="0000591E">
              <w:rPr>
                <w:rFonts w:ascii="Arial" w:hAnsi="Arial" w:cs="Arial"/>
                <w:b/>
                <w:bCs/>
                <w:sz w:val="20"/>
                <w:szCs w:val="20"/>
              </w:rPr>
              <w:t xml:space="preserve"> inhal. 25/50 plv. inh.,</w:t>
            </w:r>
          </w:p>
          <w:p w14:paraId="0CBB02DE"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Salmeterol a </w:t>
            </w:r>
            <w:r w:rsidRPr="00F4357A">
              <w:rPr>
                <w:rFonts w:ascii="Arial" w:hAnsi="Arial" w:cs="Arial"/>
                <w:b/>
                <w:bCs/>
                <w:sz w:val="20"/>
                <w:szCs w:val="20"/>
              </w:rPr>
              <w:t>flutikazón</w:t>
            </w:r>
            <w:r w:rsidRPr="0000591E">
              <w:rPr>
                <w:rFonts w:ascii="Arial" w:hAnsi="Arial" w:cs="Arial"/>
                <w:b/>
                <w:bCs/>
                <w:sz w:val="20"/>
                <w:szCs w:val="20"/>
              </w:rPr>
              <w:t xml:space="preserve"> inhal. 25/125 plv. inh., </w:t>
            </w:r>
          </w:p>
          <w:p w14:paraId="5948AA85" w14:textId="77777777" w:rsidR="00BD4717" w:rsidRDefault="00BD4717" w:rsidP="00BD4717">
            <w:pPr>
              <w:rPr>
                <w:rFonts w:ascii="Arial" w:hAnsi="Arial" w:cs="Arial"/>
                <w:b/>
                <w:bCs/>
                <w:sz w:val="20"/>
                <w:szCs w:val="20"/>
              </w:rPr>
            </w:pPr>
            <w:r w:rsidRPr="0000591E">
              <w:rPr>
                <w:rFonts w:ascii="Arial" w:hAnsi="Arial" w:cs="Arial"/>
                <w:b/>
                <w:bCs/>
                <w:sz w:val="20"/>
                <w:szCs w:val="20"/>
              </w:rPr>
              <w:t xml:space="preserve">Salmeterol a </w:t>
            </w:r>
            <w:r w:rsidRPr="00F4357A">
              <w:rPr>
                <w:rFonts w:ascii="Arial" w:hAnsi="Arial" w:cs="Arial"/>
                <w:b/>
                <w:bCs/>
                <w:sz w:val="20"/>
                <w:szCs w:val="20"/>
              </w:rPr>
              <w:t>flutikazón</w:t>
            </w:r>
            <w:r w:rsidRPr="0000591E">
              <w:rPr>
                <w:rFonts w:ascii="Arial" w:hAnsi="Arial" w:cs="Arial"/>
                <w:b/>
                <w:bCs/>
                <w:sz w:val="20"/>
                <w:szCs w:val="20"/>
              </w:rPr>
              <w:t xml:space="preserve"> inhal. 25/250 plv. inh.</w:t>
            </w:r>
          </w:p>
          <w:p w14:paraId="2DC39104" w14:textId="50FB71C6" w:rsidR="00BD4717" w:rsidRDefault="00BD4717" w:rsidP="00BD4717">
            <w:pPr>
              <w:rPr>
                <w:rFonts w:ascii="Arial" w:hAnsi="Arial" w:cs="Arial"/>
                <w:b/>
                <w:bCs/>
                <w:sz w:val="20"/>
                <w:szCs w:val="20"/>
              </w:rPr>
            </w:pPr>
            <w:r w:rsidRPr="0000591E">
              <w:rPr>
                <w:rFonts w:ascii="Arial" w:hAnsi="Arial" w:cs="Arial"/>
                <w:b/>
                <w:bCs/>
                <w:sz w:val="20"/>
                <w:szCs w:val="20"/>
              </w:rPr>
              <w:t xml:space="preserve">Salmeterol </w:t>
            </w:r>
            <w:r w:rsidRPr="00F4357A">
              <w:rPr>
                <w:rFonts w:ascii="Arial" w:hAnsi="Arial" w:cs="Arial"/>
                <w:b/>
                <w:bCs/>
                <w:sz w:val="20"/>
                <w:szCs w:val="20"/>
              </w:rPr>
              <w:t>a flutikazón</w:t>
            </w:r>
            <w:r w:rsidRPr="0000591E">
              <w:rPr>
                <w:rFonts w:ascii="Arial" w:hAnsi="Arial" w:cs="Arial"/>
                <w:b/>
                <w:bCs/>
                <w:sz w:val="20"/>
                <w:szCs w:val="20"/>
              </w:rPr>
              <w:t xml:space="preserve"> inhal. 50/100 plv. inh.,</w:t>
            </w:r>
          </w:p>
          <w:p w14:paraId="486D6017" w14:textId="7D9538AA" w:rsidR="00BD4717" w:rsidRPr="0000591E" w:rsidRDefault="00BD4717" w:rsidP="00BD4717">
            <w:pPr>
              <w:rPr>
                <w:rFonts w:ascii="Arial" w:hAnsi="Arial" w:cs="Arial"/>
                <w:b/>
                <w:bCs/>
                <w:sz w:val="20"/>
                <w:szCs w:val="20"/>
              </w:rPr>
            </w:pPr>
            <w:r w:rsidRPr="0000591E">
              <w:rPr>
                <w:rFonts w:ascii="Arial" w:hAnsi="Arial" w:cs="Arial"/>
                <w:b/>
                <w:bCs/>
                <w:sz w:val="20"/>
                <w:szCs w:val="20"/>
              </w:rPr>
              <w:t xml:space="preserve">Salmeterol a </w:t>
            </w:r>
            <w:r w:rsidRPr="00F4357A">
              <w:rPr>
                <w:rFonts w:ascii="Arial" w:hAnsi="Arial" w:cs="Arial"/>
                <w:b/>
                <w:bCs/>
                <w:sz w:val="20"/>
                <w:szCs w:val="20"/>
              </w:rPr>
              <w:t>flutikazón</w:t>
            </w:r>
            <w:r w:rsidRPr="0000591E">
              <w:rPr>
                <w:rFonts w:ascii="Arial" w:hAnsi="Arial" w:cs="Arial"/>
                <w:b/>
                <w:bCs/>
                <w:sz w:val="20"/>
                <w:szCs w:val="20"/>
              </w:rPr>
              <w:t xml:space="preserve"> </w:t>
            </w:r>
            <w:r>
              <w:rPr>
                <w:rFonts w:ascii="Arial" w:hAnsi="Arial" w:cs="Arial"/>
                <w:b/>
                <w:bCs/>
                <w:sz w:val="20"/>
                <w:szCs w:val="20"/>
              </w:rPr>
              <w:t>inhal. 50/25</w:t>
            </w:r>
            <w:r w:rsidRPr="0000591E">
              <w:rPr>
                <w:rFonts w:ascii="Arial" w:hAnsi="Arial" w:cs="Arial"/>
                <w:b/>
                <w:bCs/>
                <w:sz w:val="20"/>
                <w:szCs w:val="20"/>
              </w:rPr>
              <w:t>0 plv. inh.,</w:t>
            </w:r>
          </w:p>
        </w:tc>
      </w:tr>
      <w:tr w:rsidR="00BD4717" w:rsidRPr="0000591E" w14:paraId="03D957BC" w14:textId="77777777" w:rsidTr="00DD5ADD">
        <w:trPr>
          <w:trHeight w:val="20"/>
        </w:trPr>
        <w:tc>
          <w:tcPr>
            <w:tcW w:w="1277" w:type="dxa"/>
            <w:tcBorders>
              <w:top w:val="single" w:sz="4" w:space="0" w:color="auto"/>
              <w:bottom w:val="single" w:sz="4" w:space="0" w:color="BFBFBF" w:themeColor="background1" w:themeShade="BF"/>
            </w:tcBorders>
            <w:noWrap/>
          </w:tcPr>
          <w:p w14:paraId="08920235"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F08873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w:t>
            </w:r>
            <w:r w:rsidRPr="0000591E">
              <w:rPr>
                <w:rFonts w:ascii="Arial" w:hAnsi="Arial" w:cs="Arial"/>
                <w:b/>
                <w:sz w:val="20"/>
                <w:szCs w:val="20"/>
              </w:rPr>
              <w:t xml:space="preserve"> </w:t>
            </w:r>
            <w:r w:rsidRPr="0000591E">
              <w:rPr>
                <w:rFonts w:ascii="Arial" w:hAnsi="Arial" w:cs="Arial"/>
                <w:sz w:val="20"/>
                <w:szCs w:val="20"/>
              </w:rPr>
              <w:t>alergológ alebo pneumológ pri stredne ťažkej alebo ťažkej perzistujúcej nekontrolovanej astme, ak sa liečbou inhalačnými kortikosteroidmi a inhalačnými beta-2 agonistami nedosiahla adekvátna kontrola astmy.</w:t>
            </w:r>
          </w:p>
          <w:p w14:paraId="646B4F98" w14:textId="722849F4" w:rsidR="00BD4717" w:rsidRPr="0000591E" w:rsidRDefault="00BD4717" w:rsidP="00BD4717">
            <w:pPr>
              <w:jc w:val="both"/>
              <w:rPr>
                <w:rFonts w:ascii="Arial" w:hAnsi="Arial" w:cs="Arial"/>
                <w:b/>
                <w:bCs/>
                <w:sz w:val="20"/>
                <w:szCs w:val="20"/>
              </w:rPr>
            </w:pPr>
          </w:p>
        </w:tc>
      </w:tr>
      <w:tr w:rsidR="00BD4717" w:rsidRPr="0000591E" w14:paraId="1012CDE2" w14:textId="77777777" w:rsidTr="00DD5ADD">
        <w:trPr>
          <w:trHeight w:val="20"/>
        </w:trPr>
        <w:tc>
          <w:tcPr>
            <w:tcW w:w="1277" w:type="dxa"/>
            <w:tcBorders>
              <w:bottom w:val="single" w:sz="4" w:space="0" w:color="auto"/>
            </w:tcBorders>
            <w:noWrap/>
          </w:tcPr>
          <w:p w14:paraId="590FEEF3"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R03AK06</w:t>
            </w:r>
          </w:p>
        </w:tc>
        <w:tc>
          <w:tcPr>
            <w:tcW w:w="9355" w:type="dxa"/>
            <w:tcBorders>
              <w:bottom w:val="single" w:sz="4" w:space="0" w:color="auto"/>
            </w:tcBorders>
            <w:noWrap/>
          </w:tcPr>
          <w:p w14:paraId="534EC61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Salmeterol a </w:t>
            </w:r>
            <w:r w:rsidRPr="00F4357A">
              <w:rPr>
                <w:rFonts w:ascii="Arial" w:hAnsi="Arial" w:cs="Arial"/>
                <w:b/>
                <w:bCs/>
                <w:sz w:val="20"/>
                <w:szCs w:val="20"/>
              </w:rPr>
              <w:t>flutikazón</w:t>
            </w:r>
            <w:r w:rsidRPr="0000591E">
              <w:rPr>
                <w:rFonts w:ascii="Arial" w:hAnsi="Arial" w:cs="Arial"/>
                <w:b/>
                <w:bCs/>
                <w:sz w:val="20"/>
                <w:szCs w:val="20"/>
              </w:rPr>
              <w:t xml:space="preserve"> i</w:t>
            </w:r>
            <w:r>
              <w:rPr>
                <w:rFonts w:ascii="Arial" w:hAnsi="Arial" w:cs="Arial"/>
                <w:b/>
                <w:bCs/>
                <w:sz w:val="20"/>
                <w:szCs w:val="20"/>
              </w:rPr>
              <w:t>nhal. 50/500 plv. inh.,</w:t>
            </w:r>
          </w:p>
        </w:tc>
      </w:tr>
      <w:tr w:rsidR="00BD4717" w:rsidRPr="0000591E" w14:paraId="41A0C790" w14:textId="77777777" w:rsidTr="00135728">
        <w:trPr>
          <w:trHeight w:val="20"/>
        </w:trPr>
        <w:tc>
          <w:tcPr>
            <w:tcW w:w="1277" w:type="dxa"/>
            <w:tcBorders>
              <w:top w:val="single" w:sz="4" w:space="0" w:color="auto"/>
              <w:bottom w:val="single" w:sz="4" w:space="0" w:color="BFBFBF" w:themeColor="background1" w:themeShade="BF"/>
            </w:tcBorders>
            <w:noWrap/>
          </w:tcPr>
          <w:p w14:paraId="3C7102EF"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568A6EA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w:t>
            </w:r>
          </w:p>
          <w:p w14:paraId="17C2EE3B" w14:textId="77777777" w:rsidR="00BD4717" w:rsidRPr="0000591E" w:rsidRDefault="00BD4717">
            <w:pPr>
              <w:numPr>
                <w:ilvl w:val="0"/>
                <w:numId w:val="60"/>
              </w:numPr>
              <w:jc w:val="both"/>
              <w:rPr>
                <w:rFonts w:ascii="Arial" w:hAnsi="Arial" w:cs="Arial"/>
                <w:sz w:val="20"/>
                <w:szCs w:val="20"/>
              </w:rPr>
            </w:pPr>
            <w:r w:rsidRPr="0000591E">
              <w:rPr>
                <w:rFonts w:ascii="Arial" w:hAnsi="Arial" w:cs="Arial"/>
                <w:sz w:val="20"/>
                <w:szCs w:val="20"/>
              </w:rPr>
              <w:t>alergológ alebo pneumológ pri stredne ťažkej alebo ťažkej perzistujúcej nekontrolovanej astme, pri ktorej sa liečbou inhalačnými kortikosteroidmi a inhalačnými beta-2 agonistami nedosiahla adekvátna kontrola astmy,</w:t>
            </w:r>
          </w:p>
          <w:p w14:paraId="2C3A1BCF" w14:textId="77777777" w:rsidR="00BD4717" w:rsidRPr="0000591E" w:rsidRDefault="00BD4717">
            <w:pPr>
              <w:numPr>
                <w:ilvl w:val="0"/>
                <w:numId w:val="60"/>
              </w:numPr>
              <w:jc w:val="both"/>
              <w:rPr>
                <w:rFonts w:ascii="Arial" w:hAnsi="Arial" w:cs="Arial"/>
                <w:sz w:val="20"/>
                <w:szCs w:val="20"/>
              </w:rPr>
            </w:pPr>
            <w:r w:rsidRPr="0000591E">
              <w:rPr>
                <w:rFonts w:ascii="Arial" w:hAnsi="Arial" w:cs="Arial"/>
                <w:sz w:val="20"/>
                <w:szCs w:val="20"/>
              </w:rPr>
              <w:t>pneumológ pri chronickej obštrukčnej chorobe pľúc u pacientov v štádiu C alebo D podľa odborného usmernenia GOLD 2011. Podmienkou hradenej liečby u novodiagnostikovaných pacientov je vykonanie bronchodilatačného testu.</w:t>
            </w:r>
          </w:p>
          <w:p w14:paraId="4C49ADE3" w14:textId="77777777" w:rsidR="00BD4717" w:rsidRPr="0000591E" w:rsidRDefault="00BD4717" w:rsidP="00BD4717">
            <w:pPr>
              <w:jc w:val="both"/>
              <w:rPr>
                <w:rFonts w:ascii="Arial" w:hAnsi="Arial" w:cs="Arial"/>
                <w:sz w:val="20"/>
                <w:szCs w:val="20"/>
                <w:lang w:eastAsia="cs-CZ"/>
              </w:rPr>
            </w:pPr>
          </w:p>
        </w:tc>
      </w:tr>
      <w:tr w:rsidR="00BD4717" w:rsidRPr="0000591E" w14:paraId="5D60E673" w14:textId="77777777" w:rsidTr="00135728">
        <w:trPr>
          <w:trHeight w:val="20"/>
        </w:trPr>
        <w:tc>
          <w:tcPr>
            <w:tcW w:w="1277" w:type="dxa"/>
            <w:tcBorders>
              <w:bottom w:val="single" w:sz="4" w:space="0" w:color="auto"/>
            </w:tcBorders>
            <w:noWrap/>
          </w:tcPr>
          <w:p w14:paraId="4D355C6D" w14:textId="77777777" w:rsidR="00BD4717" w:rsidRDefault="00BD4717" w:rsidP="00BD4717">
            <w:pPr>
              <w:rPr>
                <w:rFonts w:ascii="Arial" w:hAnsi="Arial" w:cs="Arial"/>
                <w:b/>
                <w:bCs/>
                <w:sz w:val="20"/>
                <w:szCs w:val="20"/>
              </w:rPr>
            </w:pPr>
          </w:p>
          <w:p w14:paraId="5014C0F2" w14:textId="196184EE"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R03AK07</w:t>
            </w:r>
          </w:p>
        </w:tc>
        <w:tc>
          <w:tcPr>
            <w:tcW w:w="9355" w:type="dxa"/>
            <w:tcBorders>
              <w:bottom w:val="single" w:sz="4" w:space="0" w:color="auto"/>
            </w:tcBorders>
            <w:noWrap/>
          </w:tcPr>
          <w:p w14:paraId="473AD164" w14:textId="77777777" w:rsidR="00BD4717" w:rsidRPr="0000591E" w:rsidRDefault="00BD4717" w:rsidP="00BD4717">
            <w:pPr>
              <w:jc w:val="both"/>
              <w:rPr>
                <w:rFonts w:ascii="Arial" w:hAnsi="Arial" w:cs="Arial"/>
                <w:b/>
                <w:bCs/>
                <w:sz w:val="20"/>
                <w:szCs w:val="20"/>
              </w:rPr>
            </w:pPr>
            <w:r w:rsidRPr="00F6638D">
              <w:rPr>
                <w:rFonts w:ascii="Arial" w:hAnsi="Arial" w:cs="Arial"/>
                <w:b/>
                <w:bCs/>
                <w:sz w:val="20"/>
                <w:szCs w:val="20"/>
              </w:rPr>
              <w:t>Formoterol a budezonid</w:t>
            </w:r>
            <w:r w:rsidRPr="0000591E">
              <w:rPr>
                <w:rFonts w:ascii="Arial" w:hAnsi="Arial" w:cs="Arial"/>
                <w:b/>
                <w:bCs/>
                <w:sz w:val="20"/>
                <w:szCs w:val="20"/>
              </w:rPr>
              <w:t xml:space="preserve"> 6</w:t>
            </w:r>
            <w:r>
              <w:rPr>
                <w:rFonts w:ascii="Arial" w:hAnsi="Arial" w:cs="Arial"/>
                <w:b/>
                <w:bCs/>
                <w:sz w:val="20"/>
                <w:szCs w:val="20"/>
              </w:rPr>
              <w:t>/200</w:t>
            </w:r>
            <w:r w:rsidRPr="0000591E">
              <w:rPr>
                <w:rFonts w:ascii="Arial" w:hAnsi="Arial" w:cs="Arial"/>
                <w:b/>
                <w:bCs/>
                <w:sz w:val="20"/>
                <w:szCs w:val="20"/>
              </w:rPr>
              <w:t xml:space="preserve"> mcg. plv. inh.</w:t>
            </w:r>
          </w:p>
          <w:p w14:paraId="367FBC20" w14:textId="77777777" w:rsidR="00BD4717" w:rsidRPr="0000591E" w:rsidRDefault="00BD4717" w:rsidP="00BD4717">
            <w:pPr>
              <w:jc w:val="both"/>
              <w:rPr>
                <w:rFonts w:ascii="Arial" w:hAnsi="Arial" w:cs="Arial"/>
                <w:b/>
                <w:bCs/>
                <w:sz w:val="20"/>
                <w:szCs w:val="20"/>
                <w:lang w:eastAsia="cs-CZ"/>
              </w:rPr>
            </w:pPr>
            <w:r w:rsidRPr="00F6638D">
              <w:rPr>
                <w:rFonts w:ascii="Arial" w:hAnsi="Arial" w:cs="Arial"/>
                <w:b/>
                <w:bCs/>
                <w:sz w:val="20"/>
                <w:szCs w:val="20"/>
              </w:rPr>
              <w:t>Formoterol a</w:t>
            </w:r>
            <w:r>
              <w:rPr>
                <w:rFonts w:ascii="Arial" w:hAnsi="Arial" w:cs="Arial"/>
                <w:b/>
                <w:bCs/>
                <w:sz w:val="20"/>
                <w:szCs w:val="20"/>
              </w:rPr>
              <w:t> </w:t>
            </w:r>
            <w:r w:rsidRPr="00F6638D">
              <w:rPr>
                <w:rFonts w:ascii="Arial" w:hAnsi="Arial" w:cs="Arial"/>
                <w:b/>
                <w:bCs/>
                <w:sz w:val="20"/>
                <w:szCs w:val="20"/>
              </w:rPr>
              <w:t>budezonid</w:t>
            </w:r>
            <w:r>
              <w:rPr>
                <w:rFonts w:ascii="Arial" w:hAnsi="Arial" w:cs="Arial"/>
                <w:b/>
                <w:bCs/>
                <w:sz w:val="20"/>
                <w:szCs w:val="20"/>
              </w:rPr>
              <w:t xml:space="preserve"> </w:t>
            </w:r>
            <w:r w:rsidRPr="0000591E">
              <w:rPr>
                <w:rFonts w:ascii="Arial" w:hAnsi="Arial" w:cs="Arial"/>
                <w:b/>
                <w:bCs/>
                <w:sz w:val="20"/>
                <w:szCs w:val="20"/>
              </w:rPr>
              <w:t>12</w:t>
            </w:r>
            <w:r>
              <w:rPr>
                <w:rFonts w:ascii="Arial" w:hAnsi="Arial" w:cs="Arial"/>
                <w:b/>
                <w:bCs/>
                <w:sz w:val="20"/>
                <w:szCs w:val="20"/>
              </w:rPr>
              <w:t>/400</w:t>
            </w:r>
            <w:r w:rsidRPr="0000591E">
              <w:rPr>
                <w:rFonts w:ascii="Arial" w:hAnsi="Arial" w:cs="Arial"/>
                <w:b/>
                <w:bCs/>
                <w:sz w:val="20"/>
                <w:szCs w:val="20"/>
              </w:rPr>
              <w:t xml:space="preserve"> mcg. plv. inh.</w:t>
            </w:r>
          </w:p>
        </w:tc>
      </w:tr>
      <w:tr w:rsidR="00BD4717" w:rsidRPr="0000591E" w14:paraId="449878ED" w14:textId="77777777" w:rsidTr="00135728">
        <w:trPr>
          <w:trHeight w:val="20"/>
        </w:trPr>
        <w:tc>
          <w:tcPr>
            <w:tcW w:w="1277" w:type="dxa"/>
            <w:tcBorders>
              <w:top w:val="single" w:sz="4" w:space="0" w:color="auto"/>
              <w:bottom w:val="single" w:sz="4" w:space="0" w:color="BFBFBF" w:themeColor="background1" w:themeShade="BF"/>
            </w:tcBorders>
            <w:noWrap/>
          </w:tcPr>
          <w:p w14:paraId="6975A6E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6191306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w:t>
            </w:r>
          </w:p>
          <w:p w14:paraId="19F9DD1F" w14:textId="77777777" w:rsidR="00BD4717" w:rsidRPr="0000591E" w:rsidRDefault="00BD4717">
            <w:pPr>
              <w:numPr>
                <w:ilvl w:val="0"/>
                <w:numId w:val="59"/>
              </w:numPr>
              <w:jc w:val="both"/>
              <w:rPr>
                <w:rFonts w:ascii="Arial" w:hAnsi="Arial" w:cs="Arial"/>
                <w:sz w:val="20"/>
                <w:szCs w:val="20"/>
              </w:rPr>
            </w:pPr>
            <w:r w:rsidRPr="0000591E">
              <w:rPr>
                <w:rFonts w:ascii="Arial" w:hAnsi="Arial" w:cs="Arial"/>
                <w:sz w:val="20"/>
                <w:szCs w:val="20"/>
              </w:rPr>
              <w:t xml:space="preserve">alergológ alebo pneumológ pri stredne ťažkej alebo ťažkej perzistujúcej nekontrolovanej astme, pri ktorej sa liečbou inhalačnými kortikosteroidmi a inhalačnými beta-2 agonistami nedosiahla adekvátna kontrola astmy, </w:t>
            </w:r>
          </w:p>
          <w:p w14:paraId="52B4ED43" w14:textId="181FD43C" w:rsidR="00BD4717" w:rsidRDefault="00BD4717">
            <w:pPr>
              <w:numPr>
                <w:ilvl w:val="0"/>
                <w:numId w:val="59"/>
              </w:numPr>
              <w:jc w:val="both"/>
              <w:rPr>
                <w:rFonts w:ascii="Arial" w:hAnsi="Arial" w:cs="Arial"/>
                <w:sz w:val="20"/>
                <w:szCs w:val="20"/>
              </w:rPr>
            </w:pPr>
            <w:r w:rsidRPr="0000591E">
              <w:rPr>
                <w:rFonts w:ascii="Arial" w:hAnsi="Arial" w:cs="Arial"/>
                <w:sz w:val="20"/>
                <w:szCs w:val="20"/>
              </w:rPr>
              <w:t>pneumológ pri chronickej obštrukčnej chorobe pľúc u pacientov spľňajúcich kritériá pre kategóriu C alebo D podľa odborného usmernenia GOLD 2011. Podmienkou hradenej liečby u novodiagnostikovaných pacientov je vykonanie bronchodilatačného testu.</w:t>
            </w:r>
          </w:p>
          <w:p w14:paraId="664989CE" w14:textId="77777777" w:rsidR="00BD4717" w:rsidRDefault="00BD4717" w:rsidP="00BD4717">
            <w:pPr>
              <w:jc w:val="both"/>
              <w:rPr>
                <w:rFonts w:ascii="Arial" w:hAnsi="Arial" w:cs="Arial"/>
                <w:sz w:val="20"/>
                <w:szCs w:val="20"/>
              </w:rPr>
            </w:pPr>
          </w:p>
          <w:p w14:paraId="4DA968ED" w14:textId="77777777" w:rsidR="00F762B8" w:rsidRDefault="00F762B8" w:rsidP="00BD4717">
            <w:pPr>
              <w:jc w:val="both"/>
              <w:rPr>
                <w:rFonts w:ascii="Arial" w:hAnsi="Arial" w:cs="Arial"/>
                <w:sz w:val="20"/>
                <w:szCs w:val="20"/>
              </w:rPr>
            </w:pPr>
          </w:p>
          <w:p w14:paraId="21A4A69C" w14:textId="3343FFB1" w:rsidR="00F762B8" w:rsidRPr="0000591E" w:rsidRDefault="00F762B8" w:rsidP="00BD4717">
            <w:pPr>
              <w:jc w:val="both"/>
              <w:rPr>
                <w:rFonts w:ascii="Arial" w:hAnsi="Arial" w:cs="Arial"/>
                <w:sz w:val="20"/>
                <w:szCs w:val="20"/>
              </w:rPr>
            </w:pPr>
          </w:p>
        </w:tc>
      </w:tr>
      <w:tr w:rsidR="00BD4717" w:rsidRPr="0000591E" w14:paraId="36F979E6" w14:textId="77777777" w:rsidTr="00135728">
        <w:trPr>
          <w:trHeight w:val="20"/>
        </w:trPr>
        <w:tc>
          <w:tcPr>
            <w:tcW w:w="1277" w:type="dxa"/>
            <w:tcBorders>
              <w:bottom w:val="single" w:sz="4" w:space="0" w:color="auto"/>
            </w:tcBorders>
            <w:noWrap/>
          </w:tcPr>
          <w:p w14:paraId="2863F62A"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R03AK07</w:t>
            </w:r>
          </w:p>
        </w:tc>
        <w:tc>
          <w:tcPr>
            <w:tcW w:w="9355" w:type="dxa"/>
            <w:tcBorders>
              <w:bottom w:val="single" w:sz="4" w:space="0" w:color="auto"/>
            </w:tcBorders>
            <w:noWrap/>
          </w:tcPr>
          <w:p w14:paraId="51C613FC" w14:textId="77777777" w:rsidR="00BD4717" w:rsidRPr="0000591E" w:rsidRDefault="00BD4717" w:rsidP="00BD4717">
            <w:pPr>
              <w:jc w:val="both"/>
              <w:rPr>
                <w:rFonts w:ascii="Arial" w:hAnsi="Arial" w:cs="Arial"/>
                <w:b/>
                <w:bCs/>
                <w:sz w:val="20"/>
                <w:szCs w:val="20"/>
              </w:rPr>
            </w:pPr>
            <w:r w:rsidRPr="00F6638D">
              <w:rPr>
                <w:rFonts w:ascii="Arial" w:hAnsi="Arial" w:cs="Arial"/>
                <w:b/>
                <w:bCs/>
                <w:sz w:val="20"/>
                <w:szCs w:val="20"/>
              </w:rPr>
              <w:t>Formoterol a</w:t>
            </w:r>
            <w:r>
              <w:rPr>
                <w:rFonts w:ascii="Arial" w:hAnsi="Arial" w:cs="Arial"/>
                <w:b/>
                <w:bCs/>
                <w:sz w:val="20"/>
                <w:szCs w:val="20"/>
              </w:rPr>
              <w:t> </w:t>
            </w:r>
            <w:r w:rsidRPr="00F6638D">
              <w:rPr>
                <w:rFonts w:ascii="Arial" w:hAnsi="Arial" w:cs="Arial"/>
                <w:b/>
                <w:bCs/>
                <w:sz w:val="20"/>
                <w:szCs w:val="20"/>
              </w:rPr>
              <w:t>budezonid</w:t>
            </w:r>
            <w:r>
              <w:rPr>
                <w:rFonts w:ascii="Arial" w:hAnsi="Arial" w:cs="Arial"/>
                <w:b/>
                <w:bCs/>
                <w:sz w:val="20"/>
                <w:szCs w:val="20"/>
              </w:rPr>
              <w:t xml:space="preserve"> </w:t>
            </w:r>
            <w:r w:rsidRPr="0000591E">
              <w:rPr>
                <w:rFonts w:ascii="Arial" w:hAnsi="Arial" w:cs="Arial"/>
                <w:b/>
                <w:bCs/>
                <w:sz w:val="20"/>
                <w:szCs w:val="20"/>
              </w:rPr>
              <w:t>6</w:t>
            </w:r>
            <w:r>
              <w:rPr>
                <w:rFonts w:ascii="Arial" w:hAnsi="Arial" w:cs="Arial"/>
                <w:b/>
                <w:bCs/>
                <w:sz w:val="20"/>
                <w:szCs w:val="20"/>
              </w:rPr>
              <w:t>/100</w:t>
            </w:r>
            <w:r w:rsidRPr="0000591E">
              <w:rPr>
                <w:rFonts w:ascii="Arial" w:hAnsi="Arial" w:cs="Arial"/>
                <w:b/>
                <w:bCs/>
                <w:sz w:val="20"/>
                <w:szCs w:val="20"/>
              </w:rPr>
              <w:t xml:space="preserve"> mcg plv. inh.</w:t>
            </w:r>
          </w:p>
        </w:tc>
      </w:tr>
      <w:tr w:rsidR="00BD4717" w:rsidRPr="0000591E" w14:paraId="05F1A1C2" w14:textId="77777777" w:rsidTr="00135728">
        <w:trPr>
          <w:trHeight w:val="20"/>
        </w:trPr>
        <w:tc>
          <w:tcPr>
            <w:tcW w:w="1277" w:type="dxa"/>
            <w:tcBorders>
              <w:top w:val="single" w:sz="4" w:space="0" w:color="auto"/>
              <w:bottom w:val="single" w:sz="4" w:space="0" w:color="BFBFBF" w:themeColor="background1" w:themeShade="BF"/>
            </w:tcBorders>
            <w:noWrap/>
          </w:tcPr>
          <w:p w14:paraId="1BC62DBF" w14:textId="77777777" w:rsidR="00BD4717" w:rsidRPr="0000591E" w:rsidRDefault="00BD4717" w:rsidP="00BD4717">
            <w:pPr>
              <w:jc w:val="both"/>
              <w:rPr>
                <w:rFonts w:ascii="Arial" w:hAnsi="Arial" w:cs="Arial"/>
                <w:sz w:val="20"/>
                <w:szCs w:val="20"/>
                <w:lang w:eastAsia="cs-CZ"/>
              </w:rPr>
            </w:pPr>
          </w:p>
          <w:p w14:paraId="1CD5ACEA" w14:textId="77777777" w:rsidR="00BD4717" w:rsidRPr="0000591E" w:rsidRDefault="00BD4717" w:rsidP="00BD4717">
            <w:pPr>
              <w:jc w:val="both"/>
              <w:rPr>
                <w:rFonts w:ascii="Arial" w:hAnsi="Arial" w:cs="Arial"/>
                <w:sz w:val="20"/>
                <w:szCs w:val="20"/>
                <w:lang w:eastAsia="cs-CZ"/>
              </w:rPr>
            </w:pPr>
          </w:p>
          <w:p w14:paraId="4C574D2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ABA65EA" w14:textId="77777777" w:rsidR="00BD4717" w:rsidRDefault="00BD4717" w:rsidP="00BD4717">
            <w:pPr>
              <w:jc w:val="both"/>
              <w:rPr>
                <w:rFonts w:ascii="Arial" w:hAnsi="Arial" w:cs="Arial"/>
                <w:sz w:val="20"/>
                <w:szCs w:val="20"/>
              </w:rPr>
            </w:pPr>
            <w:r w:rsidRPr="0000591E">
              <w:rPr>
                <w:rFonts w:ascii="Arial" w:hAnsi="Arial" w:cs="Arial"/>
                <w:sz w:val="20"/>
                <w:szCs w:val="20"/>
              </w:rPr>
              <w:t>Hradenú liečbe môže indikovať alergológ alebo pneumológ pri stredne ťažkej alebo ťažkej perzistujúcej nekontrolovanej astme</w:t>
            </w:r>
            <w:r>
              <w:rPr>
                <w:rFonts w:ascii="Arial" w:hAnsi="Arial" w:cs="Arial"/>
                <w:sz w:val="20"/>
                <w:szCs w:val="20"/>
              </w:rPr>
              <w:t>, pri ktorej</w:t>
            </w:r>
            <w:r w:rsidRPr="0000591E">
              <w:rPr>
                <w:rFonts w:ascii="Arial" w:hAnsi="Arial" w:cs="Arial"/>
                <w:sz w:val="20"/>
                <w:szCs w:val="20"/>
              </w:rPr>
              <w:t xml:space="preserve"> sa liečbou inhalačnými kortikosteroidmi a inhalačnými beta-2 agonistami nedosiahla adekvátna kontrola astmy.</w:t>
            </w:r>
          </w:p>
          <w:p w14:paraId="4C3770DD" w14:textId="0ACB77AA" w:rsidR="00BD4717" w:rsidRPr="0000591E" w:rsidRDefault="00BD4717" w:rsidP="00BD4717">
            <w:pPr>
              <w:jc w:val="both"/>
              <w:rPr>
                <w:rFonts w:ascii="Arial" w:hAnsi="Arial" w:cs="Arial"/>
                <w:sz w:val="20"/>
                <w:szCs w:val="20"/>
              </w:rPr>
            </w:pPr>
          </w:p>
        </w:tc>
      </w:tr>
      <w:tr w:rsidR="00BD4717" w:rsidRPr="0000591E" w14:paraId="77CE8EEE" w14:textId="77777777" w:rsidTr="00135728">
        <w:trPr>
          <w:trHeight w:val="20"/>
        </w:trPr>
        <w:tc>
          <w:tcPr>
            <w:tcW w:w="1277" w:type="dxa"/>
            <w:tcBorders>
              <w:bottom w:val="single" w:sz="4" w:space="0" w:color="auto"/>
            </w:tcBorders>
            <w:noWrap/>
          </w:tcPr>
          <w:p w14:paraId="41176717" w14:textId="77777777" w:rsidR="00BD4717" w:rsidRPr="0000591E" w:rsidRDefault="00BD4717" w:rsidP="00BD4717">
            <w:pPr>
              <w:jc w:val="both"/>
              <w:rPr>
                <w:rFonts w:ascii="Arial" w:hAnsi="Arial" w:cs="Arial"/>
                <w:b/>
                <w:bCs/>
                <w:sz w:val="20"/>
                <w:szCs w:val="20"/>
              </w:rPr>
            </w:pPr>
          </w:p>
          <w:p w14:paraId="39DAB972"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R03AK0</w:t>
            </w:r>
            <w:r>
              <w:rPr>
                <w:rFonts w:ascii="Arial" w:hAnsi="Arial" w:cs="Arial"/>
                <w:b/>
                <w:bCs/>
                <w:sz w:val="20"/>
                <w:szCs w:val="20"/>
              </w:rPr>
              <w:t>8</w:t>
            </w:r>
          </w:p>
        </w:tc>
        <w:tc>
          <w:tcPr>
            <w:tcW w:w="9355" w:type="dxa"/>
            <w:tcBorders>
              <w:bottom w:val="single" w:sz="4" w:space="0" w:color="auto"/>
            </w:tcBorders>
            <w:noWrap/>
          </w:tcPr>
          <w:p w14:paraId="1709126C" w14:textId="77777777" w:rsidR="00BD4717" w:rsidRPr="009F535D" w:rsidRDefault="00BD4717" w:rsidP="00BD4717">
            <w:pPr>
              <w:jc w:val="both"/>
              <w:rPr>
                <w:rFonts w:ascii="Arial" w:hAnsi="Arial" w:cs="Arial"/>
                <w:b/>
                <w:bCs/>
                <w:sz w:val="20"/>
                <w:szCs w:val="20"/>
              </w:rPr>
            </w:pPr>
            <w:r w:rsidRPr="0049039F">
              <w:rPr>
                <w:rFonts w:ascii="Arial" w:hAnsi="Arial" w:cs="Arial"/>
                <w:b/>
                <w:bCs/>
                <w:sz w:val="20"/>
                <w:szCs w:val="20"/>
              </w:rPr>
              <w:t>Formoterol a beklometazón</w:t>
            </w:r>
            <w:r w:rsidRPr="0049039F">
              <w:rPr>
                <w:rFonts w:ascii="Arial" w:hAnsi="Arial" w:cs="Arial"/>
                <w:b/>
                <w:bCs/>
                <w:sz w:val="20"/>
                <w:szCs w:val="20"/>
              </w:rPr>
              <w:tab/>
              <w:t>inhal. 6/100 mcg</w:t>
            </w:r>
          </w:p>
          <w:p w14:paraId="52148210" w14:textId="77777777" w:rsidR="00BD4717" w:rsidRPr="0000591E" w:rsidRDefault="00BD4717" w:rsidP="00BD4717">
            <w:pPr>
              <w:jc w:val="both"/>
              <w:rPr>
                <w:rFonts w:ascii="Arial" w:hAnsi="Arial" w:cs="Arial"/>
                <w:b/>
                <w:bCs/>
                <w:sz w:val="20"/>
                <w:szCs w:val="20"/>
              </w:rPr>
            </w:pPr>
            <w:r w:rsidRPr="006C4D6A">
              <w:rPr>
                <w:rFonts w:ascii="Arial" w:hAnsi="Arial" w:cs="Arial"/>
                <w:b/>
                <w:bCs/>
                <w:sz w:val="20"/>
                <w:szCs w:val="20"/>
              </w:rPr>
              <w:t>Formoterol a beklometazón</w:t>
            </w:r>
            <w:r w:rsidRPr="006C4D6A">
              <w:rPr>
                <w:rFonts w:ascii="Arial" w:hAnsi="Arial" w:cs="Arial"/>
                <w:b/>
                <w:bCs/>
                <w:sz w:val="20"/>
                <w:szCs w:val="20"/>
              </w:rPr>
              <w:tab/>
              <w:t>inhal. 6/100 mcg plv. inh.</w:t>
            </w:r>
          </w:p>
        </w:tc>
      </w:tr>
      <w:tr w:rsidR="00BD4717" w:rsidRPr="009F535D" w14:paraId="01DE7429" w14:textId="77777777" w:rsidTr="00135728">
        <w:trPr>
          <w:trHeight w:val="20"/>
        </w:trPr>
        <w:tc>
          <w:tcPr>
            <w:tcW w:w="1277" w:type="dxa"/>
            <w:tcBorders>
              <w:top w:val="single" w:sz="4" w:space="0" w:color="auto"/>
              <w:bottom w:val="single" w:sz="4" w:space="0" w:color="BFBFBF" w:themeColor="background1" w:themeShade="BF"/>
            </w:tcBorders>
            <w:noWrap/>
          </w:tcPr>
          <w:p w14:paraId="4A4E289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378D518"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w:t>
            </w:r>
          </w:p>
          <w:p w14:paraId="3D93CD30" w14:textId="77777777" w:rsidR="00BD4717" w:rsidRDefault="00BD4717">
            <w:pPr>
              <w:numPr>
                <w:ilvl w:val="0"/>
                <w:numId w:val="89"/>
              </w:numPr>
              <w:jc w:val="both"/>
              <w:rPr>
                <w:rFonts w:ascii="Arial" w:hAnsi="Arial" w:cs="Arial"/>
                <w:sz w:val="20"/>
                <w:szCs w:val="20"/>
              </w:rPr>
            </w:pPr>
            <w:r w:rsidRPr="0000591E">
              <w:rPr>
                <w:rFonts w:ascii="Arial" w:hAnsi="Arial" w:cs="Arial"/>
                <w:sz w:val="20"/>
                <w:szCs w:val="20"/>
              </w:rPr>
              <w:t xml:space="preserve">alergológ alebo pneumológ pri stredne ťažkej alebo ťažkej perzistujúcej nekontrolovanej astme, pri ktorej sa liečbou inhalačnými kortikosteroidmi a inhalačnými beta-2 agonistami nedosiahla adekvátna kontrola astmy, </w:t>
            </w:r>
          </w:p>
          <w:p w14:paraId="6A33919D" w14:textId="77777777" w:rsidR="00BD4717" w:rsidRDefault="00BD4717">
            <w:pPr>
              <w:numPr>
                <w:ilvl w:val="0"/>
                <w:numId w:val="89"/>
              </w:numPr>
              <w:jc w:val="both"/>
              <w:rPr>
                <w:rFonts w:ascii="Arial" w:hAnsi="Arial" w:cs="Arial"/>
                <w:sz w:val="20"/>
                <w:szCs w:val="20"/>
              </w:rPr>
            </w:pPr>
            <w:r w:rsidRPr="009F535D">
              <w:rPr>
                <w:rFonts w:ascii="Arial" w:hAnsi="Arial" w:cs="Arial"/>
                <w:sz w:val="20"/>
                <w:szCs w:val="20"/>
              </w:rPr>
              <w:t xml:space="preserve">pneumológ pri chronickej obštrukčnej chorobe pľúc u pacientov spľňajúcich kritériá pre kategóriu C alebo D podľa odborného usmernenia GOLD 2011. Podmienkou hradenej liečby u novodiagnostikovaných pacientov je vykonanie bronchodilatačného testu. </w:t>
            </w:r>
          </w:p>
          <w:p w14:paraId="57661272" w14:textId="77777777" w:rsidR="00BD4717" w:rsidRPr="009F535D" w:rsidRDefault="00BD4717" w:rsidP="00BD4717">
            <w:pPr>
              <w:ind w:left="720"/>
              <w:jc w:val="both"/>
              <w:rPr>
                <w:rFonts w:ascii="Arial" w:hAnsi="Arial" w:cs="Arial"/>
                <w:sz w:val="20"/>
                <w:szCs w:val="20"/>
              </w:rPr>
            </w:pPr>
          </w:p>
        </w:tc>
      </w:tr>
      <w:tr w:rsidR="00BD4717" w:rsidRPr="0000591E" w14:paraId="67D608D8" w14:textId="77777777" w:rsidTr="00135728">
        <w:trPr>
          <w:trHeight w:val="20"/>
        </w:trPr>
        <w:tc>
          <w:tcPr>
            <w:tcW w:w="1277" w:type="dxa"/>
            <w:tcBorders>
              <w:bottom w:val="single" w:sz="4" w:space="0" w:color="auto"/>
            </w:tcBorders>
            <w:noWrap/>
          </w:tcPr>
          <w:p w14:paraId="4E1B0D14" w14:textId="77777777" w:rsidR="00BD4717" w:rsidRPr="0000591E" w:rsidRDefault="00BD4717" w:rsidP="00BD4717">
            <w:pPr>
              <w:jc w:val="both"/>
              <w:rPr>
                <w:rFonts w:ascii="Arial" w:hAnsi="Arial" w:cs="Arial"/>
                <w:b/>
                <w:bCs/>
                <w:sz w:val="20"/>
                <w:szCs w:val="20"/>
              </w:rPr>
            </w:pPr>
          </w:p>
          <w:p w14:paraId="7ED19D58"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R03AK0</w:t>
            </w:r>
            <w:r>
              <w:rPr>
                <w:rFonts w:ascii="Arial" w:hAnsi="Arial" w:cs="Arial"/>
                <w:b/>
                <w:bCs/>
                <w:sz w:val="20"/>
                <w:szCs w:val="20"/>
              </w:rPr>
              <w:t>8</w:t>
            </w:r>
          </w:p>
        </w:tc>
        <w:tc>
          <w:tcPr>
            <w:tcW w:w="9355" w:type="dxa"/>
            <w:tcBorders>
              <w:bottom w:val="single" w:sz="4" w:space="0" w:color="auto"/>
            </w:tcBorders>
            <w:noWrap/>
          </w:tcPr>
          <w:p w14:paraId="4A8E2B16" w14:textId="77777777" w:rsidR="00BD4717" w:rsidRDefault="00BD4717" w:rsidP="00BD4717">
            <w:pPr>
              <w:jc w:val="both"/>
              <w:rPr>
                <w:rFonts w:ascii="Arial" w:hAnsi="Arial" w:cs="Arial"/>
                <w:b/>
                <w:bCs/>
                <w:sz w:val="20"/>
                <w:szCs w:val="20"/>
              </w:rPr>
            </w:pPr>
            <w:r w:rsidRPr="00C22A74">
              <w:rPr>
                <w:rFonts w:ascii="Arial" w:hAnsi="Arial" w:cs="Arial"/>
                <w:b/>
                <w:bCs/>
                <w:sz w:val="20"/>
                <w:szCs w:val="20"/>
              </w:rPr>
              <w:t>Formoterol a beklometazón</w:t>
            </w:r>
            <w:r w:rsidRPr="00C22A74">
              <w:rPr>
                <w:rFonts w:ascii="Arial" w:hAnsi="Arial" w:cs="Arial"/>
                <w:b/>
                <w:bCs/>
                <w:sz w:val="20"/>
                <w:szCs w:val="20"/>
              </w:rPr>
              <w:tab/>
              <w:t>inhal. 6/200 mcg plv. inh.</w:t>
            </w:r>
          </w:p>
          <w:p w14:paraId="4B17B70B" w14:textId="77777777" w:rsidR="00BD4717" w:rsidRPr="0000591E" w:rsidRDefault="00BD4717" w:rsidP="00BD4717">
            <w:pPr>
              <w:jc w:val="both"/>
              <w:rPr>
                <w:rFonts w:ascii="Arial" w:hAnsi="Arial" w:cs="Arial"/>
                <w:b/>
                <w:bCs/>
                <w:sz w:val="20"/>
                <w:szCs w:val="20"/>
              </w:rPr>
            </w:pPr>
            <w:r w:rsidRPr="00751DA0">
              <w:rPr>
                <w:rFonts w:ascii="Arial" w:hAnsi="Arial" w:cs="Arial"/>
                <w:b/>
                <w:bCs/>
                <w:sz w:val="20"/>
                <w:szCs w:val="20"/>
              </w:rPr>
              <w:t>Formoterol a beklometazón</w:t>
            </w:r>
            <w:r w:rsidRPr="00751DA0">
              <w:rPr>
                <w:rFonts w:ascii="Arial" w:hAnsi="Arial" w:cs="Arial"/>
                <w:b/>
                <w:bCs/>
                <w:sz w:val="20"/>
                <w:szCs w:val="20"/>
              </w:rPr>
              <w:tab/>
              <w:t>inhal. 6/200 mcg</w:t>
            </w:r>
          </w:p>
        </w:tc>
      </w:tr>
      <w:tr w:rsidR="00BD4717" w:rsidRPr="0000591E" w14:paraId="3872E7B3" w14:textId="77777777" w:rsidTr="00135728">
        <w:trPr>
          <w:trHeight w:val="20"/>
        </w:trPr>
        <w:tc>
          <w:tcPr>
            <w:tcW w:w="1277" w:type="dxa"/>
            <w:tcBorders>
              <w:top w:val="single" w:sz="4" w:space="0" w:color="auto"/>
              <w:bottom w:val="single" w:sz="4" w:space="0" w:color="BFBFBF" w:themeColor="background1" w:themeShade="BF"/>
            </w:tcBorders>
            <w:noWrap/>
          </w:tcPr>
          <w:p w14:paraId="191E3D3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D557A1E" w14:textId="77777777" w:rsidR="00BD4717" w:rsidRDefault="00BD4717" w:rsidP="00BD4717">
            <w:pPr>
              <w:jc w:val="both"/>
              <w:rPr>
                <w:rFonts w:ascii="Arial" w:hAnsi="Arial" w:cs="Arial"/>
                <w:sz w:val="20"/>
                <w:szCs w:val="20"/>
              </w:rPr>
            </w:pPr>
            <w:r w:rsidRPr="006708A5">
              <w:rPr>
                <w:rFonts w:ascii="Arial" w:hAnsi="Arial" w:cs="Arial"/>
                <w:sz w:val="20"/>
                <w:szCs w:val="20"/>
              </w:rPr>
              <w:t xml:space="preserve">Hradenú liečbu môže indikovať alergológ alebo pneumológ pri stredne ťažkej alebo ťažkej perzistujúcej nekontrolovanej astme, u ktorých sa liečbou inhalačnými kortikosteroidmi a inhalačnými beta-2 agonistami nedosiahla adekvátna kontrola astmy. </w:t>
            </w:r>
          </w:p>
          <w:p w14:paraId="381FD674" w14:textId="7B5E2817" w:rsidR="00F762B8" w:rsidRPr="009F535D" w:rsidRDefault="00F762B8" w:rsidP="00BD4717">
            <w:pPr>
              <w:jc w:val="both"/>
              <w:rPr>
                <w:rFonts w:ascii="Arial" w:hAnsi="Arial" w:cs="Arial"/>
                <w:sz w:val="20"/>
                <w:szCs w:val="20"/>
              </w:rPr>
            </w:pPr>
          </w:p>
        </w:tc>
      </w:tr>
      <w:tr w:rsidR="00BD4717" w:rsidRPr="0000591E" w14:paraId="6C591B94" w14:textId="77777777" w:rsidTr="00135728">
        <w:trPr>
          <w:trHeight w:val="20"/>
        </w:trPr>
        <w:tc>
          <w:tcPr>
            <w:tcW w:w="1277" w:type="dxa"/>
            <w:tcBorders>
              <w:bottom w:val="single" w:sz="4" w:space="0" w:color="auto"/>
            </w:tcBorders>
            <w:noWrap/>
          </w:tcPr>
          <w:p w14:paraId="58D134A0"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R03AK10</w:t>
            </w:r>
          </w:p>
        </w:tc>
        <w:tc>
          <w:tcPr>
            <w:tcW w:w="9355" w:type="dxa"/>
            <w:tcBorders>
              <w:bottom w:val="single" w:sz="4" w:space="0" w:color="auto"/>
            </w:tcBorders>
            <w:noWrap/>
          </w:tcPr>
          <w:p w14:paraId="6CDCC406"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Vilanterol a flutikazónfuroát inhal. 92/22 mcg</w:t>
            </w:r>
          </w:p>
        </w:tc>
      </w:tr>
      <w:tr w:rsidR="00BD4717" w:rsidRPr="0000591E" w14:paraId="7C26AFCD" w14:textId="77777777" w:rsidTr="007A0BAB">
        <w:trPr>
          <w:trHeight w:val="20"/>
        </w:trPr>
        <w:tc>
          <w:tcPr>
            <w:tcW w:w="1277" w:type="dxa"/>
            <w:tcBorders>
              <w:top w:val="single" w:sz="4" w:space="0" w:color="auto"/>
              <w:bottom w:val="single" w:sz="4" w:space="0" w:color="BFBFBF" w:themeColor="background1" w:themeShade="BF"/>
            </w:tcBorders>
            <w:noWrap/>
          </w:tcPr>
          <w:p w14:paraId="3183F14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DCC1C04"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w:t>
            </w:r>
          </w:p>
          <w:p w14:paraId="0A5B9C86" w14:textId="77777777" w:rsidR="00BD4717" w:rsidRPr="0000591E" w:rsidRDefault="00BD4717">
            <w:pPr>
              <w:numPr>
                <w:ilvl w:val="0"/>
                <w:numId w:val="72"/>
              </w:numPr>
              <w:jc w:val="both"/>
              <w:rPr>
                <w:rFonts w:ascii="Arial" w:hAnsi="Arial" w:cs="Arial"/>
                <w:sz w:val="20"/>
                <w:szCs w:val="20"/>
              </w:rPr>
            </w:pPr>
            <w:r w:rsidRPr="0000591E">
              <w:rPr>
                <w:rFonts w:ascii="Arial" w:hAnsi="Arial" w:cs="Arial"/>
                <w:sz w:val="20"/>
                <w:szCs w:val="20"/>
              </w:rPr>
              <w:t>alergológ alebo pneumológ pri stredne ťažkej alebo ťažkej perzistujúcej nekontrolovanej astme, pri ktorej sa liečbou inhalačnými kortikosteroidmi a inhalačnými beta-2 agonistami nedosiahla adekvátna kontrola astmy,</w:t>
            </w:r>
          </w:p>
          <w:p w14:paraId="4699688F" w14:textId="77777777" w:rsidR="00BD4717" w:rsidRDefault="00BD4717">
            <w:pPr>
              <w:numPr>
                <w:ilvl w:val="0"/>
                <w:numId w:val="72"/>
              </w:numPr>
              <w:jc w:val="both"/>
              <w:rPr>
                <w:rFonts w:ascii="Arial" w:hAnsi="Arial" w:cs="Arial"/>
                <w:sz w:val="20"/>
                <w:szCs w:val="20"/>
              </w:rPr>
            </w:pPr>
            <w:r w:rsidRPr="0000591E">
              <w:rPr>
                <w:rFonts w:ascii="Arial" w:hAnsi="Arial" w:cs="Arial"/>
                <w:sz w:val="20"/>
                <w:szCs w:val="20"/>
              </w:rPr>
              <w:t>pneumológ pri chronickej obštrukčnej chorobe pľúc u pacientov v štádiu C alebo D podľa odborného usmernenia GOLD 2011. Podmienkou hradenej liečby u novodiagnostikovaných pacientov je vykonanie bronchodilatačného testu.</w:t>
            </w:r>
          </w:p>
          <w:p w14:paraId="779076B3" w14:textId="13ABF317" w:rsidR="00BD4717" w:rsidRPr="0000591E" w:rsidRDefault="00BD4717" w:rsidP="00BD4717">
            <w:pPr>
              <w:ind w:left="360"/>
              <w:jc w:val="both"/>
              <w:rPr>
                <w:rFonts w:ascii="Arial" w:hAnsi="Arial" w:cs="Arial"/>
                <w:sz w:val="20"/>
                <w:szCs w:val="20"/>
              </w:rPr>
            </w:pPr>
          </w:p>
        </w:tc>
      </w:tr>
      <w:tr w:rsidR="00BD4717" w:rsidRPr="0000591E" w14:paraId="4A730A9E" w14:textId="77777777" w:rsidTr="007A0BAB">
        <w:trPr>
          <w:trHeight w:val="20"/>
        </w:trPr>
        <w:tc>
          <w:tcPr>
            <w:tcW w:w="1277" w:type="dxa"/>
            <w:tcBorders>
              <w:bottom w:val="single" w:sz="4" w:space="0" w:color="auto"/>
            </w:tcBorders>
            <w:noWrap/>
          </w:tcPr>
          <w:p w14:paraId="13D9675A"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R03AK10</w:t>
            </w:r>
          </w:p>
        </w:tc>
        <w:tc>
          <w:tcPr>
            <w:tcW w:w="9355" w:type="dxa"/>
            <w:tcBorders>
              <w:bottom w:val="single" w:sz="4" w:space="0" w:color="auto"/>
            </w:tcBorders>
            <w:noWrap/>
          </w:tcPr>
          <w:p w14:paraId="165EB5D9"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Vilanterol a flutikazónfuroát inhal. 184/22 mcg</w:t>
            </w:r>
          </w:p>
        </w:tc>
      </w:tr>
      <w:tr w:rsidR="00BD4717" w:rsidRPr="0000591E" w14:paraId="03BDC283" w14:textId="77777777" w:rsidTr="007A0BAB">
        <w:trPr>
          <w:trHeight w:val="20"/>
        </w:trPr>
        <w:tc>
          <w:tcPr>
            <w:tcW w:w="1277" w:type="dxa"/>
            <w:tcBorders>
              <w:top w:val="single" w:sz="4" w:space="0" w:color="auto"/>
              <w:bottom w:val="single" w:sz="4" w:space="0" w:color="BFBFBF" w:themeColor="background1" w:themeShade="BF"/>
            </w:tcBorders>
            <w:noWrap/>
          </w:tcPr>
          <w:p w14:paraId="23F4D271"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7800229E" w14:textId="77777777" w:rsidR="00BD4717" w:rsidRDefault="00BD4717" w:rsidP="00BD4717">
            <w:pPr>
              <w:jc w:val="both"/>
              <w:rPr>
                <w:rFonts w:ascii="Arial" w:hAnsi="Arial" w:cs="Arial"/>
                <w:sz w:val="20"/>
                <w:szCs w:val="20"/>
              </w:rPr>
            </w:pPr>
            <w:r w:rsidRPr="0000591E">
              <w:rPr>
                <w:rFonts w:ascii="Arial" w:hAnsi="Arial" w:cs="Arial"/>
                <w:sz w:val="20"/>
                <w:szCs w:val="20"/>
              </w:rPr>
              <w:t>Hradenú liečbu môže indikovať alergológ alebo pneumológ pri stredne ťažkej alebo ťažkej perzistujúcej nekontrolovanej astme, pri ktorej sa liečbou inhalačnými kortikosteroidmi a inhalačnými beta-2 agonistami nedosiahla adekvátna kontrola astmy.</w:t>
            </w:r>
          </w:p>
          <w:p w14:paraId="0239F021" w14:textId="77777777" w:rsidR="00BD4717" w:rsidRPr="0000591E" w:rsidRDefault="00BD4717" w:rsidP="00BD4717">
            <w:pPr>
              <w:jc w:val="both"/>
              <w:rPr>
                <w:rFonts w:ascii="Arial" w:hAnsi="Arial" w:cs="Arial"/>
                <w:b/>
                <w:bCs/>
                <w:sz w:val="20"/>
                <w:szCs w:val="20"/>
              </w:rPr>
            </w:pPr>
          </w:p>
        </w:tc>
      </w:tr>
      <w:tr w:rsidR="00BD4717" w:rsidRPr="0000591E" w14:paraId="2E72ED74" w14:textId="77777777" w:rsidTr="00135728">
        <w:trPr>
          <w:trHeight w:val="20"/>
        </w:trPr>
        <w:tc>
          <w:tcPr>
            <w:tcW w:w="1277" w:type="dxa"/>
            <w:tcBorders>
              <w:bottom w:val="single" w:sz="4" w:space="0" w:color="auto"/>
            </w:tcBorders>
            <w:noWrap/>
          </w:tcPr>
          <w:p w14:paraId="41F6A737" w14:textId="77777777" w:rsidR="00BD4717" w:rsidRDefault="00BD4717" w:rsidP="00BD4717">
            <w:pPr>
              <w:jc w:val="both"/>
              <w:rPr>
                <w:rFonts w:ascii="Arial" w:hAnsi="Arial" w:cs="Arial"/>
                <w:b/>
                <w:bCs/>
                <w:sz w:val="20"/>
                <w:szCs w:val="20"/>
              </w:rPr>
            </w:pPr>
          </w:p>
          <w:p w14:paraId="577A3E1D" w14:textId="08806D88" w:rsidR="00BD4717" w:rsidRPr="0000591E" w:rsidRDefault="00BD4717" w:rsidP="00BD4717">
            <w:pPr>
              <w:jc w:val="both"/>
              <w:rPr>
                <w:rFonts w:ascii="Arial" w:hAnsi="Arial" w:cs="Arial"/>
                <w:b/>
                <w:bCs/>
                <w:sz w:val="20"/>
                <w:szCs w:val="20"/>
              </w:rPr>
            </w:pPr>
            <w:r w:rsidRPr="00135728">
              <w:rPr>
                <w:rFonts w:ascii="Arial" w:hAnsi="Arial" w:cs="Arial"/>
                <w:b/>
                <w:bCs/>
                <w:sz w:val="20"/>
                <w:szCs w:val="20"/>
              </w:rPr>
              <w:t>R03AK11</w:t>
            </w:r>
          </w:p>
        </w:tc>
        <w:tc>
          <w:tcPr>
            <w:tcW w:w="9355" w:type="dxa"/>
            <w:tcBorders>
              <w:bottom w:val="single" w:sz="4" w:space="0" w:color="auto"/>
            </w:tcBorders>
            <w:noWrap/>
          </w:tcPr>
          <w:p w14:paraId="34B7637F" w14:textId="6A45373E" w:rsidR="00BD4717" w:rsidRDefault="00BD4717" w:rsidP="00BD4717">
            <w:pPr>
              <w:jc w:val="both"/>
              <w:rPr>
                <w:rFonts w:ascii="Arial" w:hAnsi="Arial" w:cs="Arial"/>
                <w:b/>
                <w:sz w:val="20"/>
                <w:szCs w:val="20"/>
              </w:rPr>
            </w:pPr>
            <w:r w:rsidRPr="00D5496C">
              <w:rPr>
                <w:rFonts w:ascii="Arial" w:hAnsi="Arial" w:cs="Arial"/>
                <w:b/>
                <w:sz w:val="20"/>
                <w:szCs w:val="20"/>
              </w:rPr>
              <w:t>Formoterol a flutikazón inhal. 5/50 mcg sus. inh.</w:t>
            </w:r>
          </w:p>
          <w:p w14:paraId="21D2726B" w14:textId="50FE63EB" w:rsidR="00BD4717" w:rsidRDefault="00BD4717" w:rsidP="00BD4717">
            <w:pPr>
              <w:jc w:val="both"/>
              <w:rPr>
                <w:rFonts w:ascii="Arial" w:hAnsi="Arial" w:cs="Arial"/>
                <w:b/>
                <w:sz w:val="20"/>
                <w:szCs w:val="20"/>
              </w:rPr>
            </w:pPr>
            <w:r w:rsidRPr="00135728">
              <w:rPr>
                <w:rFonts w:ascii="Arial" w:hAnsi="Arial" w:cs="Arial"/>
                <w:b/>
                <w:sz w:val="20"/>
                <w:szCs w:val="20"/>
              </w:rPr>
              <w:t xml:space="preserve">Formoterol a flutikazón </w:t>
            </w:r>
            <w:r w:rsidRPr="00D5496C">
              <w:rPr>
                <w:rFonts w:ascii="Arial" w:hAnsi="Arial" w:cs="Arial"/>
                <w:b/>
                <w:sz w:val="20"/>
                <w:szCs w:val="20"/>
              </w:rPr>
              <w:t>inhal.</w:t>
            </w:r>
            <w:r>
              <w:rPr>
                <w:rFonts w:ascii="Arial" w:hAnsi="Arial" w:cs="Arial"/>
                <w:b/>
                <w:sz w:val="20"/>
                <w:szCs w:val="20"/>
              </w:rPr>
              <w:t xml:space="preserve"> </w:t>
            </w:r>
            <w:r w:rsidRPr="00135728">
              <w:rPr>
                <w:rFonts w:ascii="Arial" w:hAnsi="Arial" w:cs="Arial"/>
                <w:b/>
                <w:sz w:val="20"/>
                <w:szCs w:val="20"/>
              </w:rPr>
              <w:t>5/125 mcg sus. inh.</w:t>
            </w:r>
          </w:p>
          <w:p w14:paraId="07ADB7DA" w14:textId="6359807A" w:rsidR="00BD4717" w:rsidRPr="0000591E" w:rsidRDefault="00BD4717" w:rsidP="00BD4717">
            <w:pPr>
              <w:jc w:val="both"/>
              <w:rPr>
                <w:rFonts w:ascii="Arial" w:hAnsi="Arial" w:cs="Arial"/>
                <w:sz w:val="20"/>
                <w:szCs w:val="20"/>
              </w:rPr>
            </w:pPr>
            <w:r w:rsidRPr="00135728">
              <w:rPr>
                <w:rFonts w:ascii="Arial" w:hAnsi="Arial" w:cs="Arial"/>
                <w:b/>
                <w:sz w:val="20"/>
                <w:szCs w:val="20"/>
              </w:rPr>
              <w:t xml:space="preserve">Formoterol a flutikazón </w:t>
            </w:r>
            <w:r w:rsidRPr="00D5496C">
              <w:rPr>
                <w:rFonts w:ascii="Arial" w:hAnsi="Arial" w:cs="Arial"/>
                <w:b/>
                <w:sz w:val="20"/>
                <w:szCs w:val="20"/>
              </w:rPr>
              <w:t>inhal.</w:t>
            </w:r>
            <w:r>
              <w:rPr>
                <w:rFonts w:ascii="Arial" w:hAnsi="Arial" w:cs="Arial"/>
                <w:b/>
                <w:sz w:val="20"/>
                <w:szCs w:val="20"/>
              </w:rPr>
              <w:t xml:space="preserve"> </w:t>
            </w:r>
            <w:r w:rsidRPr="00135728">
              <w:rPr>
                <w:rFonts w:ascii="Arial" w:hAnsi="Arial" w:cs="Arial"/>
                <w:b/>
                <w:sz w:val="20"/>
                <w:szCs w:val="20"/>
              </w:rPr>
              <w:t>10/250 mcg sus. inh.</w:t>
            </w:r>
          </w:p>
        </w:tc>
      </w:tr>
      <w:tr w:rsidR="00BD4717" w:rsidRPr="0000591E" w14:paraId="2C02523B" w14:textId="77777777" w:rsidTr="007A0BAB">
        <w:trPr>
          <w:trHeight w:val="20"/>
        </w:trPr>
        <w:tc>
          <w:tcPr>
            <w:tcW w:w="1277" w:type="dxa"/>
            <w:tcBorders>
              <w:top w:val="single" w:sz="4" w:space="0" w:color="auto"/>
              <w:bottom w:val="single" w:sz="4" w:space="0" w:color="BFBFBF" w:themeColor="background1" w:themeShade="BF"/>
            </w:tcBorders>
            <w:noWrap/>
          </w:tcPr>
          <w:p w14:paraId="4FB329C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89111D6" w14:textId="77777777" w:rsidR="00BD4717" w:rsidRDefault="00BD4717" w:rsidP="00BD4717">
            <w:pPr>
              <w:jc w:val="both"/>
              <w:rPr>
                <w:rFonts w:ascii="Arial" w:hAnsi="Arial" w:cs="Arial"/>
                <w:sz w:val="20"/>
                <w:szCs w:val="20"/>
              </w:rPr>
            </w:pPr>
            <w:r w:rsidRPr="00135728">
              <w:rPr>
                <w:rFonts w:ascii="Arial" w:hAnsi="Arial" w:cs="Arial"/>
                <w:sz w:val="20"/>
                <w:szCs w:val="20"/>
              </w:rPr>
              <w:t>Hradenú liečbe môže indikovať alergológ alebo pneumológ pri stredne ťažkej alebo ťažkej perzistujúcej nekontrolovanej astme, pri ktorej sa liečbou inhalačnými kortikosteroidmi a inhalačnými beta-2 agonistami nedosiahla adekvátna kontrola astmy.</w:t>
            </w:r>
          </w:p>
          <w:p w14:paraId="27561221" w14:textId="37FF4F46" w:rsidR="00BD4717" w:rsidRPr="0000591E" w:rsidRDefault="00BD4717" w:rsidP="00BD4717">
            <w:pPr>
              <w:jc w:val="both"/>
              <w:rPr>
                <w:rFonts w:ascii="Arial" w:hAnsi="Arial" w:cs="Arial"/>
                <w:sz w:val="20"/>
                <w:szCs w:val="20"/>
              </w:rPr>
            </w:pPr>
          </w:p>
        </w:tc>
      </w:tr>
      <w:tr w:rsidR="00BD4717" w:rsidRPr="0000591E" w14:paraId="7BFE9267" w14:textId="77777777" w:rsidTr="007A0BAB">
        <w:trPr>
          <w:trHeight w:val="20"/>
        </w:trPr>
        <w:tc>
          <w:tcPr>
            <w:tcW w:w="1277" w:type="dxa"/>
            <w:tcBorders>
              <w:bottom w:val="single" w:sz="4" w:space="0" w:color="auto"/>
            </w:tcBorders>
            <w:noWrap/>
          </w:tcPr>
          <w:p w14:paraId="5F02F76E" w14:textId="77777777" w:rsidR="00BD4717" w:rsidRPr="0061467B" w:rsidRDefault="00BD4717" w:rsidP="00BD4717">
            <w:pPr>
              <w:jc w:val="both"/>
              <w:rPr>
                <w:rFonts w:ascii="Arial" w:hAnsi="Arial" w:cs="Arial"/>
                <w:b/>
                <w:sz w:val="20"/>
                <w:szCs w:val="20"/>
                <w:lang w:eastAsia="cs-CZ"/>
              </w:rPr>
            </w:pPr>
            <w:r w:rsidRPr="007772E0">
              <w:rPr>
                <w:rFonts w:ascii="Arial" w:hAnsi="Arial" w:cs="Arial"/>
                <w:b/>
                <w:sz w:val="20"/>
                <w:szCs w:val="20"/>
                <w:lang w:eastAsia="cs-CZ"/>
              </w:rPr>
              <w:t>R03AK1</w:t>
            </w:r>
            <w:r>
              <w:rPr>
                <w:rFonts w:ascii="Arial" w:hAnsi="Arial" w:cs="Arial"/>
                <w:b/>
                <w:sz w:val="20"/>
                <w:szCs w:val="20"/>
                <w:lang w:eastAsia="cs-CZ"/>
              </w:rPr>
              <w:t>4</w:t>
            </w:r>
          </w:p>
        </w:tc>
        <w:tc>
          <w:tcPr>
            <w:tcW w:w="9355" w:type="dxa"/>
            <w:tcBorders>
              <w:bottom w:val="single" w:sz="4" w:space="0" w:color="auto"/>
            </w:tcBorders>
            <w:noWrap/>
          </w:tcPr>
          <w:p w14:paraId="79F30B1F" w14:textId="77777777" w:rsidR="00BD4717" w:rsidRPr="0061467B" w:rsidRDefault="00BD4717" w:rsidP="00BD4717">
            <w:pPr>
              <w:jc w:val="both"/>
              <w:rPr>
                <w:rFonts w:ascii="Arial" w:hAnsi="Arial" w:cs="Arial"/>
                <w:b/>
                <w:sz w:val="20"/>
                <w:szCs w:val="20"/>
              </w:rPr>
            </w:pPr>
            <w:r w:rsidRPr="0061467B">
              <w:rPr>
                <w:rFonts w:ascii="Arial" w:hAnsi="Arial" w:cs="Arial"/>
                <w:b/>
                <w:sz w:val="20"/>
                <w:szCs w:val="20"/>
              </w:rPr>
              <w:t>Indakaterol a mometazón inhal. 125/260 mcg</w:t>
            </w:r>
          </w:p>
        </w:tc>
      </w:tr>
      <w:tr w:rsidR="00BD4717" w:rsidRPr="0000591E" w14:paraId="793B9F16" w14:textId="77777777" w:rsidTr="007217B2">
        <w:trPr>
          <w:trHeight w:val="20"/>
        </w:trPr>
        <w:tc>
          <w:tcPr>
            <w:tcW w:w="1277" w:type="dxa"/>
            <w:tcBorders>
              <w:top w:val="single" w:sz="4" w:space="0" w:color="auto"/>
              <w:bottom w:val="single" w:sz="4" w:space="0" w:color="BFBFBF" w:themeColor="background1" w:themeShade="BF"/>
            </w:tcBorders>
            <w:noWrap/>
          </w:tcPr>
          <w:p w14:paraId="70437A3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67B49979" w14:textId="77777777" w:rsidR="00BD4717" w:rsidRDefault="00BD4717" w:rsidP="00BD4717">
            <w:pPr>
              <w:jc w:val="both"/>
              <w:rPr>
                <w:rFonts w:ascii="Arial" w:hAnsi="Arial" w:cs="Arial"/>
                <w:sz w:val="20"/>
                <w:szCs w:val="20"/>
              </w:rPr>
            </w:pPr>
            <w:r w:rsidRPr="0061467B">
              <w:rPr>
                <w:rFonts w:ascii="Arial" w:hAnsi="Arial" w:cs="Arial"/>
                <w:sz w:val="20"/>
                <w:szCs w:val="20"/>
              </w:rPr>
              <w:t>Hradenú liečbu môže indikovať alergológ alebo pneumológ pri stredne ťažkej alebo ťažkej perzistujúcej nekontrolovanej astme, pri ktorej sa liečbou inhalačnými kortikosteroidmi a inhalačnými beta-2 agonistami nedosiahla adekvátna kontrola astmy.</w:t>
            </w:r>
          </w:p>
          <w:p w14:paraId="16709CCA" w14:textId="77777777" w:rsidR="00BD4717" w:rsidRPr="0000591E" w:rsidRDefault="00BD4717" w:rsidP="00BD4717">
            <w:pPr>
              <w:jc w:val="both"/>
              <w:rPr>
                <w:rFonts w:ascii="Arial" w:hAnsi="Arial" w:cs="Arial"/>
                <w:sz w:val="20"/>
                <w:szCs w:val="20"/>
              </w:rPr>
            </w:pPr>
          </w:p>
        </w:tc>
      </w:tr>
      <w:tr w:rsidR="00BD4717" w:rsidRPr="0000591E" w14:paraId="0086143C" w14:textId="77777777" w:rsidTr="007217B2">
        <w:trPr>
          <w:trHeight w:val="20"/>
        </w:trPr>
        <w:tc>
          <w:tcPr>
            <w:tcW w:w="1277" w:type="dxa"/>
            <w:tcBorders>
              <w:bottom w:val="single" w:sz="4" w:space="0" w:color="auto"/>
            </w:tcBorders>
            <w:noWrap/>
          </w:tcPr>
          <w:p w14:paraId="7F53078C"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3</w:t>
            </w:r>
          </w:p>
        </w:tc>
        <w:tc>
          <w:tcPr>
            <w:tcW w:w="9355" w:type="dxa"/>
            <w:tcBorders>
              <w:bottom w:val="single" w:sz="4" w:space="0" w:color="auto"/>
            </w:tcBorders>
            <w:noWrap/>
          </w:tcPr>
          <w:p w14:paraId="2F55901A" w14:textId="77777777" w:rsidR="00BD4717" w:rsidRPr="0000591E" w:rsidRDefault="00BD4717" w:rsidP="00BD4717">
            <w:pPr>
              <w:jc w:val="both"/>
              <w:rPr>
                <w:rFonts w:ascii="Arial" w:hAnsi="Arial" w:cs="Arial"/>
                <w:b/>
                <w:bCs/>
                <w:sz w:val="20"/>
                <w:szCs w:val="20"/>
              </w:rPr>
            </w:pPr>
            <w:r w:rsidRPr="00C31CC1">
              <w:rPr>
                <w:rFonts w:ascii="Arial" w:hAnsi="Arial" w:cs="Arial"/>
                <w:b/>
                <w:bCs/>
                <w:sz w:val="20"/>
                <w:szCs w:val="20"/>
              </w:rPr>
              <w:t>Vilanterol a umeklidíniumbromid inhal. 55/22 mcg</w:t>
            </w:r>
          </w:p>
        </w:tc>
      </w:tr>
      <w:tr w:rsidR="00BD4717" w:rsidRPr="0000591E" w14:paraId="1ABDEAD6" w14:textId="77777777" w:rsidTr="007217B2">
        <w:trPr>
          <w:trHeight w:val="20"/>
        </w:trPr>
        <w:tc>
          <w:tcPr>
            <w:tcW w:w="1277" w:type="dxa"/>
            <w:tcBorders>
              <w:top w:val="single" w:sz="4" w:space="0" w:color="auto"/>
              <w:bottom w:val="single" w:sz="4" w:space="0" w:color="BFBFBF" w:themeColor="background1" w:themeShade="BF"/>
            </w:tcBorders>
            <w:noWrap/>
          </w:tcPr>
          <w:p w14:paraId="32C2ECA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AFDBEF9"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w:t>
            </w:r>
          </w:p>
          <w:p w14:paraId="739448E8" w14:textId="77777777" w:rsidR="00BD4717" w:rsidRPr="0000591E" w:rsidRDefault="00BD4717" w:rsidP="00BD4717">
            <w:pPr>
              <w:jc w:val="both"/>
              <w:rPr>
                <w:rFonts w:ascii="Arial" w:hAnsi="Arial" w:cs="Arial"/>
                <w:b/>
                <w:sz w:val="20"/>
                <w:szCs w:val="20"/>
              </w:rPr>
            </w:pPr>
          </w:p>
        </w:tc>
      </w:tr>
      <w:tr w:rsidR="00BD4717" w:rsidRPr="0000591E" w14:paraId="1C8F3F75" w14:textId="77777777" w:rsidTr="007217B2">
        <w:trPr>
          <w:trHeight w:val="20"/>
        </w:trPr>
        <w:tc>
          <w:tcPr>
            <w:tcW w:w="1277" w:type="dxa"/>
            <w:tcBorders>
              <w:bottom w:val="single" w:sz="4" w:space="0" w:color="auto"/>
            </w:tcBorders>
            <w:noWrap/>
          </w:tcPr>
          <w:p w14:paraId="02E6E5A5"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R03AL04</w:t>
            </w:r>
          </w:p>
        </w:tc>
        <w:tc>
          <w:tcPr>
            <w:tcW w:w="9355" w:type="dxa"/>
            <w:tcBorders>
              <w:bottom w:val="single" w:sz="4" w:space="0" w:color="auto"/>
            </w:tcBorders>
            <w:noWrap/>
          </w:tcPr>
          <w:p w14:paraId="6F048C8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Inda</w:t>
            </w:r>
            <w:r>
              <w:rPr>
                <w:rFonts w:ascii="Arial" w:hAnsi="Arial" w:cs="Arial"/>
                <w:b/>
                <w:bCs/>
                <w:sz w:val="20"/>
                <w:szCs w:val="20"/>
              </w:rPr>
              <w:t>c</w:t>
            </w:r>
            <w:r w:rsidRPr="0000591E">
              <w:rPr>
                <w:rFonts w:ascii="Arial" w:hAnsi="Arial" w:cs="Arial"/>
                <w:b/>
                <w:bCs/>
                <w:sz w:val="20"/>
                <w:szCs w:val="20"/>
              </w:rPr>
              <w:t>aterol a glykopyróniumbromid inhal. 85/43 mcg</w:t>
            </w:r>
          </w:p>
        </w:tc>
      </w:tr>
      <w:tr w:rsidR="00BD4717" w:rsidRPr="0000591E" w14:paraId="3DBEE9AC" w14:textId="77777777" w:rsidTr="00504183">
        <w:trPr>
          <w:trHeight w:val="20"/>
        </w:trPr>
        <w:tc>
          <w:tcPr>
            <w:tcW w:w="1277" w:type="dxa"/>
            <w:tcBorders>
              <w:top w:val="single" w:sz="4" w:space="0" w:color="auto"/>
              <w:bottom w:val="single" w:sz="4" w:space="0" w:color="BFBFBF" w:themeColor="background1" w:themeShade="BF"/>
            </w:tcBorders>
            <w:noWrap/>
          </w:tcPr>
          <w:p w14:paraId="3E82290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26C838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w:t>
            </w:r>
          </w:p>
          <w:p w14:paraId="5DDFD8E1" w14:textId="77777777" w:rsidR="00BD4717" w:rsidRDefault="00BD4717" w:rsidP="00BD4717">
            <w:pPr>
              <w:jc w:val="both"/>
              <w:rPr>
                <w:rFonts w:ascii="Arial" w:hAnsi="Arial" w:cs="Arial"/>
                <w:b/>
                <w:sz w:val="20"/>
                <w:szCs w:val="20"/>
              </w:rPr>
            </w:pPr>
          </w:p>
          <w:p w14:paraId="087DCE62" w14:textId="77777777" w:rsidR="00F762B8" w:rsidRDefault="00F762B8" w:rsidP="00BD4717">
            <w:pPr>
              <w:jc w:val="both"/>
              <w:rPr>
                <w:rFonts w:ascii="Arial" w:hAnsi="Arial" w:cs="Arial"/>
                <w:b/>
                <w:sz w:val="20"/>
                <w:szCs w:val="20"/>
              </w:rPr>
            </w:pPr>
          </w:p>
          <w:p w14:paraId="4310003F" w14:textId="77777777" w:rsidR="00F762B8" w:rsidRDefault="00F762B8" w:rsidP="00BD4717">
            <w:pPr>
              <w:jc w:val="both"/>
              <w:rPr>
                <w:rFonts w:ascii="Arial" w:hAnsi="Arial" w:cs="Arial"/>
                <w:b/>
                <w:sz w:val="20"/>
                <w:szCs w:val="20"/>
              </w:rPr>
            </w:pPr>
          </w:p>
          <w:p w14:paraId="37FE9C4C" w14:textId="79A39FCD" w:rsidR="00F762B8" w:rsidRPr="0000591E" w:rsidRDefault="00F762B8" w:rsidP="00BD4717">
            <w:pPr>
              <w:jc w:val="both"/>
              <w:rPr>
                <w:rFonts w:ascii="Arial" w:hAnsi="Arial" w:cs="Arial"/>
                <w:b/>
                <w:sz w:val="20"/>
                <w:szCs w:val="20"/>
              </w:rPr>
            </w:pPr>
          </w:p>
        </w:tc>
      </w:tr>
      <w:tr w:rsidR="00BD4717" w:rsidRPr="0000591E" w14:paraId="08F79375" w14:textId="77777777" w:rsidTr="00504183">
        <w:trPr>
          <w:trHeight w:val="20"/>
        </w:trPr>
        <w:tc>
          <w:tcPr>
            <w:tcW w:w="1277" w:type="dxa"/>
            <w:tcBorders>
              <w:bottom w:val="single" w:sz="4" w:space="0" w:color="auto"/>
            </w:tcBorders>
            <w:noWrap/>
          </w:tcPr>
          <w:p w14:paraId="6017520F"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5</w:t>
            </w:r>
          </w:p>
        </w:tc>
        <w:tc>
          <w:tcPr>
            <w:tcW w:w="9355" w:type="dxa"/>
            <w:tcBorders>
              <w:bottom w:val="single" w:sz="4" w:space="0" w:color="auto"/>
            </w:tcBorders>
            <w:noWrap/>
          </w:tcPr>
          <w:p w14:paraId="79B3FCD6" w14:textId="77777777" w:rsidR="00BD4717" w:rsidRPr="0000591E" w:rsidRDefault="00BD4717" w:rsidP="00BD4717">
            <w:pPr>
              <w:jc w:val="both"/>
              <w:rPr>
                <w:rFonts w:ascii="Arial" w:hAnsi="Arial" w:cs="Arial"/>
                <w:b/>
                <w:bCs/>
                <w:sz w:val="20"/>
                <w:szCs w:val="20"/>
              </w:rPr>
            </w:pPr>
            <w:r>
              <w:rPr>
                <w:rFonts w:ascii="Arial" w:hAnsi="Arial" w:cs="Arial"/>
                <w:b/>
                <w:bCs/>
                <w:sz w:val="20"/>
                <w:szCs w:val="20"/>
              </w:rPr>
              <w:t>Formoterol a aklidínium inhal. 340</w:t>
            </w:r>
            <w:r w:rsidRPr="00E53A23">
              <w:rPr>
                <w:rFonts w:ascii="Arial" w:hAnsi="Arial" w:cs="Arial"/>
                <w:b/>
                <w:bCs/>
                <w:sz w:val="20"/>
                <w:szCs w:val="20"/>
              </w:rPr>
              <w:t>/12 mcg</w:t>
            </w:r>
          </w:p>
        </w:tc>
      </w:tr>
      <w:tr w:rsidR="00BD4717" w:rsidRPr="0000591E" w14:paraId="5D9F27E3" w14:textId="77777777" w:rsidTr="00504183">
        <w:trPr>
          <w:trHeight w:val="20"/>
        </w:trPr>
        <w:tc>
          <w:tcPr>
            <w:tcW w:w="1277" w:type="dxa"/>
            <w:tcBorders>
              <w:top w:val="single" w:sz="4" w:space="0" w:color="auto"/>
              <w:bottom w:val="single" w:sz="4" w:space="0" w:color="BFBFBF" w:themeColor="background1" w:themeShade="BF"/>
            </w:tcBorders>
            <w:noWrap/>
          </w:tcPr>
          <w:p w14:paraId="1CE0B0C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2EA310F"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w:t>
            </w:r>
          </w:p>
          <w:p w14:paraId="1D68EED5" w14:textId="77777777" w:rsidR="00BD4717" w:rsidRPr="0000591E" w:rsidRDefault="00BD4717" w:rsidP="00BD4717">
            <w:pPr>
              <w:jc w:val="both"/>
              <w:rPr>
                <w:rFonts w:ascii="Arial" w:hAnsi="Arial" w:cs="Arial"/>
                <w:b/>
                <w:sz w:val="20"/>
                <w:szCs w:val="20"/>
              </w:rPr>
            </w:pPr>
          </w:p>
        </w:tc>
      </w:tr>
      <w:tr w:rsidR="00BD4717" w:rsidRPr="0000591E" w14:paraId="2CCC4F62" w14:textId="77777777" w:rsidTr="00504183">
        <w:trPr>
          <w:trHeight w:val="20"/>
        </w:trPr>
        <w:tc>
          <w:tcPr>
            <w:tcW w:w="1277" w:type="dxa"/>
            <w:tcBorders>
              <w:bottom w:val="single" w:sz="4" w:space="0" w:color="auto"/>
            </w:tcBorders>
            <w:noWrap/>
          </w:tcPr>
          <w:p w14:paraId="3DCA0662"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6</w:t>
            </w:r>
          </w:p>
        </w:tc>
        <w:tc>
          <w:tcPr>
            <w:tcW w:w="9355" w:type="dxa"/>
            <w:tcBorders>
              <w:bottom w:val="single" w:sz="4" w:space="0" w:color="auto"/>
            </w:tcBorders>
            <w:noWrap/>
          </w:tcPr>
          <w:p w14:paraId="0A63AC0E" w14:textId="77777777" w:rsidR="00BD4717" w:rsidRPr="0000591E" w:rsidRDefault="00BD4717" w:rsidP="00BD4717">
            <w:pPr>
              <w:jc w:val="both"/>
              <w:rPr>
                <w:rFonts w:ascii="Arial" w:hAnsi="Arial" w:cs="Arial"/>
                <w:b/>
                <w:bCs/>
                <w:sz w:val="20"/>
                <w:szCs w:val="20"/>
              </w:rPr>
            </w:pPr>
            <w:r w:rsidRPr="00D6527F">
              <w:rPr>
                <w:rFonts w:ascii="Arial" w:hAnsi="Arial" w:cs="Arial"/>
                <w:b/>
                <w:bCs/>
                <w:sz w:val="20"/>
                <w:szCs w:val="20"/>
              </w:rPr>
              <w:t>Olodaterol a tiotropiumbromid inhal. sol. 2,5/2,5 mcg</w:t>
            </w:r>
          </w:p>
        </w:tc>
      </w:tr>
      <w:tr w:rsidR="00BD4717" w:rsidRPr="0000591E" w14:paraId="197A0AEB" w14:textId="77777777" w:rsidTr="00504183">
        <w:trPr>
          <w:trHeight w:val="20"/>
        </w:trPr>
        <w:tc>
          <w:tcPr>
            <w:tcW w:w="1277" w:type="dxa"/>
            <w:tcBorders>
              <w:top w:val="single" w:sz="4" w:space="0" w:color="auto"/>
              <w:bottom w:val="single" w:sz="4" w:space="0" w:color="BFBFBF" w:themeColor="background1" w:themeShade="BF"/>
            </w:tcBorders>
            <w:noWrap/>
          </w:tcPr>
          <w:p w14:paraId="350E2237"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A4379FC"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w:t>
            </w:r>
          </w:p>
          <w:p w14:paraId="09ABA8DE" w14:textId="77777777" w:rsidR="00BD4717" w:rsidRPr="0000591E" w:rsidRDefault="00BD4717" w:rsidP="00BD4717">
            <w:pPr>
              <w:jc w:val="both"/>
              <w:rPr>
                <w:rFonts w:ascii="Arial" w:hAnsi="Arial" w:cs="Arial"/>
                <w:b/>
                <w:sz w:val="20"/>
                <w:szCs w:val="20"/>
              </w:rPr>
            </w:pPr>
          </w:p>
        </w:tc>
      </w:tr>
      <w:tr w:rsidR="00BD4717" w:rsidRPr="0000591E" w14:paraId="1AF55980" w14:textId="77777777" w:rsidTr="00504183">
        <w:trPr>
          <w:trHeight w:val="20"/>
        </w:trPr>
        <w:tc>
          <w:tcPr>
            <w:tcW w:w="1277" w:type="dxa"/>
            <w:tcBorders>
              <w:bottom w:val="single" w:sz="4" w:space="0" w:color="auto"/>
            </w:tcBorders>
            <w:noWrap/>
          </w:tcPr>
          <w:p w14:paraId="7A018AAC"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7</w:t>
            </w:r>
          </w:p>
        </w:tc>
        <w:tc>
          <w:tcPr>
            <w:tcW w:w="9355" w:type="dxa"/>
            <w:tcBorders>
              <w:bottom w:val="single" w:sz="4" w:space="0" w:color="auto"/>
            </w:tcBorders>
            <w:noWrap/>
          </w:tcPr>
          <w:p w14:paraId="2831D642" w14:textId="77777777" w:rsidR="00BD4717" w:rsidRPr="00E8304A" w:rsidRDefault="00BD4717" w:rsidP="00BD4717">
            <w:pPr>
              <w:jc w:val="both"/>
              <w:rPr>
                <w:rFonts w:ascii="Arial" w:hAnsi="Arial" w:cs="Arial"/>
                <w:b/>
                <w:sz w:val="20"/>
                <w:szCs w:val="20"/>
              </w:rPr>
            </w:pPr>
            <w:r w:rsidRPr="00E8304A">
              <w:rPr>
                <w:rFonts w:ascii="Arial" w:hAnsi="Arial" w:cs="Arial"/>
                <w:b/>
                <w:sz w:val="20"/>
                <w:szCs w:val="20"/>
              </w:rPr>
              <w:t>Formoterol  a glykopyróniumbromid inhal. 7,2/5 mcg</w:t>
            </w:r>
          </w:p>
        </w:tc>
      </w:tr>
      <w:tr w:rsidR="00BD4717" w:rsidRPr="0000591E" w14:paraId="066E2C55" w14:textId="77777777" w:rsidTr="00C12C9D">
        <w:trPr>
          <w:trHeight w:val="20"/>
        </w:trPr>
        <w:tc>
          <w:tcPr>
            <w:tcW w:w="1277" w:type="dxa"/>
            <w:tcBorders>
              <w:top w:val="single" w:sz="4" w:space="0" w:color="auto"/>
              <w:bottom w:val="single" w:sz="4" w:space="0" w:color="BFBFBF" w:themeColor="background1" w:themeShade="BF"/>
            </w:tcBorders>
            <w:noWrap/>
          </w:tcPr>
          <w:p w14:paraId="51774DD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68F19F0C" w14:textId="77777777" w:rsidR="00BD4717" w:rsidRDefault="00BD4717" w:rsidP="00BD4717">
            <w:pPr>
              <w:jc w:val="both"/>
              <w:rPr>
                <w:rFonts w:ascii="Arial" w:hAnsi="Arial" w:cs="Arial"/>
                <w:sz w:val="20"/>
                <w:szCs w:val="20"/>
              </w:rPr>
            </w:pPr>
            <w:r w:rsidRPr="00E8304A">
              <w:rPr>
                <w:rFonts w:ascii="Arial" w:hAnsi="Arial" w:cs="Arial"/>
                <w:sz w:val="20"/>
                <w:szCs w:val="20"/>
              </w:rPr>
              <w:t>Hradená liečba je indikovaná pneumológom na udržiavaciu bronchodilatačnú liečbu</w:t>
            </w:r>
            <w:r>
              <w:rPr>
                <w:rFonts w:ascii="Arial" w:hAnsi="Arial" w:cs="Arial"/>
                <w:sz w:val="20"/>
                <w:szCs w:val="20"/>
              </w:rPr>
              <w:t xml:space="preserve"> </w:t>
            </w:r>
            <w:r w:rsidRPr="00E8304A">
              <w:rPr>
                <w:rFonts w:ascii="Arial" w:hAnsi="Arial" w:cs="Arial"/>
                <w:sz w:val="20"/>
                <w:szCs w:val="20"/>
              </w:rPr>
              <w:t>u dospelých pacientov s chronickou obštrukčnou chorobou pľúc podľa odborného usmernenia</w:t>
            </w:r>
            <w:r>
              <w:rPr>
                <w:rFonts w:ascii="Arial" w:hAnsi="Arial" w:cs="Arial"/>
                <w:sz w:val="20"/>
                <w:szCs w:val="20"/>
              </w:rPr>
              <w:t xml:space="preserve"> </w:t>
            </w:r>
            <w:r w:rsidRPr="00E8304A">
              <w:rPr>
                <w:rFonts w:ascii="Arial" w:hAnsi="Arial" w:cs="Arial"/>
                <w:sz w:val="20"/>
                <w:szCs w:val="20"/>
              </w:rPr>
              <w:t>GOLD. Podmienkou hradenej liečby u novodiagnostikovaných pacientov je vykonanie</w:t>
            </w:r>
            <w:r>
              <w:rPr>
                <w:rFonts w:ascii="Arial" w:hAnsi="Arial" w:cs="Arial"/>
                <w:sz w:val="20"/>
                <w:szCs w:val="20"/>
              </w:rPr>
              <w:t xml:space="preserve"> </w:t>
            </w:r>
            <w:r w:rsidRPr="00E8304A">
              <w:rPr>
                <w:rFonts w:ascii="Arial" w:hAnsi="Arial" w:cs="Arial"/>
                <w:sz w:val="20"/>
                <w:szCs w:val="20"/>
              </w:rPr>
              <w:t>bronchodilatačného testu.</w:t>
            </w:r>
          </w:p>
          <w:p w14:paraId="186F71D1" w14:textId="77777777" w:rsidR="00BD4717" w:rsidRPr="0000591E" w:rsidRDefault="00BD4717" w:rsidP="00BD4717">
            <w:pPr>
              <w:jc w:val="both"/>
              <w:rPr>
                <w:rFonts w:ascii="Arial" w:hAnsi="Arial" w:cs="Arial"/>
                <w:sz w:val="20"/>
                <w:szCs w:val="20"/>
              </w:rPr>
            </w:pPr>
          </w:p>
        </w:tc>
      </w:tr>
      <w:tr w:rsidR="00BD4717" w:rsidRPr="0000591E" w14:paraId="68BD75C4" w14:textId="77777777" w:rsidTr="00C12C9D">
        <w:trPr>
          <w:trHeight w:val="20"/>
        </w:trPr>
        <w:tc>
          <w:tcPr>
            <w:tcW w:w="1277" w:type="dxa"/>
            <w:tcBorders>
              <w:bottom w:val="single" w:sz="4" w:space="0" w:color="auto"/>
            </w:tcBorders>
            <w:noWrap/>
          </w:tcPr>
          <w:p w14:paraId="4BA75E58"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8</w:t>
            </w:r>
          </w:p>
        </w:tc>
        <w:tc>
          <w:tcPr>
            <w:tcW w:w="9355" w:type="dxa"/>
            <w:tcBorders>
              <w:bottom w:val="single" w:sz="4" w:space="0" w:color="auto"/>
            </w:tcBorders>
            <w:noWrap/>
          </w:tcPr>
          <w:p w14:paraId="6EDB28E9" w14:textId="77777777" w:rsidR="00BD4717" w:rsidRPr="0000591E" w:rsidRDefault="00BD4717" w:rsidP="00BD4717">
            <w:pPr>
              <w:jc w:val="both"/>
              <w:rPr>
                <w:rFonts w:ascii="Arial" w:hAnsi="Arial" w:cs="Arial"/>
                <w:b/>
                <w:bCs/>
                <w:sz w:val="20"/>
                <w:szCs w:val="20"/>
              </w:rPr>
            </w:pPr>
            <w:r w:rsidRPr="00706C9E">
              <w:rPr>
                <w:rFonts w:ascii="Arial" w:hAnsi="Arial" w:cs="Arial"/>
                <w:b/>
                <w:bCs/>
                <w:sz w:val="20"/>
                <w:szCs w:val="20"/>
              </w:rPr>
              <w:t>Vilanterol, umeklidíniumbromid a flutikazónfuroát inhal. 22/55/92 mcg</w:t>
            </w:r>
          </w:p>
        </w:tc>
      </w:tr>
      <w:tr w:rsidR="00BD4717" w:rsidRPr="0000591E" w14:paraId="04EDD0A9" w14:textId="77777777" w:rsidTr="00AD41C9">
        <w:trPr>
          <w:trHeight w:val="20"/>
        </w:trPr>
        <w:tc>
          <w:tcPr>
            <w:tcW w:w="1277" w:type="dxa"/>
            <w:tcBorders>
              <w:top w:val="single" w:sz="4" w:space="0" w:color="auto"/>
              <w:bottom w:val="single" w:sz="4" w:space="0" w:color="BFBFBF" w:themeColor="background1" w:themeShade="BF"/>
            </w:tcBorders>
            <w:noWrap/>
          </w:tcPr>
          <w:p w14:paraId="475BDB9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A04CFBB" w14:textId="77777777" w:rsidR="00BD4717" w:rsidRPr="0000591E" w:rsidRDefault="00BD4717" w:rsidP="00BD4717">
            <w:pPr>
              <w:jc w:val="both"/>
              <w:rPr>
                <w:rFonts w:ascii="Arial" w:hAnsi="Arial" w:cs="Arial"/>
                <w:sz w:val="20"/>
                <w:szCs w:val="20"/>
              </w:rPr>
            </w:pPr>
            <w:r w:rsidRPr="00706C9E">
              <w:rPr>
                <w:rFonts w:ascii="Arial" w:hAnsi="Arial" w:cs="Arial"/>
                <w:sz w:val="20"/>
                <w:szCs w:val="20"/>
              </w:rPr>
              <w:t>Hradenú liečbu môže indikovať pneumológ pri chronickej obštrukčnej chorobe pľúc u pacientov spĺňajúcich kritériá pre kategóriu D podľa odborného usmernenia GOLD. Podmienkou hradenej liečby je vykonanie bronchodilatačného testu.</w:t>
            </w:r>
          </w:p>
          <w:p w14:paraId="15A20D88" w14:textId="77777777" w:rsidR="00BD4717" w:rsidRPr="0000591E" w:rsidRDefault="00BD4717" w:rsidP="00BD4717">
            <w:pPr>
              <w:jc w:val="both"/>
              <w:rPr>
                <w:rFonts w:ascii="Arial" w:hAnsi="Arial" w:cs="Arial"/>
                <w:b/>
                <w:sz w:val="20"/>
                <w:szCs w:val="20"/>
              </w:rPr>
            </w:pPr>
          </w:p>
        </w:tc>
      </w:tr>
      <w:tr w:rsidR="00BD4717" w:rsidRPr="0000591E" w14:paraId="7AF86883" w14:textId="77777777" w:rsidTr="00AD41C9">
        <w:trPr>
          <w:trHeight w:val="20"/>
        </w:trPr>
        <w:tc>
          <w:tcPr>
            <w:tcW w:w="1277" w:type="dxa"/>
            <w:tcBorders>
              <w:bottom w:val="single" w:sz="4" w:space="0" w:color="auto"/>
            </w:tcBorders>
            <w:noWrap/>
          </w:tcPr>
          <w:p w14:paraId="326A83FD"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9</w:t>
            </w:r>
          </w:p>
        </w:tc>
        <w:tc>
          <w:tcPr>
            <w:tcW w:w="9355" w:type="dxa"/>
            <w:tcBorders>
              <w:bottom w:val="single" w:sz="4" w:space="0" w:color="auto"/>
            </w:tcBorders>
            <w:noWrap/>
          </w:tcPr>
          <w:p w14:paraId="3B565B46" w14:textId="77777777" w:rsidR="00BD4717" w:rsidRPr="0000591E" w:rsidRDefault="00BD4717" w:rsidP="00BD4717">
            <w:pPr>
              <w:jc w:val="both"/>
              <w:rPr>
                <w:rFonts w:ascii="Arial" w:hAnsi="Arial" w:cs="Arial"/>
                <w:b/>
                <w:bCs/>
                <w:sz w:val="20"/>
                <w:szCs w:val="20"/>
              </w:rPr>
            </w:pPr>
            <w:r w:rsidRPr="00E6743F">
              <w:rPr>
                <w:rFonts w:ascii="Arial" w:hAnsi="Arial" w:cs="Arial"/>
                <w:b/>
                <w:bCs/>
                <w:sz w:val="20"/>
                <w:szCs w:val="20"/>
              </w:rPr>
              <w:t>Formoterol, glykopyróniumbromid a</w:t>
            </w:r>
            <w:r>
              <w:rPr>
                <w:rFonts w:ascii="Arial" w:hAnsi="Arial" w:cs="Arial"/>
                <w:b/>
                <w:bCs/>
                <w:sz w:val="20"/>
                <w:szCs w:val="20"/>
              </w:rPr>
              <w:t> </w:t>
            </w:r>
            <w:r w:rsidRPr="00E6743F">
              <w:rPr>
                <w:rFonts w:ascii="Arial" w:hAnsi="Arial" w:cs="Arial"/>
                <w:b/>
                <w:bCs/>
                <w:sz w:val="20"/>
                <w:szCs w:val="20"/>
              </w:rPr>
              <w:t>beklometazón</w:t>
            </w:r>
            <w:r>
              <w:rPr>
                <w:rFonts w:ascii="Arial" w:hAnsi="Arial" w:cs="Arial"/>
                <w:b/>
                <w:bCs/>
                <w:sz w:val="20"/>
                <w:szCs w:val="20"/>
              </w:rPr>
              <w:t xml:space="preserve"> 5/9</w:t>
            </w:r>
            <w:r w:rsidRPr="00307F2F">
              <w:rPr>
                <w:rFonts w:ascii="Arial" w:hAnsi="Arial" w:cs="Arial"/>
                <w:b/>
                <w:bCs/>
                <w:sz w:val="20"/>
                <w:szCs w:val="20"/>
              </w:rPr>
              <w:t>/</w:t>
            </w:r>
            <w:r>
              <w:rPr>
                <w:rFonts w:ascii="Arial" w:hAnsi="Arial" w:cs="Arial"/>
                <w:b/>
                <w:bCs/>
                <w:sz w:val="20"/>
                <w:szCs w:val="20"/>
              </w:rPr>
              <w:t>87</w:t>
            </w:r>
            <w:r w:rsidRPr="00307F2F">
              <w:rPr>
                <w:rFonts w:ascii="Arial" w:hAnsi="Arial" w:cs="Arial"/>
                <w:b/>
                <w:bCs/>
                <w:sz w:val="20"/>
                <w:szCs w:val="20"/>
              </w:rPr>
              <w:t xml:space="preserve"> mcg</w:t>
            </w:r>
          </w:p>
        </w:tc>
      </w:tr>
      <w:tr w:rsidR="00BD4717" w:rsidRPr="0000591E" w14:paraId="1E6D3BC2" w14:textId="77777777" w:rsidTr="00AD41C9">
        <w:trPr>
          <w:trHeight w:val="20"/>
        </w:trPr>
        <w:tc>
          <w:tcPr>
            <w:tcW w:w="1277" w:type="dxa"/>
            <w:tcBorders>
              <w:top w:val="single" w:sz="4" w:space="0" w:color="auto"/>
              <w:bottom w:val="single" w:sz="4" w:space="0" w:color="BFBFBF" w:themeColor="background1" w:themeShade="BF"/>
            </w:tcBorders>
            <w:noWrap/>
          </w:tcPr>
          <w:p w14:paraId="26CE72DC" w14:textId="77777777" w:rsidR="00BD4717" w:rsidRPr="00AB6F5A"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591932C5" w14:textId="77777777" w:rsidR="00BD4717" w:rsidRPr="000C6E7C" w:rsidRDefault="00BD4717" w:rsidP="00BD4717">
            <w:pPr>
              <w:autoSpaceDE w:val="0"/>
              <w:autoSpaceDN w:val="0"/>
              <w:adjustRightInd w:val="0"/>
              <w:jc w:val="both"/>
              <w:rPr>
                <w:rFonts w:ascii="Arial" w:hAnsi="Arial"/>
                <w:color w:val="000000"/>
                <w:sz w:val="20"/>
                <w:u w:color="000000"/>
              </w:rPr>
            </w:pPr>
            <w:r w:rsidRPr="000C6E7C">
              <w:rPr>
                <w:rFonts w:ascii="Arial" w:hAnsi="Arial"/>
                <w:color w:val="000000"/>
                <w:sz w:val="20"/>
                <w:u w:color="000000"/>
              </w:rPr>
              <w:t xml:space="preserve">Hradenú liečbu môže indikovať </w:t>
            </w:r>
          </w:p>
          <w:p w14:paraId="244F2614" w14:textId="77777777" w:rsidR="00BD4717" w:rsidRDefault="00BD4717">
            <w:pPr>
              <w:numPr>
                <w:ilvl w:val="0"/>
                <w:numId w:val="126"/>
              </w:numPr>
              <w:autoSpaceDE w:val="0"/>
              <w:autoSpaceDN w:val="0"/>
              <w:adjustRightInd w:val="0"/>
              <w:jc w:val="both"/>
              <w:rPr>
                <w:rFonts w:ascii="Arial" w:hAnsi="Arial"/>
                <w:color w:val="000000"/>
                <w:sz w:val="20"/>
                <w:u w:color="000000"/>
              </w:rPr>
            </w:pPr>
            <w:r w:rsidRPr="000C6E7C">
              <w:rPr>
                <w:rFonts w:ascii="Arial" w:hAnsi="Arial"/>
                <w:color w:val="000000"/>
                <w:sz w:val="20"/>
                <w:u w:color="000000"/>
              </w:rPr>
              <w:t xml:space="preserve">pneumológ pri chronickej obštrukčnej chorobe pľúc u pacientov spĺňajúcich kritériá pre kategóriu D podľa odborného usmernenia GOLD. Podmienkou hradenej liečby je vykonanie bronchodilatačného testu, </w:t>
            </w:r>
          </w:p>
          <w:p w14:paraId="0B74999F" w14:textId="77777777" w:rsidR="00BD4717" w:rsidRPr="00805720" w:rsidRDefault="00BD4717">
            <w:pPr>
              <w:numPr>
                <w:ilvl w:val="0"/>
                <w:numId w:val="126"/>
              </w:numPr>
              <w:autoSpaceDE w:val="0"/>
              <w:autoSpaceDN w:val="0"/>
              <w:adjustRightInd w:val="0"/>
              <w:jc w:val="both"/>
              <w:rPr>
                <w:rFonts w:ascii="Arial" w:hAnsi="Arial"/>
                <w:color w:val="000000"/>
                <w:sz w:val="20"/>
                <w:u w:color="000000"/>
              </w:rPr>
            </w:pPr>
            <w:r w:rsidRPr="00712EB5">
              <w:rPr>
                <w:rFonts w:ascii="Arial" w:hAnsi="Arial"/>
                <w:color w:val="000000"/>
                <w:sz w:val="20"/>
                <w:u w:color="000000"/>
              </w:rPr>
              <w:t xml:space="preserve">alergológ alebo pneumológ ako udržiavaciu liečbu astmy u dospelých, ktorá nie je dostatočne kontrolovaná udržiavacou kombináciou dlhodobo pôsobiaceho beta2-agonistu a strednej dávky inhalačného kortikosteroidu a u ktorých sa v predchádzajúcom roku vyskytla jedna alebo viacero exacerbácií astmy. </w:t>
            </w:r>
          </w:p>
          <w:p w14:paraId="13361FC3" w14:textId="77777777" w:rsidR="00BD4717" w:rsidRPr="00AB6F5A" w:rsidRDefault="00BD4717" w:rsidP="00BD4717">
            <w:pPr>
              <w:jc w:val="both"/>
              <w:rPr>
                <w:rFonts w:ascii="Arial" w:hAnsi="Arial" w:cs="Arial"/>
                <w:b/>
                <w:sz w:val="20"/>
                <w:szCs w:val="20"/>
              </w:rPr>
            </w:pPr>
          </w:p>
        </w:tc>
      </w:tr>
      <w:tr w:rsidR="00BD4717" w:rsidRPr="0000591E" w14:paraId="2A8571D8" w14:textId="77777777" w:rsidTr="00AD41C9">
        <w:trPr>
          <w:trHeight w:val="20"/>
        </w:trPr>
        <w:tc>
          <w:tcPr>
            <w:tcW w:w="1277" w:type="dxa"/>
            <w:tcBorders>
              <w:bottom w:val="single" w:sz="4" w:space="0" w:color="auto"/>
            </w:tcBorders>
            <w:noWrap/>
          </w:tcPr>
          <w:p w14:paraId="5F9A32A1" w14:textId="77777777" w:rsidR="00BD4717" w:rsidRPr="00AB6F5A" w:rsidRDefault="00BD4717" w:rsidP="00BD4717">
            <w:pPr>
              <w:jc w:val="both"/>
              <w:rPr>
                <w:rFonts w:ascii="Arial" w:hAnsi="Arial" w:cs="Arial"/>
                <w:b/>
                <w:sz w:val="20"/>
                <w:szCs w:val="20"/>
                <w:lang w:eastAsia="cs-CZ"/>
              </w:rPr>
            </w:pPr>
            <w:r>
              <w:rPr>
                <w:rFonts w:ascii="Arial" w:hAnsi="Arial" w:cs="Arial"/>
                <w:b/>
                <w:sz w:val="20"/>
                <w:szCs w:val="20"/>
                <w:lang w:eastAsia="cs-CZ"/>
              </w:rPr>
              <w:t>R03AL09</w:t>
            </w:r>
          </w:p>
        </w:tc>
        <w:tc>
          <w:tcPr>
            <w:tcW w:w="9355" w:type="dxa"/>
            <w:tcBorders>
              <w:bottom w:val="single" w:sz="4" w:space="0" w:color="auto"/>
            </w:tcBorders>
            <w:noWrap/>
          </w:tcPr>
          <w:p w14:paraId="39952A53" w14:textId="77777777" w:rsidR="00BD4717" w:rsidRPr="000C6E7C" w:rsidRDefault="00BD4717" w:rsidP="00BD4717">
            <w:pPr>
              <w:autoSpaceDE w:val="0"/>
              <w:autoSpaceDN w:val="0"/>
              <w:adjustRightInd w:val="0"/>
              <w:jc w:val="both"/>
              <w:rPr>
                <w:rFonts w:ascii="Arial" w:hAnsi="Arial"/>
                <w:color w:val="000000"/>
                <w:sz w:val="20"/>
                <w:u w:color="000000"/>
              </w:rPr>
            </w:pPr>
            <w:r w:rsidRPr="00E6743F">
              <w:rPr>
                <w:rFonts w:ascii="Arial" w:hAnsi="Arial" w:cs="Arial"/>
                <w:b/>
                <w:bCs/>
                <w:sz w:val="20"/>
                <w:szCs w:val="20"/>
              </w:rPr>
              <w:t>Formoterol, glykopyróniumbromid a</w:t>
            </w:r>
            <w:r>
              <w:rPr>
                <w:rFonts w:ascii="Arial" w:hAnsi="Arial" w:cs="Arial"/>
                <w:b/>
                <w:bCs/>
                <w:sz w:val="20"/>
                <w:szCs w:val="20"/>
              </w:rPr>
              <w:t> </w:t>
            </w:r>
            <w:r w:rsidRPr="00E6743F">
              <w:rPr>
                <w:rFonts w:ascii="Arial" w:hAnsi="Arial" w:cs="Arial"/>
                <w:b/>
                <w:bCs/>
                <w:sz w:val="20"/>
                <w:szCs w:val="20"/>
              </w:rPr>
              <w:t>beklometazón</w:t>
            </w:r>
            <w:r>
              <w:rPr>
                <w:rFonts w:ascii="Arial" w:hAnsi="Arial" w:cs="Arial"/>
                <w:b/>
                <w:bCs/>
                <w:sz w:val="20"/>
                <w:szCs w:val="20"/>
              </w:rPr>
              <w:t xml:space="preserve"> inhal. 5/9</w:t>
            </w:r>
            <w:r w:rsidRPr="00307F2F">
              <w:rPr>
                <w:rFonts w:ascii="Arial" w:hAnsi="Arial" w:cs="Arial"/>
                <w:b/>
                <w:bCs/>
                <w:sz w:val="20"/>
                <w:szCs w:val="20"/>
              </w:rPr>
              <w:t>/</w:t>
            </w:r>
            <w:r>
              <w:rPr>
                <w:rFonts w:ascii="Arial" w:hAnsi="Arial" w:cs="Arial"/>
                <w:b/>
                <w:bCs/>
                <w:sz w:val="20"/>
                <w:szCs w:val="20"/>
              </w:rPr>
              <w:t>88</w:t>
            </w:r>
            <w:r w:rsidRPr="00307F2F">
              <w:rPr>
                <w:rFonts w:ascii="Arial" w:hAnsi="Arial" w:cs="Arial"/>
                <w:b/>
                <w:bCs/>
                <w:sz w:val="20"/>
                <w:szCs w:val="20"/>
              </w:rPr>
              <w:t xml:space="preserve"> mcg</w:t>
            </w:r>
          </w:p>
        </w:tc>
      </w:tr>
      <w:tr w:rsidR="00BD4717" w:rsidRPr="0000591E" w14:paraId="4B7810CC" w14:textId="77777777" w:rsidTr="00AD41C9">
        <w:trPr>
          <w:trHeight w:val="20"/>
        </w:trPr>
        <w:tc>
          <w:tcPr>
            <w:tcW w:w="1277" w:type="dxa"/>
            <w:tcBorders>
              <w:top w:val="single" w:sz="4" w:space="0" w:color="auto"/>
              <w:bottom w:val="single" w:sz="4" w:space="0" w:color="BFBFBF" w:themeColor="background1" w:themeShade="BF"/>
            </w:tcBorders>
            <w:noWrap/>
          </w:tcPr>
          <w:p w14:paraId="5C6D2E14"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300073EB" w14:textId="77777777" w:rsidR="00BD4717" w:rsidRDefault="00BD4717" w:rsidP="00BD4717">
            <w:pPr>
              <w:autoSpaceDE w:val="0"/>
              <w:autoSpaceDN w:val="0"/>
              <w:adjustRightInd w:val="0"/>
              <w:jc w:val="both"/>
              <w:rPr>
                <w:rFonts w:ascii="Arial" w:hAnsi="Arial" w:cs="Arial"/>
                <w:sz w:val="20"/>
                <w:szCs w:val="20"/>
              </w:rPr>
            </w:pPr>
            <w:r w:rsidRPr="006938E9">
              <w:rPr>
                <w:rFonts w:ascii="Arial" w:hAnsi="Arial" w:cs="Arial"/>
                <w:sz w:val="20"/>
                <w:szCs w:val="20"/>
              </w:rPr>
              <w:t>Trimbow môže indikovať pneumológ pri chronickej obštrukčnej chorobe pľúc u pacientov spĺňajúcich kritériá pre kategóriu D podľa odborného usmernenia GOLD. Podmienkou hradenej liečby u novodiagnostikovaných pacientov je vykonanie bronchodilatačného testu.</w:t>
            </w:r>
          </w:p>
          <w:p w14:paraId="638DA176" w14:textId="50463231" w:rsidR="00BD4717" w:rsidRPr="006938E9" w:rsidRDefault="00BD4717" w:rsidP="00BD4717">
            <w:pPr>
              <w:autoSpaceDE w:val="0"/>
              <w:autoSpaceDN w:val="0"/>
              <w:adjustRightInd w:val="0"/>
              <w:jc w:val="both"/>
              <w:rPr>
                <w:rFonts w:ascii="Arial" w:hAnsi="Arial" w:cs="Arial"/>
                <w:color w:val="000000"/>
                <w:sz w:val="20"/>
                <w:szCs w:val="20"/>
                <w:u w:color="000000"/>
              </w:rPr>
            </w:pPr>
          </w:p>
        </w:tc>
      </w:tr>
      <w:tr w:rsidR="00BD4717" w:rsidRPr="0000591E" w14:paraId="2C481E25" w14:textId="77777777" w:rsidTr="00AD41C9">
        <w:trPr>
          <w:trHeight w:val="20"/>
        </w:trPr>
        <w:tc>
          <w:tcPr>
            <w:tcW w:w="1277" w:type="dxa"/>
            <w:tcBorders>
              <w:bottom w:val="single" w:sz="4" w:space="0" w:color="auto"/>
            </w:tcBorders>
            <w:noWrap/>
          </w:tcPr>
          <w:p w14:paraId="58292F49" w14:textId="77777777" w:rsidR="00BD4717" w:rsidRPr="00485804" w:rsidRDefault="00BD4717" w:rsidP="00BD4717">
            <w:pPr>
              <w:jc w:val="both"/>
              <w:rPr>
                <w:rFonts w:ascii="Arial" w:hAnsi="Arial" w:cs="Arial"/>
                <w:b/>
                <w:sz w:val="20"/>
                <w:szCs w:val="20"/>
                <w:lang w:eastAsia="cs-CZ"/>
              </w:rPr>
            </w:pPr>
            <w:r w:rsidRPr="00485804">
              <w:rPr>
                <w:rFonts w:ascii="Arial" w:hAnsi="Arial" w:cs="Arial"/>
                <w:b/>
                <w:sz w:val="20"/>
                <w:szCs w:val="20"/>
                <w:lang w:eastAsia="cs-CZ"/>
              </w:rPr>
              <w:t>R03AL09</w:t>
            </w:r>
          </w:p>
        </w:tc>
        <w:tc>
          <w:tcPr>
            <w:tcW w:w="9355" w:type="dxa"/>
            <w:tcBorders>
              <w:bottom w:val="single" w:sz="4" w:space="0" w:color="auto"/>
            </w:tcBorders>
            <w:noWrap/>
          </w:tcPr>
          <w:p w14:paraId="3F07E0CE" w14:textId="77777777" w:rsidR="00BD4717" w:rsidRPr="00485804" w:rsidRDefault="00BD4717" w:rsidP="00BD4717">
            <w:pPr>
              <w:autoSpaceDE w:val="0"/>
              <w:autoSpaceDN w:val="0"/>
              <w:adjustRightInd w:val="0"/>
              <w:jc w:val="both"/>
              <w:rPr>
                <w:rFonts w:ascii="Arial" w:hAnsi="Arial" w:cs="Arial"/>
                <w:b/>
                <w:sz w:val="20"/>
                <w:szCs w:val="20"/>
              </w:rPr>
            </w:pPr>
            <w:r w:rsidRPr="00485804">
              <w:rPr>
                <w:rFonts w:ascii="Arial" w:hAnsi="Arial" w:cs="Arial"/>
                <w:b/>
                <w:sz w:val="20"/>
                <w:szCs w:val="20"/>
              </w:rPr>
              <w:t>Formoterol, glykopyróniumbromid a beklometazón inhal. 5/9/172 mcg</w:t>
            </w:r>
          </w:p>
        </w:tc>
      </w:tr>
      <w:tr w:rsidR="00BD4717" w:rsidRPr="0000591E" w14:paraId="6A36BDC7" w14:textId="77777777" w:rsidTr="00AD41C9">
        <w:trPr>
          <w:trHeight w:val="20"/>
        </w:trPr>
        <w:tc>
          <w:tcPr>
            <w:tcW w:w="1277" w:type="dxa"/>
            <w:tcBorders>
              <w:top w:val="single" w:sz="4" w:space="0" w:color="auto"/>
              <w:bottom w:val="single" w:sz="4" w:space="0" w:color="BFBFBF" w:themeColor="background1" w:themeShade="BF"/>
            </w:tcBorders>
            <w:noWrap/>
          </w:tcPr>
          <w:p w14:paraId="65B94D14" w14:textId="77777777" w:rsidR="00BD4717" w:rsidRPr="00485804"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F197B8B" w14:textId="77777777" w:rsidR="00BD4717" w:rsidRDefault="00BD4717" w:rsidP="00BD4717">
            <w:pPr>
              <w:autoSpaceDE w:val="0"/>
              <w:autoSpaceDN w:val="0"/>
              <w:adjustRightInd w:val="0"/>
              <w:jc w:val="both"/>
              <w:rPr>
                <w:rFonts w:ascii="Arial" w:hAnsi="Arial" w:cs="Arial"/>
                <w:sz w:val="20"/>
                <w:szCs w:val="20"/>
              </w:rPr>
            </w:pPr>
            <w:r w:rsidRPr="00485804">
              <w:rPr>
                <w:rFonts w:ascii="Arial" w:hAnsi="Arial" w:cs="Arial"/>
                <w:sz w:val="20"/>
                <w:szCs w:val="20"/>
              </w:rPr>
              <w:t>Hradenú liečbu môže indikovať alergológ alebo pneumológ pri ťažkej perzistujúcej nekontrolovanej astme, pri ktorej sa liečbou inhalačnými kortikosteroidmi a inhalačnými beta-2 agonistami nedosiahla adekvátna kontrola astmy s výskytom 1 alebo viac exacerbácií za posledných 12 mesiacov.</w:t>
            </w:r>
          </w:p>
          <w:p w14:paraId="10CED7BA" w14:textId="1D76514B" w:rsidR="00BD4717" w:rsidRPr="00485804" w:rsidRDefault="00BD4717" w:rsidP="00BD4717">
            <w:pPr>
              <w:autoSpaceDE w:val="0"/>
              <w:autoSpaceDN w:val="0"/>
              <w:adjustRightInd w:val="0"/>
              <w:jc w:val="both"/>
              <w:rPr>
                <w:rFonts w:ascii="Arial" w:hAnsi="Arial" w:cs="Arial"/>
                <w:sz w:val="20"/>
                <w:szCs w:val="20"/>
              </w:rPr>
            </w:pPr>
          </w:p>
        </w:tc>
      </w:tr>
      <w:tr w:rsidR="00BD4717" w:rsidRPr="0000591E" w14:paraId="1CDFB052" w14:textId="77777777" w:rsidTr="001D0BCC">
        <w:trPr>
          <w:trHeight w:val="20"/>
        </w:trPr>
        <w:tc>
          <w:tcPr>
            <w:tcW w:w="1277" w:type="dxa"/>
            <w:tcBorders>
              <w:bottom w:val="single" w:sz="4" w:space="0" w:color="auto"/>
            </w:tcBorders>
            <w:noWrap/>
          </w:tcPr>
          <w:p w14:paraId="5DE91844" w14:textId="7DF8D711" w:rsidR="00BD4717" w:rsidRPr="00AB6F5A" w:rsidRDefault="00BD4717" w:rsidP="00BD4717">
            <w:pPr>
              <w:jc w:val="both"/>
              <w:rPr>
                <w:rFonts w:ascii="Arial" w:hAnsi="Arial" w:cs="Arial"/>
                <w:b/>
                <w:sz w:val="20"/>
                <w:szCs w:val="20"/>
                <w:lang w:eastAsia="cs-CZ"/>
              </w:rPr>
            </w:pPr>
            <w:r w:rsidRPr="00AB6F5A">
              <w:rPr>
                <w:rFonts w:ascii="Arial" w:hAnsi="Arial" w:cs="Arial"/>
                <w:b/>
                <w:sz w:val="20"/>
                <w:szCs w:val="20"/>
                <w:lang w:eastAsia="cs-CZ"/>
              </w:rPr>
              <w:t>R03AL1</w:t>
            </w:r>
            <w:r>
              <w:rPr>
                <w:rFonts w:ascii="Arial" w:hAnsi="Arial" w:cs="Arial"/>
                <w:b/>
                <w:sz w:val="20"/>
                <w:szCs w:val="20"/>
                <w:lang w:eastAsia="cs-CZ"/>
              </w:rPr>
              <w:t>1</w:t>
            </w:r>
          </w:p>
        </w:tc>
        <w:tc>
          <w:tcPr>
            <w:tcW w:w="9355" w:type="dxa"/>
            <w:tcBorders>
              <w:bottom w:val="single" w:sz="4" w:space="0" w:color="auto"/>
            </w:tcBorders>
            <w:noWrap/>
          </w:tcPr>
          <w:p w14:paraId="5254DE44" w14:textId="4772F00A" w:rsidR="00BD4717" w:rsidRPr="00AB6F5A" w:rsidRDefault="00BD4717" w:rsidP="00BD4717">
            <w:pPr>
              <w:autoSpaceDE w:val="0"/>
              <w:autoSpaceDN w:val="0"/>
              <w:adjustRightInd w:val="0"/>
              <w:jc w:val="both"/>
              <w:rPr>
                <w:rFonts w:ascii="Arial" w:hAnsi="Arial" w:cs="Arial"/>
                <w:b/>
                <w:sz w:val="20"/>
                <w:szCs w:val="20"/>
              </w:rPr>
            </w:pPr>
            <w:r w:rsidRPr="001D0BCC">
              <w:rPr>
                <w:rFonts w:ascii="Arial" w:hAnsi="Arial" w:cs="Arial"/>
                <w:b/>
                <w:sz w:val="20"/>
                <w:szCs w:val="20"/>
              </w:rPr>
              <w:t>Formoterol, glykopyrónium-bromid a</w:t>
            </w:r>
            <w:r>
              <w:rPr>
                <w:rFonts w:ascii="Arial" w:hAnsi="Arial" w:cs="Arial"/>
                <w:b/>
                <w:sz w:val="20"/>
                <w:szCs w:val="20"/>
              </w:rPr>
              <w:t> </w:t>
            </w:r>
            <w:r w:rsidRPr="001D0BCC">
              <w:rPr>
                <w:rFonts w:ascii="Arial" w:hAnsi="Arial" w:cs="Arial"/>
                <w:b/>
                <w:sz w:val="20"/>
                <w:szCs w:val="20"/>
              </w:rPr>
              <w:t>budezonid</w:t>
            </w:r>
            <w:r>
              <w:rPr>
                <w:rFonts w:ascii="Arial" w:hAnsi="Arial" w:cs="Arial"/>
                <w:b/>
                <w:sz w:val="20"/>
                <w:szCs w:val="20"/>
              </w:rPr>
              <w:t xml:space="preserve"> </w:t>
            </w:r>
            <w:r w:rsidRPr="001D0BCC">
              <w:rPr>
                <w:rFonts w:ascii="Arial" w:hAnsi="Arial" w:cs="Arial"/>
                <w:b/>
                <w:sz w:val="20"/>
                <w:szCs w:val="20"/>
              </w:rPr>
              <w:t>5/7,2/160 mcg</w:t>
            </w:r>
          </w:p>
        </w:tc>
      </w:tr>
      <w:tr w:rsidR="00BD4717" w:rsidRPr="0000591E" w14:paraId="24A968BB" w14:textId="77777777" w:rsidTr="001D0BCC">
        <w:trPr>
          <w:trHeight w:val="20"/>
        </w:trPr>
        <w:tc>
          <w:tcPr>
            <w:tcW w:w="1277" w:type="dxa"/>
            <w:tcBorders>
              <w:top w:val="single" w:sz="4" w:space="0" w:color="auto"/>
              <w:bottom w:val="nil"/>
            </w:tcBorders>
            <w:noWrap/>
          </w:tcPr>
          <w:p w14:paraId="3387A574" w14:textId="77777777" w:rsidR="00BD4717" w:rsidRPr="00AB6F5A" w:rsidRDefault="00BD4717" w:rsidP="00BD4717">
            <w:pPr>
              <w:jc w:val="both"/>
              <w:rPr>
                <w:rFonts w:ascii="Arial" w:hAnsi="Arial" w:cs="Arial"/>
                <w:b/>
                <w:sz w:val="20"/>
                <w:szCs w:val="20"/>
                <w:lang w:eastAsia="cs-CZ"/>
              </w:rPr>
            </w:pPr>
          </w:p>
        </w:tc>
        <w:tc>
          <w:tcPr>
            <w:tcW w:w="9355" w:type="dxa"/>
            <w:tcBorders>
              <w:top w:val="single" w:sz="4" w:space="0" w:color="auto"/>
              <w:bottom w:val="nil"/>
            </w:tcBorders>
            <w:noWrap/>
          </w:tcPr>
          <w:p w14:paraId="7B3033A5" w14:textId="77777777" w:rsidR="00BD4717" w:rsidRDefault="00BD4717" w:rsidP="00BD4717">
            <w:pPr>
              <w:autoSpaceDE w:val="0"/>
              <w:autoSpaceDN w:val="0"/>
              <w:adjustRightInd w:val="0"/>
              <w:jc w:val="both"/>
              <w:rPr>
                <w:rFonts w:ascii="Arial" w:hAnsi="Arial" w:cs="Arial"/>
                <w:bCs/>
                <w:sz w:val="20"/>
                <w:szCs w:val="20"/>
              </w:rPr>
            </w:pPr>
            <w:r w:rsidRPr="001D0BCC">
              <w:rPr>
                <w:rFonts w:ascii="Arial" w:hAnsi="Arial" w:cs="Arial"/>
                <w:bCs/>
                <w:sz w:val="20"/>
                <w:szCs w:val="20"/>
              </w:rPr>
              <w:t>Trixeo Aerosphere môže indikovať pneumológ pri chronickej obštrukčnej chorobe pľúc u pacientov spĺňajúcich kritériá pre kategóriu E podľa odborného usmernenia GOLD.</w:t>
            </w:r>
          </w:p>
          <w:p w14:paraId="75E31BAB" w14:textId="13017C75" w:rsidR="00BD4717" w:rsidRPr="001D0BCC" w:rsidRDefault="00BD4717" w:rsidP="00BD4717">
            <w:pPr>
              <w:autoSpaceDE w:val="0"/>
              <w:autoSpaceDN w:val="0"/>
              <w:adjustRightInd w:val="0"/>
              <w:jc w:val="both"/>
              <w:rPr>
                <w:rFonts w:ascii="Arial" w:hAnsi="Arial" w:cs="Arial"/>
                <w:bCs/>
                <w:sz w:val="20"/>
                <w:szCs w:val="20"/>
              </w:rPr>
            </w:pPr>
          </w:p>
        </w:tc>
      </w:tr>
      <w:tr w:rsidR="00BD4717" w:rsidRPr="0000591E" w14:paraId="59B5CC6A" w14:textId="77777777" w:rsidTr="001D0BCC">
        <w:trPr>
          <w:trHeight w:val="20"/>
        </w:trPr>
        <w:tc>
          <w:tcPr>
            <w:tcW w:w="1277" w:type="dxa"/>
            <w:tcBorders>
              <w:top w:val="nil"/>
              <w:bottom w:val="single" w:sz="4" w:space="0" w:color="auto"/>
            </w:tcBorders>
            <w:noWrap/>
          </w:tcPr>
          <w:p w14:paraId="511B78DF" w14:textId="77777777" w:rsidR="00BD4717" w:rsidRPr="00AB6F5A" w:rsidRDefault="00BD4717" w:rsidP="00BD4717">
            <w:pPr>
              <w:jc w:val="both"/>
              <w:rPr>
                <w:rFonts w:ascii="Arial" w:hAnsi="Arial" w:cs="Arial"/>
                <w:b/>
                <w:sz w:val="20"/>
                <w:szCs w:val="20"/>
                <w:lang w:eastAsia="cs-CZ"/>
              </w:rPr>
            </w:pPr>
            <w:r w:rsidRPr="00AB6F5A">
              <w:rPr>
                <w:rFonts w:ascii="Arial" w:hAnsi="Arial" w:cs="Arial"/>
                <w:b/>
                <w:sz w:val="20"/>
                <w:szCs w:val="20"/>
                <w:lang w:eastAsia="cs-CZ"/>
              </w:rPr>
              <w:t>R03AL12</w:t>
            </w:r>
          </w:p>
        </w:tc>
        <w:tc>
          <w:tcPr>
            <w:tcW w:w="9355" w:type="dxa"/>
            <w:tcBorders>
              <w:top w:val="nil"/>
              <w:bottom w:val="single" w:sz="4" w:space="0" w:color="auto"/>
            </w:tcBorders>
            <w:noWrap/>
          </w:tcPr>
          <w:p w14:paraId="25F8ED56" w14:textId="77777777" w:rsidR="00BD4717" w:rsidRPr="000C6E7C" w:rsidRDefault="00BD4717" w:rsidP="00BD4717">
            <w:pPr>
              <w:autoSpaceDE w:val="0"/>
              <w:autoSpaceDN w:val="0"/>
              <w:adjustRightInd w:val="0"/>
              <w:jc w:val="both"/>
              <w:rPr>
                <w:rFonts w:ascii="Arial" w:hAnsi="Arial"/>
                <w:color w:val="000000"/>
                <w:sz w:val="20"/>
                <w:u w:color="000000"/>
              </w:rPr>
            </w:pPr>
            <w:r w:rsidRPr="00AB6F5A">
              <w:rPr>
                <w:rFonts w:ascii="Arial" w:hAnsi="Arial" w:cs="Arial"/>
                <w:b/>
                <w:sz w:val="20"/>
                <w:szCs w:val="20"/>
              </w:rPr>
              <w:t>Indakaterol, glykopyrónium-bromid a mometazón inhal. 114/46/136 mcg</w:t>
            </w:r>
          </w:p>
        </w:tc>
      </w:tr>
      <w:tr w:rsidR="00BD4717" w:rsidRPr="0000591E" w14:paraId="6BD567DA" w14:textId="77777777" w:rsidTr="00AD41C9">
        <w:trPr>
          <w:trHeight w:val="20"/>
        </w:trPr>
        <w:tc>
          <w:tcPr>
            <w:tcW w:w="1277" w:type="dxa"/>
            <w:tcBorders>
              <w:top w:val="single" w:sz="4" w:space="0" w:color="auto"/>
              <w:bottom w:val="single" w:sz="4" w:space="0" w:color="BFBFBF" w:themeColor="background1" w:themeShade="BF"/>
            </w:tcBorders>
            <w:noWrap/>
          </w:tcPr>
          <w:p w14:paraId="2E6FE5F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15D6C878" w14:textId="2482E74D" w:rsidR="00BD4717" w:rsidRPr="0000591E" w:rsidRDefault="00BD4717" w:rsidP="00BD4717">
            <w:pPr>
              <w:jc w:val="both"/>
              <w:rPr>
                <w:rFonts w:ascii="Arial" w:hAnsi="Arial" w:cs="Arial"/>
                <w:b/>
                <w:sz w:val="20"/>
                <w:szCs w:val="20"/>
              </w:rPr>
            </w:pPr>
            <w:r w:rsidRPr="00AB6F5A">
              <w:rPr>
                <w:rFonts w:ascii="Arial" w:hAnsi="Arial" w:cs="Arial"/>
                <w:sz w:val="20"/>
                <w:szCs w:val="20"/>
              </w:rPr>
              <w:t>Hradenú liečbu môže indikovať alergológ alebo pneumológ pri ťažkej perzistujúcej nekontrolovanej astme, pri ktorej sa liečbou inhalačnými kortikosteroidmi a inhalačnými beta-2 agonistami nedosiahla adekvátna kontrola astmy s výskytom 1 alebo viac exacerbácií za posledných 12 mesiacov.</w:t>
            </w:r>
            <w:r w:rsidRPr="00C4566D">
              <w:rPr>
                <w:rFonts w:ascii="Arial" w:hAnsi="Arial" w:cs="Arial"/>
                <w:sz w:val="20"/>
                <w:szCs w:val="20"/>
              </w:rPr>
              <w:t xml:space="preserve"> </w:t>
            </w:r>
          </w:p>
        </w:tc>
      </w:tr>
      <w:tr w:rsidR="00BD4717" w:rsidRPr="0000591E" w14:paraId="4414C8B3" w14:textId="77777777" w:rsidTr="00AD41C9">
        <w:trPr>
          <w:trHeight w:val="20"/>
        </w:trPr>
        <w:tc>
          <w:tcPr>
            <w:tcW w:w="1277" w:type="dxa"/>
            <w:tcBorders>
              <w:bottom w:val="single" w:sz="4" w:space="0" w:color="auto"/>
            </w:tcBorders>
            <w:noWrap/>
          </w:tcPr>
          <w:p w14:paraId="34200591" w14:textId="77777777" w:rsidR="00BD4717" w:rsidRDefault="00BD4717" w:rsidP="00BD4717">
            <w:pPr>
              <w:rPr>
                <w:rFonts w:ascii="Arial" w:hAnsi="Arial" w:cs="Arial"/>
                <w:b/>
                <w:bCs/>
                <w:sz w:val="20"/>
                <w:szCs w:val="20"/>
              </w:rPr>
            </w:pPr>
          </w:p>
          <w:p w14:paraId="74FE023D" w14:textId="0C18F29C"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R03BB04</w:t>
            </w:r>
          </w:p>
        </w:tc>
        <w:tc>
          <w:tcPr>
            <w:tcW w:w="9355" w:type="dxa"/>
            <w:tcBorders>
              <w:bottom w:val="single" w:sz="4" w:space="0" w:color="auto"/>
            </w:tcBorders>
            <w:noWrap/>
          </w:tcPr>
          <w:p w14:paraId="4FA8DBA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Tiotropiumbromid inhal. </w:t>
            </w:r>
            <w:r>
              <w:rPr>
                <w:rFonts w:ascii="Arial" w:hAnsi="Arial" w:cs="Arial"/>
                <w:b/>
                <w:bCs/>
                <w:sz w:val="20"/>
                <w:szCs w:val="20"/>
              </w:rPr>
              <w:t>plv. 10</w:t>
            </w:r>
            <w:r w:rsidRPr="0000591E">
              <w:rPr>
                <w:rFonts w:ascii="Arial" w:hAnsi="Arial" w:cs="Arial"/>
                <w:b/>
                <w:bCs/>
                <w:sz w:val="20"/>
                <w:szCs w:val="20"/>
              </w:rPr>
              <w:t xml:space="preserve"> mcg,</w:t>
            </w:r>
          </w:p>
          <w:p w14:paraId="1BFFEC31"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Tiotropiumbromid inhal. sol. 2,5 mcg</w:t>
            </w:r>
          </w:p>
        </w:tc>
      </w:tr>
      <w:tr w:rsidR="00BD4717" w:rsidRPr="0000591E" w14:paraId="7231711C" w14:textId="77777777" w:rsidTr="00AD41C9">
        <w:trPr>
          <w:trHeight w:val="20"/>
        </w:trPr>
        <w:tc>
          <w:tcPr>
            <w:tcW w:w="1277" w:type="dxa"/>
            <w:tcBorders>
              <w:top w:val="single" w:sz="4" w:space="0" w:color="auto"/>
              <w:bottom w:val="single" w:sz="4" w:space="0" w:color="BFBFBF" w:themeColor="background1" w:themeShade="BF"/>
            </w:tcBorders>
            <w:noWrap/>
          </w:tcPr>
          <w:p w14:paraId="6C645E01" w14:textId="77777777" w:rsidR="00BD4717" w:rsidRPr="0000591E" w:rsidRDefault="00BD4717" w:rsidP="00BD4717">
            <w:pPr>
              <w:jc w:val="both"/>
              <w:rPr>
                <w:rFonts w:ascii="Arial" w:hAnsi="Arial" w:cs="Arial"/>
                <w:sz w:val="20"/>
                <w:szCs w:val="20"/>
                <w:lang w:eastAsia="cs-CZ"/>
              </w:rPr>
            </w:pPr>
          </w:p>
          <w:p w14:paraId="61774A8A" w14:textId="77777777" w:rsidR="00BD4717" w:rsidRPr="0000591E" w:rsidRDefault="00BD4717" w:rsidP="00BD4717">
            <w:pPr>
              <w:jc w:val="both"/>
              <w:rPr>
                <w:rFonts w:ascii="Arial" w:hAnsi="Arial" w:cs="Arial"/>
                <w:sz w:val="20"/>
                <w:szCs w:val="20"/>
                <w:lang w:eastAsia="cs-CZ"/>
              </w:rPr>
            </w:pPr>
          </w:p>
          <w:p w14:paraId="38738BD7" w14:textId="77777777" w:rsidR="00BD4717" w:rsidRPr="0000591E" w:rsidRDefault="00BD4717" w:rsidP="00BD4717">
            <w:pPr>
              <w:jc w:val="both"/>
              <w:rPr>
                <w:rFonts w:ascii="Arial" w:hAnsi="Arial" w:cs="Arial"/>
                <w:sz w:val="20"/>
                <w:szCs w:val="20"/>
                <w:lang w:eastAsia="cs-CZ"/>
              </w:rPr>
            </w:pPr>
          </w:p>
          <w:p w14:paraId="43C88CA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7FC98CF4" w14:textId="77777777" w:rsidR="00BD4717" w:rsidRPr="0000591E" w:rsidRDefault="00BD4717" w:rsidP="00BD4717">
            <w:pPr>
              <w:jc w:val="both"/>
              <w:rPr>
                <w:rFonts w:ascii="Arial" w:hAnsi="Arial" w:cs="Arial"/>
                <w:strike/>
                <w:sz w:val="20"/>
                <w:szCs w:val="20"/>
              </w:rPr>
            </w:pPr>
            <w:r w:rsidRPr="0000591E">
              <w:rPr>
                <w:rFonts w:ascii="Arial" w:hAnsi="Arial" w:cs="Arial"/>
                <w:sz w:val="20"/>
                <w:szCs w:val="20"/>
              </w:rPr>
              <w:t xml:space="preserve">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 </w:t>
            </w:r>
          </w:p>
        </w:tc>
      </w:tr>
      <w:tr w:rsidR="00BD4717" w:rsidRPr="0000591E" w14:paraId="4035D753" w14:textId="77777777" w:rsidTr="00AD41C9">
        <w:trPr>
          <w:trHeight w:val="20"/>
        </w:trPr>
        <w:tc>
          <w:tcPr>
            <w:tcW w:w="1277" w:type="dxa"/>
            <w:tcBorders>
              <w:bottom w:val="single" w:sz="4" w:space="0" w:color="auto"/>
            </w:tcBorders>
            <w:noWrap/>
          </w:tcPr>
          <w:p w14:paraId="6DCD44C4"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R03BB05</w:t>
            </w:r>
          </w:p>
        </w:tc>
        <w:tc>
          <w:tcPr>
            <w:tcW w:w="9355" w:type="dxa"/>
            <w:tcBorders>
              <w:bottom w:val="single" w:sz="4" w:space="0" w:color="auto"/>
            </w:tcBorders>
            <w:noWrap/>
          </w:tcPr>
          <w:p w14:paraId="76D40E4F"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Aklidíniumbromid inhal. 322 mcg</w:t>
            </w:r>
          </w:p>
        </w:tc>
      </w:tr>
      <w:tr w:rsidR="00BD4717" w:rsidRPr="0000591E" w14:paraId="413C91A2" w14:textId="77777777" w:rsidTr="00AD41C9">
        <w:trPr>
          <w:trHeight w:val="20"/>
        </w:trPr>
        <w:tc>
          <w:tcPr>
            <w:tcW w:w="1277" w:type="dxa"/>
            <w:tcBorders>
              <w:top w:val="single" w:sz="4" w:space="0" w:color="auto"/>
              <w:bottom w:val="single" w:sz="4" w:space="0" w:color="BFBFBF" w:themeColor="background1" w:themeShade="BF"/>
            </w:tcBorders>
            <w:noWrap/>
          </w:tcPr>
          <w:p w14:paraId="6C9250E8" w14:textId="77777777" w:rsidR="00BD4717" w:rsidRPr="0000591E" w:rsidRDefault="00BD4717" w:rsidP="00BD4717">
            <w:pPr>
              <w:jc w:val="both"/>
              <w:rPr>
                <w:rFonts w:ascii="Arial" w:hAnsi="Arial" w:cs="Arial"/>
                <w:sz w:val="20"/>
                <w:szCs w:val="20"/>
                <w:lang w:eastAsia="cs-CZ"/>
              </w:rPr>
            </w:pPr>
          </w:p>
          <w:p w14:paraId="4436D89B" w14:textId="77777777" w:rsidR="00BD4717" w:rsidRPr="0000591E" w:rsidRDefault="00BD4717" w:rsidP="00BD4717">
            <w:pPr>
              <w:jc w:val="both"/>
              <w:rPr>
                <w:rFonts w:ascii="Arial" w:hAnsi="Arial" w:cs="Arial"/>
                <w:sz w:val="20"/>
                <w:szCs w:val="20"/>
                <w:lang w:eastAsia="cs-CZ"/>
              </w:rPr>
            </w:pPr>
          </w:p>
          <w:p w14:paraId="072083C2" w14:textId="77777777" w:rsidR="00BD4717" w:rsidRPr="0000591E" w:rsidRDefault="00BD4717" w:rsidP="00BD4717">
            <w:pPr>
              <w:jc w:val="both"/>
              <w:rPr>
                <w:rFonts w:ascii="Arial" w:hAnsi="Arial" w:cs="Arial"/>
                <w:sz w:val="20"/>
                <w:szCs w:val="20"/>
                <w:lang w:eastAsia="cs-CZ"/>
              </w:rPr>
            </w:pPr>
          </w:p>
          <w:p w14:paraId="056B6DF7"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667CE037"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 </w:t>
            </w:r>
          </w:p>
          <w:p w14:paraId="056650F6" w14:textId="43F14ABB" w:rsidR="00BD4717" w:rsidRPr="0000591E" w:rsidRDefault="00BD4717" w:rsidP="00BD4717">
            <w:pPr>
              <w:jc w:val="both"/>
              <w:rPr>
                <w:rFonts w:ascii="Arial" w:hAnsi="Arial" w:cs="Arial"/>
                <w:strike/>
                <w:sz w:val="20"/>
                <w:szCs w:val="20"/>
              </w:rPr>
            </w:pPr>
          </w:p>
        </w:tc>
      </w:tr>
      <w:tr w:rsidR="00BD4717" w:rsidRPr="0000591E" w14:paraId="2D5368B8" w14:textId="77777777" w:rsidTr="00AD41C9">
        <w:trPr>
          <w:trHeight w:val="20"/>
        </w:trPr>
        <w:tc>
          <w:tcPr>
            <w:tcW w:w="1277" w:type="dxa"/>
            <w:tcBorders>
              <w:bottom w:val="single" w:sz="4" w:space="0" w:color="auto"/>
            </w:tcBorders>
            <w:noWrap/>
          </w:tcPr>
          <w:p w14:paraId="359EBCEB" w14:textId="11AF2086" w:rsidR="00BD4717" w:rsidRPr="0000591E" w:rsidRDefault="00BD4717" w:rsidP="00BD4717">
            <w:pPr>
              <w:rPr>
                <w:rFonts w:ascii="Arial" w:hAnsi="Arial" w:cs="Arial"/>
                <w:b/>
                <w:bCs/>
                <w:sz w:val="20"/>
                <w:szCs w:val="20"/>
              </w:rPr>
            </w:pPr>
            <w:r w:rsidRPr="0000591E">
              <w:rPr>
                <w:rFonts w:ascii="Arial" w:hAnsi="Arial" w:cs="Arial"/>
                <w:b/>
                <w:bCs/>
                <w:sz w:val="20"/>
                <w:szCs w:val="20"/>
              </w:rPr>
              <w:t>R03BB06</w:t>
            </w:r>
          </w:p>
        </w:tc>
        <w:tc>
          <w:tcPr>
            <w:tcW w:w="9355" w:type="dxa"/>
            <w:tcBorders>
              <w:bottom w:val="single" w:sz="4" w:space="0" w:color="auto"/>
            </w:tcBorders>
            <w:noWrap/>
          </w:tcPr>
          <w:p w14:paraId="25C262C2" w14:textId="7688A246"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Glykopyróniumbromid inhal. 44 mcg</w:t>
            </w:r>
          </w:p>
        </w:tc>
      </w:tr>
      <w:tr w:rsidR="00BD4717" w:rsidRPr="0000591E" w14:paraId="0E8986A9" w14:textId="77777777" w:rsidTr="00AD41C9">
        <w:trPr>
          <w:trHeight w:val="20"/>
        </w:trPr>
        <w:tc>
          <w:tcPr>
            <w:tcW w:w="1277" w:type="dxa"/>
            <w:tcBorders>
              <w:bottom w:val="single" w:sz="4" w:space="0" w:color="auto"/>
            </w:tcBorders>
            <w:noWrap/>
          </w:tcPr>
          <w:p w14:paraId="4BABCA65" w14:textId="39C9E6FC" w:rsidR="00BD4717" w:rsidRPr="0000591E" w:rsidRDefault="00BD4717" w:rsidP="00BD4717">
            <w:pPr>
              <w:rPr>
                <w:rFonts w:ascii="Arial" w:hAnsi="Arial" w:cs="Arial"/>
                <w:b/>
                <w:bCs/>
                <w:sz w:val="20"/>
                <w:szCs w:val="20"/>
                <w:lang w:eastAsia="cs-CZ"/>
              </w:rPr>
            </w:pPr>
          </w:p>
        </w:tc>
        <w:tc>
          <w:tcPr>
            <w:tcW w:w="9355" w:type="dxa"/>
            <w:tcBorders>
              <w:bottom w:val="single" w:sz="4" w:space="0" w:color="auto"/>
            </w:tcBorders>
            <w:noWrap/>
          </w:tcPr>
          <w:p w14:paraId="7EF99CA0"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w:t>
            </w:r>
          </w:p>
          <w:p w14:paraId="188056AA" w14:textId="21BB4646" w:rsidR="00BD4717" w:rsidRPr="0000591E" w:rsidRDefault="00BD4717" w:rsidP="00BD4717">
            <w:pPr>
              <w:jc w:val="both"/>
              <w:rPr>
                <w:rFonts w:ascii="Arial" w:hAnsi="Arial" w:cs="Arial"/>
                <w:b/>
                <w:bCs/>
                <w:sz w:val="20"/>
                <w:szCs w:val="20"/>
                <w:lang w:eastAsia="cs-CZ"/>
              </w:rPr>
            </w:pPr>
          </w:p>
        </w:tc>
      </w:tr>
      <w:tr w:rsidR="00BD4717" w:rsidRPr="0000591E" w14:paraId="1044A038" w14:textId="77777777" w:rsidTr="00AD41C9">
        <w:trPr>
          <w:trHeight w:val="20"/>
        </w:trPr>
        <w:tc>
          <w:tcPr>
            <w:tcW w:w="1277" w:type="dxa"/>
            <w:tcBorders>
              <w:bottom w:val="single" w:sz="4" w:space="0" w:color="auto"/>
            </w:tcBorders>
            <w:noWrap/>
          </w:tcPr>
          <w:p w14:paraId="2A93D2F4" w14:textId="2A428FC3" w:rsidR="00BD4717" w:rsidRPr="0000591E" w:rsidRDefault="00BD4717" w:rsidP="00BD4717">
            <w:pPr>
              <w:rPr>
                <w:rFonts w:ascii="Arial" w:hAnsi="Arial" w:cs="Arial"/>
                <w:b/>
                <w:bCs/>
                <w:sz w:val="20"/>
                <w:szCs w:val="20"/>
              </w:rPr>
            </w:pPr>
            <w:r w:rsidRPr="0000591E">
              <w:rPr>
                <w:rFonts w:ascii="Arial" w:hAnsi="Arial" w:cs="Arial"/>
                <w:b/>
                <w:bCs/>
                <w:sz w:val="20"/>
                <w:szCs w:val="20"/>
              </w:rPr>
              <w:t>R03BB0</w:t>
            </w:r>
            <w:r>
              <w:rPr>
                <w:rFonts w:ascii="Arial" w:hAnsi="Arial" w:cs="Arial"/>
                <w:b/>
                <w:bCs/>
                <w:sz w:val="20"/>
                <w:szCs w:val="20"/>
              </w:rPr>
              <w:t>7</w:t>
            </w:r>
          </w:p>
        </w:tc>
        <w:tc>
          <w:tcPr>
            <w:tcW w:w="9355" w:type="dxa"/>
            <w:tcBorders>
              <w:bottom w:val="single" w:sz="4" w:space="0" w:color="auto"/>
            </w:tcBorders>
            <w:noWrap/>
          </w:tcPr>
          <w:p w14:paraId="0410B6E2" w14:textId="36CFB8C6" w:rsidR="00BD4717" w:rsidRPr="00B061B3" w:rsidRDefault="00BD4717" w:rsidP="00BD4717">
            <w:pPr>
              <w:jc w:val="both"/>
              <w:rPr>
                <w:rFonts w:ascii="Arial" w:hAnsi="Arial" w:cs="Arial"/>
                <w:b/>
                <w:bCs/>
                <w:sz w:val="20"/>
                <w:szCs w:val="20"/>
              </w:rPr>
            </w:pPr>
            <w:r w:rsidRPr="00B061B3">
              <w:rPr>
                <w:rFonts w:ascii="Arial" w:hAnsi="Arial" w:cs="Arial"/>
                <w:b/>
                <w:bCs/>
                <w:sz w:val="20"/>
                <w:szCs w:val="20"/>
              </w:rPr>
              <w:t>Umeklidíniumbromid inhal. 55 mcg</w:t>
            </w:r>
          </w:p>
        </w:tc>
      </w:tr>
      <w:tr w:rsidR="00BD4717" w:rsidRPr="0000591E" w14:paraId="07B5A70D" w14:textId="77777777" w:rsidTr="00AD41C9">
        <w:trPr>
          <w:trHeight w:val="20"/>
        </w:trPr>
        <w:tc>
          <w:tcPr>
            <w:tcW w:w="1277" w:type="dxa"/>
            <w:tcBorders>
              <w:bottom w:val="single" w:sz="4" w:space="0" w:color="auto"/>
            </w:tcBorders>
            <w:noWrap/>
          </w:tcPr>
          <w:p w14:paraId="7DB6B72E" w14:textId="30438B44" w:rsidR="00BD4717" w:rsidRPr="0000591E" w:rsidRDefault="00BD4717" w:rsidP="00BD4717">
            <w:pPr>
              <w:rPr>
                <w:rFonts w:ascii="Arial" w:hAnsi="Arial" w:cs="Arial"/>
                <w:b/>
                <w:bCs/>
                <w:sz w:val="20"/>
                <w:szCs w:val="20"/>
                <w:lang w:eastAsia="cs-CZ"/>
              </w:rPr>
            </w:pPr>
          </w:p>
        </w:tc>
        <w:tc>
          <w:tcPr>
            <w:tcW w:w="9355" w:type="dxa"/>
            <w:tcBorders>
              <w:bottom w:val="single" w:sz="4" w:space="0" w:color="auto"/>
            </w:tcBorders>
            <w:noWrap/>
          </w:tcPr>
          <w:p w14:paraId="13B8FD9F"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je indikovaná pneumológom na udržiavaciu bronchodilatačnú liečbu u pacientov s chronickou obštrukčnou chorobou pľúc podľa odborného usmernenia GOLD 2011. Podmienkou hradenej liečby u novodiagnostikovaných pacientov je vykonanie bronchodilatačného testu.</w:t>
            </w:r>
          </w:p>
          <w:p w14:paraId="659E5F29" w14:textId="5CE68CEB" w:rsidR="00BD4717" w:rsidRPr="0000591E" w:rsidRDefault="00BD4717" w:rsidP="00BD4717">
            <w:pPr>
              <w:jc w:val="both"/>
              <w:rPr>
                <w:rFonts w:ascii="Arial" w:hAnsi="Arial" w:cs="Arial"/>
                <w:b/>
                <w:bCs/>
                <w:sz w:val="20"/>
                <w:szCs w:val="20"/>
                <w:lang w:eastAsia="cs-CZ"/>
              </w:rPr>
            </w:pPr>
          </w:p>
        </w:tc>
      </w:tr>
      <w:tr w:rsidR="00BD4717" w:rsidRPr="0000591E" w14:paraId="492B9D23" w14:textId="77777777" w:rsidTr="00AD41C9">
        <w:trPr>
          <w:trHeight w:val="20"/>
        </w:trPr>
        <w:tc>
          <w:tcPr>
            <w:tcW w:w="1277" w:type="dxa"/>
            <w:tcBorders>
              <w:bottom w:val="single" w:sz="4" w:space="0" w:color="auto"/>
            </w:tcBorders>
            <w:noWrap/>
          </w:tcPr>
          <w:p w14:paraId="48E3253F" w14:textId="76D7FD59" w:rsidR="00BD4717" w:rsidRPr="0000591E" w:rsidRDefault="00BD4717" w:rsidP="00BD4717">
            <w:pPr>
              <w:jc w:val="both"/>
              <w:rPr>
                <w:rFonts w:ascii="Arial" w:hAnsi="Arial" w:cs="Arial"/>
                <w:b/>
                <w:bCs/>
                <w:sz w:val="20"/>
                <w:szCs w:val="20"/>
              </w:rPr>
            </w:pPr>
            <w:r w:rsidRPr="00AD41C9">
              <w:rPr>
                <w:rFonts w:ascii="Arial" w:hAnsi="Arial" w:cs="Arial"/>
                <w:b/>
                <w:bCs/>
                <w:sz w:val="20"/>
                <w:szCs w:val="20"/>
              </w:rPr>
              <w:t>R03DC03</w:t>
            </w:r>
          </w:p>
        </w:tc>
        <w:tc>
          <w:tcPr>
            <w:tcW w:w="9355" w:type="dxa"/>
            <w:tcBorders>
              <w:bottom w:val="single" w:sz="4" w:space="0" w:color="auto"/>
            </w:tcBorders>
            <w:noWrap/>
          </w:tcPr>
          <w:p w14:paraId="4D18BD86" w14:textId="56F1C798" w:rsidR="00BD4717" w:rsidRPr="0000591E" w:rsidRDefault="00BD4717" w:rsidP="00BD4717">
            <w:pPr>
              <w:jc w:val="both"/>
              <w:rPr>
                <w:rFonts w:ascii="Arial" w:hAnsi="Arial" w:cs="Arial"/>
                <w:b/>
                <w:bCs/>
                <w:sz w:val="20"/>
                <w:szCs w:val="20"/>
              </w:rPr>
            </w:pPr>
            <w:r w:rsidRPr="00AD41C9">
              <w:rPr>
                <w:rFonts w:ascii="Arial" w:hAnsi="Arial" w:cs="Arial"/>
                <w:b/>
                <w:bCs/>
                <w:sz w:val="20"/>
                <w:szCs w:val="20"/>
              </w:rPr>
              <w:t>Montelukast p.o. 4 mg</w:t>
            </w:r>
          </w:p>
        </w:tc>
      </w:tr>
      <w:tr w:rsidR="00BD4717" w:rsidRPr="0000591E" w14:paraId="18CCA8F7" w14:textId="77777777" w:rsidTr="00AD41C9">
        <w:trPr>
          <w:trHeight w:val="20"/>
        </w:trPr>
        <w:tc>
          <w:tcPr>
            <w:tcW w:w="1277" w:type="dxa"/>
            <w:tcBorders>
              <w:top w:val="single" w:sz="4" w:space="0" w:color="auto"/>
              <w:bottom w:val="single" w:sz="4" w:space="0" w:color="BFBFBF" w:themeColor="background1" w:themeShade="BF"/>
            </w:tcBorders>
            <w:noWrap/>
          </w:tcPr>
          <w:p w14:paraId="522B9797"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29C66C6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pri perzistujúcej astme ľahkého až ťažkého stupňa u pacientov od dovŕšenia druhého roku veku do dovŕšenia šiesteho roku veku. Ak nedôjde v priebehu troch mesiacov liečby k stabilizácii a kontrole perzistujúcej bronchiálnej astmy, ďalšia liečba nie je hradenou liečbou.</w:t>
            </w:r>
          </w:p>
          <w:p w14:paraId="6D6362A8" w14:textId="77777777" w:rsidR="00BD4717" w:rsidRPr="0000591E" w:rsidRDefault="00BD4717" w:rsidP="00BD4717">
            <w:pPr>
              <w:jc w:val="both"/>
              <w:rPr>
                <w:rFonts w:ascii="Arial" w:hAnsi="Arial" w:cs="Arial"/>
                <w:b/>
                <w:bCs/>
                <w:sz w:val="20"/>
                <w:szCs w:val="20"/>
              </w:rPr>
            </w:pPr>
          </w:p>
        </w:tc>
      </w:tr>
      <w:tr w:rsidR="00BD4717" w:rsidRPr="0000591E" w14:paraId="29A1811B" w14:textId="77777777" w:rsidTr="00AD41C9">
        <w:trPr>
          <w:trHeight w:val="20"/>
        </w:trPr>
        <w:tc>
          <w:tcPr>
            <w:tcW w:w="1277" w:type="dxa"/>
            <w:tcBorders>
              <w:bottom w:val="single" w:sz="4" w:space="0" w:color="auto"/>
            </w:tcBorders>
            <w:noWrap/>
          </w:tcPr>
          <w:p w14:paraId="1A3C7488"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R03DC03</w:t>
            </w:r>
          </w:p>
        </w:tc>
        <w:tc>
          <w:tcPr>
            <w:tcW w:w="9355" w:type="dxa"/>
            <w:tcBorders>
              <w:bottom w:val="single" w:sz="4" w:space="0" w:color="auto"/>
            </w:tcBorders>
            <w:noWrap/>
          </w:tcPr>
          <w:p w14:paraId="1C4F4F4A"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Montelukast p.o. 5 mg</w:t>
            </w:r>
          </w:p>
        </w:tc>
      </w:tr>
      <w:tr w:rsidR="00BD4717" w:rsidRPr="0000591E" w14:paraId="5B85BB41" w14:textId="77777777" w:rsidTr="00AD41C9">
        <w:trPr>
          <w:trHeight w:val="20"/>
        </w:trPr>
        <w:tc>
          <w:tcPr>
            <w:tcW w:w="1277" w:type="dxa"/>
            <w:tcBorders>
              <w:top w:val="single" w:sz="4" w:space="0" w:color="auto"/>
              <w:bottom w:val="single" w:sz="4" w:space="0" w:color="BFBFBF" w:themeColor="background1" w:themeShade="BF"/>
            </w:tcBorders>
            <w:noWrap/>
          </w:tcPr>
          <w:p w14:paraId="33E2BDA1"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C9194A5" w14:textId="77777777" w:rsidR="00BD4717" w:rsidRPr="0000591E" w:rsidRDefault="00BD4717" w:rsidP="00BD4717">
            <w:pPr>
              <w:jc w:val="both"/>
              <w:rPr>
                <w:sz w:val="20"/>
                <w:szCs w:val="20"/>
              </w:rPr>
            </w:pPr>
            <w:r w:rsidRPr="0000591E">
              <w:rPr>
                <w:rFonts w:ascii="Arial" w:hAnsi="Arial" w:cs="Arial"/>
                <w:sz w:val="20"/>
                <w:szCs w:val="20"/>
              </w:rPr>
              <w:t>Hradená liečba sa môže indikovať pri perzistujúcej astme ľahkého až ťažkého stupňa u pacientov od dovŕšenia šiesteho roku veku do dovŕšenia štrnásteho roku veku. Ak nedôjde v priebehu troch mesiacov liečby k stabilizácii a kontrole perzistujúcej bronchiálnej astmy, ďalšia liečba nie je hradenou liečbou.</w:t>
            </w:r>
          </w:p>
          <w:p w14:paraId="1800388A" w14:textId="77777777" w:rsidR="00BD4717" w:rsidRPr="0000591E" w:rsidRDefault="00BD4717" w:rsidP="00BD4717">
            <w:pPr>
              <w:jc w:val="both"/>
              <w:rPr>
                <w:rFonts w:ascii="Arial" w:hAnsi="Arial" w:cs="Arial"/>
                <w:sz w:val="20"/>
                <w:szCs w:val="20"/>
                <w:lang w:eastAsia="cs-CZ"/>
              </w:rPr>
            </w:pPr>
          </w:p>
        </w:tc>
      </w:tr>
      <w:tr w:rsidR="00BD4717" w:rsidRPr="0000591E" w14:paraId="0CC138EC" w14:textId="77777777" w:rsidTr="00AD41C9">
        <w:trPr>
          <w:trHeight w:val="20"/>
        </w:trPr>
        <w:tc>
          <w:tcPr>
            <w:tcW w:w="1277" w:type="dxa"/>
            <w:tcBorders>
              <w:bottom w:val="single" w:sz="4" w:space="0" w:color="auto"/>
            </w:tcBorders>
            <w:noWrap/>
          </w:tcPr>
          <w:p w14:paraId="4FBFE6D6" w14:textId="4DF37CA5"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R03DC03</w:t>
            </w:r>
          </w:p>
        </w:tc>
        <w:tc>
          <w:tcPr>
            <w:tcW w:w="9355" w:type="dxa"/>
            <w:tcBorders>
              <w:bottom w:val="single" w:sz="4" w:space="0" w:color="auto"/>
            </w:tcBorders>
          </w:tcPr>
          <w:p w14:paraId="10078D37" w14:textId="1101B54A" w:rsidR="00BD4717" w:rsidRPr="0000591E" w:rsidRDefault="00BD4717" w:rsidP="00BD4717">
            <w:pPr>
              <w:jc w:val="both"/>
              <w:rPr>
                <w:rFonts w:ascii="Arial" w:hAnsi="Arial" w:cs="Arial"/>
                <w:sz w:val="20"/>
                <w:szCs w:val="20"/>
              </w:rPr>
            </w:pPr>
            <w:r w:rsidRPr="0000591E">
              <w:rPr>
                <w:rFonts w:ascii="Arial" w:hAnsi="Arial" w:cs="Arial"/>
                <w:b/>
                <w:bCs/>
                <w:sz w:val="20"/>
                <w:szCs w:val="20"/>
              </w:rPr>
              <w:t xml:space="preserve">Montelukast p.o. 10 mg </w:t>
            </w:r>
          </w:p>
        </w:tc>
      </w:tr>
      <w:tr w:rsidR="00BD4717" w:rsidRPr="0000591E" w14:paraId="7879B2E9" w14:textId="77777777" w:rsidTr="00B3427F">
        <w:trPr>
          <w:trHeight w:val="20"/>
        </w:trPr>
        <w:tc>
          <w:tcPr>
            <w:tcW w:w="1277" w:type="dxa"/>
            <w:tcBorders>
              <w:top w:val="single" w:sz="4" w:space="0" w:color="auto"/>
              <w:bottom w:val="single" w:sz="4" w:space="0" w:color="BFBFBF" w:themeColor="background1" w:themeShade="BF"/>
            </w:tcBorders>
            <w:noWrap/>
          </w:tcPr>
          <w:p w14:paraId="1BFA20E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00C2C9A9"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pri perzistujúcej astme ľahkého až ťažkého stupňa u pacientov 15. ročných a starších. Ak nedôjde v priebehu troch mesiacov liečby k stabilizácii a kontrole perzistujúcej bronchiálnej astmy, ďalšia liečba nie je hradenou liečbou.</w:t>
            </w:r>
          </w:p>
          <w:p w14:paraId="65CCAF9B" w14:textId="3CAE2B60" w:rsidR="00BD4717" w:rsidRPr="0000591E" w:rsidRDefault="00BD4717" w:rsidP="00BD4717">
            <w:pPr>
              <w:jc w:val="both"/>
              <w:rPr>
                <w:rFonts w:ascii="Arial" w:hAnsi="Arial" w:cs="Arial"/>
                <w:sz w:val="20"/>
                <w:szCs w:val="20"/>
              </w:rPr>
            </w:pPr>
          </w:p>
        </w:tc>
      </w:tr>
      <w:tr w:rsidR="00BD4717" w:rsidRPr="0000591E" w14:paraId="2CEEA01C" w14:textId="77777777" w:rsidTr="00B3427F">
        <w:trPr>
          <w:trHeight w:val="20"/>
        </w:trPr>
        <w:tc>
          <w:tcPr>
            <w:tcW w:w="1277" w:type="dxa"/>
            <w:tcBorders>
              <w:bottom w:val="single" w:sz="4" w:space="0" w:color="auto"/>
            </w:tcBorders>
            <w:noWrap/>
          </w:tcPr>
          <w:p w14:paraId="346DA480" w14:textId="77777777" w:rsidR="00BD4717" w:rsidRPr="0000591E" w:rsidRDefault="00BD4717" w:rsidP="00BD4717">
            <w:pPr>
              <w:jc w:val="both"/>
              <w:rPr>
                <w:rFonts w:ascii="Arial" w:hAnsi="Arial" w:cs="Arial"/>
                <w:b/>
                <w:bCs/>
                <w:sz w:val="20"/>
                <w:szCs w:val="20"/>
              </w:rPr>
            </w:pPr>
            <w:r w:rsidRPr="0000591E">
              <w:rPr>
                <w:rFonts w:ascii="Arial" w:hAnsi="Arial" w:cs="Arial"/>
                <w:b/>
                <w:sz w:val="20"/>
                <w:szCs w:val="20"/>
                <w:lang w:eastAsia="cs-CZ"/>
              </w:rPr>
              <w:t>R03DC03</w:t>
            </w:r>
          </w:p>
        </w:tc>
        <w:tc>
          <w:tcPr>
            <w:tcW w:w="9355" w:type="dxa"/>
            <w:tcBorders>
              <w:bottom w:val="single" w:sz="4" w:space="0" w:color="auto"/>
            </w:tcBorders>
            <w:noWrap/>
          </w:tcPr>
          <w:p w14:paraId="6D4C8DF3" w14:textId="77777777" w:rsidR="00BD4717" w:rsidRPr="0000591E" w:rsidRDefault="00BD4717" w:rsidP="00BD4717">
            <w:pPr>
              <w:ind w:left="11"/>
              <w:jc w:val="both"/>
              <w:rPr>
                <w:rFonts w:ascii="Arial" w:hAnsi="Arial" w:cs="Arial"/>
                <w:b/>
                <w:bCs/>
                <w:sz w:val="20"/>
                <w:szCs w:val="20"/>
              </w:rPr>
            </w:pPr>
            <w:r w:rsidRPr="0000591E">
              <w:rPr>
                <w:rFonts w:ascii="Arial" w:hAnsi="Arial" w:cs="Arial"/>
                <w:b/>
                <w:sz w:val="20"/>
                <w:szCs w:val="20"/>
              </w:rPr>
              <w:t>Montelukast p.o. 4 mg gra por</w:t>
            </w:r>
          </w:p>
        </w:tc>
      </w:tr>
      <w:tr w:rsidR="00BD4717" w:rsidRPr="0000591E" w14:paraId="642107EA" w14:textId="77777777" w:rsidTr="00B3427F">
        <w:trPr>
          <w:trHeight w:val="20"/>
        </w:trPr>
        <w:tc>
          <w:tcPr>
            <w:tcW w:w="1277" w:type="dxa"/>
            <w:tcBorders>
              <w:top w:val="single" w:sz="4" w:space="0" w:color="auto"/>
              <w:bottom w:val="single" w:sz="4" w:space="0" w:color="BFBFBF" w:themeColor="background1" w:themeShade="BF"/>
            </w:tcBorders>
            <w:noWrap/>
          </w:tcPr>
          <w:p w14:paraId="59811D53"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94EDA1C" w14:textId="77777777" w:rsidR="00BD4717" w:rsidRPr="0000591E" w:rsidRDefault="00BD4717" w:rsidP="00BD4717">
            <w:pPr>
              <w:ind w:left="11"/>
              <w:jc w:val="both"/>
              <w:rPr>
                <w:rFonts w:ascii="Arial" w:hAnsi="Arial" w:cs="Arial"/>
                <w:b/>
                <w:bCs/>
                <w:sz w:val="20"/>
                <w:szCs w:val="20"/>
              </w:rPr>
            </w:pPr>
            <w:r w:rsidRPr="0000591E">
              <w:rPr>
                <w:rFonts w:ascii="Arial" w:hAnsi="Arial" w:cs="Arial"/>
                <w:sz w:val="20"/>
                <w:szCs w:val="20"/>
              </w:rPr>
              <w:t>Hradená liečba sa môže indikovať pri perzistujúcej astme ľahkého až ťažkého stupňa u pacientov od dovŕšenia šiesteho mesiaca veku do dovŕšenia piateho roku veku. Ak nedôjde v priebehu troch mesiacov liečby k stabilizácii a kontrole perzistujúcej bronchiálnej astmy, ďalšia liečba nie je hradenou liečbou.</w:t>
            </w:r>
          </w:p>
          <w:p w14:paraId="71123FA8" w14:textId="77777777" w:rsidR="00BD4717" w:rsidRPr="0000591E" w:rsidRDefault="00BD4717" w:rsidP="00BD4717">
            <w:pPr>
              <w:ind w:left="11"/>
              <w:jc w:val="both"/>
              <w:rPr>
                <w:rFonts w:ascii="Arial" w:hAnsi="Arial" w:cs="Arial"/>
                <w:b/>
                <w:bCs/>
                <w:sz w:val="20"/>
                <w:szCs w:val="20"/>
              </w:rPr>
            </w:pPr>
          </w:p>
        </w:tc>
      </w:tr>
      <w:tr w:rsidR="00BD4717" w:rsidRPr="0000591E" w14:paraId="62DEA643" w14:textId="77777777" w:rsidTr="00B3427F">
        <w:trPr>
          <w:trHeight w:val="20"/>
        </w:trPr>
        <w:tc>
          <w:tcPr>
            <w:tcW w:w="1277" w:type="dxa"/>
            <w:tcBorders>
              <w:bottom w:val="single" w:sz="4" w:space="0" w:color="auto"/>
            </w:tcBorders>
            <w:noWrap/>
          </w:tcPr>
          <w:p w14:paraId="62398DD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R03DX05</w:t>
            </w:r>
          </w:p>
        </w:tc>
        <w:tc>
          <w:tcPr>
            <w:tcW w:w="9355" w:type="dxa"/>
            <w:tcBorders>
              <w:bottom w:val="single" w:sz="4" w:space="0" w:color="auto"/>
            </w:tcBorders>
            <w:noWrap/>
          </w:tcPr>
          <w:p w14:paraId="5502AE1E" w14:textId="77777777" w:rsidR="00BD4717" w:rsidRPr="0000591E" w:rsidRDefault="00BD4717" w:rsidP="00BD4717">
            <w:pPr>
              <w:ind w:left="11"/>
              <w:jc w:val="both"/>
              <w:rPr>
                <w:rFonts w:ascii="Arial" w:hAnsi="Arial" w:cs="Arial"/>
                <w:b/>
                <w:bCs/>
                <w:sz w:val="20"/>
                <w:szCs w:val="20"/>
              </w:rPr>
            </w:pPr>
            <w:r>
              <w:rPr>
                <w:rFonts w:ascii="Arial" w:hAnsi="Arial" w:cs="Arial"/>
                <w:b/>
                <w:bCs/>
                <w:sz w:val="20"/>
                <w:szCs w:val="20"/>
              </w:rPr>
              <w:t xml:space="preserve">Omalizumab </w:t>
            </w:r>
            <w:r w:rsidRPr="00163BCD">
              <w:rPr>
                <w:rFonts w:ascii="Arial" w:hAnsi="Arial" w:cs="Arial"/>
                <w:b/>
                <w:bCs/>
                <w:sz w:val="20"/>
                <w:szCs w:val="20"/>
              </w:rPr>
              <w:t>s.c. 75 mg</w:t>
            </w:r>
          </w:p>
        </w:tc>
      </w:tr>
      <w:tr w:rsidR="00BD4717" w:rsidRPr="0000591E" w14:paraId="6B9974CF" w14:textId="77777777" w:rsidTr="00B3427F">
        <w:trPr>
          <w:trHeight w:val="20"/>
        </w:trPr>
        <w:tc>
          <w:tcPr>
            <w:tcW w:w="1277" w:type="dxa"/>
            <w:tcBorders>
              <w:top w:val="single" w:sz="4" w:space="0" w:color="auto"/>
              <w:bottom w:val="single" w:sz="4" w:space="0" w:color="BFBFBF" w:themeColor="background1" w:themeShade="BF"/>
            </w:tcBorders>
            <w:noWrap/>
          </w:tcPr>
          <w:p w14:paraId="315F4C22"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76359484" w14:textId="13D8BC10" w:rsidR="00BD4717" w:rsidRPr="008D330C" w:rsidRDefault="00BD4717" w:rsidP="00BD4717">
            <w:pPr>
              <w:tabs>
                <w:tab w:val="left" w:pos="3060"/>
              </w:tabs>
              <w:jc w:val="both"/>
              <w:rPr>
                <w:rFonts w:ascii="Arial" w:hAnsi="Arial" w:cs="Arial"/>
                <w:sz w:val="20"/>
                <w:szCs w:val="20"/>
              </w:rPr>
            </w:pPr>
            <w:r w:rsidRPr="008D330C">
              <w:rPr>
                <w:rFonts w:ascii="Arial" w:hAnsi="Arial" w:cs="Arial"/>
                <w:sz w:val="20"/>
                <w:szCs w:val="20"/>
              </w:rPr>
              <w:t>Hradená liečba sa môže indikovať u ťažkej perzistujúcej alergickej astmy podľa klasifikácie</w:t>
            </w:r>
            <w:r>
              <w:rPr>
                <w:rFonts w:ascii="Arial" w:hAnsi="Arial" w:cs="Arial"/>
                <w:sz w:val="20"/>
                <w:szCs w:val="20"/>
              </w:rPr>
              <w:t xml:space="preserve"> </w:t>
            </w:r>
            <w:r w:rsidRPr="008D330C">
              <w:rPr>
                <w:rFonts w:ascii="Arial" w:hAnsi="Arial" w:cs="Arial"/>
                <w:sz w:val="20"/>
                <w:szCs w:val="20"/>
              </w:rPr>
              <w:t>na základe Global Strategy for Asthma Management and Prevention (GINA) u pacientov vo</w:t>
            </w:r>
            <w:r>
              <w:rPr>
                <w:rFonts w:ascii="Arial" w:hAnsi="Arial" w:cs="Arial"/>
                <w:sz w:val="20"/>
                <w:szCs w:val="20"/>
              </w:rPr>
              <w:t xml:space="preserve"> </w:t>
            </w:r>
            <w:r w:rsidRPr="008D330C">
              <w:rPr>
                <w:rFonts w:ascii="Arial" w:hAnsi="Arial" w:cs="Arial"/>
                <w:sz w:val="20"/>
                <w:szCs w:val="20"/>
              </w:rPr>
              <w:t>veku od šesť rokov. U pacientov vo veku od 12 rokov, ktorí majú zníženú funkciu pľúc (FEV1</w:t>
            </w:r>
            <w:r>
              <w:rPr>
                <w:rFonts w:ascii="Arial" w:hAnsi="Arial" w:cs="Arial"/>
                <w:sz w:val="20"/>
                <w:szCs w:val="20"/>
              </w:rPr>
              <w:t xml:space="preserve"> </w:t>
            </w:r>
            <w:r w:rsidRPr="008D330C">
              <w:rPr>
                <w:rFonts w:ascii="Arial" w:hAnsi="Arial" w:cs="Arial"/>
                <w:sz w:val="20"/>
                <w:szCs w:val="20"/>
              </w:rPr>
              <w:t>alebo PEF menej ako 80 % prediktívnej hodnoty a ktorí majú IgE hodnotu viac ako 76 IU/ml)</w:t>
            </w:r>
            <w:r>
              <w:rPr>
                <w:rFonts w:ascii="Arial" w:hAnsi="Arial" w:cs="Arial"/>
                <w:sz w:val="20"/>
                <w:szCs w:val="20"/>
              </w:rPr>
              <w:t xml:space="preserve"> </w:t>
            </w:r>
            <w:r w:rsidRPr="008D330C">
              <w:rPr>
                <w:rFonts w:ascii="Arial" w:hAnsi="Arial" w:cs="Arial"/>
                <w:sz w:val="20"/>
                <w:szCs w:val="20"/>
              </w:rPr>
              <w:t>a časté symptómy alebo početné exacerbácie napriek každodenným vysokým dávkam</w:t>
            </w:r>
            <w:r>
              <w:rPr>
                <w:rFonts w:ascii="Arial" w:hAnsi="Arial" w:cs="Arial"/>
                <w:sz w:val="20"/>
                <w:szCs w:val="20"/>
              </w:rPr>
              <w:t xml:space="preserve"> </w:t>
            </w:r>
            <w:r w:rsidRPr="008D330C">
              <w:rPr>
                <w:rFonts w:ascii="Arial" w:hAnsi="Arial" w:cs="Arial"/>
                <w:sz w:val="20"/>
                <w:szCs w:val="20"/>
              </w:rPr>
              <w:t>inhalačných glukokortikosteroidov a LABA.</w:t>
            </w:r>
            <w:r>
              <w:rPr>
                <w:rFonts w:ascii="Arial" w:hAnsi="Arial" w:cs="Arial"/>
                <w:sz w:val="20"/>
                <w:szCs w:val="20"/>
              </w:rPr>
              <w:t xml:space="preserve"> </w:t>
            </w:r>
            <w:r w:rsidRPr="008D330C">
              <w:rPr>
                <w:rFonts w:ascii="Arial" w:hAnsi="Arial" w:cs="Arial"/>
                <w:sz w:val="20"/>
                <w:szCs w:val="20"/>
              </w:rPr>
              <w:t>Ak nedôjde v priebehu troch mesiacov liečby k stabilizácii a kontrole perzistujúcej bronciálnej</w:t>
            </w:r>
            <w:r>
              <w:rPr>
                <w:rFonts w:ascii="Arial" w:hAnsi="Arial" w:cs="Arial"/>
                <w:sz w:val="20"/>
                <w:szCs w:val="20"/>
              </w:rPr>
              <w:t xml:space="preserve"> </w:t>
            </w:r>
            <w:r w:rsidRPr="008D330C">
              <w:rPr>
                <w:rFonts w:ascii="Arial" w:hAnsi="Arial" w:cs="Arial"/>
                <w:sz w:val="20"/>
                <w:szCs w:val="20"/>
              </w:rPr>
              <w:t>astmy, ďalšia liečba nie je hradenou liečbou.</w:t>
            </w:r>
          </w:p>
          <w:p w14:paraId="699B6548" w14:textId="5EDBF705" w:rsidR="00BD4717" w:rsidRDefault="00BD4717" w:rsidP="00BD4717">
            <w:pPr>
              <w:tabs>
                <w:tab w:val="left" w:pos="3060"/>
              </w:tabs>
              <w:jc w:val="both"/>
              <w:rPr>
                <w:rFonts w:ascii="Arial" w:hAnsi="Arial" w:cs="Arial"/>
                <w:sz w:val="20"/>
                <w:szCs w:val="20"/>
              </w:rPr>
            </w:pPr>
            <w:r w:rsidRPr="008D330C">
              <w:rPr>
                <w:rFonts w:ascii="Arial" w:hAnsi="Arial" w:cs="Arial"/>
                <w:sz w:val="20"/>
                <w:szCs w:val="20"/>
              </w:rPr>
              <w:t>Hradená liečba u pacientov vo veku od šesť do 18 rokov sa môže indikovať na Detskej klinike</w:t>
            </w:r>
            <w:r>
              <w:rPr>
                <w:rFonts w:ascii="Arial" w:hAnsi="Arial" w:cs="Arial"/>
                <w:sz w:val="20"/>
                <w:szCs w:val="20"/>
              </w:rPr>
              <w:t xml:space="preserve"> </w:t>
            </w:r>
            <w:r w:rsidRPr="008D330C">
              <w:rPr>
                <w:rFonts w:ascii="Arial" w:hAnsi="Arial" w:cs="Arial"/>
                <w:sz w:val="20"/>
                <w:szCs w:val="20"/>
              </w:rPr>
              <w:t>LF UK a NÚDCH, Bratislava, na Klinike detí a dorastu Univerzitnej nemocnice Martin, na</w:t>
            </w:r>
            <w:r>
              <w:rPr>
                <w:rFonts w:ascii="Arial" w:hAnsi="Arial" w:cs="Arial"/>
                <w:sz w:val="20"/>
                <w:szCs w:val="20"/>
              </w:rPr>
              <w:t xml:space="preserve"> </w:t>
            </w:r>
            <w:r w:rsidRPr="008D330C">
              <w:rPr>
                <w:rFonts w:ascii="Arial" w:hAnsi="Arial" w:cs="Arial"/>
                <w:sz w:val="20"/>
                <w:szCs w:val="20"/>
              </w:rPr>
              <w:t>Klinike detí a dorastu LF UPJŠ a DFNsP, Košice a na Klinike detskej pneumológie</w:t>
            </w:r>
            <w:r>
              <w:rPr>
                <w:rFonts w:ascii="Arial" w:hAnsi="Arial" w:cs="Arial"/>
                <w:sz w:val="20"/>
                <w:szCs w:val="20"/>
              </w:rPr>
              <w:t xml:space="preserve"> </w:t>
            </w:r>
            <w:r w:rsidRPr="008D330C">
              <w:rPr>
                <w:rFonts w:ascii="Arial" w:hAnsi="Arial" w:cs="Arial"/>
                <w:sz w:val="20"/>
                <w:szCs w:val="20"/>
              </w:rPr>
              <w:t>a ftizeológie LF SZU a NÚDCH, Bratislava, Národný ústav detskej tuberkulózy a</w:t>
            </w:r>
            <w:r>
              <w:rPr>
                <w:rFonts w:ascii="Arial" w:hAnsi="Arial" w:cs="Arial"/>
                <w:sz w:val="20"/>
                <w:szCs w:val="20"/>
              </w:rPr>
              <w:t xml:space="preserve"> </w:t>
            </w:r>
            <w:r w:rsidRPr="008D330C">
              <w:rPr>
                <w:rFonts w:ascii="Arial" w:hAnsi="Arial" w:cs="Arial"/>
                <w:sz w:val="20"/>
                <w:szCs w:val="20"/>
              </w:rPr>
              <w:t>respiračných chorôb, n.o. Dolný Smokovec.</w:t>
            </w:r>
          </w:p>
          <w:p w14:paraId="37A05422" w14:textId="77777777" w:rsidR="00BD4717" w:rsidRPr="008D330C" w:rsidRDefault="00BD4717" w:rsidP="00BD4717">
            <w:pPr>
              <w:tabs>
                <w:tab w:val="left" w:pos="3060"/>
              </w:tabs>
              <w:jc w:val="both"/>
              <w:rPr>
                <w:rFonts w:ascii="Arial" w:hAnsi="Arial" w:cs="Arial"/>
                <w:sz w:val="20"/>
                <w:szCs w:val="20"/>
              </w:rPr>
            </w:pPr>
          </w:p>
          <w:p w14:paraId="0989755E" w14:textId="77777777" w:rsidR="00BD4717" w:rsidRDefault="00BD4717" w:rsidP="00BD4717">
            <w:pPr>
              <w:tabs>
                <w:tab w:val="left" w:pos="3060"/>
              </w:tabs>
              <w:jc w:val="both"/>
              <w:rPr>
                <w:rFonts w:ascii="Arial" w:hAnsi="Arial" w:cs="Arial"/>
                <w:sz w:val="20"/>
                <w:szCs w:val="20"/>
              </w:rPr>
            </w:pPr>
            <w:r w:rsidRPr="008D330C">
              <w:rPr>
                <w:rFonts w:ascii="Arial" w:hAnsi="Arial" w:cs="Arial"/>
                <w:sz w:val="20"/>
                <w:szCs w:val="20"/>
              </w:rPr>
              <w:t>Hradená liečba podlieha predchádzajúcemu súhlasu zdravotnej poisťovne.</w:t>
            </w:r>
          </w:p>
          <w:p w14:paraId="2FF881D4" w14:textId="7EB81DDC" w:rsidR="00BD4717" w:rsidRDefault="00BD4717" w:rsidP="00BD4717">
            <w:pPr>
              <w:ind w:left="11"/>
              <w:jc w:val="both"/>
              <w:rPr>
                <w:rFonts w:ascii="Arial" w:hAnsi="Arial" w:cs="Arial"/>
                <w:b/>
                <w:bCs/>
                <w:sz w:val="20"/>
                <w:szCs w:val="20"/>
              </w:rPr>
            </w:pPr>
          </w:p>
        </w:tc>
      </w:tr>
      <w:tr w:rsidR="00BD4717" w:rsidRPr="0000591E" w14:paraId="461D223D" w14:textId="77777777" w:rsidTr="00B3427F">
        <w:trPr>
          <w:trHeight w:val="20"/>
        </w:trPr>
        <w:tc>
          <w:tcPr>
            <w:tcW w:w="1277" w:type="dxa"/>
            <w:tcBorders>
              <w:bottom w:val="single" w:sz="4" w:space="0" w:color="auto"/>
            </w:tcBorders>
            <w:noWrap/>
          </w:tcPr>
          <w:p w14:paraId="6B567D2E"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R03DX05</w:t>
            </w:r>
          </w:p>
        </w:tc>
        <w:tc>
          <w:tcPr>
            <w:tcW w:w="9355" w:type="dxa"/>
            <w:tcBorders>
              <w:bottom w:val="single" w:sz="4" w:space="0" w:color="auto"/>
            </w:tcBorders>
            <w:noWrap/>
          </w:tcPr>
          <w:p w14:paraId="1E5A70F4" w14:textId="77777777" w:rsidR="00BD4717" w:rsidRDefault="00BD4717" w:rsidP="00BD4717">
            <w:pPr>
              <w:ind w:left="11"/>
              <w:jc w:val="both"/>
              <w:rPr>
                <w:rFonts w:ascii="Arial" w:hAnsi="Arial" w:cs="Arial"/>
                <w:b/>
                <w:bCs/>
                <w:sz w:val="20"/>
                <w:szCs w:val="20"/>
              </w:rPr>
            </w:pPr>
            <w:r>
              <w:rPr>
                <w:rFonts w:ascii="Arial" w:hAnsi="Arial" w:cs="Arial"/>
                <w:b/>
                <w:bCs/>
                <w:sz w:val="20"/>
                <w:szCs w:val="20"/>
              </w:rPr>
              <w:t>Omalizumab s.c. 150 mg</w:t>
            </w:r>
            <w:r w:rsidR="00EC1AF6">
              <w:rPr>
                <w:rFonts w:ascii="Arial" w:hAnsi="Arial" w:cs="Arial"/>
                <w:b/>
                <w:bCs/>
                <w:sz w:val="20"/>
                <w:szCs w:val="20"/>
              </w:rPr>
              <w:t>,</w:t>
            </w:r>
          </w:p>
          <w:p w14:paraId="700D37A8" w14:textId="1C4B877E" w:rsidR="00EC1AF6" w:rsidRPr="0000591E" w:rsidRDefault="00EC1AF6" w:rsidP="00BD4717">
            <w:pPr>
              <w:ind w:left="11"/>
              <w:jc w:val="both"/>
              <w:rPr>
                <w:rFonts w:ascii="Arial" w:hAnsi="Arial" w:cs="Arial"/>
                <w:b/>
                <w:bCs/>
                <w:sz w:val="20"/>
                <w:szCs w:val="20"/>
              </w:rPr>
            </w:pPr>
            <w:r>
              <w:rPr>
                <w:rFonts w:ascii="Arial" w:hAnsi="Arial" w:cs="Arial"/>
                <w:b/>
                <w:bCs/>
                <w:sz w:val="20"/>
                <w:szCs w:val="20"/>
              </w:rPr>
              <w:t>Omalizumab s.c. 300 mg</w:t>
            </w:r>
          </w:p>
        </w:tc>
      </w:tr>
      <w:tr w:rsidR="00BD4717" w:rsidRPr="0000591E" w14:paraId="19A4F854" w14:textId="77777777" w:rsidTr="00B3427F">
        <w:trPr>
          <w:trHeight w:val="20"/>
        </w:trPr>
        <w:tc>
          <w:tcPr>
            <w:tcW w:w="1277" w:type="dxa"/>
            <w:tcBorders>
              <w:top w:val="single" w:sz="4" w:space="0" w:color="auto"/>
              <w:bottom w:val="single" w:sz="4" w:space="0" w:color="BFBFBF" w:themeColor="background1" w:themeShade="BF"/>
            </w:tcBorders>
            <w:noWrap/>
          </w:tcPr>
          <w:p w14:paraId="5C139C1A"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61C9631" w14:textId="77777777" w:rsidR="00EC1AF6" w:rsidRDefault="00BD4717" w:rsidP="00EC1AF6">
            <w:pPr>
              <w:jc w:val="both"/>
              <w:rPr>
                <w:rFonts w:ascii="Arial" w:hAnsi="Arial" w:cs="Arial"/>
                <w:sz w:val="20"/>
                <w:szCs w:val="20"/>
              </w:rPr>
            </w:pPr>
            <w:r w:rsidRPr="008D330C">
              <w:rPr>
                <w:rFonts w:ascii="Arial" w:hAnsi="Arial" w:cs="Arial"/>
                <w:sz w:val="20"/>
                <w:szCs w:val="20"/>
              </w:rPr>
              <w:t>Hradená liečba sa môže indikovať:</w:t>
            </w:r>
            <w:r w:rsidR="00EC1AF6">
              <w:rPr>
                <w:rFonts w:ascii="Arial" w:hAnsi="Arial" w:cs="Arial"/>
                <w:sz w:val="20"/>
                <w:szCs w:val="20"/>
              </w:rPr>
              <w:t xml:space="preserve"> </w:t>
            </w:r>
          </w:p>
          <w:p w14:paraId="2D461472" w14:textId="4F6D7B36" w:rsidR="00BD4717" w:rsidRPr="008D330C" w:rsidRDefault="00BD4717" w:rsidP="00BD4717">
            <w:pPr>
              <w:spacing w:after="200"/>
              <w:jc w:val="both"/>
              <w:rPr>
                <w:rFonts w:ascii="Arial" w:hAnsi="Arial" w:cs="Arial"/>
                <w:sz w:val="20"/>
                <w:szCs w:val="20"/>
              </w:rPr>
            </w:pPr>
            <w:r w:rsidRPr="008D330C">
              <w:rPr>
                <w:rFonts w:ascii="Arial" w:hAnsi="Arial" w:cs="Arial"/>
                <w:sz w:val="20"/>
                <w:szCs w:val="20"/>
              </w:rPr>
              <w:t>1. u ťažkej perzistujúcej alergickej astmy podľa klasifikácie na základe Global Strategy</w:t>
            </w:r>
            <w:r>
              <w:rPr>
                <w:rFonts w:ascii="Arial" w:hAnsi="Arial" w:cs="Arial"/>
                <w:sz w:val="20"/>
                <w:szCs w:val="20"/>
              </w:rPr>
              <w:t xml:space="preserve"> </w:t>
            </w:r>
            <w:r w:rsidRPr="008D330C">
              <w:rPr>
                <w:rFonts w:ascii="Arial" w:hAnsi="Arial" w:cs="Arial"/>
                <w:sz w:val="20"/>
                <w:szCs w:val="20"/>
              </w:rPr>
              <w:t>for Asthma Management and Prevention (GINA) u pacientov vo veku od šesť rokov. U</w:t>
            </w:r>
            <w:r>
              <w:rPr>
                <w:rFonts w:ascii="Arial" w:hAnsi="Arial" w:cs="Arial"/>
                <w:sz w:val="20"/>
                <w:szCs w:val="20"/>
              </w:rPr>
              <w:t xml:space="preserve"> </w:t>
            </w:r>
            <w:r w:rsidRPr="008D330C">
              <w:rPr>
                <w:rFonts w:ascii="Arial" w:hAnsi="Arial" w:cs="Arial"/>
                <w:sz w:val="20"/>
                <w:szCs w:val="20"/>
              </w:rPr>
              <w:t>pacientov vo veku od 12 rokov, ktorí majú zníženú funkciu pľúc (FEV1 alebo PEF</w:t>
            </w:r>
            <w:r>
              <w:rPr>
                <w:rFonts w:ascii="Arial" w:hAnsi="Arial" w:cs="Arial"/>
                <w:sz w:val="20"/>
                <w:szCs w:val="20"/>
              </w:rPr>
              <w:t xml:space="preserve"> </w:t>
            </w:r>
            <w:r w:rsidRPr="008D330C">
              <w:rPr>
                <w:rFonts w:ascii="Arial" w:hAnsi="Arial" w:cs="Arial"/>
                <w:sz w:val="20"/>
                <w:szCs w:val="20"/>
              </w:rPr>
              <w:t>menej ako 80 % prediktívnej hodnoty a ktorí majú IgE hodnotu viac ako 76 IU/ml) a</w:t>
            </w:r>
            <w:r>
              <w:rPr>
                <w:rFonts w:ascii="Arial" w:hAnsi="Arial" w:cs="Arial"/>
                <w:sz w:val="20"/>
                <w:szCs w:val="20"/>
              </w:rPr>
              <w:t xml:space="preserve"> </w:t>
            </w:r>
            <w:r w:rsidRPr="008D330C">
              <w:rPr>
                <w:rFonts w:ascii="Arial" w:hAnsi="Arial" w:cs="Arial"/>
                <w:sz w:val="20"/>
                <w:szCs w:val="20"/>
              </w:rPr>
              <w:t>časté symptómy alebo početné exacerbácie napriek každodenným vysokým dávkam</w:t>
            </w:r>
            <w:r>
              <w:rPr>
                <w:rFonts w:ascii="Arial" w:hAnsi="Arial" w:cs="Arial"/>
                <w:sz w:val="20"/>
                <w:szCs w:val="20"/>
              </w:rPr>
              <w:t xml:space="preserve"> </w:t>
            </w:r>
            <w:r w:rsidRPr="008D330C">
              <w:rPr>
                <w:rFonts w:ascii="Arial" w:hAnsi="Arial" w:cs="Arial"/>
                <w:sz w:val="20"/>
                <w:szCs w:val="20"/>
              </w:rPr>
              <w:t>inhalačných glukokortikosteroidov a LABA. Ak nedôjde v priebehu troch mesiacov</w:t>
            </w:r>
            <w:r>
              <w:rPr>
                <w:rFonts w:ascii="Arial" w:hAnsi="Arial" w:cs="Arial"/>
                <w:sz w:val="20"/>
                <w:szCs w:val="20"/>
              </w:rPr>
              <w:t xml:space="preserve"> </w:t>
            </w:r>
            <w:r w:rsidRPr="008D330C">
              <w:rPr>
                <w:rFonts w:ascii="Arial" w:hAnsi="Arial" w:cs="Arial"/>
                <w:sz w:val="20"/>
                <w:szCs w:val="20"/>
              </w:rPr>
              <w:t>liečby k stabilizácii a kontrole perzistujúcej bronciálnej astmy, ďalšia liečba nie je</w:t>
            </w:r>
            <w:r>
              <w:rPr>
                <w:rFonts w:ascii="Arial" w:hAnsi="Arial" w:cs="Arial"/>
                <w:sz w:val="20"/>
                <w:szCs w:val="20"/>
              </w:rPr>
              <w:t xml:space="preserve"> </w:t>
            </w:r>
            <w:r w:rsidRPr="008D330C">
              <w:rPr>
                <w:rFonts w:ascii="Arial" w:hAnsi="Arial" w:cs="Arial"/>
                <w:sz w:val="20"/>
                <w:szCs w:val="20"/>
              </w:rPr>
              <w:t>hradenou liečbou.</w:t>
            </w:r>
          </w:p>
          <w:p w14:paraId="748B2D1B" w14:textId="77777777" w:rsidR="00BD4717" w:rsidRPr="008D330C" w:rsidRDefault="00BD4717" w:rsidP="00BD4717">
            <w:pPr>
              <w:spacing w:after="200"/>
              <w:jc w:val="both"/>
              <w:rPr>
                <w:rFonts w:ascii="Arial" w:hAnsi="Arial" w:cs="Arial"/>
                <w:sz w:val="20"/>
                <w:szCs w:val="20"/>
              </w:rPr>
            </w:pPr>
            <w:r w:rsidRPr="008D330C">
              <w:rPr>
                <w:rFonts w:ascii="Arial" w:hAnsi="Arial" w:cs="Arial"/>
                <w:sz w:val="20"/>
                <w:szCs w:val="20"/>
              </w:rPr>
              <w:t>Hradená liečba u pacientov vo veku od šesť do 18 rokov sa môže indikovať na Detskej klinike</w:t>
            </w:r>
            <w:r>
              <w:rPr>
                <w:rFonts w:ascii="Arial" w:hAnsi="Arial" w:cs="Arial"/>
                <w:sz w:val="20"/>
                <w:szCs w:val="20"/>
              </w:rPr>
              <w:t xml:space="preserve"> </w:t>
            </w:r>
            <w:r w:rsidRPr="008D330C">
              <w:rPr>
                <w:rFonts w:ascii="Arial" w:hAnsi="Arial" w:cs="Arial"/>
                <w:sz w:val="20"/>
                <w:szCs w:val="20"/>
              </w:rPr>
              <w:t>LF UK a NÚDCH, Bratislava, na Klinike detí a dorastu Univerzitnej nemocnice Martin, na</w:t>
            </w:r>
            <w:r>
              <w:rPr>
                <w:rFonts w:ascii="Arial" w:hAnsi="Arial" w:cs="Arial"/>
                <w:sz w:val="20"/>
                <w:szCs w:val="20"/>
              </w:rPr>
              <w:t xml:space="preserve"> </w:t>
            </w:r>
            <w:r w:rsidRPr="008D330C">
              <w:rPr>
                <w:rFonts w:ascii="Arial" w:hAnsi="Arial" w:cs="Arial"/>
                <w:sz w:val="20"/>
                <w:szCs w:val="20"/>
              </w:rPr>
              <w:t>Klinike detí a dorastu LF UPJŠ a DFNsP, Košice a na Klinike detskej pneumológie</w:t>
            </w:r>
            <w:r>
              <w:rPr>
                <w:rFonts w:ascii="Arial" w:hAnsi="Arial" w:cs="Arial"/>
                <w:sz w:val="20"/>
                <w:szCs w:val="20"/>
              </w:rPr>
              <w:t xml:space="preserve"> </w:t>
            </w:r>
            <w:r w:rsidRPr="008D330C">
              <w:rPr>
                <w:rFonts w:ascii="Arial" w:hAnsi="Arial" w:cs="Arial"/>
                <w:sz w:val="20"/>
                <w:szCs w:val="20"/>
              </w:rPr>
              <w:t>a ftizeológie LF SZU a NÚDCH, Bratislava, Národný ústav detskej tuberkulózy a</w:t>
            </w:r>
            <w:r>
              <w:rPr>
                <w:rFonts w:ascii="Arial" w:hAnsi="Arial" w:cs="Arial"/>
                <w:sz w:val="20"/>
                <w:szCs w:val="20"/>
              </w:rPr>
              <w:t xml:space="preserve"> </w:t>
            </w:r>
            <w:r w:rsidRPr="008D330C">
              <w:rPr>
                <w:rFonts w:ascii="Arial" w:hAnsi="Arial" w:cs="Arial"/>
                <w:sz w:val="20"/>
                <w:szCs w:val="20"/>
              </w:rPr>
              <w:t>respiračných chorôb, n.o. Dolný Smokovec.</w:t>
            </w:r>
          </w:p>
          <w:p w14:paraId="4BE7DCE0" w14:textId="16AD97BA" w:rsidR="00BD4717" w:rsidRPr="008D330C" w:rsidRDefault="00BD4717" w:rsidP="00BD4717">
            <w:pPr>
              <w:spacing w:after="200"/>
              <w:jc w:val="both"/>
              <w:rPr>
                <w:rFonts w:ascii="Arial" w:hAnsi="Arial" w:cs="Arial"/>
                <w:sz w:val="20"/>
                <w:szCs w:val="20"/>
              </w:rPr>
            </w:pPr>
            <w:r w:rsidRPr="008D330C">
              <w:rPr>
                <w:rFonts w:ascii="Arial" w:hAnsi="Arial" w:cs="Arial"/>
                <w:sz w:val="20"/>
                <w:szCs w:val="20"/>
              </w:rPr>
              <w:t>2. ako prídavná liečba chronickej spontánnej urtikárie u dospelých a dospievajúcich (12</w:t>
            </w:r>
            <w:r>
              <w:rPr>
                <w:rFonts w:ascii="Arial" w:hAnsi="Arial" w:cs="Arial"/>
                <w:sz w:val="20"/>
                <w:szCs w:val="20"/>
              </w:rPr>
              <w:t xml:space="preserve"> </w:t>
            </w:r>
            <w:r w:rsidRPr="008D330C">
              <w:rPr>
                <w:rFonts w:ascii="Arial" w:hAnsi="Arial" w:cs="Arial"/>
                <w:sz w:val="20"/>
                <w:szCs w:val="20"/>
              </w:rPr>
              <w:t>rokov a viac) pacientov s nedostatočnou odpoveďou na liečbu H1-antihistaminikami</w:t>
            </w:r>
            <w:r>
              <w:rPr>
                <w:rFonts w:ascii="Arial" w:hAnsi="Arial" w:cs="Arial"/>
                <w:sz w:val="20"/>
                <w:szCs w:val="20"/>
              </w:rPr>
              <w:t xml:space="preserve"> </w:t>
            </w:r>
            <w:r w:rsidRPr="008D330C">
              <w:rPr>
                <w:rFonts w:ascii="Arial" w:hAnsi="Arial" w:cs="Arial"/>
                <w:sz w:val="20"/>
                <w:szCs w:val="20"/>
              </w:rPr>
              <w:t>a s hodnotou UAS7 skóre 27 bodov a viac a/alebo s prítomnosťou angioedému na</w:t>
            </w:r>
            <w:r>
              <w:rPr>
                <w:rFonts w:ascii="Arial" w:hAnsi="Arial" w:cs="Arial"/>
                <w:sz w:val="20"/>
                <w:szCs w:val="20"/>
              </w:rPr>
              <w:t xml:space="preserve"> </w:t>
            </w:r>
            <w:r w:rsidRPr="008D330C">
              <w:rPr>
                <w:rFonts w:ascii="Arial" w:hAnsi="Arial" w:cs="Arial"/>
                <w:sz w:val="20"/>
                <w:szCs w:val="20"/>
              </w:rPr>
              <w:t>AAS škále. Jeden liečebný cyklus predstavuje 6 podaní omalizumabu v dávke 300 mg</w:t>
            </w:r>
            <w:r>
              <w:rPr>
                <w:rFonts w:ascii="Arial" w:hAnsi="Arial" w:cs="Arial"/>
                <w:sz w:val="20"/>
                <w:szCs w:val="20"/>
              </w:rPr>
              <w:t xml:space="preserve"> </w:t>
            </w:r>
            <w:r w:rsidRPr="008D330C">
              <w:rPr>
                <w:rFonts w:ascii="Arial" w:hAnsi="Arial" w:cs="Arial"/>
                <w:sz w:val="20"/>
                <w:szCs w:val="20"/>
              </w:rPr>
              <w:t>subkutánnou injekciou v 4-týždňových intervaloch. Ak nedôjde v priebehu troch</w:t>
            </w:r>
            <w:r>
              <w:rPr>
                <w:rFonts w:ascii="Arial" w:hAnsi="Arial" w:cs="Arial"/>
                <w:sz w:val="20"/>
                <w:szCs w:val="20"/>
              </w:rPr>
              <w:t xml:space="preserve"> </w:t>
            </w:r>
            <w:r w:rsidRPr="008D330C">
              <w:rPr>
                <w:rFonts w:ascii="Arial" w:hAnsi="Arial" w:cs="Arial"/>
                <w:sz w:val="20"/>
                <w:szCs w:val="20"/>
              </w:rPr>
              <w:t>mesiacov liečby k odpovedi na liečbu omalizumabom so sprievodným poklesom UAS7</w:t>
            </w:r>
            <w:r>
              <w:rPr>
                <w:rFonts w:ascii="Arial" w:hAnsi="Arial" w:cs="Arial"/>
                <w:sz w:val="20"/>
                <w:szCs w:val="20"/>
              </w:rPr>
              <w:t xml:space="preserve"> </w:t>
            </w:r>
            <w:r w:rsidRPr="008D330C">
              <w:rPr>
                <w:rFonts w:ascii="Arial" w:hAnsi="Arial" w:cs="Arial"/>
                <w:sz w:val="20"/>
                <w:szCs w:val="20"/>
              </w:rPr>
              <w:t>a/alebo AAS skóre, ďalšia liečba nie je hradenou liečbou. Podmienkou pre</w:t>
            </w:r>
            <w:r>
              <w:rPr>
                <w:rFonts w:ascii="Arial" w:hAnsi="Arial" w:cs="Arial"/>
                <w:sz w:val="20"/>
                <w:szCs w:val="20"/>
              </w:rPr>
              <w:t xml:space="preserve"> </w:t>
            </w:r>
            <w:r w:rsidRPr="008D330C">
              <w:rPr>
                <w:rFonts w:ascii="Arial" w:hAnsi="Arial" w:cs="Arial"/>
                <w:sz w:val="20"/>
                <w:szCs w:val="20"/>
              </w:rPr>
              <w:t>pokračovanie liečby je podanie všetkých 6 dávok omalizumabu v</w:t>
            </w:r>
            <w:r>
              <w:rPr>
                <w:rFonts w:ascii="Arial" w:hAnsi="Arial" w:cs="Arial"/>
                <w:sz w:val="20"/>
                <w:szCs w:val="20"/>
              </w:rPr>
              <w:t> </w:t>
            </w:r>
            <w:r w:rsidRPr="008D330C">
              <w:rPr>
                <w:rFonts w:ascii="Arial" w:hAnsi="Arial" w:cs="Arial"/>
                <w:sz w:val="20"/>
                <w:szCs w:val="20"/>
              </w:rPr>
              <w:t>predchádzajúcom</w:t>
            </w:r>
            <w:r>
              <w:rPr>
                <w:rFonts w:ascii="Arial" w:hAnsi="Arial" w:cs="Arial"/>
                <w:sz w:val="20"/>
                <w:szCs w:val="20"/>
              </w:rPr>
              <w:t xml:space="preserve"> </w:t>
            </w:r>
            <w:r w:rsidRPr="008D330C">
              <w:rPr>
                <w:rFonts w:ascii="Arial" w:hAnsi="Arial" w:cs="Arial"/>
                <w:sz w:val="20"/>
                <w:szCs w:val="20"/>
              </w:rPr>
              <w:t>cykle alebo dosiahnutie kompletnej odpovede (UAS7=0) v predchádzajúcom cykle.</w:t>
            </w:r>
            <w:r>
              <w:rPr>
                <w:rFonts w:ascii="Arial" w:hAnsi="Arial" w:cs="Arial"/>
                <w:sz w:val="20"/>
                <w:szCs w:val="20"/>
              </w:rPr>
              <w:t xml:space="preserve"> </w:t>
            </w:r>
            <w:r w:rsidRPr="008D330C">
              <w:rPr>
                <w:rFonts w:ascii="Arial" w:hAnsi="Arial" w:cs="Arial"/>
                <w:sz w:val="20"/>
                <w:szCs w:val="20"/>
              </w:rPr>
              <w:t>Každé následné opakovanie liečebného cyklu sa realizuje u pacientov, u ktorých dôjde</w:t>
            </w:r>
            <w:r>
              <w:rPr>
                <w:rFonts w:ascii="Arial" w:hAnsi="Arial" w:cs="Arial"/>
                <w:sz w:val="20"/>
                <w:szCs w:val="20"/>
              </w:rPr>
              <w:t xml:space="preserve"> </w:t>
            </w:r>
            <w:r w:rsidRPr="008D330C">
              <w:rPr>
                <w:rFonts w:ascii="Arial" w:hAnsi="Arial" w:cs="Arial"/>
                <w:sz w:val="20"/>
                <w:szCs w:val="20"/>
              </w:rPr>
              <w:t>k relapsu ochorenia, t.j. u tých, u ktorých dôjde k zvýšeniu aktivity ochorenia na hodnotu</w:t>
            </w:r>
            <w:r>
              <w:rPr>
                <w:rFonts w:ascii="Arial" w:hAnsi="Arial" w:cs="Arial"/>
                <w:sz w:val="20"/>
                <w:szCs w:val="20"/>
              </w:rPr>
              <w:t xml:space="preserve"> </w:t>
            </w:r>
            <w:r w:rsidRPr="008D330C">
              <w:rPr>
                <w:rFonts w:ascii="Arial" w:hAnsi="Arial" w:cs="Arial"/>
                <w:sz w:val="20"/>
                <w:szCs w:val="20"/>
              </w:rPr>
              <w:t>UAS7 skóre 27 bodov a viac.</w:t>
            </w:r>
          </w:p>
          <w:p w14:paraId="05B657DD" w14:textId="77777777" w:rsidR="00BD4717" w:rsidRDefault="00BD4717" w:rsidP="00BD4717">
            <w:pPr>
              <w:ind w:left="11"/>
              <w:jc w:val="both"/>
              <w:rPr>
                <w:rFonts w:ascii="Arial" w:hAnsi="Arial" w:cs="Arial"/>
                <w:sz w:val="20"/>
                <w:szCs w:val="20"/>
              </w:rPr>
            </w:pPr>
            <w:r w:rsidRPr="008D330C">
              <w:rPr>
                <w:rFonts w:ascii="Arial" w:hAnsi="Arial" w:cs="Arial"/>
                <w:sz w:val="20"/>
                <w:szCs w:val="20"/>
              </w:rPr>
              <w:t>Hradená liečba podlieha predchádzajúcemu súhlasu zdravotnej poisťovne.</w:t>
            </w:r>
          </w:p>
          <w:p w14:paraId="775882F5" w14:textId="00B39DB8" w:rsidR="00BD4717" w:rsidRDefault="00BD4717" w:rsidP="00BD4717">
            <w:pPr>
              <w:ind w:left="11"/>
              <w:jc w:val="both"/>
              <w:rPr>
                <w:rFonts w:ascii="Arial" w:hAnsi="Arial" w:cs="Arial"/>
                <w:b/>
                <w:bCs/>
                <w:sz w:val="20"/>
                <w:szCs w:val="20"/>
              </w:rPr>
            </w:pPr>
          </w:p>
        </w:tc>
      </w:tr>
      <w:tr w:rsidR="00BD4717" w:rsidRPr="0000591E" w14:paraId="7739BB6D" w14:textId="77777777" w:rsidTr="00B3427F">
        <w:trPr>
          <w:trHeight w:val="20"/>
        </w:trPr>
        <w:tc>
          <w:tcPr>
            <w:tcW w:w="1277" w:type="dxa"/>
            <w:tcBorders>
              <w:bottom w:val="single" w:sz="4" w:space="0" w:color="auto"/>
            </w:tcBorders>
            <w:noWrap/>
          </w:tcPr>
          <w:p w14:paraId="0F378F42"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R03DX07</w:t>
            </w:r>
          </w:p>
        </w:tc>
        <w:tc>
          <w:tcPr>
            <w:tcW w:w="9355" w:type="dxa"/>
            <w:tcBorders>
              <w:bottom w:val="single" w:sz="4" w:space="0" w:color="auto"/>
            </w:tcBorders>
            <w:noWrap/>
          </w:tcPr>
          <w:p w14:paraId="617F99BC"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Roflumilast p.o. 500 mcg</w:t>
            </w:r>
          </w:p>
        </w:tc>
      </w:tr>
      <w:tr w:rsidR="00BD4717" w:rsidRPr="0000591E" w14:paraId="3625A72D" w14:textId="77777777" w:rsidTr="00B3427F">
        <w:trPr>
          <w:trHeight w:val="20"/>
        </w:trPr>
        <w:tc>
          <w:tcPr>
            <w:tcW w:w="1277" w:type="dxa"/>
            <w:tcBorders>
              <w:top w:val="single" w:sz="4" w:space="0" w:color="auto"/>
              <w:bottom w:val="single" w:sz="4" w:space="0" w:color="BFBFBF" w:themeColor="background1" w:themeShade="BF"/>
            </w:tcBorders>
            <w:noWrap/>
          </w:tcPr>
          <w:p w14:paraId="7CD847A5" w14:textId="77777777" w:rsidR="00BD4717" w:rsidRPr="0000591E" w:rsidRDefault="00BD4717" w:rsidP="00BD4717">
            <w:pPr>
              <w:jc w:val="both"/>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1041794F" w14:textId="77777777" w:rsidR="00BD4717" w:rsidRPr="0000591E" w:rsidRDefault="00BD4717" w:rsidP="00BD4717">
            <w:pPr>
              <w:ind w:left="-4"/>
              <w:jc w:val="both"/>
              <w:rPr>
                <w:rFonts w:ascii="Arial" w:hAnsi="Arial" w:cs="Arial"/>
                <w:sz w:val="20"/>
                <w:szCs w:val="20"/>
              </w:rPr>
            </w:pPr>
            <w:r w:rsidRPr="0000591E">
              <w:rPr>
                <w:rFonts w:ascii="Arial" w:hAnsi="Arial" w:cs="Arial"/>
                <w:sz w:val="20"/>
                <w:szCs w:val="20"/>
              </w:rPr>
              <w:t xml:space="preserve">Hradenú liečbu môže indikovať pneumológ u pacientov s chronickou obštrukčnou chorobou pľúc v štádiu C alebo D podľa odborného usmernenia GOLD 2011. </w:t>
            </w:r>
          </w:p>
          <w:p w14:paraId="3AD7829F" w14:textId="77777777" w:rsidR="00BD4717" w:rsidRPr="0000591E" w:rsidRDefault="00BD4717" w:rsidP="00BD4717">
            <w:pPr>
              <w:ind w:left="-4"/>
              <w:jc w:val="both"/>
              <w:rPr>
                <w:rFonts w:ascii="Arial" w:hAnsi="Arial" w:cs="Arial"/>
                <w:sz w:val="20"/>
                <w:szCs w:val="20"/>
              </w:rPr>
            </w:pPr>
            <w:r w:rsidRPr="0000591E">
              <w:rPr>
                <w:rFonts w:ascii="Arial" w:hAnsi="Arial" w:cs="Arial"/>
                <w:sz w:val="20"/>
                <w:szCs w:val="20"/>
              </w:rPr>
              <w:t>Podmienkou hradenej liečby u novodiagnostikovaných pacientov je vykonanie bronchodilatačného testu.</w:t>
            </w:r>
            <w:r>
              <w:rPr>
                <w:rFonts w:ascii="Arial" w:hAnsi="Arial" w:cs="Arial"/>
                <w:sz w:val="20"/>
                <w:szCs w:val="20"/>
              </w:rPr>
              <w:t xml:space="preserve"> </w:t>
            </w:r>
          </w:p>
          <w:p w14:paraId="78BAED11" w14:textId="77777777" w:rsidR="00BD4717" w:rsidRPr="0000591E" w:rsidRDefault="00BD4717" w:rsidP="00BD4717">
            <w:pPr>
              <w:jc w:val="both"/>
              <w:rPr>
                <w:rFonts w:ascii="Arial" w:hAnsi="Arial" w:cs="Arial"/>
                <w:sz w:val="20"/>
                <w:szCs w:val="20"/>
              </w:rPr>
            </w:pPr>
          </w:p>
        </w:tc>
      </w:tr>
      <w:tr w:rsidR="00BD4717" w:rsidRPr="0000591E" w14:paraId="7CCE68ED" w14:textId="77777777" w:rsidTr="00B3427F">
        <w:trPr>
          <w:trHeight w:val="20"/>
        </w:trPr>
        <w:tc>
          <w:tcPr>
            <w:tcW w:w="1277" w:type="dxa"/>
            <w:tcBorders>
              <w:bottom w:val="single" w:sz="4" w:space="0" w:color="auto"/>
            </w:tcBorders>
            <w:noWrap/>
          </w:tcPr>
          <w:p w14:paraId="667E2D40" w14:textId="77777777" w:rsidR="00BD4717" w:rsidRPr="0000591E" w:rsidRDefault="00BD4717" w:rsidP="00BD4717">
            <w:pPr>
              <w:rPr>
                <w:rFonts w:ascii="Arial" w:hAnsi="Arial" w:cs="Arial"/>
                <w:b/>
                <w:bCs/>
                <w:sz w:val="20"/>
                <w:szCs w:val="20"/>
              </w:rPr>
            </w:pPr>
            <w:r w:rsidRPr="009D117F">
              <w:rPr>
                <w:rFonts w:ascii="Arial" w:hAnsi="Arial" w:cs="Arial"/>
                <w:b/>
                <w:bCs/>
                <w:sz w:val="20"/>
                <w:szCs w:val="20"/>
              </w:rPr>
              <w:t>R03DX09</w:t>
            </w:r>
          </w:p>
        </w:tc>
        <w:tc>
          <w:tcPr>
            <w:tcW w:w="9355" w:type="dxa"/>
            <w:tcBorders>
              <w:bottom w:val="single" w:sz="4" w:space="0" w:color="auto"/>
            </w:tcBorders>
            <w:noWrap/>
          </w:tcPr>
          <w:p w14:paraId="119ADAF3" w14:textId="77777777" w:rsidR="00BD4717" w:rsidRPr="0000591E" w:rsidRDefault="00BD4717" w:rsidP="00BD4717">
            <w:pPr>
              <w:jc w:val="both"/>
              <w:rPr>
                <w:rFonts w:ascii="Arial" w:hAnsi="Arial" w:cs="Arial"/>
                <w:b/>
                <w:bCs/>
                <w:sz w:val="20"/>
                <w:szCs w:val="20"/>
              </w:rPr>
            </w:pPr>
            <w:r>
              <w:rPr>
                <w:rFonts w:ascii="Arial" w:hAnsi="Arial" w:cs="Arial"/>
                <w:b/>
                <w:bCs/>
                <w:sz w:val="20"/>
                <w:szCs w:val="20"/>
              </w:rPr>
              <w:t>Mepolizumab s.c. 100 mg</w:t>
            </w:r>
          </w:p>
        </w:tc>
      </w:tr>
      <w:tr w:rsidR="00BD4717" w:rsidRPr="0000591E" w14:paraId="4736855D" w14:textId="77777777" w:rsidTr="00B3427F">
        <w:trPr>
          <w:trHeight w:val="20"/>
        </w:trPr>
        <w:tc>
          <w:tcPr>
            <w:tcW w:w="1277" w:type="dxa"/>
            <w:tcBorders>
              <w:top w:val="single" w:sz="4" w:space="0" w:color="auto"/>
              <w:bottom w:val="single" w:sz="4" w:space="0" w:color="BFBFBF" w:themeColor="background1" w:themeShade="BF"/>
            </w:tcBorders>
            <w:noWrap/>
          </w:tcPr>
          <w:p w14:paraId="159C4556" w14:textId="77777777" w:rsidR="00BD4717" w:rsidRPr="0000591E" w:rsidRDefault="00BD4717" w:rsidP="00BD4717">
            <w:pPr>
              <w:jc w:val="both"/>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416C88DB" w14:textId="049547DD" w:rsidR="00BD4717" w:rsidRPr="00374914" w:rsidRDefault="00BD4717" w:rsidP="00BD4717">
            <w:pPr>
              <w:ind w:left="-4"/>
              <w:jc w:val="both"/>
              <w:rPr>
                <w:rFonts w:ascii="Arial" w:hAnsi="Arial" w:cs="Arial"/>
                <w:sz w:val="20"/>
                <w:szCs w:val="20"/>
              </w:rPr>
            </w:pPr>
            <w:r w:rsidRPr="00374914">
              <w:rPr>
                <w:rFonts w:ascii="Arial" w:hAnsi="Arial" w:cs="Arial"/>
                <w:sz w:val="20"/>
                <w:szCs w:val="20"/>
              </w:rPr>
              <w:t>Hradená liečba sa môže indikovať u dospelých s ťažkou refraktérnou eozinofilnou astmou</w:t>
            </w:r>
            <w:r>
              <w:rPr>
                <w:rFonts w:ascii="Arial" w:hAnsi="Arial" w:cs="Arial"/>
                <w:sz w:val="20"/>
                <w:szCs w:val="20"/>
              </w:rPr>
              <w:t xml:space="preserve"> </w:t>
            </w:r>
            <w:r w:rsidRPr="00374914">
              <w:rPr>
                <w:rFonts w:ascii="Arial" w:hAnsi="Arial" w:cs="Arial"/>
                <w:sz w:val="20"/>
                <w:szCs w:val="20"/>
              </w:rPr>
              <w:t>podľa klasifikácie na základe Global Strategy for Asthma Management and Prevention</w:t>
            </w:r>
            <w:r>
              <w:rPr>
                <w:rFonts w:ascii="Arial" w:hAnsi="Arial" w:cs="Arial"/>
                <w:sz w:val="20"/>
                <w:szCs w:val="20"/>
              </w:rPr>
              <w:t xml:space="preserve"> </w:t>
            </w:r>
            <w:r w:rsidRPr="00374914">
              <w:rPr>
                <w:rFonts w:ascii="Arial" w:hAnsi="Arial" w:cs="Arial"/>
                <w:sz w:val="20"/>
                <w:szCs w:val="20"/>
              </w:rPr>
              <w:t>(GINA), ktorí majú zníženú funkciu pľúc (FEV1 menej ako 80% referenčnej hodnoty), počet</w:t>
            </w:r>
            <w:r>
              <w:rPr>
                <w:rFonts w:ascii="Arial" w:hAnsi="Arial" w:cs="Arial"/>
                <w:sz w:val="20"/>
                <w:szCs w:val="20"/>
              </w:rPr>
              <w:t xml:space="preserve"> </w:t>
            </w:r>
            <w:r w:rsidRPr="00374914">
              <w:rPr>
                <w:rFonts w:ascii="Arial" w:hAnsi="Arial" w:cs="Arial"/>
                <w:sz w:val="20"/>
                <w:szCs w:val="20"/>
              </w:rPr>
              <w:t>eozinofilov v periférnej krvi vyšší alebo rovný 0,3.109 /L hodnotený 3 rôznymi meraniami,</w:t>
            </w:r>
            <w:r>
              <w:rPr>
                <w:rFonts w:ascii="Arial" w:hAnsi="Arial" w:cs="Arial"/>
                <w:sz w:val="20"/>
                <w:szCs w:val="20"/>
              </w:rPr>
              <w:t xml:space="preserve"> </w:t>
            </w:r>
            <w:r w:rsidRPr="00374914">
              <w:rPr>
                <w:rFonts w:ascii="Arial" w:hAnsi="Arial" w:cs="Arial"/>
                <w:sz w:val="20"/>
                <w:szCs w:val="20"/>
              </w:rPr>
              <w:t>pričom minimálne 1 meranie bolo vykonané v priebehu predchádzajúcich 12 mesiacov, a</w:t>
            </w:r>
            <w:r>
              <w:rPr>
                <w:rFonts w:ascii="Arial" w:hAnsi="Arial" w:cs="Arial"/>
                <w:sz w:val="20"/>
                <w:szCs w:val="20"/>
              </w:rPr>
              <w:t> </w:t>
            </w:r>
            <w:r w:rsidRPr="00374914">
              <w:rPr>
                <w:rFonts w:ascii="Arial" w:hAnsi="Arial" w:cs="Arial"/>
                <w:sz w:val="20"/>
                <w:szCs w:val="20"/>
              </w:rPr>
              <w:t>s</w:t>
            </w:r>
            <w:r>
              <w:rPr>
                <w:rFonts w:ascii="Arial" w:hAnsi="Arial" w:cs="Arial"/>
                <w:sz w:val="20"/>
                <w:szCs w:val="20"/>
              </w:rPr>
              <w:t xml:space="preserve"> </w:t>
            </w:r>
            <w:r w:rsidRPr="00374914">
              <w:rPr>
                <w:rFonts w:ascii="Arial" w:hAnsi="Arial" w:cs="Arial"/>
                <w:sz w:val="20"/>
                <w:szCs w:val="20"/>
              </w:rPr>
              <w:t>výskytom 2 alebo viacerých klinicky závažných exacerbácií astmy (definovaných ako</w:t>
            </w:r>
            <w:r>
              <w:rPr>
                <w:rFonts w:ascii="Arial" w:hAnsi="Arial" w:cs="Arial"/>
                <w:sz w:val="20"/>
                <w:szCs w:val="20"/>
              </w:rPr>
              <w:t xml:space="preserve"> </w:t>
            </w:r>
            <w:r w:rsidRPr="00374914">
              <w:rPr>
                <w:rFonts w:ascii="Arial" w:hAnsi="Arial" w:cs="Arial"/>
                <w:sz w:val="20"/>
                <w:szCs w:val="20"/>
              </w:rPr>
              <w:t>zhoršenie astmy vyžadujúce užívanie perorálnych/systémových kortikosteroidov a/alebo</w:t>
            </w:r>
            <w:r>
              <w:rPr>
                <w:rFonts w:ascii="Arial" w:hAnsi="Arial" w:cs="Arial"/>
                <w:sz w:val="20"/>
                <w:szCs w:val="20"/>
              </w:rPr>
              <w:t xml:space="preserve"> </w:t>
            </w:r>
            <w:r w:rsidRPr="00374914">
              <w:rPr>
                <w:rFonts w:ascii="Arial" w:hAnsi="Arial" w:cs="Arial"/>
                <w:sz w:val="20"/>
                <w:szCs w:val="20"/>
              </w:rPr>
              <w:t>hospitalizáciu a/alebo návštevy pohotovosti) v priebehu predchádzajúcich 12 mesiacov</w:t>
            </w:r>
            <w:r>
              <w:rPr>
                <w:rFonts w:ascii="Arial" w:hAnsi="Arial" w:cs="Arial"/>
                <w:sz w:val="20"/>
                <w:szCs w:val="20"/>
              </w:rPr>
              <w:t xml:space="preserve"> </w:t>
            </w:r>
            <w:r w:rsidRPr="00374914">
              <w:rPr>
                <w:rFonts w:ascii="Arial" w:hAnsi="Arial" w:cs="Arial"/>
                <w:sz w:val="20"/>
                <w:szCs w:val="20"/>
              </w:rPr>
              <w:t>napriek každodenným vysokým dávkam inhalačných glukokortikosteroidov a</w:t>
            </w:r>
            <w:r>
              <w:rPr>
                <w:rFonts w:ascii="Arial" w:hAnsi="Arial" w:cs="Arial"/>
                <w:sz w:val="20"/>
                <w:szCs w:val="20"/>
              </w:rPr>
              <w:t> </w:t>
            </w:r>
            <w:r w:rsidRPr="00374914">
              <w:rPr>
                <w:rFonts w:ascii="Arial" w:hAnsi="Arial" w:cs="Arial"/>
                <w:sz w:val="20"/>
                <w:szCs w:val="20"/>
              </w:rPr>
              <w:t>dlhodobo</w:t>
            </w:r>
            <w:r>
              <w:rPr>
                <w:rFonts w:ascii="Arial" w:hAnsi="Arial" w:cs="Arial"/>
                <w:sz w:val="20"/>
                <w:szCs w:val="20"/>
              </w:rPr>
              <w:t xml:space="preserve"> </w:t>
            </w:r>
            <w:r w:rsidRPr="00374914">
              <w:rPr>
                <w:rFonts w:ascii="Arial" w:hAnsi="Arial" w:cs="Arial"/>
                <w:sz w:val="20"/>
                <w:szCs w:val="20"/>
              </w:rPr>
              <w:t>účinkujúcich inhalačných beta2-agonistov.</w:t>
            </w:r>
          </w:p>
          <w:p w14:paraId="3A5D6E96" w14:textId="36887F82" w:rsidR="00BD4717" w:rsidRDefault="00BD4717" w:rsidP="00BD4717">
            <w:pPr>
              <w:ind w:left="-4"/>
              <w:jc w:val="both"/>
              <w:rPr>
                <w:rFonts w:ascii="Arial" w:hAnsi="Arial" w:cs="Arial"/>
                <w:sz w:val="20"/>
                <w:szCs w:val="20"/>
              </w:rPr>
            </w:pPr>
            <w:r w:rsidRPr="00374914">
              <w:rPr>
                <w:rFonts w:ascii="Arial" w:hAnsi="Arial" w:cs="Arial"/>
                <w:sz w:val="20"/>
                <w:szCs w:val="20"/>
              </w:rPr>
              <w:t>Ak nedôjde po prvých 12 mesiacoch liečby k zníženiu ročnej frekvencie exacerbácií astmy</w:t>
            </w:r>
            <w:r>
              <w:rPr>
                <w:rFonts w:ascii="Arial" w:hAnsi="Arial" w:cs="Arial"/>
                <w:sz w:val="20"/>
                <w:szCs w:val="20"/>
              </w:rPr>
              <w:t xml:space="preserve"> </w:t>
            </w:r>
            <w:r w:rsidRPr="00374914">
              <w:rPr>
                <w:rFonts w:ascii="Arial" w:hAnsi="Arial" w:cs="Arial"/>
                <w:sz w:val="20"/>
                <w:szCs w:val="20"/>
              </w:rPr>
              <w:t>aspoň o 50%, ďalšia liečba nie je hradenou liečbou.</w:t>
            </w:r>
          </w:p>
          <w:p w14:paraId="2D9076DE" w14:textId="77777777" w:rsidR="00BD4717" w:rsidRPr="00374914" w:rsidRDefault="00BD4717" w:rsidP="00BD4717">
            <w:pPr>
              <w:ind w:left="-4"/>
              <w:jc w:val="both"/>
              <w:rPr>
                <w:rFonts w:ascii="Arial" w:hAnsi="Arial" w:cs="Arial"/>
                <w:sz w:val="20"/>
                <w:szCs w:val="20"/>
              </w:rPr>
            </w:pPr>
          </w:p>
          <w:p w14:paraId="2D684DEE" w14:textId="77777777" w:rsidR="00BD4717" w:rsidRDefault="00BD4717" w:rsidP="00BD4717">
            <w:pPr>
              <w:ind w:left="-4"/>
              <w:jc w:val="both"/>
              <w:rPr>
                <w:rFonts w:ascii="Arial" w:hAnsi="Arial" w:cs="Arial"/>
                <w:sz w:val="20"/>
                <w:szCs w:val="20"/>
              </w:rPr>
            </w:pPr>
            <w:r w:rsidRPr="00374914">
              <w:rPr>
                <w:rFonts w:ascii="Arial" w:hAnsi="Arial" w:cs="Arial"/>
                <w:sz w:val="20"/>
                <w:szCs w:val="20"/>
              </w:rPr>
              <w:t>Hradená liečba podlieha predchádzajúcemu súhlasu zdravotnej poisťovne.</w:t>
            </w:r>
          </w:p>
          <w:p w14:paraId="15826A59" w14:textId="77777777" w:rsidR="00BD4717" w:rsidRPr="0000591E" w:rsidRDefault="00BD4717" w:rsidP="00BD4717">
            <w:pPr>
              <w:ind w:left="-4"/>
              <w:jc w:val="both"/>
              <w:rPr>
                <w:rFonts w:ascii="Arial" w:hAnsi="Arial" w:cs="Arial"/>
                <w:sz w:val="20"/>
                <w:szCs w:val="20"/>
              </w:rPr>
            </w:pPr>
          </w:p>
        </w:tc>
      </w:tr>
      <w:tr w:rsidR="00BD4717" w:rsidRPr="0000591E" w14:paraId="2B71BD35" w14:textId="77777777" w:rsidTr="00B3427F">
        <w:trPr>
          <w:trHeight w:val="20"/>
        </w:trPr>
        <w:tc>
          <w:tcPr>
            <w:tcW w:w="1277" w:type="dxa"/>
            <w:tcBorders>
              <w:bottom w:val="single" w:sz="4" w:space="0" w:color="auto"/>
            </w:tcBorders>
            <w:noWrap/>
          </w:tcPr>
          <w:p w14:paraId="11A720FF" w14:textId="77777777" w:rsidR="00BD4717" w:rsidRPr="0000591E" w:rsidRDefault="00BD4717" w:rsidP="00BD4717">
            <w:pPr>
              <w:jc w:val="both"/>
              <w:rPr>
                <w:rFonts w:ascii="Arial" w:hAnsi="Arial" w:cs="Arial"/>
                <w:b/>
                <w:bCs/>
                <w:sz w:val="20"/>
                <w:szCs w:val="20"/>
              </w:rPr>
            </w:pPr>
            <w:r w:rsidRPr="00404ADA">
              <w:rPr>
                <w:rFonts w:ascii="Arial" w:hAnsi="Arial" w:cs="Arial"/>
                <w:b/>
                <w:bCs/>
                <w:sz w:val="20"/>
                <w:szCs w:val="20"/>
              </w:rPr>
              <w:t>R03DX10</w:t>
            </w:r>
          </w:p>
        </w:tc>
        <w:tc>
          <w:tcPr>
            <w:tcW w:w="9355" w:type="dxa"/>
            <w:tcBorders>
              <w:bottom w:val="single" w:sz="4" w:space="0" w:color="auto"/>
            </w:tcBorders>
            <w:noWrap/>
          </w:tcPr>
          <w:p w14:paraId="53A992CE" w14:textId="77777777" w:rsidR="00BD4717" w:rsidRPr="0000591E" w:rsidRDefault="00BD4717" w:rsidP="00BD4717">
            <w:pPr>
              <w:jc w:val="both"/>
              <w:rPr>
                <w:rFonts w:ascii="Arial" w:hAnsi="Arial" w:cs="Arial"/>
                <w:b/>
                <w:bCs/>
                <w:sz w:val="20"/>
                <w:szCs w:val="20"/>
              </w:rPr>
            </w:pPr>
            <w:r w:rsidRPr="00404ADA">
              <w:rPr>
                <w:rFonts w:ascii="Arial" w:hAnsi="Arial" w:cs="Arial"/>
                <w:b/>
                <w:bCs/>
                <w:sz w:val="20"/>
                <w:szCs w:val="20"/>
              </w:rPr>
              <w:t>Benralizumab</w:t>
            </w:r>
            <w:r>
              <w:rPr>
                <w:rFonts w:ascii="Arial" w:hAnsi="Arial" w:cs="Arial"/>
                <w:b/>
                <w:bCs/>
                <w:sz w:val="20"/>
                <w:szCs w:val="20"/>
              </w:rPr>
              <w:t xml:space="preserve"> </w:t>
            </w:r>
            <w:r w:rsidRPr="00404ADA">
              <w:rPr>
                <w:rFonts w:ascii="Arial" w:hAnsi="Arial" w:cs="Arial"/>
                <w:b/>
                <w:bCs/>
                <w:sz w:val="20"/>
                <w:szCs w:val="20"/>
              </w:rPr>
              <w:t>s.c. 30 mg</w:t>
            </w:r>
          </w:p>
        </w:tc>
      </w:tr>
      <w:tr w:rsidR="00BD4717" w:rsidRPr="0000591E" w14:paraId="21D99D0A" w14:textId="77777777" w:rsidTr="00B3427F">
        <w:trPr>
          <w:trHeight w:val="20"/>
        </w:trPr>
        <w:tc>
          <w:tcPr>
            <w:tcW w:w="1277" w:type="dxa"/>
            <w:tcBorders>
              <w:top w:val="single" w:sz="4" w:space="0" w:color="auto"/>
              <w:bottom w:val="single" w:sz="4" w:space="0" w:color="BFBFBF" w:themeColor="background1" w:themeShade="BF"/>
            </w:tcBorders>
            <w:noWrap/>
          </w:tcPr>
          <w:p w14:paraId="457461F6"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CDEEDB1" w14:textId="77777777" w:rsidR="00BD4717" w:rsidRDefault="00BD4717" w:rsidP="00BD4717">
            <w:pPr>
              <w:jc w:val="both"/>
              <w:rPr>
                <w:rFonts w:ascii="Arial" w:hAnsi="Arial" w:cs="Arial"/>
                <w:bCs/>
                <w:sz w:val="20"/>
                <w:szCs w:val="20"/>
              </w:rPr>
            </w:pPr>
            <w:r w:rsidRPr="00404ADA">
              <w:rPr>
                <w:rFonts w:ascii="Arial" w:hAnsi="Arial" w:cs="Arial"/>
                <w:bCs/>
                <w:sz w:val="20"/>
                <w:szCs w:val="20"/>
              </w:rPr>
              <w:t>Hradená liečba sa môže indikovať ako</w:t>
            </w:r>
            <w:r>
              <w:rPr>
                <w:rFonts w:ascii="Arial" w:hAnsi="Arial" w:cs="Arial"/>
                <w:bCs/>
                <w:sz w:val="20"/>
                <w:szCs w:val="20"/>
              </w:rPr>
              <w:t>:</w:t>
            </w:r>
          </w:p>
          <w:p w14:paraId="75013FE9" w14:textId="77777777" w:rsidR="00BD4717" w:rsidRDefault="00BD4717" w:rsidP="00BD4717">
            <w:pPr>
              <w:jc w:val="both"/>
              <w:rPr>
                <w:rFonts w:ascii="Arial" w:hAnsi="Arial" w:cs="Arial"/>
                <w:bCs/>
                <w:sz w:val="20"/>
                <w:szCs w:val="20"/>
              </w:rPr>
            </w:pPr>
          </w:p>
          <w:p w14:paraId="2F51522E" w14:textId="68ADF79D" w:rsidR="00BD4717" w:rsidRPr="00404ADA" w:rsidRDefault="00BD4717" w:rsidP="00BD4717">
            <w:pPr>
              <w:jc w:val="both"/>
              <w:rPr>
                <w:rFonts w:ascii="Arial" w:hAnsi="Arial" w:cs="Arial"/>
                <w:bCs/>
                <w:sz w:val="20"/>
                <w:szCs w:val="20"/>
              </w:rPr>
            </w:pPr>
            <w:r>
              <w:rPr>
                <w:rFonts w:ascii="Arial" w:hAnsi="Arial" w:cs="Arial"/>
                <w:bCs/>
                <w:sz w:val="20"/>
                <w:szCs w:val="20"/>
              </w:rPr>
              <w:t>a)</w:t>
            </w:r>
            <w:r w:rsidRPr="00404ADA">
              <w:rPr>
                <w:rFonts w:ascii="Arial" w:hAnsi="Arial" w:cs="Arial"/>
                <w:bCs/>
                <w:sz w:val="20"/>
                <w:szCs w:val="20"/>
              </w:rPr>
              <w:t xml:space="preserve"> prídavná udržiavacia liečba u dospelých pacientov s ťažkou refraktérnou</w:t>
            </w:r>
            <w:r>
              <w:rPr>
                <w:rFonts w:ascii="Arial" w:hAnsi="Arial" w:cs="Arial"/>
                <w:bCs/>
                <w:sz w:val="20"/>
                <w:szCs w:val="20"/>
              </w:rPr>
              <w:t xml:space="preserve"> </w:t>
            </w:r>
            <w:r w:rsidRPr="00404ADA">
              <w:rPr>
                <w:rFonts w:ascii="Arial" w:hAnsi="Arial" w:cs="Arial"/>
                <w:bCs/>
                <w:sz w:val="20"/>
                <w:szCs w:val="20"/>
              </w:rPr>
              <w:t>eozinofilnou astmou podľa klasifikácie na základe Global Strategy for Asthma Management and Prevention (GINA),</w:t>
            </w:r>
            <w:r>
              <w:rPr>
                <w:rFonts w:ascii="Arial" w:hAnsi="Arial" w:cs="Arial"/>
                <w:bCs/>
                <w:sz w:val="20"/>
                <w:szCs w:val="20"/>
              </w:rPr>
              <w:t xml:space="preserve"> </w:t>
            </w:r>
            <w:r w:rsidRPr="00404ADA">
              <w:rPr>
                <w:rFonts w:ascii="Arial" w:hAnsi="Arial" w:cs="Arial"/>
                <w:bCs/>
                <w:sz w:val="20"/>
                <w:szCs w:val="20"/>
              </w:rPr>
              <w:t>nedostatočne kontrolovanou napriek liečbe vysokými dávkami inhalačných kortikosteroidov a dlhodobo pôsobiacimi</w:t>
            </w:r>
            <w:r>
              <w:rPr>
                <w:rFonts w:ascii="Arial" w:hAnsi="Arial" w:cs="Arial"/>
                <w:bCs/>
                <w:sz w:val="20"/>
                <w:szCs w:val="20"/>
              </w:rPr>
              <w:t xml:space="preserve"> </w:t>
            </w:r>
            <w:r w:rsidRPr="00404ADA">
              <w:rPr>
                <w:rFonts w:ascii="Arial" w:hAnsi="Arial" w:cs="Arial"/>
                <w:bCs/>
                <w:sz w:val="20"/>
                <w:szCs w:val="20"/>
              </w:rPr>
              <w:t>β-agonistami, ktorí majú počet eozinofilov v periférnej krvi vyšší alebo rovný 0,15.109 /L hodnotený minimálne jedným</w:t>
            </w:r>
            <w:r>
              <w:rPr>
                <w:rFonts w:ascii="Arial" w:hAnsi="Arial" w:cs="Arial"/>
                <w:bCs/>
                <w:sz w:val="20"/>
                <w:szCs w:val="20"/>
              </w:rPr>
              <w:t xml:space="preserve"> </w:t>
            </w:r>
            <w:r w:rsidRPr="00404ADA">
              <w:rPr>
                <w:rFonts w:ascii="Arial" w:hAnsi="Arial" w:cs="Arial"/>
                <w:bCs/>
                <w:sz w:val="20"/>
                <w:szCs w:val="20"/>
              </w:rPr>
              <w:t>meraním v priebehu predchádzajúcich 12 mesiacov pri súčasnom užívaní perorálnych kortikosteroidov a počas 12</w:t>
            </w:r>
            <w:r>
              <w:rPr>
                <w:rFonts w:ascii="Arial" w:hAnsi="Arial" w:cs="Arial"/>
                <w:bCs/>
                <w:sz w:val="20"/>
                <w:szCs w:val="20"/>
              </w:rPr>
              <w:t xml:space="preserve"> </w:t>
            </w:r>
            <w:r w:rsidRPr="00404ADA">
              <w:rPr>
                <w:rFonts w:ascii="Arial" w:hAnsi="Arial" w:cs="Arial"/>
                <w:bCs/>
                <w:sz w:val="20"/>
                <w:szCs w:val="20"/>
              </w:rPr>
              <w:t>mesiacov predchádzajúcich systémovej liečbe perorálnymi kortikosteroidmi mali počet eozinofilov v periférnej krvi</w:t>
            </w:r>
            <w:r>
              <w:rPr>
                <w:rFonts w:ascii="Arial" w:hAnsi="Arial" w:cs="Arial"/>
                <w:bCs/>
                <w:sz w:val="20"/>
                <w:szCs w:val="20"/>
              </w:rPr>
              <w:t xml:space="preserve"> </w:t>
            </w:r>
            <w:r w:rsidRPr="00404ADA">
              <w:rPr>
                <w:rFonts w:ascii="Arial" w:hAnsi="Arial" w:cs="Arial"/>
                <w:bCs/>
                <w:sz w:val="20"/>
                <w:szCs w:val="20"/>
              </w:rPr>
              <w:t>vyšší alebo rovný 0,3x109 /L hodnotený minimálne 1 meraním, a ktorí užívajú systémovú liečbu perorálnymi</w:t>
            </w:r>
            <w:r>
              <w:rPr>
                <w:rFonts w:ascii="Arial" w:hAnsi="Arial" w:cs="Arial"/>
                <w:bCs/>
                <w:sz w:val="20"/>
                <w:szCs w:val="20"/>
              </w:rPr>
              <w:t xml:space="preserve"> </w:t>
            </w:r>
            <w:r w:rsidRPr="00404ADA">
              <w:rPr>
                <w:rFonts w:ascii="Arial" w:hAnsi="Arial" w:cs="Arial"/>
                <w:bCs/>
                <w:sz w:val="20"/>
                <w:szCs w:val="20"/>
              </w:rPr>
              <w:t>kortikosteroidmi v dávke ≥ 5 mg/deň (alebo ekvivalentu) po viac ako 50% času za posledných 12 mesiacov.</w:t>
            </w:r>
          </w:p>
          <w:p w14:paraId="5DCA6EFF" w14:textId="77777777" w:rsidR="00BD4717" w:rsidRDefault="00BD4717" w:rsidP="00BD4717">
            <w:pPr>
              <w:jc w:val="both"/>
              <w:rPr>
                <w:rFonts w:ascii="Arial" w:hAnsi="Arial" w:cs="Arial"/>
                <w:bCs/>
                <w:sz w:val="20"/>
                <w:szCs w:val="20"/>
              </w:rPr>
            </w:pPr>
            <w:r w:rsidRPr="00404ADA">
              <w:rPr>
                <w:rFonts w:ascii="Arial" w:hAnsi="Arial" w:cs="Arial"/>
                <w:bCs/>
                <w:sz w:val="20"/>
                <w:szCs w:val="20"/>
              </w:rPr>
              <w:t>Ak nedôjde po prvých 4 mesiacoch liečby k zníženiu dávky užívaných systémových kortikosteroidov ďalšia liečba nie</w:t>
            </w:r>
            <w:r>
              <w:rPr>
                <w:rFonts w:ascii="Arial" w:hAnsi="Arial" w:cs="Arial"/>
                <w:bCs/>
                <w:sz w:val="20"/>
                <w:szCs w:val="20"/>
              </w:rPr>
              <w:t xml:space="preserve"> </w:t>
            </w:r>
            <w:r w:rsidRPr="00404ADA">
              <w:rPr>
                <w:rFonts w:ascii="Arial" w:hAnsi="Arial" w:cs="Arial"/>
                <w:bCs/>
                <w:sz w:val="20"/>
                <w:szCs w:val="20"/>
              </w:rPr>
              <w:t>je hradenou liečbou.</w:t>
            </w:r>
          </w:p>
          <w:p w14:paraId="3A1126FF" w14:textId="77777777" w:rsidR="00BD4717" w:rsidRDefault="00BD4717" w:rsidP="00BD4717">
            <w:pPr>
              <w:jc w:val="both"/>
              <w:rPr>
                <w:rFonts w:ascii="Arial" w:hAnsi="Arial" w:cs="Arial"/>
                <w:bCs/>
                <w:sz w:val="20"/>
                <w:szCs w:val="20"/>
              </w:rPr>
            </w:pPr>
          </w:p>
          <w:p w14:paraId="3F11CFDD" w14:textId="77777777" w:rsidR="00BD4717" w:rsidRDefault="00BD4717" w:rsidP="00BD4717">
            <w:pPr>
              <w:jc w:val="both"/>
              <w:rPr>
                <w:rFonts w:ascii="Arial" w:hAnsi="Arial" w:cs="Arial"/>
                <w:bCs/>
                <w:sz w:val="20"/>
                <w:szCs w:val="20"/>
              </w:rPr>
            </w:pPr>
            <w:r w:rsidRPr="006E2B0F">
              <w:rPr>
                <w:rFonts w:ascii="Arial" w:hAnsi="Arial" w:cs="Arial"/>
                <w:bCs/>
                <w:sz w:val="20"/>
                <w:szCs w:val="20"/>
              </w:rPr>
              <w:t>b) prídavná udržiavacia liečba u dospelých pacientov s ťažkou refraktérnou eozinofilnou astmou podľa</w:t>
            </w:r>
            <w:r>
              <w:rPr>
                <w:rFonts w:ascii="Arial" w:hAnsi="Arial" w:cs="Arial"/>
                <w:bCs/>
                <w:sz w:val="20"/>
                <w:szCs w:val="20"/>
              </w:rPr>
              <w:t xml:space="preserve"> </w:t>
            </w:r>
            <w:r w:rsidRPr="006E2B0F">
              <w:rPr>
                <w:rFonts w:ascii="Arial" w:hAnsi="Arial" w:cs="Arial"/>
                <w:bCs/>
                <w:sz w:val="20"/>
                <w:szCs w:val="20"/>
              </w:rPr>
              <w:t>klasifikácie na základe Global Strategy for Asthma Management and Prevention (GINA), nedostatočne kontrolovanou napriek inej užívanej biologickej liečbe,</w:t>
            </w:r>
            <w:r>
              <w:rPr>
                <w:rFonts w:ascii="Arial" w:hAnsi="Arial" w:cs="Arial"/>
                <w:bCs/>
                <w:sz w:val="20"/>
                <w:szCs w:val="20"/>
              </w:rPr>
              <w:t xml:space="preserve"> </w:t>
            </w:r>
          </w:p>
          <w:p w14:paraId="29603936"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1) ktorí užívajú systémovú liečbu perorálnymi kortikoidmi v dávke ≥ 5 mg/deň (alebo ekvivalentu) po viac ako 50% času za posledných 12 mesiacov alebo </w:t>
            </w:r>
          </w:p>
          <w:p w14:paraId="6B7FA3FB"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2) mali minimálne 2 klinicky závažné exacerbácie astmy (definovaných ako zhoršenie astmy vyžadujúce užívanie perorálnych/systémových kortikosteroidov) za posledných 12 mesiacov. </w:t>
            </w:r>
          </w:p>
          <w:p w14:paraId="1AC2CC72" w14:textId="77777777" w:rsidR="00BD4717" w:rsidRPr="006E2B0F" w:rsidRDefault="00BD4717" w:rsidP="00BD4717">
            <w:pPr>
              <w:jc w:val="both"/>
              <w:rPr>
                <w:rFonts w:ascii="Arial" w:hAnsi="Arial" w:cs="Arial"/>
                <w:bCs/>
                <w:sz w:val="20"/>
                <w:szCs w:val="20"/>
              </w:rPr>
            </w:pPr>
          </w:p>
          <w:p w14:paraId="3E29F96C"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Ak nedôjde po prvých 4 mesiacoch liečby k zníženiu dávky užívaných systémových kortikosteroidov (1) </w:t>
            </w:r>
          </w:p>
          <w:p w14:paraId="6B526D10"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alebo po prvých 12 mesiacoch liečby k zníženiu ročnej frekvencie exacerbácií astmy aspoň o 50% (2), </w:t>
            </w:r>
          </w:p>
          <w:p w14:paraId="542EEDEE" w14:textId="77777777" w:rsidR="00BD4717" w:rsidRDefault="00BD4717" w:rsidP="00BD4717">
            <w:pPr>
              <w:jc w:val="both"/>
              <w:rPr>
                <w:rFonts w:ascii="Arial" w:hAnsi="Arial" w:cs="Arial"/>
                <w:bCs/>
                <w:sz w:val="20"/>
                <w:szCs w:val="20"/>
              </w:rPr>
            </w:pPr>
            <w:r w:rsidRPr="006E2B0F">
              <w:rPr>
                <w:rFonts w:ascii="Arial" w:hAnsi="Arial" w:cs="Arial"/>
                <w:bCs/>
                <w:sz w:val="20"/>
                <w:szCs w:val="20"/>
              </w:rPr>
              <w:t>ďalšia liečba nie je hradenou liečbou</w:t>
            </w:r>
            <w:r>
              <w:rPr>
                <w:rFonts w:ascii="Arial" w:hAnsi="Arial" w:cs="Arial"/>
                <w:bCs/>
                <w:sz w:val="20"/>
                <w:szCs w:val="20"/>
              </w:rPr>
              <w:t>.</w:t>
            </w:r>
          </w:p>
          <w:p w14:paraId="276AABB0" w14:textId="77777777" w:rsidR="00BD4717" w:rsidRDefault="00BD4717" w:rsidP="00BD4717">
            <w:pPr>
              <w:jc w:val="both"/>
              <w:rPr>
                <w:rFonts w:ascii="Arial" w:hAnsi="Arial" w:cs="Arial"/>
                <w:bCs/>
                <w:sz w:val="20"/>
                <w:szCs w:val="20"/>
              </w:rPr>
            </w:pPr>
          </w:p>
          <w:p w14:paraId="42494BD0" w14:textId="77777777" w:rsidR="00BD4717" w:rsidRDefault="00BD4717" w:rsidP="00BD4717">
            <w:pPr>
              <w:jc w:val="both"/>
              <w:rPr>
                <w:rFonts w:ascii="Arial" w:hAnsi="Arial" w:cs="Arial"/>
                <w:bCs/>
                <w:sz w:val="20"/>
                <w:szCs w:val="20"/>
              </w:rPr>
            </w:pPr>
            <w:r w:rsidRPr="00404ADA">
              <w:rPr>
                <w:rFonts w:ascii="Arial" w:hAnsi="Arial" w:cs="Arial"/>
                <w:bCs/>
                <w:sz w:val="20"/>
                <w:szCs w:val="20"/>
              </w:rPr>
              <w:t>Hradená liečba podlieha predchádzajúcemu súhlasu zdravotnej poisťovne.</w:t>
            </w:r>
          </w:p>
          <w:p w14:paraId="10EE5257" w14:textId="1B24E101" w:rsidR="00BD4717" w:rsidRPr="0000591E" w:rsidRDefault="00BD4717" w:rsidP="00BD4717">
            <w:pPr>
              <w:jc w:val="both"/>
              <w:rPr>
                <w:rFonts w:ascii="Arial" w:hAnsi="Arial" w:cs="Arial"/>
                <w:b/>
                <w:bCs/>
                <w:sz w:val="20"/>
                <w:szCs w:val="20"/>
              </w:rPr>
            </w:pPr>
          </w:p>
        </w:tc>
      </w:tr>
      <w:tr w:rsidR="00BD4717" w:rsidRPr="0000591E" w14:paraId="099C126D" w14:textId="77777777" w:rsidTr="00B3427F">
        <w:trPr>
          <w:trHeight w:val="20"/>
        </w:trPr>
        <w:tc>
          <w:tcPr>
            <w:tcW w:w="1277" w:type="dxa"/>
            <w:tcBorders>
              <w:bottom w:val="single" w:sz="4" w:space="0" w:color="auto"/>
            </w:tcBorders>
            <w:noWrap/>
          </w:tcPr>
          <w:p w14:paraId="346A3C6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R05CB13</w:t>
            </w:r>
          </w:p>
        </w:tc>
        <w:tc>
          <w:tcPr>
            <w:tcW w:w="9355" w:type="dxa"/>
            <w:tcBorders>
              <w:bottom w:val="single" w:sz="4" w:space="0" w:color="auto"/>
            </w:tcBorders>
            <w:noWrap/>
          </w:tcPr>
          <w:p w14:paraId="6A9C4F53"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Alfadornáza inhal. 1 mg/ml</w:t>
            </w:r>
          </w:p>
        </w:tc>
      </w:tr>
      <w:tr w:rsidR="00BD4717" w:rsidRPr="0000591E" w14:paraId="0F4EA883" w14:textId="77777777" w:rsidTr="00B3427F">
        <w:trPr>
          <w:trHeight w:val="20"/>
        </w:trPr>
        <w:tc>
          <w:tcPr>
            <w:tcW w:w="1277" w:type="dxa"/>
            <w:tcBorders>
              <w:top w:val="single" w:sz="4" w:space="0" w:color="auto"/>
              <w:bottom w:val="single" w:sz="4" w:space="0" w:color="BFBFBF" w:themeColor="background1" w:themeShade="BF"/>
            </w:tcBorders>
            <w:noWrap/>
          </w:tcPr>
          <w:p w14:paraId="437B88F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5420308"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 pneumológ alebo alergológ z centra pre liečbu cystickej fibrózy u pacientov s cystickou fibrózou.</w:t>
            </w:r>
          </w:p>
          <w:p w14:paraId="25783324" w14:textId="07F4B125" w:rsidR="00BD4717" w:rsidRPr="0000591E" w:rsidRDefault="00BD4717" w:rsidP="00BD4717">
            <w:pPr>
              <w:jc w:val="both"/>
              <w:rPr>
                <w:rFonts w:ascii="Arial" w:hAnsi="Arial" w:cs="Arial"/>
                <w:sz w:val="20"/>
                <w:szCs w:val="20"/>
              </w:rPr>
            </w:pPr>
          </w:p>
        </w:tc>
      </w:tr>
      <w:tr w:rsidR="00BD4717" w:rsidRPr="0000591E" w14:paraId="0386B9A5" w14:textId="77777777" w:rsidTr="00B3427F">
        <w:trPr>
          <w:trHeight w:val="20"/>
        </w:trPr>
        <w:tc>
          <w:tcPr>
            <w:tcW w:w="1277" w:type="dxa"/>
            <w:tcBorders>
              <w:bottom w:val="single" w:sz="4" w:space="0" w:color="auto"/>
            </w:tcBorders>
            <w:noWrap/>
          </w:tcPr>
          <w:p w14:paraId="57A35CCD"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R06AX28</w:t>
            </w:r>
          </w:p>
        </w:tc>
        <w:tc>
          <w:tcPr>
            <w:tcW w:w="9355" w:type="dxa"/>
            <w:tcBorders>
              <w:bottom w:val="single" w:sz="4" w:space="0" w:color="auto"/>
            </w:tcBorders>
            <w:noWrap/>
          </w:tcPr>
          <w:p w14:paraId="312C174D"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Rupatadín p.o. 1 mg/ml</w:t>
            </w:r>
          </w:p>
        </w:tc>
      </w:tr>
      <w:tr w:rsidR="00BD4717" w:rsidRPr="0000591E" w14:paraId="30C1BA0D" w14:textId="77777777" w:rsidTr="00B3427F">
        <w:trPr>
          <w:trHeight w:val="20"/>
        </w:trPr>
        <w:tc>
          <w:tcPr>
            <w:tcW w:w="1277" w:type="dxa"/>
            <w:tcBorders>
              <w:top w:val="single" w:sz="4" w:space="0" w:color="auto"/>
              <w:bottom w:val="single" w:sz="4" w:space="0" w:color="BFBFBF" w:themeColor="background1" w:themeShade="BF"/>
            </w:tcBorders>
            <w:noWrap/>
          </w:tcPr>
          <w:p w14:paraId="628CAC2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9B563BB" w14:textId="77777777" w:rsidR="00BD4717" w:rsidRPr="0000591E" w:rsidRDefault="00BD4717" w:rsidP="00BD4717">
            <w:pPr>
              <w:jc w:val="both"/>
              <w:rPr>
                <w:rFonts w:ascii="Arial" w:hAnsi="Arial" w:cs="Arial"/>
                <w:sz w:val="20"/>
                <w:szCs w:val="20"/>
              </w:rPr>
            </w:pPr>
            <w:r w:rsidRPr="00F64408">
              <w:rPr>
                <w:rFonts w:ascii="Arial" w:hAnsi="Arial" w:cs="Arial"/>
                <w:sz w:val="20"/>
                <w:szCs w:val="20"/>
              </w:rPr>
              <w:t>Hradená liečba sa môže indikovať u detí vo veku 2-11 rokov na symptomatickú liečbu alergickej rinitídy (vrátane perzistujúcej alergickej rinitídy) a urtikárie u detí vo veku 2-11 rokov.</w:t>
            </w:r>
          </w:p>
          <w:p w14:paraId="4EBFD7AC" w14:textId="77777777" w:rsidR="00BD4717" w:rsidRPr="0000591E" w:rsidRDefault="00BD4717" w:rsidP="00BD4717">
            <w:pPr>
              <w:jc w:val="both"/>
              <w:rPr>
                <w:rFonts w:ascii="Arial" w:hAnsi="Arial" w:cs="Arial"/>
                <w:sz w:val="20"/>
                <w:szCs w:val="20"/>
              </w:rPr>
            </w:pPr>
          </w:p>
        </w:tc>
      </w:tr>
      <w:tr w:rsidR="00BD4717" w:rsidRPr="0000591E" w14:paraId="5A45DFD7" w14:textId="77777777" w:rsidTr="00AD41FB">
        <w:trPr>
          <w:trHeight w:val="20"/>
        </w:trPr>
        <w:tc>
          <w:tcPr>
            <w:tcW w:w="1277" w:type="dxa"/>
            <w:tcBorders>
              <w:bottom w:val="single" w:sz="4" w:space="0" w:color="auto"/>
            </w:tcBorders>
            <w:noWrap/>
          </w:tcPr>
          <w:p w14:paraId="6C68892C" w14:textId="5AFE2E06" w:rsidR="00BD4717" w:rsidRDefault="00BD4717" w:rsidP="00BD4717">
            <w:pPr>
              <w:jc w:val="both"/>
              <w:rPr>
                <w:rFonts w:ascii="Arial" w:hAnsi="Arial" w:cs="Arial"/>
                <w:b/>
                <w:bCs/>
                <w:sz w:val="20"/>
                <w:szCs w:val="20"/>
              </w:rPr>
            </w:pPr>
            <w:r>
              <w:rPr>
                <w:rFonts w:ascii="Arial" w:hAnsi="Arial" w:cs="Arial"/>
                <w:b/>
                <w:bCs/>
                <w:sz w:val="20"/>
                <w:szCs w:val="20"/>
              </w:rPr>
              <w:t>R07AX02</w:t>
            </w:r>
          </w:p>
        </w:tc>
        <w:tc>
          <w:tcPr>
            <w:tcW w:w="9355" w:type="dxa"/>
            <w:tcBorders>
              <w:bottom w:val="single" w:sz="4" w:space="0" w:color="auto"/>
            </w:tcBorders>
            <w:noWrap/>
          </w:tcPr>
          <w:p w14:paraId="016351CD" w14:textId="4CEDAD33" w:rsidR="00BD4717" w:rsidRDefault="00BD4717" w:rsidP="00BD4717">
            <w:pPr>
              <w:jc w:val="both"/>
              <w:rPr>
                <w:rFonts w:ascii="Arial" w:hAnsi="Arial" w:cs="Arial"/>
                <w:b/>
                <w:bCs/>
                <w:sz w:val="20"/>
                <w:szCs w:val="20"/>
              </w:rPr>
            </w:pPr>
            <w:r>
              <w:rPr>
                <w:rFonts w:ascii="Arial" w:hAnsi="Arial" w:cs="Arial"/>
                <w:b/>
                <w:bCs/>
                <w:sz w:val="20"/>
                <w:szCs w:val="20"/>
              </w:rPr>
              <w:t>Ivakaftor p.o. 59,5 mg</w:t>
            </w:r>
          </w:p>
        </w:tc>
      </w:tr>
      <w:tr w:rsidR="00BD4717" w:rsidRPr="0000591E" w14:paraId="6D40F33E" w14:textId="77777777" w:rsidTr="00AD41FB">
        <w:trPr>
          <w:trHeight w:val="20"/>
        </w:trPr>
        <w:tc>
          <w:tcPr>
            <w:tcW w:w="1277" w:type="dxa"/>
            <w:tcBorders>
              <w:top w:val="single" w:sz="4" w:space="0" w:color="auto"/>
              <w:bottom w:val="nil"/>
            </w:tcBorders>
            <w:noWrap/>
          </w:tcPr>
          <w:p w14:paraId="1FD08C8F" w14:textId="77777777" w:rsidR="00BD4717"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75B7192C"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Hradená liečba sa môže indikovať v kombinovanom režime granulátom s obsahom ivakaftoru 60 mg/tezakaftoru 40 mg/elexakaftoru 80 mg s granulátom s obsahom 59,5 mg ivakaftoru na liečbu cystickej fibrózy (CF) u pediatrických pacientov vo veku 2 až menej ako 6 rokov, ktorí majú najmenej jednu mutáciu F508del génu CFTR.</w:t>
            </w:r>
          </w:p>
          <w:p w14:paraId="0C4D96A3"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Podmienkou hradenej liečby je vykonaná genotypizácia presnou a validovanou metódou na potvrdenie prítomnosti dvoch CF mutácií.</w:t>
            </w:r>
          </w:p>
          <w:p w14:paraId="1798A330" w14:textId="77777777" w:rsidR="00BD4717" w:rsidRPr="00AD41FB" w:rsidRDefault="00BD4717" w:rsidP="00BD4717">
            <w:pPr>
              <w:jc w:val="both"/>
              <w:rPr>
                <w:rFonts w:ascii="Arial" w:hAnsi="Arial" w:cs="Arial"/>
                <w:bCs/>
                <w:sz w:val="20"/>
                <w:szCs w:val="20"/>
              </w:rPr>
            </w:pPr>
          </w:p>
          <w:p w14:paraId="55B93636"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Ďalšia liečba nie je hradenou liečbou v prípadoch po transplantácii pľúc.</w:t>
            </w:r>
          </w:p>
          <w:p w14:paraId="3D61A449"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Hradenú liečbu môže indikovať pneumológ alebo alergológ z Centra pre liečbu cystickej fibrózy.</w:t>
            </w:r>
          </w:p>
          <w:p w14:paraId="55585FD5" w14:textId="77777777" w:rsidR="00BD4717" w:rsidRDefault="00BD4717" w:rsidP="00BD4717">
            <w:pPr>
              <w:jc w:val="both"/>
              <w:rPr>
                <w:rFonts w:ascii="Arial" w:hAnsi="Arial" w:cs="Arial"/>
                <w:bCs/>
                <w:sz w:val="20"/>
                <w:szCs w:val="20"/>
              </w:rPr>
            </w:pPr>
            <w:r w:rsidRPr="00AD41FB">
              <w:rPr>
                <w:rFonts w:ascii="Arial" w:hAnsi="Arial" w:cs="Arial"/>
                <w:bCs/>
                <w:sz w:val="20"/>
                <w:szCs w:val="20"/>
              </w:rPr>
              <w:t>Hradená liečba podlieha predchádzajúcemu súhlasu zdravotnej poisťovne.</w:t>
            </w:r>
          </w:p>
          <w:p w14:paraId="1EACFBB4" w14:textId="423DBBBF" w:rsidR="00BD4717" w:rsidRPr="00AD41FB" w:rsidRDefault="00BD4717" w:rsidP="00BD4717">
            <w:pPr>
              <w:jc w:val="both"/>
              <w:rPr>
                <w:rFonts w:ascii="Arial" w:hAnsi="Arial" w:cs="Arial"/>
                <w:bCs/>
                <w:sz w:val="20"/>
                <w:szCs w:val="20"/>
              </w:rPr>
            </w:pPr>
          </w:p>
        </w:tc>
      </w:tr>
      <w:tr w:rsidR="00BD4717" w:rsidRPr="0000591E" w14:paraId="6FCAD46C" w14:textId="77777777" w:rsidTr="006D292C">
        <w:trPr>
          <w:trHeight w:val="20"/>
        </w:trPr>
        <w:tc>
          <w:tcPr>
            <w:tcW w:w="1277" w:type="dxa"/>
            <w:tcBorders>
              <w:top w:val="nil"/>
              <w:bottom w:val="single" w:sz="4" w:space="0" w:color="auto"/>
            </w:tcBorders>
            <w:noWrap/>
          </w:tcPr>
          <w:p w14:paraId="274CBB5D" w14:textId="22F104BE" w:rsidR="00BD4717" w:rsidRDefault="00BD4717" w:rsidP="00BD4717">
            <w:pPr>
              <w:jc w:val="both"/>
              <w:rPr>
                <w:rFonts w:ascii="Arial" w:hAnsi="Arial" w:cs="Arial"/>
                <w:b/>
                <w:bCs/>
                <w:sz w:val="20"/>
                <w:szCs w:val="20"/>
              </w:rPr>
            </w:pPr>
            <w:r>
              <w:rPr>
                <w:rFonts w:ascii="Arial" w:hAnsi="Arial" w:cs="Arial"/>
                <w:b/>
                <w:bCs/>
                <w:sz w:val="20"/>
                <w:szCs w:val="20"/>
              </w:rPr>
              <w:t>R07AX02</w:t>
            </w:r>
          </w:p>
        </w:tc>
        <w:tc>
          <w:tcPr>
            <w:tcW w:w="9355" w:type="dxa"/>
            <w:tcBorders>
              <w:top w:val="nil"/>
              <w:bottom w:val="single" w:sz="4" w:space="0" w:color="auto"/>
            </w:tcBorders>
            <w:noWrap/>
          </w:tcPr>
          <w:p w14:paraId="45BC9C73" w14:textId="5298B0B4" w:rsidR="00BD4717" w:rsidRDefault="00BD4717" w:rsidP="00BD4717">
            <w:pPr>
              <w:jc w:val="both"/>
              <w:rPr>
                <w:rFonts w:ascii="Arial" w:hAnsi="Arial" w:cs="Arial"/>
                <w:b/>
                <w:bCs/>
                <w:sz w:val="20"/>
                <w:szCs w:val="20"/>
              </w:rPr>
            </w:pPr>
            <w:r>
              <w:rPr>
                <w:rFonts w:ascii="Arial" w:hAnsi="Arial" w:cs="Arial"/>
                <w:b/>
                <w:bCs/>
                <w:sz w:val="20"/>
                <w:szCs w:val="20"/>
              </w:rPr>
              <w:t>Ivakaftor p.o. 75 mg</w:t>
            </w:r>
          </w:p>
        </w:tc>
      </w:tr>
      <w:tr w:rsidR="00BD4717" w:rsidRPr="0000591E" w14:paraId="264BBB45" w14:textId="77777777" w:rsidTr="006D292C">
        <w:trPr>
          <w:trHeight w:val="20"/>
        </w:trPr>
        <w:tc>
          <w:tcPr>
            <w:tcW w:w="1277" w:type="dxa"/>
            <w:tcBorders>
              <w:top w:val="single" w:sz="4" w:space="0" w:color="auto"/>
              <w:bottom w:val="nil"/>
            </w:tcBorders>
            <w:noWrap/>
          </w:tcPr>
          <w:p w14:paraId="695C176C" w14:textId="77777777" w:rsidR="00BD4717"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1BBF42A3" w14:textId="77777777" w:rsidR="00BD4717" w:rsidRDefault="00BD4717" w:rsidP="00BD4717">
            <w:pPr>
              <w:jc w:val="both"/>
              <w:rPr>
                <w:rFonts w:ascii="Arial" w:hAnsi="Arial" w:cs="Arial"/>
                <w:bCs/>
                <w:sz w:val="20"/>
                <w:szCs w:val="20"/>
              </w:rPr>
            </w:pPr>
            <w:r w:rsidRPr="006D292C">
              <w:rPr>
                <w:rFonts w:ascii="Arial" w:hAnsi="Arial" w:cs="Arial"/>
                <w:bCs/>
                <w:sz w:val="20"/>
                <w:szCs w:val="20"/>
              </w:rPr>
              <w:t>Hradená liečba sa môže indikovať v kombinovanom režime</w:t>
            </w:r>
          </w:p>
          <w:p w14:paraId="1C0E903C" w14:textId="341BF077" w:rsidR="00BD4717" w:rsidRPr="006D292C" w:rsidRDefault="00BD4717" w:rsidP="00BD4717">
            <w:pPr>
              <w:jc w:val="both"/>
              <w:rPr>
                <w:rFonts w:ascii="Arial" w:hAnsi="Arial" w:cs="Arial"/>
                <w:bCs/>
                <w:sz w:val="20"/>
                <w:szCs w:val="20"/>
              </w:rPr>
            </w:pPr>
            <w:r>
              <w:rPr>
                <w:rFonts w:ascii="Arial" w:hAnsi="Arial" w:cs="Arial"/>
                <w:bCs/>
                <w:sz w:val="20"/>
                <w:szCs w:val="20"/>
              </w:rPr>
              <w:t>-</w:t>
            </w:r>
            <w:r w:rsidRPr="006D292C">
              <w:rPr>
                <w:rFonts w:ascii="Arial" w:hAnsi="Arial" w:cs="Arial"/>
                <w:bCs/>
                <w:sz w:val="20"/>
                <w:szCs w:val="20"/>
              </w:rPr>
              <w:t xml:space="preserve"> granulátom s obsahom ivakaftoru 75 mg/tezakaftoru 50 mg/elexakaftoru 100 mg s granulátom s obsahom 75 mg ivakaftoru na liečbu cystickej fibrózy (CF) u pediatrických pacientov vo veku 2 až menej  ako 6 rokov, ktorí majú najmenej jednu mutáciu F508del génu CFTR).</w:t>
            </w:r>
          </w:p>
          <w:p w14:paraId="75C01A25" w14:textId="07282055" w:rsidR="00BD4717" w:rsidRDefault="00BD4717" w:rsidP="00BD4717">
            <w:pPr>
              <w:jc w:val="both"/>
              <w:rPr>
                <w:rFonts w:ascii="Arial" w:hAnsi="Arial" w:cs="Arial"/>
                <w:bCs/>
                <w:sz w:val="20"/>
                <w:szCs w:val="20"/>
              </w:rPr>
            </w:pPr>
            <w:r w:rsidRPr="006D292C">
              <w:rPr>
                <w:rFonts w:ascii="Arial" w:hAnsi="Arial" w:cs="Arial"/>
                <w:bCs/>
                <w:sz w:val="20"/>
                <w:szCs w:val="20"/>
              </w:rPr>
              <w:t>Podmienkou hradenej liečby je vykonaná genotypizácia presnou a validovanou metódou na potvrdenie prítomnosti dvoch CF mutácií.</w:t>
            </w:r>
          </w:p>
          <w:p w14:paraId="296D1B25" w14:textId="56D400A6" w:rsidR="00BD4717" w:rsidRDefault="00BD4717" w:rsidP="00BD4717">
            <w:pPr>
              <w:jc w:val="both"/>
              <w:rPr>
                <w:rFonts w:ascii="Arial" w:hAnsi="Arial" w:cs="Arial"/>
                <w:bCs/>
                <w:sz w:val="20"/>
                <w:szCs w:val="20"/>
              </w:rPr>
            </w:pPr>
          </w:p>
          <w:p w14:paraId="48825652" w14:textId="628FD784" w:rsidR="00BD4717" w:rsidRPr="006D292C" w:rsidRDefault="00BD4717" w:rsidP="00BD4717">
            <w:pPr>
              <w:jc w:val="both"/>
              <w:rPr>
                <w:rFonts w:ascii="Arial" w:hAnsi="Arial" w:cs="Arial"/>
                <w:bCs/>
                <w:sz w:val="20"/>
                <w:szCs w:val="20"/>
              </w:rPr>
            </w:pPr>
            <w:r>
              <w:rPr>
                <w:rFonts w:ascii="Arial" w:hAnsi="Arial" w:cs="Arial"/>
                <w:bCs/>
                <w:sz w:val="20"/>
                <w:szCs w:val="20"/>
              </w:rPr>
              <w:t>-</w:t>
            </w:r>
            <w:r w:rsidRPr="006D292C">
              <w:rPr>
                <w:rFonts w:ascii="Arial" w:hAnsi="Arial" w:cs="Arial"/>
                <w:bCs/>
                <w:sz w:val="20"/>
                <w:szCs w:val="20"/>
              </w:rPr>
              <w:t>tabletami s obsahom ivakaftoru 37,5 mg/tezakaftoru 25 mg/elexakaftoru 50 mg s tabletami s obsahom 75 mg ivakaftoru na liečbu pacientov vo veku 6 rokov a starších, s cystickou fibrózou (CF), ktorí majú minimálne jednu mutáciu F508del génu CFTR.</w:t>
            </w:r>
          </w:p>
          <w:p w14:paraId="4B36708A" w14:textId="77777777" w:rsidR="00BD4717" w:rsidRPr="006D292C" w:rsidRDefault="00BD4717" w:rsidP="00BD4717">
            <w:pPr>
              <w:jc w:val="both"/>
              <w:rPr>
                <w:rFonts w:ascii="Arial" w:hAnsi="Arial" w:cs="Arial"/>
                <w:bCs/>
                <w:sz w:val="20"/>
                <w:szCs w:val="20"/>
              </w:rPr>
            </w:pPr>
            <w:r w:rsidRPr="006D292C">
              <w:rPr>
                <w:rFonts w:ascii="Arial" w:hAnsi="Arial" w:cs="Arial"/>
                <w:bCs/>
                <w:sz w:val="20"/>
                <w:szCs w:val="20"/>
              </w:rPr>
              <w:t>Podmienkou hradenej liečby je vykonaná genotypizácia presnou a validovanou metódou na potvrdenie prítomnosti dvoch CF mutácií.</w:t>
            </w:r>
          </w:p>
          <w:p w14:paraId="0288356E" w14:textId="77777777" w:rsidR="00BD4717" w:rsidRPr="006D292C" w:rsidRDefault="00BD4717" w:rsidP="00BD4717">
            <w:pPr>
              <w:jc w:val="both"/>
              <w:rPr>
                <w:rFonts w:ascii="Arial" w:hAnsi="Arial" w:cs="Arial"/>
                <w:bCs/>
                <w:sz w:val="20"/>
                <w:szCs w:val="20"/>
              </w:rPr>
            </w:pPr>
          </w:p>
          <w:p w14:paraId="3E766187" w14:textId="77777777" w:rsidR="00BD4717" w:rsidRPr="006D292C" w:rsidRDefault="00BD4717" w:rsidP="00BD4717">
            <w:pPr>
              <w:jc w:val="both"/>
              <w:rPr>
                <w:rFonts w:ascii="Arial" w:hAnsi="Arial" w:cs="Arial"/>
                <w:bCs/>
                <w:sz w:val="20"/>
                <w:szCs w:val="20"/>
              </w:rPr>
            </w:pPr>
            <w:r w:rsidRPr="006D292C">
              <w:rPr>
                <w:rFonts w:ascii="Arial" w:hAnsi="Arial" w:cs="Arial"/>
                <w:bCs/>
                <w:sz w:val="20"/>
                <w:szCs w:val="20"/>
              </w:rPr>
              <w:t>Ďalšia liečba nie je hradenou liečbou v prípadoch po transplantácii pľúc.</w:t>
            </w:r>
          </w:p>
          <w:p w14:paraId="5E884419" w14:textId="77777777" w:rsidR="00BD4717" w:rsidRPr="006D292C" w:rsidRDefault="00BD4717" w:rsidP="00BD4717">
            <w:pPr>
              <w:jc w:val="both"/>
              <w:rPr>
                <w:rFonts w:ascii="Arial" w:hAnsi="Arial" w:cs="Arial"/>
                <w:bCs/>
                <w:sz w:val="20"/>
                <w:szCs w:val="20"/>
              </w:rPr>
            </w:pPr>
            <w:r w:rsidRPr="006D292C">
              <w:rPr>
                <w:rFonts w:ascii="Arial" w:hAnsi="Arial" w:cs="Arial"/>
                <w:bCs/>
                <w:sz w:val="20"/>
                <w:szCs w:val="20"/>
              </w:rPr>
              <w:t>Hradenú liečbu môže indikovať pneumológ alebo alergológ z Centra pre liečbu cystickej fibrózy.</w:t>
            </w:r>
          </w:p>
          <w:p w14:paraId="1E29BDD1" w14:textId="2CA94B93" w:rsidR="00BD4717" w:rsidRPr="006D292C" w:rsidRDefault="00BD4717" w:rsidP="00BD4717">
            <w:pPr>
              <w:jc w:val="both"/>
              <w:rPr>
                <w:rFonts w:ascii="Arial" w:hAnsi="Arial" w:cs="Arial"/>
                <w:bCs/>
                <w:sz w:val="20"/>
                <w:szCs w:val="20"/>
              </w:rPr>
            </w:pPr>
            <w:r w:rsidRPr="006D292C">
              <w:rPr>
                <w:rFonts w:ascii="Arial" w:hAnsi="Arial" w:cs="Arial"/>
                <w:bCs/>
                <w:sz w:val="20"/>
                <w:szCs w:val="20"/>
              </w:rPr>
              <w:t>Hradená liečba podlieha predchádzajúcemu súhlasu zdravotnej poisťovne.</w:t>
            </w:r>
          </w:p>
          <w:p w14:paraId="0CFB7888" w14:textId="55FBD65E" w:rsidR="00BD4717" w:rsidRPr="006D292C" w:rsidRDefault="00BD4717" w:rsidP="00BD4717">
            <w:pPr>
              <w:jc w:val="both"/>
              <w:rPr>
                <w:rFonts w:ascii="Arial" w:hAnsi="Arial" w:cs="Arial"/>
                <w:bCs/>
                <w:sz w:val="20"/>
                <w:szCs w:val="20"/>
              </w:rPr>
            </w:pPr>
          </w:p>
        </w:tc>
      </w:tr>
      <w:tr w:rsidR="00BD4717" w:rsidRPr="0000591E" w14:paraId="35A668C6" w14:textId="77777777" w:rsidTr="006D292C">
        <w:trPr>
          <w:trHeight w:val="20"/>
        </w:trPr>
        <w:tc>
          <w:tcPr>
            <w:tcW w:w="1277" w:type="dxa"/>
            <w:tcBorders>
              <w:top w:val="nil"/>
              <w:bottom w:val="single" w:sz="4" w:space="0" w:color="auto"/>
            </w:tcBorders>
            <w:noWrap/>
          </w:tcPr>
          <w:p w14:paraId="130B5307"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rPr>
              <w:t>R07AX02</w:t>
            </w:r>
          </w:p>
        </w:tc>
        <w:tc>
          <w:tcPr>
            <w:tcW w:w="9355" w:type="dxa"/>
            <w:tcBorders>
              <w:top w:val="nil"/>
              <w:bottom w:val="single" w:sz="4" w:space="0" w:color="auto"/>
            </w:tcBorders>
            <w:noWrap/>
          </w:tcPr>
          <w:p w14:paraId="347CDFE7"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rPr>
              <w:t>Ivakaftor p.o. 150 mg</w:t>
            </w:r>
          </w:p>
        </w:tc>
      </w:tr>
      <w:tr w:rsidR="00BD4717" w:rsidRPr="0000591E" w14:paraId="2511C34E" w14:textId="77777777" w:rsidTr="00B3427F">
        <w:trPr>
          <w:trHeight w:val="20"/>
        </w:trPr>
        <w:tc>
          <w:tcPr>
            <w:tcW w:w="1277" w:type="dxa"/>
            <w:tcBorders>
              <w:top w:val="single" w:sz="4" w:space="0" w:color="auto"/>
              <w:bottom w:val="single" w:sz="4" w:space="0" w:color="BFBFBF" w:themeColor="background1" w:themeShade="BF"/>
            </w:tcBorders>
            <w:noWrap/>
          </w:tcPr>
          <w:p w14:paraId="4C0E5530"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FD2A4F4" w14:textId="77777777" w:rsidR="00BD4717" w:rsidRPr="0022624F" w:rsidRDefault="00BD4717" w:rsidP="00BD4717">
            <w:pPr>
              <w:jc w:val="both"/>
              <w:rPr>
                <w:rFonts w:ascii="Arial" w:hAnsi="Arial" w:cs="Arial"/>
                <w:sz w:val="20"/>
              </w:rPr>
            </w:pPr>
            <w:r w:rsidRPr="0022624F">
              <w:rPr>
                <w:rFonts w:ascii="Arial" w:hAnsi="Arial" w:cs="Arial"/>
                <w:sz w:val="20"/>
              </w:rPr>
              <w:t>Hradená liečba sa môže indikovať v kombinovanom režime tabletami s obsahom                                      ivakaftoru 75 mg/tezakaftoru 50 mg/elexakaftoru 100 mg s tabletami s obsahom 150 mg ivakaftoru na liečbu pacientov  vo veku 6 rokov a starších, s cystickou fibrózou (CF), ktorí majú minimálne jednu mutáciu F508del génu CFTR.</w:t>
            </w:r>
          </w:p>
          <w:p w14:paraId="2F0F1855" w14:textId="77777777" w:rsidR="00BD4717" w:rsidRPr="0022624F" w:rsidRDefault="00BD4717" w:rsidP="00BD4717">
            <w:pPr>
              <w:jc w:val="both"/>
              <w:rPr>
                <w:rFonts w:ascii="Arial" w:hAnsi="Arial" w:cs="Arial"/>
                <w:sz w:val="20"/>
              </w:rPr>
            </w:pPr>
            <w:r w:rsidRPr="0022624F">
              <w:rPr>
                <w:rFonts w:ascii="Arial" w:hAnsi="Arial" w:cs="Arial"/>
                <w:sz w:val="20"/>
              </w:rPr>
              <w:t>Podmienkou hradenej liečby je vykonaná genotypizácia presnou a validovanou metódou na potvrdenie prítomnosti dvoch CF mutácií.</w:t>
            </w:r>
          </w:p>
          <w:p w14:paraId="712539BC" w14:textId="77777777" w:rsidR="00BD4717" w:rsidRPr="0022624F" w:rsidRDefault="00BD4717" w:rsidP="00BD4717">
            <w:pPr>
              <w:jc w:val="both"/>
              <w:rPr>
                <w:rFonts w:ascii="Arial" w:hAnsi="Arial" w:cs="Arial"/>
                <w:sz w:val="20"/>
              </w:rPr>
            </w:pPr>
          </w:p>
          <w:p w14:paraId="3C24DEBA" w14:textId="77777777" w:rsidR="00BD4717" w:rsidRPr="0022624F" w:rsidRDefault="00BD4717" w:rsidP="00BD4717">
            <w:pPr>
              <w:jc w:val="both"/>
              <w:rPr>
                <w:rFonts w:ascii="Arial" w:hAnsi="Arial" w:cs="Arial"/>
                <w:sz w:val="20"/>
              </w:rPr>
            </w:pPr>
            <w:r w:rsidRPr="0022624F">
              <w:rPr>
                <w:rFonts w:ascii="Arial" w:hAnsi="Arial" w:cs="Arial"/>
                <w:sz w:val="20"/>
              </w:rPr>
              <w:t>Ďalšia liečba nie je hradenou liečbou v prípadoch po transplantácii pľúc.</w:t>
            </w:r>
          </w:p>
          <w:p w14:paraId="6D81621B" w14:textId="77777777" w:rsidR="00BD4717" w:rsidRPr="0022624F" w:rsidRDefault="00BD4717" w:rsidP="00BD4717">
            <w:pPr>
              <w:jc w:val="both"/>
              <w:rPr>
                <w:rFonts w:ascii="Arial" w:hAnsi="Arial" w:cs="Arial"/>
                <w:sz w:val="20"/>
              </w:rPr>
            </w:pPr>
            <w:r w:rsidRPr="0022624F">
              <w:rPr>
                <w:rFonts w:ascii="Arial" w:hAnsi="Arial" w:cs="Arial"/>
                <w:sz w:val="20"/>
              </w:rPr>
              <w:t>Hradenú liečbu môže indikovať pneumológ alebo alergológ z Centra pre liečbu cystickej fibrózy.</w:t>
            </w:r>
          </w:p>
          <w:p w14:paraId="11FED49B" w14:textId="77777777" w:rsidR="00BD4717" w:rsidRDefault="00BD4717" w:rsidP="00BD4717">
            <w:pPr>
              <w:jc w:val="both"/>
              <w:rPr>
                <w:rFonts w:ascii="Arial" w:hAnsi="Arial" w:cs="Arial"/>
                <w:sz w:val="20"/>
              </w:rPr>
            </w:pPr>
            <w:r w:rsidRPr="0022624F">
              <w:rPr>
                <w:rFonts w:ascii="Arial" w:hAnsi="Arial" w:cs="Arial"/>
                <w:sz w:val="20"/>
              </w:rPr>
              <w:t>Hradená liečba podlieha predchádzajúcemu súhlasu zdravotnej poisťovne.</w:t>
            </w:r>
          </w:p>
          <w:p w14:paraId="77AC38F3" w14:textId="1B7F545C" w:rsidR="00BD4717" w:rsidRPr="0000591E" w:rsidRDefault="00BD4717" w:rsidP="00BD4717">
            <w:pPr>
              <w:jc w:val="both"/>
              <w:rPr>
                <w:rFonts w:ascii="Arial" w:hAnsi="Arial" w:cs="Arial"/>
                <w:sz w:val="20"/>
                <w:szCs w:val="20"/>
              </w:rPr>
            </w:pPr>
          </w:p>
        </w:tc>
      </w:tr>
      <w:tr w:rsidR="00BD4717" w:rsidRPr="0000591E" w14:paraId="7FAB6603" w14:textId="77777777" w:rsidTr="00B3427F">
        <w:trPr>
          <w:trHeight w:val="20"/>
        </w:trPr>
        <w:tc>
          <w:tcPr>
            <w:tcW w:w="1277" w:type="dxa"/>
            <w:tcBorders>
              <w:bottom w:val="single" w:sz="4" w:space="0" w:color="auto"/>
            </w:tcBorders>
            <w:noWrap/>
          </w:tcPr>
          <w:p w14:paraId="357E5915" w14:textId="77777777" w:rsidR="00BD4717" w:rsidRPr="0000591E" w:rsidRDefault="00BD4717" w:rsidP="00BD4717">
            <w:pPr>
              <w:jc w:val="both"/>
              <w:rPr>
                <w:rFonts w:ascii="Arial" w:hAnsi="Arial" w:cs="Arial"/>
                <w:b/>
                <w:bCs/>
                <w:sz w:val="20"/>
                <w:szCs w:val="20"/>
                <w:lang w:eastAsia="cs-CZ"/>
              </w:rPr>
            </w:pPr>
            <w:r w:rsidRPr="008D03ED">
              <w:rPr>
                <w:rFonts w:ascii="Arial" w:hAnsi="Arial" w:cs="Arial"/>
                <w:b/>
                <w:bCs/>
                <w:sz w:val="20"/>
                <w:szCs w:val="20"/>
              </w:rPr>
              <w:t>R07AX30</w:t>
            </w:r>
          </w:p>
        </w:tc>
        <w:tc>
          <w:tcPr>
            <w:tcW w:w="9355" w:type="dxa"/>
            <w:tcBorders>
              <w:bottom w:val="single" w:sz="4" w:space="0" w:color="auto"/>
            </w:tcBorders>
            <w:noWrap/>
          </w:tcPr>
          <w:p w14:paraId="4B2C5AFD" w14:textId="77777777" w:rsidR="00BD4717" w:rsidRPr="0000591E" w:rsidRDefault="00BD4717" w:rsidP="00BD4717">
            <w:pPr>
              <w:jc w:val="both"/>
              <w:rPr>
                <w:rFonts w:ascii="Arial" w:hAnsi="Arial" w:cs="Arial"/>
                <w:b/>
                <w:bCs/>
                <w:sz w:val="20"/>
                <w:szCs w:val="20"/>
              </w:rPr>
            </w:pPr>
            <w:r w:rsidRPr="008D03ED">
              <w:rPr>
                <w:rFonts w:ascii="Arial" w:hAnsi="Arial" w:cs="Arial"/>
                <w:b/>
                <w:bCs/>
                <w:sz w:val="20"/>
                <w:szCs w:val="20"/>
              </w:rPr>
              <w:t>Ivakaftor a</w:t>
            </w:r>
            <w:r>
              <w:rPr>
                <w:rFonts w:ascii="Arial" w:hAnsi="Arial" w:cs="Arial"/>
                <w:b/>
                <w:bCs/>
                <w:sz w:val="20"/>
                <w:szCs w:val="20"/>
              </w:rPr>
              <w:t> </w:t>
            </w:r>
            <w:r w:rsidRPr="008D03ED">
              <w:rPr>
                <w:rFonts w:ascii="Arial" w:hAnsi="Arial" w:cs="Arial"/>
                <w:b/>
                <w:bCs/>
                <w:sz w:val="20"/>
                <w:szCs w:val="20"/>
              </w:rPr>
              <w:t>lumakaftor</w:t>
            </w:r>
            <w:r>
              <w:rPr>
                <w:rFonts w:ascii="Arial" w:hAnsi="Arial" w:cs="Arial"/>
                <w:b/>
                <w:bCs/>
                <w:sz w:val="20"/>
                <w:szCs w:val="20"/>
              </w:rPr>
              <w:t xml:space="preserve"> </w:t>
            </w:r>
            <w:r w:rsidRPr="008D03ED">
              <w:rPr>
                <w:rFonts w:ascii="Arial" w:hAnsi="Arial" w:cs="Arial"/>
                <w:b/>
                <w:bCs/>
                <w:sz w:val="20"/>
                <w:szCs w:val="20"/>
              </w:rPr>
              <w:t>p.o. granulát 125 mg/100 mg</w:t>
            </w:r>
          </w:p>
        </w:tc>
      </w:tr>
      <w:tr w:rsidR="00BD4717" w:rsidRPr="0000591E" w14:paraId="501EF38B" w14:textId="77777777" w:rsidTr="00B3427F">
        <w:trPr>
          <w:trHeight w:val="20"/>
        </w:trPr>
        <w:tc>
          <w:tcPr>
            <w:tcW w:w="1277" w:type="dxa"/>
            <w:tcBorders>
              <w:top w:val="single" w:sz="4" w:space="0" w:color="auto"/>
              <w:bottom w:val="single" w:sz="4" w:space="0" w:color="BFBFBF" w:themeColor="background1" w:themeShade="BF"/>
            </w:tcBorders>
            <w:noWrap/>
          </w:tcPr>
          <w:p w14:paraId="6D757394"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DDFE396" w14:textId="77777777" w:rsidR="00BD4717" w:rsidRPr="008D03ED" w:rsidRDefault="00BD4717" w:rsidP="00BD4717">
            <w:pPr>
              <w:jc w:val="both"/>
              <w:rPr>
                <w:rFonts w:ascii="Arial" w:hAnsi="Arial" w:cs="Arial"/>
                <w:sz w:val="20"/>
                <w:szCs w:val="20"/>
              </w:rPr>
            </w:pPr>
            <w:r w:rsidRPr="008D03ED">
              <w:rPr>
                <w:rFonts w:ascii="Arial" w:hAnsi="Arial" w:cs="Arial"/>
                <w:sz w:val="20"/>
                <w:szCs w:val="20"/>
              </w:rPr>
              <w:t>Hradená liečba sa môže indikovať na liečbu cystickej fibrózy pacientom vo veku 2 až 5 rokov s hmotnosťou pod 14 kg, ktorí sú homozygotní nosiči mutácie F508del v géne CFTR. Podmienkou hradenej liečby je vykonaná genotypizácia presnou a validovanou metódou na potvrdenie prítomnosti mutácie F508del na obidvoch alelách génu CFTR.</w:t>
            </w:r>
          </w:p>
          <w:p w14:paraId="212ABDD9" w14:textId="77777777" w:rsidR="00BD4717" w:rsidRPr="008D03ED" w:rsidRDefault="00BD4717" w:rsidP="00BD4717">
            <w:pPr>
              <w:jc w:val="both"/>
              <w:rPr>
                <w:rFonts w:ascii="Arial" w:hAnsi="Arial" w:cs="Arial"/>
                <w:sz w:val="20"/>
                <w:szCs w:val="20"/>
              </w:rPr>
            </w:pPr>
            <w:r w:rsidRPr="008D03ED">
              <w:rPr>
                <w:rFonts w:ascii="Arial" w:hAnsi="Arial" w:cs="Arial"/>
                <w:sz w:val="20"/>
                <w:szCs w:val="20"/>
              </w:rPr>
              <w:t>Ďalšia liečba nie je hradenou liečbou v prípadoch po transplantácii pľúc.</w:t>
            </w:r>
          </w:p>
          <w:p w14:paraId="7FC1E4D3" w14:textId="77777777" w:rsidR="00BD4717" w:rsidRPr="008D03ED" w:rsidRDefault="00BD4717" w:rsidP="00BD4717">
            <w:pPr>
              <w:jc w:val="both"/>
              <w:rPr>
                <w:rFonts w:ascii="Arial" w:hAnsi="Arial" w:cs="Arial"/>
                <w:sz w:val="20"/>
                <w:szCs w:val="20"/>
              </w:rPr>
            </w:pPr>
            <w:r w:rsidRPr="008D03ED">
              <w:rPr>
                <w:rFonts w:ascii="Arial" w:hAnsi="Arial" w:cs="Arial"/>
                <w:sz w:val="20"/>
                <w:szCs w:val="20"/>
              </w:rPr>
              <w:t>Hradenú liečbu sa môže indikovať pneumológ alebo alergológ z Centra pre liečbu cystickej fibrózy.</w:t>
            </w:r>
          </w:p>
          <w:p w14:paraId="4C747F4B" w14:textId="77777777" w:rsidR="00BD4717" w:rsidRPr="0000591E" w:rsidRDefault="00BD4717" w:rsidP="00BD4717">
            <w:pPr>
              <w:jc w:val="both"/>
              <w:rPr>
                <w:rFonts w:ascii="Arial" w:hAnsi="Arial" w:cs="Arial"/>
                <w:sz w:val="20"/>
                <w:szCs w:val="20"/>
              </w:rPr>
            </w:pPr>
            <w:r w:rsidRPr="008D03ED">
              <w:rPr>
                <w:rFonts w:ascii="Arial" w:hAnsi="Arial" w:cs="Arial"/>
                <w:sz w:val="20"/>
                <w:szCs w:val="20"/>
              </w:rPr>
              <w:t xml:space="preserve">Hradená liečba podlieha predchádzajúcemu súhlasu zdravotnej poisťovne. </w:t>
            </w:r>
          </w:p>
          <w:p w14:paraId="2C4437D7" w14:textId="77777777" w:rsidR="00BD4717" w:rsidRPr="0000591E" w:rsidRDefault="00BD4717" w:rsidP="00BD4717">
            <w:pPr>
              <w:jc w:val="both"/>
              <w:rPr>
                <w:rFonts w:ascii="Arial" w:hAnsi="Arial" w:cs="Arial"/>
                <w:sz w:val="20"/>
                <w:szCs w:val="20"/>
              </w:rPr>
            </w:pPr>
          </w:p>
        </w:tc>
      </w:tr>
      <w:tr w:rsidR="00BD4717" w:rsidRPr="0000591E" w14:paraId="4E4D5797" w14:textId="77777777" w:rsidTr="00B3427F">
        <w:trPr>
          <w:trHeight w:val="20"/>
        </w:trPr>
        <w:tc>
          <w:tcPr>
            <w:tcW w:w="1277" w:type="dxa"/>
            <w:tcBorders>
              <w:bottom w:val="single" w:sz="4" w:space="0" w:color="auto"/>
            </w:tcBorders>
            <w:noWrap/>
          </w:tcPr>
          <w:p w14:paraId="4E71FD6D" w14:textId="77777777" w:rsidR="00BD4717" w:rsidRPr="0000591E" w:rsidRDefault="00BD4717" w:rsidP="00BD4717">
            <w:pPr>
              <w:jc w:val="both"/>
              <w:rPr>
                <w:rFonts w:ascii="Arial" w:hAnsi="Arial" w:cs="Arial"/>
                <w:b/>
                <w:bCs/>
                <w:sz w:val="20"/>
                <w:szCs w:val="20"/>
                <w:lang w:eastAsia="cs-CZ"/>
              </w:rPr>
            </w:pPr>
            <w:r w:rsidRPr="00686307">
              <w:rPr>
                <w:rFonts w:ascii="Arial" w:hAnsi="Arial" w:cs="Arial"/>
                <w:b/>
                <w:bCs/>
                <w:sz w:val="20"/>
                <w:szCs w:val="20"/>
              </w:rPr>
              <w:t>R07AX30</w:t>
            </w:r>
          </w:p>
        </w:tc>
        <w:tc>
          <w:tcPr>
            <w:tcW w:w="9355" w:type="dxa"/>
            <w:tcBorders>
              <w:bottom w:val="single" w:sz="4" w:space="0" w:color="auto"/>
            </w:tcBorders>
            <w:noWrap/>
          </w:tcPr>
          <w:p w14:paraId="061427F3" w14:textId="77777777" w:rsidR="00BD4717" w:rsidRPr="0000591E" w:rsidRDefault="00BD4717" w:rsidP="00BD4717">
            <w:pPr>
              <w:jc w:val="both"/>
              <w:rPr>
                <w:rFonts w:ascii="Arial" w:hAnsi="Arial" w:cs="Arial"/>
                <w:b/>
                <w:bCs/>
                <w:sz w:val="20"/>
                <w:szCs w:val="20"/>
              </w:rPr>
            </w:pPr>
            <w:r w:rsidRPr="00686307">
              <w:rPr>
                <w:rFonts w:ascii="Arial" w:hAnsi="Arial" w:cs="Arial"/>
                <w:b/>
                <w:bCs/>
                <w:sz w:val="20"/>
                <w:szCs w:val="20"/>
              </w:rPr>
              <w:t>Ivakaftor a</w:t>
            </w:r>
            <w:r>
              <w:rPr>
                <w:rFonts w:ascii="Arial" w:hAnsi="Arial" w:cs="Arial"/>
                <w:b/>
                <w:bCs/>
                <w:sz w:val="20"/>
                <w:szCs w:val="20"/>
              </w:rPr>
              <w:t> </w:t>
            </w:r>
            <w:r w:rsidRPr="00686307">
              <w:rPr>
                <w:rFonts w:ascii="Arial" w:hAnsi="Arial" w:cs="Arial"/>
                <w:b/>
                <w:bCs/>
                <w:sz w:val="20"/>
                <w:szCs w:val="20"/>
              </w:rPr>
              <w:t>lumakaftor</w:t>
            </w:r>
            <w:r>
              <w:rPr>
                <w:rFonts w:ascii="Arial" w:hAnsi="Arial" w:cs="Arial"/>
                <w:b/>
                <w:bCs/>
                <w:sz w:val="20"/>
                <w:szCs w:val="20"/>
              </w:rPr>
              <w:t xml:space="preserve"> </w:t>
            </w:r>
            <w:r w:rsidRPr="00686307">
              <w:rPr>
                <w:rFonts w:ascii="Arial" w:hAnsi="Arial" w:cs="Arial"/>
                <w:b/>
                <w:bCs/>
                <w:sz w:val="20"/>
                <w:szCs w:val="20"/>
              </w:rPr>
              <w:t>p.o. 125 mg/100 mg</w:t>
            </w:r>
          </w:p>
        </w:tc>
      </w:tr>
      <w:tr w:rsidR="00BD4717" w:rsidRPr="0000591E" w14:paraId="775A7302" w14:textId="77777777" w:rsidTr="00B3427F">
        <w:trPr>
          <w:trHeight w:val="20"/>
        </w:trPr>
        <w:tc>
          <w:tcPr>
            <w:tcW w:w="1277" w:type="dxa"/>
            <w:tcBorders>
              <w:top w:val="single" w:sz="4" w:space="0" w:color="auto"/>
              <w:bottom w:val="single" w:sz="4" w:space="0" w:color="BFBFBF" w:themeColor="background1" w:themeShade="BF"/>
            </w:tcBorders>
            <w:noWrap/>
          </w:tcPr>
          <w:p w14:paraId="08260C2F"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6AE0FC3" w14:textId="77777777" w:rsidR="00BD4717" w:rsidRPr="00686307" w:rsidRDefault="00BD4717" w:rsidP="00BD4717">
            <w:pPr>
              <w:jc w:val="both"/>
              <w:rPr>
                <w:rFonts w:ascii="Arial" w:hAnsi="Arial" w:cs="Arial"/>
                <w:sz w:val="20"/>
                <w:szCs w:val="20"/>
              </w:rPr>
            </w:pPr>
            <w:r w:rsidRPr="00686307">
              <w:rPr>
                <w:rFonts w:ascii="Arial" w:hAnsi="Arial" w:cs="Arial"/>
                <w:sz w:val="20"/>
                <w:szCs w:val="20"/>
              </w:rPr>
              <w:t>Hradená liečba sa môže indikovať na liečbu cystickej fibrózy pacientom vo veku 6-11 rokov, ktorí sú homozygotní nosiči mutácie F508del v géne CFTR. Podmienkou hradenej liečby je vykonaná genotypizácia presnou a validovanou metódou na potvrdenie prítomnosti mutácie F508del na obidvoch alelách génu CFTR.</w:t>
            </w:r>
          </w:p>
          <w:p w14:paraId="4E9F7784" w14:textId="77777777" w:rsidR="00BD4717" w:rsidRPr="00686307" w:rsidRDefault="00BD4717" w:rsidP="00BD4717">
            <w:pPr>
              <w:jc w:val="both"/>
              <w:rPr>
                <w:rFonts w:ascii="Arial" w:hAnsi="Arial" w:cs="Arial"/>
                <w:sz w:val="20"/>
                <w:szCs w:val="20"/>
              </w:rPr>
            </w:pPr>
            <w:r w:rsidRPr="00686307">
              <w:rPr>
                <w:rFonts w:ascii="Arial" w:hAnsi="Arial" w:cs="Arial"/>
                <w:sz w:val="20"/>
                <w:szCs w:val="20"/>
              </w:rPr>
              <w:t>Ďalšia liečba nie je hradenou liečbou v prípadoch po transplantácii pľúc.</w:t>
            </w:r>
          </w:p>
          <w:p w14:paraId="56B8EE53" w14:textId="77777777" w:rsidR="00BD4717" w:rsidRPr="00686307" w:rsidRDefault="00BD4717" w:rsidP="00BD4717">
            <w:pPr>
              <w:jc w:val="both"/>
              <w:rPr>
                <w:rFonts w:ascii="Arial" w:hAnsi="Arial" w:cs="Arial"/>
                <w:sz w:val="20"/>
                <w:szCs w:val="20"/>
              </w:rPr>
            </w:pPr>
            <w:r w:rsidRPr="00686307">
              <w:rPr>
                <w:rFonts w:ascii="Arial" w:hAnsi="Arial" w:cs="Arial"/>
                <w:sz w:val="20"/>
                <w:szCs w:val="20"/>
              </w:rPr>
              <w:t>Hradenú liečbu sa môže indikovať pneumológ alebo alergológ z Centra pre liečbu cystickej fibrózy.</w:t>
            </w:r>
          </w:p>
          <w:p w14:paraId="0F9BCB29" w14:textId="77777777" w:rsidR="00BD4717" w:rsidRPr="0000591E" w:rsidRDefault="00BD4717" w:rsidP="00BD4717">
            <w:pPr>
              <w:jc w:val="both"/>
              <w:rPr>
                <w:rFonts w:ascii="Arial" w:hAnsi="Arial" w:cs="Arial"/>
                <w:sz w:val="20"/>
                <w:szCs w:val="20"/>
              </w:rPr>
            </w:pPr>
            <w:r w:rsidRPr="00686307">
              <w:rPr>
                <w:rFonts w:ascii="Arial" w:hAnsi="Arial" w:cs="Arial"/>
                <w:sz w:val="20"/>
                <w:szCs w:val="20"/>
              </w:rPr>
              <w:t>Hradená liečba podlieha predchádzajúcemu súhlasu zdravotnej poisťovne.</w:t>
            </w:r>
          </w:p>
          <w:p w14:paraId="66CD91AC" w14:textId="5BC317D6" w:rsidR="00BD4717" w:rsidRPr="0000591E" w:rsidRDefault="00BD4717" w:rsidP="00BD4717">
            <w:pPr>
              <w:jc w:val="both"/>
              <w:rPr>
                <w:rFonts w:ascii="Arial" w:hAnsi="Arial" w:cs="Arial"/>
                <w:sz w:val="20"/>
                <w:szCs w:val="20"/>
              </w:rPr>
            </w:pPr>
          </w:p>
        </w:tc>
      </w:tr>
      <w:tr w:rsidR="00BD4717" w:rsidRPr="0000591E" w14:paraId="51B70C15" w14:textId="77777777" w:rsidTr="00B3427F">
        <w:trPr>
          <w:trHeight w:val="20"/>
        </w:trPr>
        <w:tc>
          <w:tcPr>
            <w:tcW w:w="1277" w:type="dxa"/>
            <w:tcBorders>
              <w:bottom w:val="single" w:sz="4" w:space="0" w:color="auto"/>
            </w:tcBorders>
            <w:noWrap/>
          </w:tcPr>
          <w:p w14:paraId="63FB19C5" w14:textId="77777777" w:rsidR="00BD4717" w:rsidRPr="0000591E" w:rsidRDefault="00BD4717" w:rsidP="00BD4717">
            <w:pPr>
              <w:jc w:val="both"/>
              <w:rPr>
                <w:rFonts w:ascii="Arial" w:hAnsi="Arial" w:cs="Arial"/>
                <w:b/>
                <w:bCs/>
                <w:sz w:val="20"/>
                <w:szCs w:val="20"/>
                <w:lang w:eastAsia="cs-CZ"/>
              </w:rPr>
            </w:pPr>
            <w:r w:rsidRPr="00686307">
              <w:rPr>
                <w:rFonts w:ascii="Arial" w:hAnsi="Arial" w:cs="Arial"/>
                <w:b/>
                <w:bCs/>
                <w:sz w:val="20"/>
                <w:szCs w:val="20"/>
              </w:rPr>
              <w:t>R07AX30</w:t>
            </w:r>
          </w:p>
        </w:tc>
        <w:tc>
          <w:tcPr>
            <w:tcW w:w="9355" w:type="dxa"/>
            <w:tcBorders>
              <w:bottom w:val="single" w:sz="4" w:space="0" w:color="auto"/>
            </w:tcBorders>
            <w:noWrap/>
          </w:tcPr>
          <w:p w14:paraId="3318991F" w14:textId="77777777" w:rsidR="00BD4717" w:rsidRPr="0000591E" w:rsidRDefault="00BD4717" w:rsidP="00BD4717">
            <w:pPr>
              <w:jc w:val="both"/>
              <w:rPr>
                <w:rFonts w:ascii="Arial" w:hAnsi="Arial" w:cs="Arial"/>
                <w:b/>
                <w:bCs/>
                <w:sz w:val="20"/>
                <w:szCs w:val="20"/>
              </w:rPr>
            </w:pPr>
            <w:r w:rsidRPr="00686307">
              <w:rPr>
                <w:rFonts w:ascii="Arial" w:hAnsi="Arial" w:cs="Arial"/>
                <w:b/>
                <w:bCs/>
                <w:sz w:val="20"/>
                <w:szCs w:val="20"/>
              </w:rPr>
              <w:t>Ivakaftor a</w:t>
            </w:r>
            <w:r>
              <w:rPr>
                <w:rFonts w:ascii="Arial" w:hAnsi="Arial" w:cs="Arial"/>
                <w:b/>
                <w:bCs/>
                <w:sz w:val="20"/>
                <w:szCs w:val="20"/>
              </w:rPr>
              <w:t> </w:t>
            </w:r>
            <w:r w:rsidRPr="00686307">
              <w:rPr>
                <w:rFonts w:ascii="Arial" w:hAnsi="Arial" w:cs="Arial"/>
                <w:b/>
                <w:bCs/>
                <w:sz w:val="20"/>
                <w:szCs w:val="20"/>
              </w:rPr>
              <w:t>lumakaftor</w:t>
            </w:r>
            <w:r>
              <w:rPr>
                <w:rFonts w:ascii="Arial" w:hAnsi="Arial" w:cs="Arial"/>
                <w:b/>
                <w:bCs/>
                <w:sz w:val="20"/>
                <w:szCs w:val="20"/>
              </w:rPr>
              <w:t xml:space="preserve"> p.o. 125 mg/200 mg</w:t>
            </w:r>
          </w:p>
        </w:tc>
      </w:tr>
      <w:tr w:rsidR="00BD4717" w:rsidRPr="0000591E" w14:paraId="23BD99E7" w14:textId="77777777" w:rsidTr="00B3427F">
        <w:trPr>
          <w:trHeight w:val="20"/>
        </w:trPr>
        <w:tc>
          <w:tcPr>
            <w:tcW w:w="1277" w:type="dxa"/>
            <w:tcBorders>
              <w:top w:val="single" w:sz="4" w:space="0" w:color="auto"/>
              <w:bottom w:val="single" w:sz="4" w:space="0" w:color="BFBFBF" w:themeColor="background1" w:themeShade="BF"/>
            </w:tcBorders>
            <w:noWrap/>
          </w:tcPr>
          <w:p w14:paraId="765768F4" w14:textId="77777777" w:rsidR="00BD4717" w:rsidRDefault="00BD4717" w:rsidP="00BD4717">
            <w:pPr>
              <w:jc w:val="both"/>
              <w:rPr>
                <w:rFonts w:ascii="Arial" w:hAnsi="Arial" w:cs="Arial"/>
                <w:sz w:val="20"/>
                <w:szCs w:val="20"/>
                <w:lang w:eastAsia="cs-CZ"/>
              </w:rPr>
            </w:pPr>
          </w:p>
          <w:p w14:paraId="126244FD" w14:textId="77777777" w:rsidR="00BD4717" w:rsidRDefault="00BD4717" w:rsidP="00BD4717">
            <w:pPr>
              <w:jc w:val="both"/>
              <w:rPr>
                <w:rFonts w:ascii="Arial" w:hAnsi="Arial" w:cs="Arial"/>
                <w:sz w:val="20"/>
                <w:szCs w:val="20"/>
                <w:lang w:eastAsia="cs-CZ"/>
              </w:rPr>
            </w:pPr>
          </w:p>
          <w:p w14:paraId="5EFD6A8F" w14:textId="77777777" w:rsidR="00BD4717" w:rsidRDefault="00BD4717" w:rsidP="00BD4717">
            <w:pPr>
              <w:jc w:val="both"/>
              <w:rPr>
                <w:rFonts w:ascii="Arial" w:hAnsi="Arial" w:cs="Arial"/>
                <w:sz w:val="20"/>
                <w:szCs w:val="20"/>
                <w:lang w:eastAsia="cs-CZ"/>
              </w:rPr>
            </w:pPr>
          </w:p>
          <w:p w14:paraId="3AEDE92F" w14:textId="77777777" w:rsidR="00BD4717" w:rsidRDefault="00BD4717" w:rsidP="00BD4717">
            <w:pPr>
              <w:jc w:val="both"/>
              <w:rPr>
                <w:rFonts w:ascii="Arial" w:hAnsi="Arial" w:cs="Arial"/>
                <w:sz w:val="20"/>
                <w:szCs w:val="20"/>
                <w:lang w:eastAsia="cs-CZ"/>
              </w:rPr>
            </w:pPr>
          </w:p>
          <w:p w14:paraId="541785DE" w14:textId="77777777" w:rsidR="00BD4717" w:rsidRDefault="00BD4717" w:rsidP="00BD4717">
            <w:pPr>
              <w:jc w:val="both"/>
              <w:rPr>
                <w:rFonts w:ascii="Arial" w:hAnsi="Arial" w:cs="Arial"/>
                <w:sz w:val="20"/>
                <w:szCs w:val="20"/>
                <w:lang w:eastAsia="cs-CZ"/>
              </w:rPr>
            </w:pPr>
          </w:p>
          <w:p w14:paraId="25776EAA" w14:textId="77777777" w:rsidR="00BD4717" w:rsidRDefault="00BD4717" w:rsidP="00BD4717">
            <w:pPr>
              <w:jc w:val="both"/>
              <w:rPr>
                <w:rFonts w:ascii="Arial" w:hAnsi="Arial" w:cs="Arial"/>
                <w:sz w:val="20"/>
                <w:szCs w:val="20"/>
                <w:lang w:eastAsia="cs-CZ"/>
              </w:rPr>
            </w:pPr>
          </w:p>
          <w:p w14:paraId="71DD4180"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026D238" w14:textId="77777777" w:rsidR="00BD4717" w:rsidRDefault="00BD4717" w:rsidP="00BD4717">
            <w:pPr>
              <w:jc w:val="both"/>
              <w:rPr>
                <w:rFonts w:ascii="Arial" w:hAnsi="Arial" w:cs="Arial"/>
                <w:sz w:val="20"/>
                <w:szCs w:val="20"/>
              </w:rPr>
            </w:pPr>
            <w:r w:rsidRPr="00686307">
              <w:rPr>
                <w:rFonts w:ascii="Arial" w:hAnsi="Arial" w:cs="Arial"/>
                <w:sz w:val="20"/>
                <w:szCs w:val="20"/>
              </w:rPr>
              <w:t xml:space="preserve">Hradená liečba sa môže indikovať na liečbu cystickej fibrózy pacientom vo veku 12 rokov a starším, ktorí sú homozygotní nosiči mutácie F508del v géne CFTR. Podmienkou hradenej liečby je vykonaná genotypizácia presnou a validovanou metódou na potvrdenie prítomnosti mutácie F508del na obidvoch alelách génu CFTR. </w:t>
            </w:r>
          </w:p>
          <w:p w14:paraId="7C5B9EF5" w14:textId="77777777" w:rsidR="00BD4717" w:rsidRDefault="00BD4717" w:rsidP="00BD4717">
            <w:pPr>
              <w:jc w:val="both"/>
              <w:rPr>
                <w:rFonts w:ascii="Arial" w:hAnsi="Arial" w:cs="Arial"/>
                <w:sz w:val="20"/>
                <w:szCs w:val="20"/>
              </w:rPr>
            </w:pPr>
            <w:r w:rsidRPr="00686307">
              <w:rPr>
                <w:rFonts w:ascii="Arial" w:hAnsi="Arial" w:cs="Arial"/>
                <w:sz w:val="20"/>
                <w:szCs w:val="20"/>
              </w:rPr>
              <w:t xml:space="preserve">Ďalšia liečba nie je hradenou liečbou v prípadoch gravidity, dojčenia a po transplantácii pľúc. </w:t>
            </w:r>
          </w:p>
          <w:p w14:paraId="61EE1D6E" w14:textId="77777777" w:rsidR="00BD4717" w:rsidRPr="0000591E" w:rsidRDefault="00BD4717" w:rsidP="00BD4717">
            <w:pPr>
              <w:jc w:val="both"/>
              <w:rPr>
                <w:rFonts w:ascii="Arial" w:hAnsi="Arial" w:cs="Arial"/>
                <w:sz w:val="20"/>
                <w:szCs w:val="20"/>
              </w:rPr>
            </w:pPr>
            <w:r w:rsidRPr="00686307">
              <w:rPr>
                <w:rFonts w:ascii="Arial" w:hAnsi="Arial" w:cs="Arial"/>
                <w:sz w:val="20"/>
                <w:szCs w:val="20"/>
              </w:rPr>
              <w:t>Hradenú liečbu sa môže indikovať pneumológ alebo alergológ z Centra pre liečbu cystickej fibrózy. Hradená liečba podlieha predchádzajúcemu súhlasu zdravotnej poisťovne.</w:t>
            </w:r>
          </w:p>
          <w:p w14:paraId="06EBEBB1" w14:textId="39634D4F" w:rsidR="00BD4717" w:rsidRPr="0000591E" w:rsidRDefault="00BD4717" w:rsidP="00BD4717">
            <w:pPr>
              <w:jc w:val="both"/>
              <w:rPr>
                <w:rFonts w:ascii="Arial" w:hAnsi="Arial" w:cs="Arial"/>
                <w:sz w:val="20"/>
                <w:szCs w:val="20"/>
              </w:rPr>
            </w:pPr>
          </w:p>
        </w:tc>
      </w:tr>
      <w:tr w:rsidR="00BD4717" w:rsidRPr="0000591E" w14:paraId="19BA6288" w14:textId="77777777" w:rsidTr="00B3427F">
        <w:trPr>
          <w:trHeight w:val="20"/>
        </w:trPr>
        <w:tc>
          <w:tcPr>
            <w:tcW w:w="1277" w:type="dxa"/>
            <w:tcBorders>
              <w:bottom w:val="single" w:sz="4" w:space="0" w:color="auto"/>
            </w:tcBorders>
            <w:noWrap/>
          </w:tcPr>
          <w:p w14:paraId="3BC5FA07" w14:textId="77777777" w:rsidR="00BD4717" w:rsidRDefault="00BD4717" w:rsidP="00BD4717">
            <w:pPr>
              <w:jc w:val="both"/>
              <w:rPr>
                <w:rFonts w:ascii="Arial" w:hAnsi="Arial" w:cs="Arial"/>
                <w:b/>
                <w:bCs/>
                <w:sz w:val="20"/>
                <w:szCs w:val="20"/>
              </w:rPr>
            </w:pPr>
            <w:r w:rsidRPr="00686307">
              <w:rPr>
                <w:rFonts w:ascii="Arial" w:hAnsi="Arial" w:cs="Arial"/>
                <w:b/>
                <w:bCs/>
                <w:sz w:val="20"/>
                <w:szCs w:val="20"/>
              </w:rPr>
              <w:t>R07AX30</w:t>
            </w:r>
          </w:p>
        </w:tc>
        <w:tc>
          <w:tcPr>
            <w:tcW w:w="9355" w:type="dxa"/>
            <w:tcBorders>
              <w:bottom w:val="single" w:sz="4" w:space="0" w:color="auto"/>
            </w:tcBorders>
          </w:tcPr>
          <w:p w14:paraId="3515A07B" w14:textId="77777777" w:rsidR="00BD4717" w:rsidRDefault="00BD4717" w:rsidP="00BD4717">
            <w:pPr>
              <w:jc w:val="both"/>
              <w:rPr>
                <w:rFonts w:ascii="Arial" w:hAnsi="Arial" w:cs="Arial"/>
                <w:b/>
                <w:bCs/>
                <w:sz w:val="20"/>
                <w:szCs w:val="20"/>
              </w:rPr>
            </w:pPr>
            <w:r w:rsidRPr="00686307">
              <w:rPr>
                <w:rFonts w:ascii="Arial" w:hAnsi="Arial" w:cs="Arial"/>
                <w:b/>
                <w:bCs/>
                <w:sz w:val="20"/>
                <w:szCs w:val="20"/>
              </w:rPr>
              <w:t>Ivakaftor a</w:t>
            </w:r>
            <w:r>
              <w:rPr>
                <w:rFonts w:ascii="Arial" w:hAnsi="Arial" w:cs="Arial"/>
                <w:b/>
                <w:bCs/>
                <w:sz w:val="20"/>
                <w:szCs w:val="20"/>
              </w:rPr>
              <w:t> </w:t>
            </w:r>
            <w:r w:rsidRPr="00686307">
              <w:rPr>
                <w:rFonts w:ascii="Arial" w:hAnsi="Arial" w:cs="Arial"/>
                <w:b/>
                <w:bCs/>
                <w:sz w:val="20"/>
                <w:szCs w:val="20"/>
              </w:rPr>
              <w:t>lumakaftor</w:t>
            </w:r>
            <w:r>
              <w:rPr>
                <w:rFonts w:ascii="Arial" w:hAnsi="Arial" w:cs="Arial"/>
                <w:b/>
                <w:bCs/>
                <w:sz w:val="20"/>
                <w:szCs w:val="20"/>
              </w:rPr>
              <w:t xml:space="preserve"> p.o. granulát 188 mg/150 mg</w:t>
            </w:r>
          </w:p>
        </w:tc>
      </w:tr>
      <w:tr w:rsidR="00BD4717" w:rsidRPr="0000591E" w14:paraId="409BD04B" w14:textId="77777777" w:rsidTr="00B3427F">
        <w:trPr>
          <w:trHeight w:val="20"/>
        </w:trPr>
        <w:tc>
          <w:tcPr>
            <w:tcW w:w="1277" w:type="dxa"/>
            <w:tcBorders>
              <w:top w:val="single" w:sz="4" w:space="0" w:color="auto"/>
              <w:bottom w:val="single" w:sz="4" w:space="0" w:color="BFBFBF" w:themeColor="background1" w:themeShade="BF"/>
            </w:tcBorders>
            <w:noWrap/>
          </w:tcPr>
          <w:p w14:paraId="1E62B8B3" w14:textId="77777777" w:rsidR="00BD4717"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C5474D5" w14:textId="77777777" w:rsidR="00BD4717" w:rsidRPr="00AE5FA5" w:rsidRDefault="00BD4717" w:rsidP="00BD4717">
            <w:pPr>
              <w:autoSpaceDE w:val="0"/>
              <w:autoSpaceDN w:val="0"/>
              <w:adjustRightInd w:val="0"/>
              <w:spacing w:line="276" w:lineRule="auto"/>
              <w:rPr>
                <w:rFonts w:ascii="Arial" w:hAnsi="Arial"/>
                <w:color w:val="000000"/>
                <w:sz w:val="20"/>
                <w:u w:color="000000"/>
              </w:rPr>
            </w:pPr>
            <w:r w:rsidRPr="00AE5FA5">
              <w:rPr>
                <w:rFonts w:ascii="Arial" w:hAnsi="Arial"/>
                <w:color w:val="000000"/>
                <w:sz w:val="20"/>
                <w:u w:color="000000"/>
              </w:rPr>
              <w:t xml:space="preserve">Hradená liečba sa môže indikovať na liečbu cystickej fibrózy pacientom vo veku 2 až 5 rokov s hmotnosťou 14 kg a viac, ktorí sú homozygotní nosiči mutácie F508del v géne CFTR. Podmienkou hradenej liečby je vykonaná genotypizácia presnou a validovanou metódou na potvrdenie prítomnosti mutácie F508del na obidvoch alelách génu CFTR. </w:t>
            </w:r>
          </w:p>
          <w:p w14:paraId="5F12E5FF" w14:textId="77777777" w:rsidR="00BD4717" w:rsidRPr="00AE5FA5" w:rsidRDefault="00BD4717" w:rsidP="00BD4717">
            <w:pPr>
              <w:autoSpaceDE w:val="0"/>
              <w:autoSpaceDN w:val="0"/>
              <w:adjustRightInd w:val="0"/>
              <w:spacing w:line="276" w:lineRule="auto"/>
              <w:rPr>
                <w:rFonts w:ascii="Arial" w:hAnsi="Arial"/>
                <w:color w:val="000000"/>
                <w:sz w:val="20"/>
                <w:u w:color="000000"/>
              </w:rPr>
            </w:pPr>
            <w:r w:rsidRPr="00AE5FA5">
              <w:rPr>
                <w:rFonts w:ascii="Arial" w:hAnsi="Arial"/>
                <w:color w:val="000000"/>
                <w:sz w:val="20"/>
                <w:u w:color="000000"/>
              </w:rPr>
              <w:t>Ďalšia liečba nie je hradenou liečbou v prípadoch po transplantácii pľúc.</w:t>
            </w:r>
          </w:p>
          <w:p w14:paraId="730E4093" w14:textId="77777777" w:rsidR="00BD4717" w:rsidRPr="00AE5FA5" w:rsidRDefault="00BD4717" w:rsidP="00BD4717">
            <w:pPr>
              <w:autoSpaceDE w:val="0"/>
              <w:autoSpaceDN w:val="0"/>
              <w:adjustRightInd w:val="0"/>
              <w:spacing w:line="276" w:lineRule="auto"/>
              <w:rPr>
                <w:rFonts w:ascii="Arial" w:hAnsi="Arial"/>
                <w:color w:val="000000"/>
                <w:sz w:val="20"/>
                <w:u w:color="000000"/>
              </w:rPr>
            </w:pPr>
            <w:r w:rsidRPr="00AE5FA5">
              <w:rPr>
                <w:rFonts w:ascii="Arial" w:hAnsi="Arial"/>
                <w:color w:val="000000"/>
                <w:sz w:val="20"/>
                <w:u w:color="000000"/>
              </w:rPr>
              <w:t xml:space="preserve">Hradenú liečbu sa môže indikovať pneumológ alebo alergológ z Centra pre liečbu cystickej fibrózy. </w:t>
            </w:r>
          </w:p>
          <w:p w14:paraId="04D0388C" w14:textId="77777777" w:rsidR="00BD4717" w:rsidRPr="00AE5FA5" w:rsidRDefault="00BD4717" w:rsidP="00BD4717">
            <w:pPr>
              <w:autoSpaceDE w:val="0"/>
              <w:autoSpaceDN w:val="0"/>
              <w:adjustRightInd w:val="0"/>
              <w:spacing w:line="276" w:lineRule="auto"/>
              <w:rPr>
                <w:rFonts w:ascii="Verdana" w:hAnsi="Verdana"/>
                <w:color w:val="000000"/>
                <w:u w:color="000000"/>
              </w:rPr>
            </w:pPr>
            <w:r w:rsidRPr="00AE5FA5">
              <w:rPr>
                <w:rFonts w:ascii="Arial" w:hAnsi="Arial"/>
                <w:color w:val="000000"/>
                <w:sz w:val="20"/>
                <w:u w:color="000000"/>
              </w:rPr>
              <w:t>Hradená liečba podlieha predchádzajúcemu súhlasu zdravotnej poisťovne.</w:t>
            </w:r>
          </w:p>
          <w:p w14:paraId="43161120" w14:textId="48604887" w:rsidR="00BD4717" w:rsidRDefault="00BD4717" w:rsidP="00BD4717">
            <w:pPr>
              <w:jc w:val="both"/>
              <w:rPr>
                <w:rFonts w:ascii="Arial" w:hAnsi="Arial" w:cs="Arial"/>
                <w:b/>
                <w:bCs/>
                <w:sz w:val="20"/>
                <w:szCs w:val="20"/>
              </w:rPr>
            </w:pPr>
          </w:p>
        </w:tc>
      </w:tr>
      <w:tr w:rsidR="00BD4717" w:rsidRPr="0000591E" w14:paraId="367306C2" w14:textId="77777777" w:rsidTr="006C70EC">
        <w:trPr>
          <w:trHeight w:val="20"/>
        </w:trPr>
        <w:tc>
          <w:tcPr>
            <w:tcW w:w="1277" w:type="dxa"/>
            <w:tcBorders>
              <w:bottom w:val="single" w:sz="4" w:space="0" w:color="auto"/>
            </w:tcBorders>
            <w:noWrap/>
          </w:tcPr>
          <w:p w14:paraId="7A62865B" w14:textId="40A16036" w:rsidR="00BD4717" w:rsidRDefault="00BD4717" w:rsidP="00BD4717">
            <w:pPr>
              <w:jc w:val="both"/>
              <w:rPr>
                <w:rFonts w:ascii="Arial" w:hAnsi="Arial" w:cs="Arial"/>
                <w:b/>
                <w:bCs/>
                <w:sz w:val="20"/>
                <w:szCs w:val="20"/>
              </w:rPr>
            </w:pPr>
            <w:r>
              <w:rPr>
                <w:rFonts w:ascii="Arial" w:hAnsi="Arial" w:cs="Arial"/>
                <w:b/>
                <w:bCs/>
                <w:sz w:val="20"/>
                <w:szCs w:val="20"/>
              </w:rPr>
              <w:t>R07AX32</w:t>
            </w:r>
          </w:p>
        </w:tc>
        <w:tc>
          <w:tcPr>
            <w:tcW w:w="9355" w:type="dxa"/>
            <w:tcBorders>
              <w:bottom w:val="single" w:sz="4" w:space="0" w:color="auto"/>
            </w:tcBorders>
          </w:tcPr>
          <w:p w14:paraId="30C9529C" w14:textId="5A905AD5" w:rsidR="00BD4717" w:rsidRDefault="00BD4717" w:rsidP="00BD4717">
            <w:pPr>
              <w:jc w:val="both"/>
              <w:rPr>
                <w:rFonts w:ascii="Arial" w:hAnsi="Arial" w:cs="Arial"/>
                <w:b/>
                <w:bCs/>
                <w:sz w:val="20"/>
                <w:szCs w:val="20"/>
              </w:rPr>
            </w:pPr>
            <w:r>
              <w:rPr>
                <w:rFonts w:ascii="Arial" w:hAnsi="Arial" w:cs="Arial"/>
                <w:b/>
                <w:bCs/>
                <w:sz w:val="20"/>
                <w:szCs w:val="20"/>
              </w:rPr>
              <w:t>Ivakaftor, tezakaftor a elexakaftor p.o. 37,5 mg/25 mg/50 mg</w:t>
            </w:r>
          </w:p>
        </w:tc>
      </w:tr>
      <w:tr w:rsidR="00BD4717" w:rsidRPr="0000591E" w14:paraId="358BEDE5" w14:textId="77777777" w:rsidTr="006C70EC">
        <w:trPr>
          <w:trHeight w:val="20"/>
        </w:trPr>
        <w:tc>
          <w:tcPr>
            <w:tcW w:w="1277" w:type="dxa"/>
            <w:tcBorders>
              <w:top w:val="single" w:sz="4" w:space="0" w:color="auto"/>
              <w:bottom w:val="nil"/>
            </w:tcBorders>
            <w:noWrap/>
          </w:tcPr>
          <w:p w14:paraId="3B65D2AD" w14:textId="77777777" w:rsidR="00BD4717" w:rsidRDefault="00BD4717" w:rsidP="00BD4717">
            <w:pPr>
              <w:jc w:val="both"/>
              <w:rPr>
                <w:rFonts w:ascii="Arial" w:hAnsi="Arial" w:cs="Arial"/>
                <w:b/>
                <w:bCs/>
                <w:sz w:val="20"/>
                <w:szCs w:val="20"/>
              </w:rPr>
            </w:pPr>
          </w:p>
        </w:tc>
        <w:tc>
          <w:tcPr>
            <w:tcW w:w="9355" w:type="dxa"/>
            <w:tcBorders>
              <w:top w:val="single" w:sz="4" w:space="0" w:color="auto"/>
              <w:bottom w:val="nil"/>
            </w:tcBorders>
          </w:tcPr>
          <w:p w14:paraId="2D3A1F16"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Hradená liečba sa môže indikovať v kombinovanom režime tabletami s obsahom ivakaftoru 37,5 mg/tezakaftoru 25 mg/elexakaftoru 50 mg s tabletami s obsahom 75 mg ivakaftoru na liečbu cystickej fibrózy (CF) pacientom vo veku 6 rokov a starším, ktorí majú minimálne jednu mutáciu F508del na géne pre transmembránový regulátor vodivosti pri CF (cystic fibrosis transmembrane conductance regulator, CFTR).</w:t>
            </w:r>
          </w:p>
          <w:p w14:paraId="29C76503"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Podmienkou hradenej liečby je vykonaná genotypizácia presnou a validovanou metódou na potvrdenie prítomnosti dvoch CF mutácií.</w:t>
            </w:r>
          </w:p>
          <w:p w14:paraId="43AF04B0"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Ďalšia liečba nie je hradenou liečbou v prípadoch po transplantácii pľúc.</w:t>
            </w:r>
          </w:p>
          <w:p w14:paraId="35F14D89" w14:textId="77777777" w:rsidR="00BD4717" w:rsidRDefault="00BD4717" w:rsidP="00BD4717">
            <w:pPr>
              <w:jc w:val="both"/>
              <w:rPr>
                <w:rFonts w:ascii="Arial" w:hAnsi="Arial" w:cs="Arial"/>
                <w:bCs/>
                <w:sz w:val="20"/>
                <w:szCs w:val="20"/>
              </w:rPr>
            </w:pPr>
            <w:r w:rsidRPr="000023CB">
              <w:rPr>
                <w:rFonts w:ascii="Arial" w:hAnsi="Arial" w:cs="Arial"/>
                <w:bCs/>
                <w:sz w:val="20"/>
                <w:szCs w:val="20"/>
              </w:rPr>
              <w:t>Hradenú liečbu môže indikovať pneumológ alebo alergológ z Centra pre liečbu cystickej fibrózy.Hradená liečba podlieha predchádzajúcemu súhlasu zdravotnej poisťovne.</w:t>
            </w:r>
          </w:p>
          <w:p w14:paraId="4C500991" w14:textId="232DFA8A" w:rsidR="00BD4717" w:rsidRPr="000023CB" w:rsidRDefault="00BD4717" w:rsidP="00BD4717">
            <w:pPr>
              <w:jc w:val="both"/>
              <w:rPr>
                <w:rFonts w:ascii="Arial" w:hAnsi="Arial" w:cs="Arial"/>
                <w:bCs/>
                <w:sz w:val="20"/>
                <w:szCs w:val="20"/>
              </w:rPr>
            </w:pPr>
          </w:p>
        </w:tc>
      </w:tr>
      <w:tr w:rsidR="00BD4717" w:rsidRPr="0000591E" w14:paraId="460BE4D6" w14:textId="77777777" w:rsidTr="006C70EC">
        <w:trPr>
          <w:trHeight w:val="20"/>
        </w:trPr>
        <w:tc>
          <w:tcPr>
            <w:tcW w:w="1277" w:type="dxa"/>
            <w:tcBorders>
              <w:top w:val="nil"/>
              <w:bottom w:val="single" w:sz="4" w:space="0" w:color="auto"/>
            </w:tcBorders>
            <w:noWrap/>
          </w:tcPr>
          <w:p w14:paraId="3B3A3BDB" w14:textId="7FDA7B59" w:rsidR="00BD4717" w:rsidRDefault="00BD4717" w:rsidP="00BD4717">
            <w:pPr>
              <w:jc w:val="both"/>
              <w:rPr>
                <w:rFonts w:ascii="Arial" w:hAnsi="Arial" w:cs="Arial"/>
                <w:b/>
                <w:bCs/>
                <w:sz w:val="20"/>
                <w:szCs w:val="20"/>
              </w:rPr>
            </w:pPr>
            <w:r>
              <w:rPr>
                <w:rFonts w:ascii="Arial" w:hAnsi="Arial" w:cs="Arial"/>
                <w:b/>
                <w:bCs/>
                <w:sz w:val="20"/>
                <w:szCs w:val="20"/>
              </w:rPr>
              <w:t>R07AX32</w:t>
            </w:r>
          </w:p>
        </w:tc>
        <w:tc>
          <w:tcPr>
            <w:tcW w:w="9355" w:type="dxa"/>
            <w:tcBorders>
              <w:top w:val="nil"/>
              <w:bottom w:val="single" w:sz="4" w:space="0" w:color="auto"/>
            </w:tcBorders>
          </w:tcPr>
          <w:p w14:paraId="44171EF8" w14:textId="5B78336A" w:rsidR="00BD4717" w:rsidRDefault="00BD4717" w:rsidP="00BD4717">
            <w:pPr>
              <w:jc w:val="both"/>
              <w:rPr>
                <w:rFonts w:ascii="Arial" w:hAnsi="Arial" w:cs="Arial"/>
                <w:b/>
                <w:bCs/>
                <w:sz w:val="20"/>
                <w:szCs w:val="20"/>
              </w:rPr>
            </w:pPr>
            <w:r>
              <w:rPr>
                <w:rFonts w:ascii="Arial" w:hAnsi="Arial" w:cs="Arial"/>
                <w:b/>
                <w:bCs/>
                <w:sz w:val="20"/>
                <w:szCs w:val="20"/>
              </w:rPr>
              <w:t>Ivakaftor, tezakaftor a elexakaftor p.o. 60 mg/40 mg/80 mg</w:t>
            </w:r>
          </w:p>
        </w:tc>
      </w:tr>
      <w:tr w:rsidR="00BD4717" w:rsidRPr="0000591E" w14:paraId="16A4A1D6" w14:textId="77777777" w:rsidTr="006C70EC">
        <w:trPr>
          <w:trHeight w:val="20"/>
        </w:trPr>
        <w:tc>
          <w:tcPr>
            <w:tcW w:w="1277" w:type="dxa"/>
            <w:tcBorders>
              <w:top w:val="nil"/>
              <w:bottom w:val="single" w:sz="4" w:space="0" w:color="auto"/>
            </w:tcBorders>
            <w:noWrap/>
          </w:tcPr>
          <w:p w14:paraId="4337614C" w14:textId="77777777" w:rsidR="00BD4717" w:rsidRDefault="00BD4717" w:rsidP="00BD4717">
            <w:pPr>
              <w:jc w:val="both"/>
              <w:rPr>
                <w:rFonts w:ascii="Arial" w:hAnsi="Arial" w:cs="Arial"/>
                <w:b/>
                <w:bCs/>
                <w:sz w:val="20"/>
                <w:szCs w:val="20"/>
              </w:rPr>
            </w:pPr>
          </w:p>
        </w:tc>
        <w:tc>
          <w:tcPr>
            <w:tcW w:w="9355" w:type="dxa"/>
            <w:tcBorders>
              <w:top w:val="nil"/>
              <w:bottom w:val="single" w:sz="4" w:space="0" w:color="auto"/>
            </w:tcBorders>
          </w:tcPr>
          <w:p w14:paraId="27ED49DD"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Hradená liečba sa môže indikovať v kombinovanom režime granulátom s obsahom ivakaftoru 60 mg/tezakaftoru 40 mg/elexakaftoru 80 mg s granulátom s obsahom 59,5 mg ivakaftoru na liečbu cystickej fibrózy (CF) pacientom vo veku od 2 rokov do menej ako 6 rokov, ktorí majú minimálne jednu mutáciu F508del na géne pre transmembránový regulátor vodivosti pri CF (cystic fibrosis transmembrane conductance regulator, CFTR).</w:t>
            </w:r>
          </w:p>
          <w:p w14:paraId="55376FDC"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Podmienkou hradenej liečby je vykonaná genotypizácia presnou a validovanou metódou na potvrdenie prítomnosti dvoch CF mutácií.</w:t>
            </w:r>
          </w:p>
          <w:p w14:paraId="71F73459"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Ďalšia liečba nie je hradenou liečbou v prípadoch po transplantácii pľúc.</w:t>
            </w:r>
          </w:p>
          <w:p w14:paraId="33A03956"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Hradenú liečbu môže indikovať pneumológ alebo alergológ z Centra pre liečbu cystickej fibrózy.</w:t>
            </w:r>
          </w:p>
          <w:p w14:paraId="3E9C8B9B" w14:textId="7A79B0D9" w:rsidR="00BD4717" w:rsidRPr="000023CB" w:rsidRDefault="00BD4717" w:rsidP="00BD4717">
            <w:pPr>
              <w:jc w:val="both"/>
              <w:rPr>
                <w:rFonts w:ascii="Arial" w:hAnsi="Arial" w:cs="Arial"/>
                <w:bCs/>
                <w:sz w:val="20"/>
                <w:szCs w:val="20"/>
              </w:rPr>
            </w:pPr>
            <w:r w:rsidRPr="000023CB">
              <w:rPr>
                <w:rFonts w:ascii="Arial" w:hAnsi="Arial" w:cs="Arial"/>
                <w:bCs/>
                <w:sz w:val="20"/>
                <w:szCs w:val="20"/>
              </w:rPr>
              <w:t>Hradená liečba podlieha predchádzajúcemu súhlasu zdravotnej poisťovne.</w:t>
            </w:r>
          </w:p>
        </w:tc>
      </w:tr>
      <w:tr w:rsidR="00BD4717" w:rsidRPr="0000591E" w14:paraId="02153A0C" w14:textId="77777777" w:rsidTr="006C70EC">
        <w:trPr>
          <w:trHeight w:val="20"/>
        </w:trPr>
        <w:tc>
          <w:tcPr>
            <w:tcW w:w="1277" w:type="dxa"/>
            <w:tcBorders>
              <w:top w:val="nil"/>
              <w:bottom w:val="single" w:sz="4" w:space="0" w:color="auto"/>
            </w:tcBorders>
            <w:noWrap/>
          </w:tcPr>
          <w:p w14:paraId="349294A7"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rPr>
              <w:t>R07AX32</w:t>
            </w:r>
          </w:p>
        </w:tc>
        <w:tc>
          <w:tcPr>
            <w:tcW w:w="9355" w:type="dxa"/>
            <w:tcBorders>
              <w:top w:val="nil"/>
              <w:bottom w:val="single" w:sz="4" w:space="0" w:color="auto"/>
            </w:tcBorders>
          </w:tcPr>
          <w:p w14:paraId="765DA87A" w14:textId="77777777" w:rsidR="00BD4717" w:rsidRPr="0000591E" w:rsidRDefault="00BD4717" w:rsidP="00BD4717">
            <w:pPr>
              <w:jc w:val="both"/>
              <w:rPr>
                <w:rFonts w:ascii="Arial" w:hAnsi="Arial" w:cs="Arial"/>
                <w:b/>
                <w:bCs/>
                <w:sz w:val="20"/>
                <w:szCs w:val="20"/>
              </w:rPr>
            </w:pPr>
            <w:r>
              <w:rPr>
                <w:rFonts w:ascii="Arial" w:hAnsi="Arial" w:cs="Arial"/>
                <w:b/>
                <w:bCs/>
                <w:sz w:val="20"/>
                <w:szCs w:val="20"/>
              </w:rPr>
              <w:t>Ivakaftor, tezakaftor a elexakaftor p.o. 75 mg/50 mg/100 mg</w:t>
            </w:r>
          </w:p>
        </w:tc>
      </w:tr>
      <w:tr w:rsidR="00BD4717" w:rsidRPr="0000591E" w14:paraId="14E2FB76" w14:textId="77777777" w:rsidTr="00670FEC">
        <w:trPr>
          <w:trHeight w:val="20"/>
        </w:trPr>
        <w:tc>
          <w:tcPr>
            <w:tcW w:w="1277" w:type="dxa"/>
            <w:tcBorders>
              <w:top w:val="single" w:sz="4" w:space="0" w:color="auto"/>
              <w:bottom w:val="single" w:sz="4" w:space="0" w:color="BFBFBF" w:themeColor="background1" w:themeShade="BF"/>
            </w:tcBorders>
            <w:noWrap/>
          </w:tcPr>
          <w:p w14:paraId="03609D3A" w14:textId="77777777" w:rsidR="00BD4717" w:rsidRDefault="00BD4717" w:rsidP="00BD4717">
            <w:pPr>
              <w:jc w:val="both"/>
              <w:rPr>
                <w:rFonts w:ascii="Arial" w:hAnsi="Arial" w:cs="Arial"/>
                <w:sz w:val="20"/>
                <w:szCs w:val="20"/>
                <w:lang w:eastAsia="cs-CZ"/>
              </w:rPr>
            </w:pPr>
          </w:p>
          <w:p w14:paraId="2C7C7CC3" w14:textId="77777777" w:rsidR="00BD4717" w:rsidRDefault="00BD4717" w:rsidP="00BD4717">
            <w:pPr>
              <w:jc w:val="both"/>
              <w:rPr>
                <w:rFonts w:ascii="Arial" w:hAnsi="Arial" w:cs="Arial"/>
                <w:sz w:val="20"/>
                <w:szCs w:val="20"/>
                <w:lang w:eastAsia="cs-CZ"/>
              </w:rPr>
            </w:pPr>
          </w:p>
          <w:p w14:paraId="3ECB0246" w14:textId="77777777" w:rsidR="00BD4717" w:rsidRDefault="00BD4717" w:rsidP="00BD4717">
            <w:pPr>
              <w:jc w:val="both"/>
              <w:rPr>
                <w:rFonts w:ascii="Arial" w:hAnsi="Arial" w:cs="Arial"/>
                <w:sz w:val="20"/>
                <w:szCs w:val="20"/>
                <w:lang w:eastAsia="cs-CZ"/>
              </w:rPr>
            </w:pPr>
          </w:p>
          <w:p w14:paraId="0D22FFED"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643F7A60" w14:textId="77777777" w:rsidR="00BD4717" w:rsidRDefault="00BD4717" w:rsidP="00BD4717">
            <w:pPr>
              <w:pStyle w:val="Default"/>
              <w:jc w:val="both"/>
              <w:rPr>
                <w:sz w:val="20"/>
                <w:szCs w:val="20"/>
                <w:lang w:val="sk-SK"/>
              </w:rPr>
            </w:pPr>
            <w:r w:rsidRPr="001823F3">
              <w:rPr>
                <w:sz w:val="20"/>
                <w:szCs w:val="20"/>
                <w:lang w:val="sk-SK"/>
              </w:rPr>
              <w:t xml:space="preserve">Hradená liečba sa môže indikovať v kombinovanom režime </w:t>
            </w:r>
          </w:p>
          <w:p w14:paraId="32A5EFBF" w14:textId="34DCD07A" w:rsidR="00BD4717" w:rsidRPr="007E5FB2" w:rsidRDefault="00BD4717" w:rsidP="00BD4717">
            <w:pPr>
              <w:pStyle w:val="Default"/>
              <w:jc w:val="both"/>
              <w:rPr>
                <w:sz w:val="20"/>
                <w:szCs w:val="20"/>
                <w:lang w:val="sk-SK"/>
              </w:rPr>
            </w:pPr>
            <w:r>
              <w:rPr>
                <w:sz w:val="20"/>
                <w:szCs w:val="20"/>
                <w:lang w:val="sk-SK"/>
              </w:rPr>
              <w:t>-</w:t>
            </w:r>
            <w:r w:rsidRPr="007E5FB2">
              <w:rPr>
                <w:sz w:val="20"/>
                <w:szCs w:val="20"/>
                <w:lang w:val="sk-SK"/>
              </w:rPr>
              <w:t>tabletami s</w:t>
            </w:r>
            <w:r>
              <w:rPr>
                <w:sz w:val="20"/>
                <w:szCs w:val="20"/>
                <w:lang w:val="sk-SK"/>
              </w:rPr>
              <w:t> </w:t>
            </w:r>
            <w:r w:rsidRPr="007E5FB2">
              <w:rPr>
                <w:sz w:val="20"/>
                <w:szCs w:val="20"/>
                <w:lang w:val="sk-SK"/>
              </w:rPr>
              <w:t>obsahom</w:t>
            </w:r>
            <w:r>
              <w:rPr>
                <w:sz w:val="20"/>
                <w:szCs w:val="20"/>
                <w:lang w:val="sk-SK"/>
              </w:rPr>
              <w:t xml:space="preserve"> </w:t>
            </w:r>
            <w:r w:rsidRPr="007E5FB2">
              <w:rPr>
                <w:sz w:val="20"/>
                <w:szCs w:val="20"/>
                <w:lang w:val="sk-SK"/>
              </w:rPr>
              <w:t>ivakaftoru 75 mg/tezakaftoru 50 mg/elexakaftoru 100 mg s tabletami s obsahom 150 mg ivakaftoru na liečbu cystickej fibrózy (CF) pacientom  vo veku 6 rokov a starším, ktorí majú minimálne jednu mutáciu F508del na géne pre transmembránový regulátor vodivosti pri CF (cystic fibrosis transmembrane conductance regulator, CFTR).</w:t>
            </w:r>
          </w:p>
          <w:p w14:paraId="22EB494E" w14:textId="77777777" w:rsidR="00BD4717" w:rsidRPr="007E5FB2" w:rsidRDefault="00BD4717" w:rsidP="00BD4717">
            <w:pPr>
              <w:pStyle w:val="Default"/>
              <w:jc w:val="both"/>
              <w:rPr>
                <w:sz w:val="20"/>
                <w:szCs w:val="20"/>
                <w:lang w:val="sk-SK"/>
              </w:rPr>
            </w:pPr>
            <w:r w:rsidRPr="007E5FB2">
              <w:rPr>
                <w:sz w:val="20"/>
                <w:szCs w:val="20"/>
                <w:lang w:val="sk-SK"/>
              </w:rPr>
              <w:t>Podmienkou hradenej liečby je vykonaná genotypizácia presnou a validovanou metódou na potvrdenie prítomnosti dvoch CF mutácií.</w:t>
            </w:r>
          </w:p>
          <w:p w14:paraId="75156B84" w14:textId="77777777" w:rsidR="00BD4717" w:rsidRDefault="00BD4717" w:rsidP="00BD4717">
            <w:pPr>
              <w:pStyle w:val="Default"/>
              <w:jc w:val="both"/>
              <w:rPr>
                <w:sz w:val="20"/>
                <w:szCs w:val="20"/>
                <w:lang w:val="sk-SK"/>
              </w:rPr>
            </w:pPr>
          </w:p>
          <w:p w14:paraId="6BEBFF11" w14:textId="29C491AD" w:rsidR="00BD4717" w:rsidRPr="00DC256E" w:rsidRDefault="00BD4717" w:rsidP="00BD4717">
            <w:pPr>
              <w:pStyle w:val="Default"/>
              <w:jc w:val="both"/>
              <w:rPr>
                <w:sz w:val="20"/>
                <w:szCs w:val="20"/>
                <w:lang w:val="sk-SK"/>
              </w:rPr>
            </w:pPr>
            <w:r>
              <w:rPr>
                <w:sz w:val="20"/>
                <w:szCs w:val="20"/>
                <w:lang w:val="sk-SK"/>
              </w:rPr>
              <w:t>-</w:t>
            </w:r>
            <w:r w:rsidRPr="00DC256E">
              <w:rPr>
                <w:sz w:val="20"/>
                <w:szCs w:val="20"/>
                <w:lang w:val="sk-SK"/>
              </w:rPr>
              <w:t>granulátom s obsahom ivakaftoru 75 mg/tezakaftoru 50 mg/elexakaftoru 100 mg s granulátom s obsahom 75 mg ivakaftoru na liečbu cystickej fibrózy (CF) pacientom vo veku od 2 rokov do menej ako 6 rokov, ktorí majú minimálne jednu mutáciu F508del na géne pre transmembránový regulátor vodivosti pri CF (cystic fibrosis transmembrane conductance regulator, CFTR).</w:t>
            </w:r>
          </w:p>
          <w:p w14:paraId="57A5311A" w14:textId="77777777" w:rsidR="00BD4717" w:rsidRPr="00DC256E" w:rsidRDefault="00BD4717" w:rsidP="00BD4717">
            <w:pPr>
              <w:pStyle w:val="Default"/>
              <w:jc w:val="both"/>
              <w:rPr>
                <w:sz w:val="20"/>
                <w:szCs w:val="20"/>
                <w:lang w:val="sk-SK"/>
              </w:rPr>
            </w:pPr>
            <w:r w:rsidRPr="00DC256E">
              <w:rPr>
                <w:sz w:val="20"/>
                <w:szCs w:val="20"/>
                <w:lang w:val="sk-SK"/>
              </w:rPr>
              <w:t>Podmienkou hradenej liečby je vykonaná genotypizácia presnou a validovanou metódou na potvrdenie prítomnosti dvoch CF mutácií.</w:t>
            </w:r>
          </w:p>
          <w:p w14:paraId="77598B15" w14:textId="77777777" w:rsidR="00BD4717" w:rsidRPr="00DC256E" w:rsidRDefault="00BD4717" w:rsidP="00BD4717">
            <w:pPr>
              <w:pStyle w:val="Default"/>
              <w:jc w:val="both"/>
              <w:rPr>
                <w:sz w:val="20"/>
                <w:szCs w:val="20"/>
                <w:lang w:val="sk-SK"/>
              </w:rPr>
            </w:pPr>
          </w:p>
          <w:p w14:paraId="0293BE11" w14:textId="77777777" w:rsidR="00BD4717" w:rsidRPr="001823F3" w:rsidRDefault="00BD4717" w:rsidP="00BD4717">
            <w:pPr>
              <w:pStyle w:val="Default"/>
              <w:jc w:val="both"/>
              <w:rPr>
                <w:sz w:val="20"/>
                <w:szCs w:val="20"/>
                <w:lang w:val="sk-SK"/>
              </w:rPr>
            </w:pPr>
            <w:r w:rsidRPr="001823F3">
              <w:rPr>
                <w:sz w:val="20"/>
                <w:szCs w:val="20"/>
                <w:lang w:val="sk-SK"/>
              </w:rPr>
              <w:t xml:space="preserve">Ďalšia liečba nie je hradenou liečbou v prípadoch po transplantácii pľúc. </w:t>
            </w:r>
          </w:p>
          <w:p w14:paraId="78EF4101" w14:textId="77777777" w:rsidR="00BD4717" w:rsidRPr="001823F3" w:rsidRDefault="00BD4717" w:rsidP="00BD4717">
            <w:pPr>
              <w:pStyle w:val="Default"/>
              <w:jc w:val="both"/>
              <w:rPr>
                <w:sz w:val="20"/>
                <w:szCs w:val="20"/>
                <w:lang w:val="sk-SK"/>
              </w:rPr>
            </w:pPr>
            <w:r w:rsidRPr="001823F3">
              <w:rPr>
                <w:sz w:val="20"/>
                <w:szCs w:val="20"/>
                <w:lang w:val="sk-SK"/>
              </w:rPr>
              <w:t xml:space="preserve">Hradenú liečbu môže indikovať pneumológ alebo alergológ z Centra pre liečbu cystickej fibrózy. </w:t>
            </w:r>
          </w:p>
          <w:p w14:paraId="0D9DB15D" w14:textId="77777777" w:rsidR="00BD4717" w:rsidRDefault="00BD4717" w:rsidP="00BD4717">
            <w:pPr>
              <w:jc w:val="both"/>
              <w:rPr>
                <w:sz w:val="20"/>
                <w:szCs w:val="20"/>
              </w:rPr>
            </w:pPr>
            <w:r w:rsidRPr="001823F3">
              <w:rPr>
                <w:rFonts w:ascii="Arial" w:hAnsi="Arial" w:cs="Arial"/>
                <w:sz w:val="20"/>
                <w:szCs w:val="20"/>
              </w:rPr>
              <w:t>Hradená liečba podlieha predchádzajúcemu súhlasu zdravotnej poisťovne.</w:t>
            </w:r>
            <w:r>
              <w:rPr>
                <w:sz w:val="20"/>
                <w:szCs w:val="20"/>
              </w:rPr>
              <w:t xml:space="preserve"> </w:t>
            </w:r>
          </w:p>
          <w:p w14:paraId="75A9F9D9" w14:textId="6A6E647E" w:rsidR="00BD4717" w:rsidRPr="0000591E" w:rsidRDefault="00BD4717" w:rsidP="00BD4717">
            <w:pPr>
              <w:jc w:val="both"/>
              <w:rPr>
                <w:rFonts w:ascii="Arial" w:hAnsi="Arial" w:cs="Arial"/>
                <w:sz w:val="20"/>
                <w:szCs w:val="20"/>
              </w:rPr>
            </w:pPr>
          </w:p>
        </w:tc>
      </w:tr>
      <w:tr w:rsidR="00BD4717" w:rsidRPr="0000591E" w14:paraId="2E94ED69" w14:textId="77777777" w:rsidTr="00670FEC">
        <w:trPr>
          <w:trHeight w:val="20"/>
        </w:trPr>
        <w:tc>
          <w:tcPr>
            <w:tcW w:w="1277" w:type="dxa"/>
            <w:tcBorders>
              <w:bottom w:val="single" w:sz="4" w:space="0" w:color="auto"/>
            </w:tcBorders>
            <w:noWrap/>
          </w:tcPr>
          <w:p w14:paraId="62D59AA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S01BA01</w:t>
            </w:r>
          </w:p>
        </w:tc>
        <w:tc>
          <w:tcPr>
            <w:tcW w:w="9355" w:type="dxa"/>
            <w:tcBorders>
              <w:bottom w:val="single" w:sz="4" w:space="0" w:color="auto"/>
            </w:tcBorders>
          </w:tcPr>
          <w:p w14:paraId="379A1E9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Dexametazón loc. intravitreálny implantát</w:t>
            </w:r>
          </w:p>
        </w:tc>
      </w:tr>
      <w:tr w:rsidR="00BD4717" w:rsidRPr="0000591E" w14:paraId="70E7977F" w14:textId="77777777" w:rsidTr="00670FEC">
        <w:trPr>
          <w:trHeight w:val="20"/>
        </w:trPr>
        <w:tc>
          <w:tcPr>
            <w:tcW w:w="1277" w:type="dxa"/>
            <w:tcBorders>
              <w:top w:val="single" w:sz="4" w:space="0" w:color="auto"/>
              <w:bottom w:val="single" w:sz="4" w:space="0" w:color="BFBFBF" w:themeColor="background1" w:themeShade="BF"/>
            </w:tcBorders>
            <w:noWrap/>
          </w:tcPr>
          <w:p w14:paraId="2264AB77" w14:textId="77777777" w:rsidR="00BD4717" w:rsidRPr="00910DE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B12B14D"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Hradená liečba sa môže indikovať u dospelých pacientov</w:t>
            </w:r>
          </w:p>
          <w:p w14:paraId="67288BDF"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a) s makulárnym edémom po oklúzii vetvovej žily sietnice (BRVO) alebo oklúzii stredovej žily sietnice (CRVO). Podmienkou hradenej liečby je vstupná zraková ostrosť v rozmedzí 20/32 - 20/200 </w:t>
            </w:r>
          </w:p>
          <w:p w14:paraId="198ACCFF"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b) pri poškodení zraku v dôsledku diabetického makulárneho edému u diabetikov s DM 1. typu alebo diabetikov s DM 2. typu u ktorých hodnota HbA1c je nižšia alebo rovná 10,0 % (DCCT) , pričom vyšetrenie nemá byť staršie ako 6 mesiacov, s hrúbkou sietnice v makulárnej krajine ≥ 400μm alebo ak diabetický edém makuly nereaguje na liečbu laserom a hrúbka sietnice v makulárnej krajine je ≥ 250μm, ktorí: </w:t>
            </w:r>
          </w:p>
          <w:p w14:paraId="7CE70416"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1. sú pseudofakickí, alebo </w:t>
            </w:r>
          </w:p>
          <w:p w14:paraId="4594BBB3"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2. v dôsledku kardiovaskulárnej choroby (ako napr. prechodná ischemická príhoda, infarkt myokardu, náhla cievna mozgová príhoda) alebo tehotenstva respektíve laktácie, sú nevhodní na liečbu liekmi zo skupiny antiVEGF, alebo </w:t>
            </w:r>
          </w:p>
          <w:p w14:paraId="75F197AB"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3. sú čiastočne refraktérni na liečbu liekmi zo skupiny anti-VEGF, u ktorých aj pri použití druhého anti-VEGF lieku po zlepšení po troch dávkach došlo len k dočasnému krátkodobému zlepšeniu (a následne zhoršeniu) alebo nedošlo k ďalšiemu zlepšeniu, alebo </w:t>
            </w:r>
          </w:p>
          <w:p w14:paraId="50546C90"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4. sú úplne refraktérni na liečbu liekmi zo skupiny anti-VEGF, keď pri použití tretej dávky u druhého anti-VEGF lieku nedošlo k zlepšeniu. </w:t>
            </w:r>
          </w:p>
          <w:p w14:paraId="51D5AA73"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Podmienkou hradenej liečby u pacientov s poškodeným zrakom v dôsledku diabetického makulárneho edému je vstupná zraková ostrosť v rozmedzí 20/25 - 20/200. </w:t>
            </w:r>
          </w:p>
          <w:p w14:paraId="0CF8EB53"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Ak po dvoch aplikáciách nedôjde k resorpcii edému makuly minimálne o 50μm alebo zlepšeniu zrakovej ostrosti o päť písmen, ďalšia liečba nie je hradenou liečbou. Interval medzi aplikáciou dvoch dávok nesmie byť kratší ako 3 mesiace. Počet hradených dávok v rámci jedného preliečenia je maximálne 7 dávok. Opakované preliečenie môže prebehnúť približne po 6 mesiacoch za podmienky splnenia vyššie uvedených indikačných kritérií. </w:t>
            </w:r>
          </w:p>
          <w:p w14:paraId="4468980F"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Hradená liečba sa môže indikovať na lôžkových očných oddeleniach nemocníc a očných pracoviskách jednodňovej ambulantnej starostlivosti. </w:t>
            </w:r>
          </w:p>
          <w:p w14:paraId="7B9E472B"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Pracovisko musí spĺňať tieto kritéria: </w:t>
            </w:r>
          </w:p>
          <w:p w14:paraId="021D4705" w14:textId="77777777" w:rsidR="00BD4717" w:rsidRDefault="00BD4717">
            <w:pPr>
              <w:pStyle w:val="Odsekzoznamu"/>
              <w:numPr>
                <w:ilvl w:val="0"/>
                <w:numId w:val="129"/>
              </w:numPr>
              <w:rPr>
                <w:rFonts w:ascii="Arial" w:hAnsi="Arial" w:cs="Arial"/>
                <w:sz w:val="20"/>
                <w:szCs w:val="20"/>
              </w:rPr>
            </w:pPr>
            <w:r w:rsidRPr="00910DEE">
              <w:rPr>
                <w:rFonts w:ascii="Arial" w:hAnsi="Arial" w:cs="Arial"/>
                <w:sz w:val="20"/>
                <w:szCs w:val="20"/>
              </w:rPr>
              <w:t>Liečbu musia vykonávať na</w:t>
            </w:r>
            <w:r>
              <w:rPr>
                <w:rFonts w:ascii="Arial" w:hAnsi="Arial" w:cs="Arial"/>
                <w:sz w:val="20"/>
                <w:szCs w:val="20"/>
              </w:rPr>
              <w:t>jmenej dvaja atestovaní lekári.</w:t>
            </w:r>
          </w:p>
          <w:p w14:paraId="383A2AD0" w14:textId="77777777" w:rsidR="00BD4717" w:rsidRDefault="00BD4717">
            <w:pPr>
              <w:pStyle w:val="Odsekzoznamu"/>
              <w:numPr>
                <w:ilvl w:val="0"/>
                <w:numId w:val="129"/>
              </w:numPr>
              <w:rPr>
                <w:rFonts w:ascii="Arial" w:hAnsi="Arial" w:cs="Arial"/>
                <w:sz w:val="20"/>
                <w:szCs w:val="20"/>
              </w:rPr>
            </w:pPr>
            <w:r w:rsidRPr="00910DEE">
              <w:rPr>
                <w:rFonts w:ascii="Arial" w:hAnsi="Arial" w:cs="Arial"/>
                <w:sz w:val="20"/>
                <w:szCs w:val="20"/>
              </w:rPr>
              <w:t>Pracovisko má potrebné technické vybavenie na diagnostiku a monitoring diabetickej retinopatie a diabetického edému makuly, edému makuly pre oklúziu v. c. retinae: ETDRS optotyp, funduskamera na farebnú fotografiu fundu a fluoresceínovú angiografiu, OCT a/alebo angio OCT.</w:t>
            </w:r>
          </w:p>
          <w:p w14:paraId="2A89368C" w14:textId="77777777" w:rsidR="00BD4717" w:rsidRPr="00910DEE" w:rsidRDefault="00BD4717">
            <w:pPr>
              <w:pStyle w:val="Odsekzoznamu"/>
              <w:numPr>
                <w:ilvl w:val="0"/>
                <w:numId w:val="129"/>
              </w:numPr>
              <w:rPr>
                <w:rFonts w:ascii="Arial" w:hAnsi="Arial" w:cs="Arial"/>
                <w:sz w:val="20"/>
                <w:szCs w:val="20"/>
              </w:rPr>
            </w:pPr>
            <w:r w:rsidRPr="00910DEE">
              <w:rPr>
                <w:rFonts w:ascii="Arial" w:hAnsi="Arial" w:cs="Arial"/>
                <w:sz w:val="20"/>
                <w:szCs w:val="20"/>
              </w:rPr>
              <w:t xml:space="preserve"> Sterilnú operačnú sálu s operačným mikroskopom. </w:t>
            </w:r>
          </w:p>
          <w:p w14:paraId="6CFE6030"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V prípade, že pracovisko nevykonáva pars plana vitrektómiu, musí mať zazmluvnené vitreoretinálne pracovisko na riešenie prípadných komplikácií intravitreálnej liečby. </w:t>
            </w:r>
          </w:p>
          <w:p w14:paraId="75BD0EA4" w14:textId="77777777" w:rsidR="00BD4717" w:rsidRPr="00340DA2" w:rsidRDefault="00BD4717" w:rsidP="00BD4717">
            <w:pPr>
              <w:spacing w:after="200" w:line="276" w:lineRule="auto"/>
              <w:jc w:val="both"/>
              <w:rPr>
                <w:rFonts w:ascii="Arial" w:hAnsi="Arial" w:cs="Arial"/>
                <w:sz w:val="20"/>
                <w:szCs w:val="20"/>
              </w:rPr>
            </w:pPr>
            <w:r w:rsidRPr="00910DEE">
              <w:rPr>
                <w:rFonts w:ascii="Arial" w:hAnsi="Arial" w:cs="Arial"/>
                <w:sz w:val="20"/>
                <w:szCs w:val="20"/>
              </w:rPr>
              <w:t>Hradená liečba podlieha predchádzajúcemu súhlasu zdravotnej poisťovne.</w:t>
            </w:r>
          </w:p>
        </w:tc>
      </w:tr>
      <w:tr w:rsidR="00BD4717" w:rsidRPr="0000591E" w14:paraId="20BCA4DF" w14:textId="77777777" w:rsidTr="00670FEC">
        <w:trPr>
          <w:trHeight w:val="20"/>
        </w:trPr>
        <w:tc>
          <w:tcPr>
            <w:tcW w:w="1277" w:type="dxa"/>
            <w:tcBorders>
              <w:bottom w:val="single" w:sz="4" w:space="0" w:color="auto"/>
            </w:tcBorders>
            <w:noWrap/>
          </w:tcPr>
          <w:p w14:paraId="7FABCEF4"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S01FA06</w:t>
            </w:r>
          </w:p>
        </w:tc>
        <w:tc>
          <w:tcPr>
            <w:tcW w:w="9355" w:type="dxa"/>
            <w:tcBorders>
              <w:bottom w:val="single" w:sz="4" w:space="0" w:color="auto"/>
            </w:tcBorders>
            <w:noWrap/>
          </w:tcPr>
          <w:p w14:paraId="7D2F7587"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Tropikamid loc. 5 mg/ml</w:t>
            </w:r>
          </w:p>
        </w:tc>
      </w:tr>
      <w:tr w:rsidR="00BD4717" w:rsidRPr="0000591E" w14:paraId="48CD39D8" w14:textId="77777777" w:rsidTr="00670FEC">
        <w:trPr>
          <w:trHeight w:val="20"/>
        </w:trPr>
        <w:tc>
          <w:tcPr>
            <w:tcW w:w="1277" w:type="dxa"/>
            <w:tcBorders>
              <w:top w:val="single" w:sz="4" w:space="0" w:color="auto"/>
              <w:bottom w:val="single" w:sz="4" w:space="0" w:color="BFBFBF" w:themeColor="background1" w:themeShade="BF"/>
            </w:tcBorders>
            <w:noWrap/>
          </w:tcPr>
          <w:p w14:paraId="000DB6FD"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2931AF5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na vyvolanie terapeutickej mydriázy.</w:t>
            </w:r>
          </w:p>
          <w:p w14:paraId="721FCB75" w14:textId="2F24BD1B" w:rsidR="00BD4717" w:rsidRPr="0000591E" w:rsidRDefault="00BD4717" w:rsidP="00BD4717">
            <w:pPr>
              <w:jc w:val="both"/>
              <w:rPr>
                <w:rFonts w:ascii="Arial" w:hAnsi="Arial" w:cs="Arial"/>
                <w:sz w:val="20"/>
                <w:szCs w:val="20"/>
              </w:rPr>
            </w:pPr>
          </w:p>
        </w:tc>
      </w:tr>
      <w:tr w:rsidR="00BD4717" w:rsidRPr="0000591E" w14:paraId="32CAE868" w14:textId="77777777" w:rsidTr="00DA0B5C">
        <w:trPr>
          <w:trHeight w:val="20"/>
        </w:trPr>
        <w:tc>
          <w:tcPr>
            <w:tcW w:w="1277" w:type="dxa"/>
            <w:tcBorders>
              <w:bottom w:val="single" w:sz="4" w:space="0" w:color="auto"/>
            </w:tcBorders>
            <w:noWrap/>
          </w:tcPr>
          <w:p w14:paraId="0430F481"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S01LA04</w:t>
            </w:r>
          </w:p>
        </w:tc>
        <w:tc>
          <w:tcPr>
            <w:tcW w:w="9355" w:type="dxa"/>
            <w:tcBorders>
              <w:bottom w:val="single" w:sz="4" w:space="0" w:color="auto"/>
            </w:tcBorders>
            <w:noWrap/>
          </w:tcPr>
          <w:p w14:paraId="6520B4F4" w14:textId="77777777" w:rsidR="00BD4717" w:rsidRPr="0000591E" w:rsidRDefault="00BD4717" w:rsidP="00BD4717">
            <w:pPr>
              <w:jc w:val="both"/>
              <w:rPr>
                <w:rFonts w:ascii="Arial" w:hAnsi="Arial" w:cs="Arial"/>
                <w:sz w:val="20"/>
                <w:szCs w:val="20"/>
              </w:rPr>
            </w:pPr>
            <w:r w:rsidRPr="0000591E">
              <w:rPr>
                <w:rFonts w:ascii="Arial" w:hAnsi="Arial" w:cs="Arial"/>
                <w:b/>
                <w:bCs/>
                <w:sz w:val="20"/>
                <w:szCs w:val="20"/>
              </w:rPr>
              <w:t>Ranibizumab intravitreálne 1</w:t>
            </w:r>
            <w:r>
              <w:rPr>
                <w:rFonts w:ascii="Arial" w:hAnsi="Arial" w:cs="Arial"/>
                <w:b/>
                <w:bCs/>
                <w:sz w:val="20"/>
                <w:szCs w:val="20"/>
              </w:rPr>
              <w:t xml:space="preserve">, 65 </w:t>
            </w:r>
            <w:r w:rsidRPr="0000591E">
              <w:rPr>
                <w:rFonts w:ascii="Arial" w:hAnsi="Arial" w:cs="Arial"/>
                <w:b/>
                <w:bCs/>
                <w:sz w:val="20"/>
                <w:szCs w:val="20"/>
              </w:rPr>
              <w:t>mg</w:t>
            </w:r>
          </w:p>
        </w:tc>
      </w:tr>
      <w:tr w:rsidR="00BD4717" w:rsidRPr="0000591E" w14:paraId="6E35DCCB" w14:textId="77777777" w:rsidTr="00DA0B5C">
        <w:trPr>
          <w:trHeight w:val="20"/>
        </w:trPr>
        <w:tc>
          <w:tcPr>
            <w:tcW w:w="1277" w:type="dxa"/>
            <w:tcBorders>
              <w:top w:val="single" w:sz="4" w:space="0" w:color="auto"/>
              <w:bottom w:val="nil"/>
            </w:tcBorders>
            <w:noWrap/>
          </w:tcPr>
          <w:p w14:paraId="550768D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5B1A7106" w14:textId="77777777" w:rsidR="00BD4717" w:rsidRPr="00053936" w:rsidRDefault="00BD4717" w:rsidP="00BD4717">
            <w:pPr>
              <w:jc w:val="both"/>
              <w:rPr>
                <w:rFonts w:ascii="Arial" w:hAnsi="Arial" w:cs="Arial"/>
                <w:bCs/>
                <w:i/>
                <w:sz w:val="20"/>
                <w:szCs w:val="20"/>
              </w:rPr>
            </w:pPr>
            <w:r w:rsidRPr="00053936">
              <w:rPr>
                <w:rFonts w:ascii="Arial" w:hAnsi="Arial" w:cs="Arial"/>
                <w:bCs/>
                <w:i/>
                <w:sz w:val="20"/>
                <w:szCs w:val="20"/>
              </w:rPr>
              <w:t>Vlhká forma VPDM</w:t>
            </w:r>
          </w:p>
          <w:p w14:paraId="206EE6A5"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 pacientov s vlhkou formou VPDM môže indikovať za predpokladu splnenia nasledujúcich kritérií: </w:t>
            </w:r>
          </w:p>
          <w:p w14:paraId="59931E42" w14:textId="77777777" w:rsidR="00BD4717" w:rsidRDefault="00BD4717">
            <w:pPr>
              <w:numPr>
                <w:ilvl w:val="0"/>
                <w:numId w:val="110"/>
              </w:numPr>
              <w:jc w:val="both"/>
              <w:rPr>
                <w:rFonts w:ascii="Arial" w:hAnsi="Arial" w:cs="Arial"/>
                <w:bCs/>
                <w:sz w:val="20"/>
                <w:szCs w:val="20"/>
              </w:rPr>
            </w:pPr>
            <w:r w:rsidRPr="00970AE2">
              <w:rPr>
                <w:rFonts w:ascii="Arial" w:hAnsi="Arial" w:cs="Arial"/>
                <w:bCs/>
                <w:sz w:val="20"/>
                <w:szCs w:val="20"/>
              </w:rPr>
              <w:t>Vstupná zraková ostrosť v rozmedzí 20/25 – 20/200, u monokulov 20/25 – 20/320</w:t>
            </w:r>
          </w:p>
          <w:p w14:paraId="7BFCAD67"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 xml:space="preserve">Preukázaná aktívna subfoveálna neovaskulárna VPDM </w:t>
            </w:r>
          </w:p>
          <w:p w14:paraId="27954A0C"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Známky aktivity CNV lézie preukázané na OCT a/alebo FAG a/alebo A-OCT</w:t>
            </w:r>
          </w:p>
          <w:p w14:paraId="25466B21"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Priložený diagnostický záver k vyšetreniam a snímka OCT a/alebo FAG a/alebo A-OCT</w:t>
            </w:r>
          </w:p>
          <w:p w14:paraId="19889061"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w:t>
            </w:r>
          </w:p>
          <w:p w14:paraId="2717A657"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VPDM za predpokladu splnenia vyššie uvedených kritérií. </w:t>
            </w:r>
          </w:p>
          <w:p w14:paraId="51552DEC" w14:textId="77777777" w:rsidR="00BD4717" w:rsidRPr="00970AE2" w:rsidRDefault="00BD4717" w:rsidP="00BD4717">
            <w:pPr>
              <w:jc w:val="both"/>
              <w:rPr>
                <w:rFonts w:ascii="Arial" w:hAnsi="Arial" w:cs="Arial"/>
                <w:bCs/>
                <w:sz w:val="20"/>
                <w:szCs w:val="20"/>
              </w:rPr>
            </w:pPr>
          </w:p>
          <w:p w14:paraId="4BCF9A2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ukončí v nasledujúcich prípadoch: </w:t>
            </w:r>
          </w:p>
          <w:p w14:paraId="765A1884" w14:textId="77777777" w:rsidR="00BD4717" w:rsidRPr="00970AE2" w:rsidRDefault="00BD4717">
            <w:pPr>
              <w:numPr>
                <w:ilvl w:val="0"/>
                <w:numId w:val="111"/>
              </w:numPr>
              <w:spacing w:line="276" w:lineRule="auto"/>
              <w:jc w:val="both"/>
              <w:rPr>
                <w:rFonts w:ascii="Arial" w:hAnsi="Arial" w:cs="Arial"/>
                <w:bCs/>
                <w:sz w:val="20"/>
                <w:szCs w:val="20"/>
              </w:rPr>
            </w:pPr>
            <w:r w:rsidRPr="00970AE2">
              <w:rPr>
                <w:rFonts w:ascii="Arial" w:hAnsi="Arial" w:cs="Arial"/>
                <w:bCs/>
                <w:sz w:val="20"/>
                <w:szCs w:val="20"/>
              </w:rPr>
              <w:t>Pokiaľ je zraková ost</w:t>
            </w:r>
            <w:r>
              <w:rPr>
                <w:rFonts w:ascii="Arial" w:hAnsi="Arial" w:cs="Arial"/>
                <w:bCs/>
                <w:sz w:val="20"/>
                <w:szCs w:val="20"/>
              </w:rPr>
              <w:t>rosť pacienta horšia ako 20/200</w:t>
            </w:r>
            <w:r w:rsidRPr="00970AE2">
              <w:rPr>
                <w:rFonts w:ascii="Arial" w:hAnsi="Arial" w:cs="Arial"/>
                <w:bCs/>
                <w:sz w:val="20"/>
                <w:szCs w:val="20"/>
              </w:rPr>
              <w:t>, u monokulov 20/400</w:t>
            </w:r>
          </w:p>
          <w:p w14:paraId="796B894B" w14:textId="77777777" w:rsidR="00BD4717" w:rsidRPr="00970AE2" w:rsidRDefault="00BD4717">
            <w:pPr>
              <w:numPr>
                <w:ilvl w:val="0"/>
                <w:numId w:val="111"/>
              </w:numPr>
              <w:spacing w:line="276" w:lineRule="auto"/>
              <w:jc w:val="both"/>
              <w:rPr>
                <w:rFonts w:ascii="Arial" w:hAnsi="Arial" w:cs="Arial"/>
                <w:bCs/>
                <w:sz w:val="20"/>
                <w:szCs w:val="20"/>
              </w:rPr>
            </w:pPr>
            <w:r w:rsidRPr="00970AE2">
              <w:rPr>
                <w:rFonts w:ascii="Arial" w:hAnsi="Arial" w:cs="Arial"/>
                <w:bCs/>
                <w:sz w:val="20"/>
                <w:szCs w:val="20"/>
              </w:rPr>
              <w:t>Ak na základe anatomického nálezu v makule nie je možné očakávať ďalší efekt liečby</w:t>
            </w:r>
            <w:r>
              <w:rPr>
                <w:rFonts w:ascii="Arial" w:hAnsi="Arial" w:cs="Arial"/>
                <w:bCs/>
                <w:sz w:val="20"/>
                <w:szCs w:val="20"/>
              </w:rPr>
              <w:t>.</w:t>
            </w:r>
            <w:r w:rsidRPr="00970AE2">
              <w:rPr>
                <w:rFonts w:ascii="Arial" w:hAnsi="Arial" w:cs="Arial"/>
                <w:bCs/>
                <w:sz w:val="20"/>
                <w:szCs w:val="20"/>
              </w:rPr>
              <w:t xml:space="preserve"> </w:t>
            </w:r>
          </w:p>
          <w:p w14:paraId="2D7F008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C430AE2" w14:textId="77777777" w:rsidR="00BD4717" w:rsidRPr="00970AE2" w:rsidRDefault="00BD4717" w:rsidP="00BD4717">
            <w:pPr>
              <w:jc w:val="both"/>
              <w:rPr>
                <w:rFonts w:ascii="Arial" w:hAnsi="Arial" w:cs="Arial"/>
                <w:bCs/>
                <w:sz w:val="20"/>
                <w:szCs w:val="20"/>
              </w:rPr>
            </w:pPr>
          </w:p>
          <w:p w14:paraId="33057EE2" w14:textId="080CCE18" w:rsidR="00BD4717" w:rsidRDefault="00BD4717" w:rsidP="00BD4717">
            <w:pPr>
              <w:jc w:val="both"/>
              <w:rPr>
                <w:rFonts w:ascii="Arial" w:hAnsi="Arial" w:cs="Arial"/>
                <w:bCs/>
                <w:sz w:val="20"/>
                <w:szCs w:val="20"/>
              </w:rPr>
            </w:pPr>
            <w:r w:rsidRPr="00970AE2">
              <w:rPr>
                <w:rFonts w:ascii="Arial" w:hAnsi="Arial" w:cs="Arial"/>
                <w:bCs/>
                <w:sz w:val="20"/>
                <w:szCs w:val="20"/>
              </w:rPr>
              <w:t>Na základe verejného zdravotného poistenia sa uhrádza maximálne 8 dávok anti-VEGF liečby (kumulatívne za obe liečivá ranibizumab a aflibercept podávané intravitreálne) do jedného oka v prvom roku liečby a maximálne 6 dávok anti-VEGF liečby (kumulatívne za obe liečivá ranibizumab a aflibercept podávané intravitreálne) do jedného oka za rok v nasledujúcich rokoch.</w:t>
            </w:r>
          </w:p>
          <w:p w14:paraId="6E4B189A" w14:textId="77777777" w:rsidR="00BD4717" w:rsidRPr="00970AE2" w:rsidRDefault="00BD4717" w:rsidP="00BD4717">
            <w:pPr>
              <w:jc w:val="both"/>
              <w:rPr>
                <w:rFonts w:ascii="Arial" w:hAnsi="Arial" w:cs="Arial"/>
                <w:bCs/>
                <w:sz w:val="20"/>
                <w:szCs w:val="20"/>
              </w:rPr>
            </w:pPr>
          </w:p>
          <w:p w14:paraId="0597EA25"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DEM </w:t>
            </w:r>
          </w:p>
          <w:p w14:paraId="2FFE342E"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Prípravok je hradený v liečbe poškodenia zraku spôsobeného diabetickým edémom makuly podľa nasledujúcich kritérií: </w:t>
            </w:r>
          </w:p>
          <w:p w14:paraId="46249F07"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sa môže indikovať u diabetikov s DM 1.typu alebo *kompenzovaných diabetikov s DM 2.typu, u ktorých *hodnota glykovaného hemoglobínu HbA1C (nie staršia ako 3 mesiace) je nižšia alebo rovná 8,0% /DCCT/  </w:t>
            </w:r>
            <w:r>
              <w:rPr>
                <w:rFonts w:ascii="Arial" w:hAnsi="Arial" w:cs="Arial"/>
                <w:bCs/>
                <w:sz w:val="20"/>
                <w:szCs w:val="20"/>
              </w:rPr>
              <w:t>64 mmol/mol /IFCC</w:t>
            </w:r>
          </w:p>
          <w:p w14:paraId="05F5B2FA"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Liečba sa môže indikovať u pacientov s diabetickým edémom makuly, ktorý je príčinou zhoršenia zrakovej ostrosti v rozmedzí 20/25 - 20/200, u pacientov s hrúbkou sietnice v makulárnej krajine, u monokulov 20/25 – 20/320</w:t>
            </w:r>
          </w:p>
          <w:p w14:paraId="3DDFD5B8"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 400 μm alebo ak diabetický edém makuly nereaguje na liečbu laserom a hrúbka sietnice v makulárnej krajine je ≥ 300μm. </w:t>
            </w:r>
          </w:p>
          <w:p w14:paraId="4F16D6D3"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je indikovaná len v prípade, že zmeny v makule nie sú ireverzibilného charakteru a nie sú prítomné známky sprievodného ochorenia makuly. </w:t>
            </w:r>
          </w:p>
          <w:p w14:paraId="4CB8CE6A"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je hradená do dosiahnutia maximálnej zrakovej ostrosti, t.j. do stavu, keď je pacientova zraková ostrosť stabilná počas 3 po sebe nasledujúcich aplikačných návštev. </w:t>
            </w:r>
          </w:p>
          <w:p w14:paraId="68D39198"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diabetickým edémom makuly za predpokladu splnenia vyššie uvedených kritérií. </w:t>
            </w:r>
          </w:p>
          <w:p w14:paraId="1785734D" w14:textId="77777777" w:rsidR="00BD4717" w:rsidRPr="00970AE2" w:rsidRDefault="00BD4717" w:rsidP="00BD4717">
            <w:pPr>
              <w:jc w:val="both"/>
              <w:rPr>
                <w:rFonts w:ascii="Arial" w:hAnsi="Arial" w:cs="Arial"/>
                <w:bCs/>
                <w:sz w:val="20"/>
                <w:szCs w:val="20"/>
              </w:rPr>
            </w:pPr>
          </w:p>
          <w:p w14:paraId="75A506D8"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aj v nasledujúcich prípadoch:</w:t>
            </w:r>
          </w:p>
          <w:p w14:paraId="57047D4F" w14:textId="77777777" w:rsidR="00BD4717" w:rsidRPr="00970AE2" w:rsidRDefault="00BD4717">
            <w:pPr>
              <w:numPr>
                <w:ilvl w:val="0"/>
                <w:numId w:val="113"/>
              </w:numPr>
              <w:spacing w:line="276" w:lineRule="auto"/>
              <w:jc w:val="both"/>
              <w:rPr>
                <w:rFonts w:ascii="Arial" w:hAnsi="Arial" w:cs="Arial"/>
                <w:bCs/>
                <w:sz w:val="20"/>
                <w:szCs w:val="20"/>
              </w:rPr>
            </w:pPr>
            <w:r w:rsidRPr="00970AE2">
              <w:rPr>
                <w:rFonts w:ascii="Arial" w:hAnsi="Arial" w:cs="Arial"/>
                <w:bCs/>
                <w:sz w:val="20"/>
                <w:szCs w:val="20"/>
              </w:rPr>
              <w:t xml:space="preserve">Ak po piatich /SPC/ úvodných aplikáciách nedôjde k resorpcii edému makuly minimálne o 50 μm alebo zlepšeniu zrakovej ostrosti minimálne o 5 písmen ETDRS. </w:t>
            </w:r>
          </w:p>
          <w:p w14:paraId="62482ED1" w14:textId="77777777" w:rsidR="00BD4717" w:rsidRPr="00970AE2" w:rsidRDefault="00BD4717">
            <w:pPr>
              <w:numPr>
                <w:ilvl w:val="0"/>
                <w:numId w:val="113"/>
              </w:numPr>
              <w:spacing w:line="276" w:lineRule="auto"/>
              <w:jc w:val="both"/>
              <w:rPr>
                <w:rFonts w:ascii="Arial" w:hAnsi="Arial" w:cs="Arial"/>
                <w:bCs/>
                <w:sz w:val="20"/>
                <w:szCs w:val="20"/>
              </w:rPr>
            </w:pPr>
            <w:r w:rsidRPr="00970AE2">
              <w:rPr>
                <w:rFonts w:ascii="Arial" w:hAnsi="Arial" w:cs="Arial"/>
                <w:bCs/>
                <w:sz w:val="20"/>
                <w:szCs w:val="20"/>
              </w:rPr>
              <w:t>V prípade zhoršenia zrakovej ostrosti o viac než tri riadky ETDRS optotypu, ktoré je spôsobené neúčinnosťou liečby a pacient nie je monokulus</w:t>
            </w:r>
            <w:r>
              <w:rPr>
                <w:rFonts w:ascii="Arial" w:hAnsi="Arial" w:cs="Arial"/>
                <w:bCs/>
                <w:sz w:val="20"/>
                <w:szCs w:val="20"/>
              </w:rPr>
              <w:t>.</w:t>
            </w:r>
          </w:p>
          <w:p w14:paraId="0638F014"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694F6A86" w14:textId="77777777" w:rsidR="00BD4717" w:rsidRDefault="00BD4717" w:rsidP="00BD4717">
            <w:pPr>
              <w:jc w:val="both"/>
              <w:rPr>
                <w:rFonts w:ascii="Arial" w:hAnsi="Arial" w:cs="Arial"/>
                <w:bCs/>
                <w:i/>
                <w:sz w:val="20"/>
                <w:szCs w:val="20"/>
                <w:u w:val="single"/>
              </w:rPr>
            </w:pPr>
          </w:p>
          <w:p w14:paraId="472AD35F" w14:textId="41C979B8"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CRVO </w:t>
            </w:r>
          </w:p>
          <w:p w14:paraId="50FBAD9D"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centrálnej žily sietnice (CRVO) v prípade, že zmeny v makule nie sú ireverzibilného charakteru a liečba samotným laserom je neúčinná alebo nie je vhodné laserovú liečbu realizovať.</w:t>
            </w:r>
          </w:p>
          <w:p w14:paraId="62405286"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58AACD7F"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2B9A73C7" w14:textId="77777777" w:rsidR="00BD4717" w:rsidRPr="00970AE2" w:rsidRDefault="00BD4717">
            <w:pPr>
              <w:numPr>
                <w:ilvl w:val="0"/>
                <w:numId w:val="114"/>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5F586FAF" w14:textId="77777777" w:rsidR="00BD4717" w:rsidRPr="00970AE2" w:rsidRDefault="00BD4717">
            <w:pPr>
              <w:numPr>
                <w:ilvl w:val="0"/>
                <w:numId w:val="114"/>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5EC176F9"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52E7A630" w14:textId="77777777" w:rsidR="00BD4717" w:rsidRDefault="00BD4717" w:rsidP="00BD4717">
            <w:pPr>
              <w:jc w:val="both"/>
              <w:rPr>
                <w:rFonts w:ascii="Arial" w:hAnsi="Arial" w:cs="Arial"/>
                <w:bCs/>
                <w:i/>
                <w:sz w:val="20"/>
                <w:szCs w:val="20"/>
                <w:u w:val="single"/>
              </w:rPr>
            </w:pPr>
          </w:p>
          <w:p w14:paraId="5AF7EF91" w14:textId="0B1F82C0"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BRVO </w:t>
            </w:r>
          </w:p>
          <w:p w14:paraId="74AE6E1B"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vetvy žily sietnice (BRVO) v prípade, že zmeny v makule nie sú ireverzibilného charakteru a liečba samotným laserom je neúčinná alebo nie je vhodné laserovú liečbu realizovať.</w:t>
            </w:r>
          </w:p>
          <w:p w14:paraId="62C2F93E"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6CE0AE0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0281B2C4" w14:textId="77777777" w:rsidR="00BD4717" w:rsidRPr="00970AE2" w:rsidRDefault="00BD4717">
            <w:pPr>
              <w:numPr>
                <w:ilvl w:val="0"/>
                <w:numId w:val="115"/>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44B3C9DE" w14:textId="77777777" w:rsidR="00BD4717" w:rsidRPr="00970AE2" w:rsidRDefault="00BD4717">
            <w:pPr>
              <w:numPr>
                <w:ilvl w:val="0"/>
                <w:numId w:val="115"/>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40541A2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57B0B3F"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w:t>
            </w:r>
          </w:p>
          <w:p w14:paraId="0C6B76FC"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Hradená liečba sa môže indikovať na lôžkových očných oddeleniach nemocníc a očných pracoviskách jednodňovej ambulantnej starostlivosti.</w:t>
            </w:r>
          </w:p>
          <w:p w14:paraId="11C06835"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Pracovisko musí spĺňať tieto kritériá:</w:t>
            </w:r>
          </w:p>
          <w:p w14:paraId="1D6A77BF"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Liečbu musia vykonávať najmenej dvaja atestovaní lekári</w:t>
            </w:r>
          </w:p>
          <w:p w14:paraId="1880A099"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199DC8A1"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 xml:space="preserve">Sterilnú operačnú sálu s operačným mikroskopom </w:t>
            </w:r>
          </w:p>
          <w:p w14:paraId="5526810F"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V prípade, že pracovisko nevykonáva pars plana vitrektómiu, musí mať zazmluvnené vitreoretinálne pracovisko na riešenie prípadných komplikácií intravitreálnej antiVEGF liečby.</w:t>
            </w:r>
          </w:p>
          <w:p w14:paraId="4131FB9C" w14:textId="77777777" w:rsidR="00BD4717" w:rsidRPr="00970AE2" w:rsidRDefault="00BD4717" w:rsidP="00BD4717">
            <w:pPr>
              <w:jc w:val="both"/>
              <w:rPr>
                <w:rFonts w:ascii="Arial" w:hAnsi="Arial" w:cs="Arial"/>
                <w:bCs/>
                <w:sz w:val="20"/>
                <w:szCs w:val="20"/>
              </w:rPr>
            </w:pPr>
          </w:p>
          <w:p w14:paraId="358E5D60" w14:textId="77777777" w:rsidR="00BD4717" w:rsidRDefault="00BD4717" w:rsidP="00BD4717">
            <w:pPr>
              <w:jc w:val="both"/>
              <w:rPr>
                <w:rFonts w:ascii="Arial" w:hAnsi="Arial" w:cs="Arial"/>
                <w:bCs/>
                <w:sz w:val="20"/>
                <w:szCs w:val="20"/>
              </w:rPr>
            </w:pPr>
            <w:r w:rsidRPr="00970AE2">
              <w:rPr>
                <w:rFonts w:ascii="Arial" w:hAnsi="Arial" w:cs="Arial"/>
                <w:bCs/>
                <w:sz w:val="20"/>
                <w:szCs w:val="20"/>
              </w:rPr>
              <w:t>Hradená liečba podlieha predchádzajúcemu súhlasu zdravotnej poisťovne.</w:t>
            </w:r>
          </w:p>
          <w:p w14:paraId="184D72B2" w14:textId="77777777" w:rsidR="00BD4717" w:rsidRPr="0000591E" w:rsidRDefault="00BD4717" w:rsidP="00BD4717">
            <w:pPr>
              <w:jc w:val="both"/>
              <w:rPr>
                <w:rFonts w:ascii="Arial" w:hAnsi="Arial" w:cs="Arial"/>
                <w:b/>
                <w:bCs/>
                <w:sz w:val="20"/>
                <w:szCs w:val="20"/>
              </w:rPr>
            </w:pPr>
          </w:p>
        </w:tc>
      </w:tr>
      <w:tr w:rsidR="00BD4717" w:rsidRPr="0000591E" w14:paraId="6A5C340D" w14:textId="77777777" w:rsidTr="00670FEC">
        <w:trPr>
          <w:trHeight w:val="20"/>
        </w:trPr>
        <w:tc>
          <w:tcPr>
            <w:tcW w:w="1277" w:type="dxa"/>
            <w:tcBorders>
              <w:bottom w:val="single" w:sz="4" w:space="0" w:color="auto"/>
            </w:tcBorders>
            <w:noWrap/>
          </w:tcPr>
          <w:p w14:paraId="7323A96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S01LA05</w:t>
            </w:r>
          </w:p>
        </w:tc>
        <w:tc>
          <w:tcPr>
            <w:tcW w:w="9355" w:type="dxa"/>
            <w:tcBorders>
              <w:bottom w:val="single" w:sz="4" w:space="0" w:color="auto"/>
            </w:tcBorders>
            <w:noWrap/>
          </w:tcPr>
          <w:p w14:paraId="3A264CC7" w14:textId="77777777" w:rsidR="00BD4717" w:rsidRPr="0000591E" w:rsidRDefault="00BD4717" w:rsidP="00BD4717">
            <w:pPr>
              <w:jc w:val="both"/>
              <w:rPr>
                <w:rFonts w:ascii="Arial" w:hAnsi="Arial" w:cs="Arial"/>
                <w:sz w:val="20"/>
                <w:szCs w:val="20"/>
              </w:rPr>
            </w:pPr>
            <w:r w:rsidRPr="0000591E">
              <w:rPr>
                <w:rFonts w:ascii="Arial" w:hAnsi="Arial" w:cs="Arial"/>
                <w:b/>
                <w:bCs/>
                <w:sz w:val="20"/>
                <w:szCs w:val="20"/>
              </w:rPr>
              <w:t>Aflibercept intravitreálne 40 mg/ml</w:t>
            </w:r>
          </w:p>
        </w:tc>
      </w:tr>
      <w:tr w:rsidR="00BD4717" w:rsidRPr="0000591E" w14:paraId="1A773E00" w14:textId="77777777" w:rsidTr="00670FEC">
        <w:trPr>
          <w:trHeight w:val="20"/>
        </w:trPr>
        <w:tc>
          <w:tcPr>
            <w:tcW w:w="1277" w:type="dxa"/>
            <w:noWrap/>
          </w:tcPr>
          <w:p w14:paraId="6E45B4AE" w14:textId="77777777" w:rsidR="00BD4717" w:rsidRPr="0000591E" w:rsidRDefault="00BD4717" w:rsidP="00BD4717">
            <w:pPr>
              <w:jc w:val="both"/>
              <w:rPr>
                <w:rFonts w:ascii="Arial" w:hAnsi="Arial" w:cs="Arial"/>
                <w:b/>
                <w:bCs/>
                <w:sz w:val="20"/>
                <w:szCs w:val="20"/>
              </w:rPr>
            </w:pPr>
          </w:p>
        </w:tc>
        <w:tc>
          <w:tcPr>
            <w:tcW w:w="9355" w:type="dxa"/>
            <w:noWrap/>
          </w:tcPr>
          <w:p w14:paraId="18581D2A"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Vlhká forma VPDM</w:t>
            </w:r>
          </w:p>
          <w:p w14:paraId="07638018"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 pacientov s vlhkou formou VPDM môže indikovať za predpokladu splnenia nasledujúcich kritérií: </w:t>
            </w:r>
          </w:p>
          <w:p w14:paraId="68010DFA"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Vstupná zraková ostrosť v rozmedzí 20/25 – 20/200, u monokulov 20/25 – 20/320</w:t>
            </w:r>
          </w:p>
          <w:p w14:paraId="0B821101"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b) </w:t>
            </w:r>
            <w:r w:rsidRPr="00970AE2">
              <w:rPr>
                <w:rFonts w:ascii="Arial" w:hAnsi="Arial" w:cs="Arial"/>
                <w:bCs/>
                <w:sz w:val="20"/>
                <w:szCs w:val="20"/>
              </w:rPr>
              <w:t xml:space="preserve">Preukázaná aktívna subfoveálna neovaskulárna VPDM </w:t>
            </w:r>
          </w:p>
          <w:p w14:paraId="17D31D65"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c) </w:t>
            </w:r>
            <w:r w:rsidRPr="00970AE2">
              <w:rPr>
                <w:rFonts w:ascii="Arial" w:hAnsi="Arial" w:cs="Arial"/>
                <w:bCs/>
                <w:sz w:val="20"/>
                <w:szCs w:val="20"/>
              </w:rPr>
              <w:t>Známky aktivity CNV lézie preukázané na OCT a/alebo FAG a/alebo A-OCT</w:t>
            </w:r>
          </w:p>
          <w:p w14:paraId="191B70DA"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d) </w:t>
            </w:r>
            <w:r w:rsidRPr="00970AE2">
              <w:rPr>
                <w:rFonts w:ascii="Arial" w:hAnsi="Arial" w:cs="Arial"/>
                <w:bCs/>
                <w:sz w:val="20"/>
                <w:szCs w:val="20"/>
              </w:rPr>
              <w:t>Priložený diagnostický záver k vyšetreniam a snímka OCT a/alebo FAG a/alebo A-OCT</w:t>
            </w:r>
          </w:p>
          <w:p w14:paraId="4CC527C6" w14:textId="77777777" w:rsidR="00BD4717" w:rsidRDefault="00BD4717" w:rsidP="00BD4717">
            <w:pPr>
              <w:ind w:left="463" w:hanging="142"/>
              <w:jc w:val="both"/>
              <w:rPr>
                <w:rFonts w:ascii="Arial" w:hAnsi="Arial" w:cs="Arial"/>
                <w:bCs/>
                <w:sz w:val="20"/>
                <w:szCs w:val="20"/>
              </w:rPr>
            </w:pPr>
            <w:r>
              <w:rPr>
                <w:rFonts w:ascii="Arial" w:hAnsi="Arial" w:cs="Arial"/>
                <w:bCs/>
                <w:sz w:val="20"/>
                <w:szCs w:val="20"/>
              </w:rPr>
              <w:t xml:space="preserve">e) </w:t>
            </w:r>
            <w:r w:rsidRPr="00970AE2">
              <w:rPr>
                <w:rFonts w:ascii="Arial" w:hAnsi="Arial" w:cs="Arial"/>
                <w:bCs/>
                <w:sz w:val="20"/>
                <w:szCs w:val="20"/>
              </w:rPr>
              <w:t>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w:t>
            </w:r>
          </w:p>
          <w:p w14:paraId="4293A2D5" w14:textId="77777777" w:rsidR="00BD4717" w:rsidRPr="00970AE2" w:rsidRDefault="00BD4717" w:rsidP="00BD4717">
            <w:pPr>
              <w:ind w:left="463" w:hanging="142"/>
              <w:jc w:val="both"/>
              <w:rPr>
                <w:rFonts w:ascii="Arial" w:hAnsi="Arial" w:cs="Arial"/>
                <w:bCs/>
                <w:sz w:val="20"/>
                <w:szCs w:val="20"/>
              </w:rPr>
            </w:pPr>
            <w:r>
              <w:rPr>
                <w:rFonts w:ascii="Arial" w:hAnsi="Arial" w:cs="Arial"/>
                <w:bCs/>
                <w:sz w:val="20"/>
                <w:szCs w:val="20"/>
              </w:rPr>
              <w:t xml:space="preserve">f) </w:t>
            </w:r>
            <w:r w:rsidRPr="00970AE2">
              <w:rPr>
                <w:rFonts w:ascii="Arial" w:hAnsi="Arial" w:cs="Arial"/>
                <w:bCs/>
                <w:sz w:val="20"/>
                <w:szCs w:val="20"/>
              </w:rPr>
              <w:t xml:space="preserve">Liečba je znovu zahájená, keď sledovanie pacienta preukáže zhoršenie stavu spôsobeného VPDM za predpokladu splnenia vyššie uvedených kritérií. </w:t>
            </w:r>
          </w:p>
          <w:p w14:paraId="34DA9F4B" w14:textId="77777777" w:rsidR="00BD4717" w:rsidRPr="00970AE2" w:rsidRDefault="00BD4717" w:rsidP="00BD4717">
            <w:pPr>
              <w:jc w:val="both"/>
              <w:rPr>
                <w:rFonts w:ascii="Arial" w:hAnsi="Arial" w:cs="Arial"/>
                <w:bCs/>
                <w:sz w:val="20"/>
                <w:szCs w:val="20"/>
              </w:rPr>
            </w:pPr>
          </w:p>
          <w:p w14:paraId="04331E0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ukončí v nasledujúcich prípadoch: </w:t>
            </w:r>
          </w:p>
          <w:p w14:paraId="381415D0" w14:textId="77777777" w:rsidR="00BD4717" w:rsidRDefault="00BD4717" w:rsidP="00BD4717">
            <w:pPr>
              <w:spacing w:line="276" w:lineRule="auto"/>
              <w:ind w:left="360"/>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Pokiaľ je zraková ost</w:t>
            </w:r>
            <w:r>
              <w:rPr>
                <w:rFonts w:ascii="Arial" w:hAnsi="Arial" w:cs="Arial"/>
                <w:bCs/>
                <w:sz w:val="20"/>
                <w:szCs w:val="20"/>
              </w:rPr>
              <w:t>rosť pacienta horšia ako 20/200</w:t>
            </w:r>
            <w:r w:rsidRPr="00970AE2">
              <w:rPr>
                <w:rFonts w:ascii="Arial" w:hAnsi="Arial" w:cs="Arial"/>
                <w:bCs/>
                <w:sz w:val="20"/>
                <w:szCs w:val="20"/>
              </w:rPr>
              <w:t>, u monokulov 20/400</w:t>
            </w:r>
          </w:p>
          <w:p w14:paraId="75959E88" w14:textId="77777777" w:rsidR="00BD4717" w:rsidRPr="00970AE2" w:rsidRDefault="00BD4717" w:rsidP="00BD4717">
            <w:pPr>
              <w:spacing w:line="276" w:lineRule="auto"/>
              <w:ind w:left="360"/>
              <w:jc w:val="both"/>
              <w:rPr>
                <w:rFonts w:ascii="Arial" w:hAnsi="Arial" w:cs="Arial"/>
                <w:bCs/>
                <w:sz w:val="20"/>
                <w:szCs w:val="20"/>
              </w:rPr>
            </w:pPr>
            <w:r>
              <w:rPr>
                <w:rFonts w:ascii="Arial" w:hAnsi="Arial" w:cs="Arial"/>
                <w:bCs/>
                <w:sz w:val="20"/>
                <w:szCs w:val="20"/>
              </w:rPr>
              <w:t xml:space="preserve">b) </w:t>
            </w:r>
            <w:r w:rsidRPr="00970AE2">
              <w:rPr>
                <w:rFonts w:ascii="Arial" w:hAnsi="Arial" w:cs="Arial"/>
                <w:bCs/>
                <w:sz w:val="20"/>
                <w:szCs w:val="20"/>
              </w:rPr>
              <w:t>Ak na základe anatomického nálezu v makule nie je možné očakávať ďalší efekt liečby</w:t>
            </w:r>
            <w:r>
              <w:rPr>
                <w:rFonts w:ascii="Arial" w:hAnsi="Arial" w:cs="Arial"/>
                <w:bCs/>
                <w:sz w:val="20"/>
                <w:szCs w:val="20"/>
              </w:rPr>
              <w:t>.</w:t>
            </w:r>
            <w:r w:rsidRPr="00970AE2">
              <w:rPr>
                <w:rFonts w:ascii="Arial" w:hAnsi="Arial" w:cs="Arial"/>
                <w:bCs/>
                <w:sz w:val="20"/>
                <w:szCs w:val="20"/>
              </w:rPr>
              <w:t xml:space="preserve"> </w:t>
            </w:r>
          </w:p>
          <w:p w14:paraId="07EFBCAC"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1325D04E" w14:textId="77777777" w:rsidR="00BD4717" w:rsidRPr="00970AE2" w:rsidRDefault="00BD4717" w:rsidP="00BD4717">
            <w:pPr>
              <w:jc w:val="both"/>
              <w:rPr>
                <w:rFonts w:ascii="Arial" w:hAnsi="Arial" w:cs="Arial"/>
                <w:bCs/>
                <w:sz w:val="20"/>
                <w:szCs w:val="20"/>
              </w:rPr>
            </w:pPr>
          </w:p>
          <w:p w14:paraId="2CB4EE32"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Na základe verejného zdravotného poistenia sa uhrádza maximálne 8 dávok anti-VEGF liečby (kumulatívne za obe liečivá ranibizumab a aflibercept podávané intravitreálne) do jedného oka v prvom roku liečby a maximálne 6 dávok anti-VEGF liečby (kumulatívne za obe liečivá ranibizumab a aflibercept podávané intravitreálne) do jedného oka za rok v nasledujúcich rokoch.</w:t>
            </w:r>
          </w:p>
          <w:p w14:paraId="3422ADEF" w14:textId="77777777" w:rsidR="00BD4717" w:rsidRPr="00970AE2" w:rsidRDefault="00BD4717" w:rsidP="00BD4717">
            <w:pPr>
              <w:jc w:val="both"/>
              <w:rPr>
                <w:rFonts w:ascii="Arial" w:hAnsi="Arial" w:cs="Arial"/>
                <w:bCs/>
                <w:sz w:val="20"/>
                <w:szCs w:val="20"/>
              </w:rPr>
            </w:pPr>
          </w:p>
          <w:p w14:paraId="385C7810"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DEM </w:t>
            </w:r>
          </w:p>
          <w:p w14:paraId="4E76BD8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Prípravok je hradený v liečbe poškodenia zraku spôsobeného diabetickým edémom makuly podľa nasledujúcich kritérií: </w:t>
            </w:r>
          </w:p>
          <w:p w14:paraId="3C50C07A" w14:textId="77777777" w:rsidR="00BD4717" w:rsidRPr="00970AE2" w:rsidRDefault="00BD4717" w:rsidP="00BD4717">
            <w:pPr>
              <w:spacing w:line="276" w:lineRule="auto"/>
              <w:ind w:left="746" w:hanging="425"/>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 xml:space="preserve">Liečba sa môže indikovať u diabetikov s DM 1.typu alebo *kompenzovaných diabetikov s DM 2.typu, u ktorých *hodnota glykovaného hemoglobínu HbA1C (nie staršia ako 3 mesiace) je nižšia alebo rovná 8,0% /DCCT/  64 mmol/mol /IFCC/ </w:t>
            </w:r>
          </w:p>
          <w:p w14:paraId="00F4CE28" w14:textId="77777777" w:rsidR="00BD4717" w:rsidRPr="00720B30" w:rsidRDefault="00BD4717">
            <w:pPr>
              <w:pStyle w:val="Odsekzoznamu"/>
              <w:numPr>
                <w:ilvl w:val="0"/>
                <w:numId w:val="135"/>
              </w:numPr>
              <w:rPr>
                <w:rFonts w:ascii="Arial" w:hAnsi="Arial" w:cs="Arial"/>
                <w:bCs/>
                <w:sz w:val="20"/>
                <w:szCs w:val="20"/>
              </w:rPr>
            </w:pPr>
            <w:r w:rsidRPr="00720B30">
              <w:rPr>
                <w:rFonts w:ascii="Arial" w:hAnsi="Arial" w:cs="Arial"/>
                <w:bCs/>
                <w:sz w:val="20"/>
                <w:szCs w:val="20"/>
              </w:rPr>
              <w:t>Liečba sa môže indikovať u pacientov s diabetickým edémom makuly, ktorý je príčinou zhoršenia zrakovej ostrosti v rozmedzí 20/25 - 20/200, u pacientov s hrúbkou sietnice v makulárnej krajine, u monokulov 20/25 – 20/320</w:t>
            </w:r>
          </w:p>
          <w:p w14:paraId="4A959319"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 400 μm alebo ak diabetický edém makuly nereaguje na liečbu laserom a hrúbka sietnice v makulárnej krajine je ≥ 300μm. </w:t>
            </w:r>
          </w:p>
          <w:p w14:paraId="6738F342"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indikovaná len v prípade, že zmeny v makule nie sú ireverzibilného charakteru a nie sú prítomné známky sprievodného ochorenia makuly. </w:t>
            </w:r>
          </w:p>
          <w:p w14:paraId="0ED913BB"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hradená do dosiahnutia maximálnej zrakovej ostrosti, t.j. do stavu, keď je pacientova zraková ostrosť stabilná počas 3 po sebe nasledujúcich aplikačných návštev. </w:t>
            </w:r>
          </w:p>
          <w:p w14:paraId="38D69DDD" w14:textId="76548598" w:rsidR="00BD4717"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diabetickým edémom makuly za predpokladu splnenia vyššie uvedených kritérií. </w:t>
            </w:r>
          </w:p>
          <w:p w14:paraId="23960F48" w14:textId="77777777" w:rsidR="00BD4717" w:rsidRPr="00970AE2" w:rsidRDefault="00BD4717">
            <w:pPr>
              <w:numPr>
                <w:ilvl w:val="0"/>
                <w:numId w:val="135"/>
              </w:numPr>
              <w:spacing w:line="276" w:lineRule="auto"/>
              <w:jc w:val="both"/>
              <w:rPr>
                <w:rFonts w:ascii="Arial" w:hAnsi="Arial" w:cs="Arial"/>
                <w:bCs/>
                <w:sz w:val="20"/>
                <w:szCs w:val="20"/>
              </w:rPr>
            </w:pPr>
          </w:p>
          <w:p w14:paraId="4F8427A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aj v nasledujúcich prípadoch:</w:t>
            </w:r>
          </w:p>
          <w:p w14:paraId="1BF0FF57"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 xml:space="preserve">Ak po piatich /SPC/ úvodných aplikáciách nedôjde k resorpcii edému makuly minimálne o 50 μm alebo zlepšeniu zrakovej ostrosti minimálne o 5 písmen ETDRS. </w:t>
            </w:r>
          </w:p>
          <w:p w14:paraId="07807AC2"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V prípade zhoršenia zrakovej ostrosti o viac než tri riadky ETDRS optotypu, ktoré je spôsobené neúčinnosťou liečby a pacient nie je monokulus</w:t>
            </w:r>
            <w:r>
              <w:rPr>
                <w:rFonts w:ascii="Arial" w:hAnsi="Arial" w:cs="Arial"/>
                <w:bCs/>
                <w:sz w:val="20"/>
                <w:szCs w:val="20"/>
              </w:rPr>
              <w:t>.</w:t>
            </w:r>
          </w:p>
          <w:p w14:paraId="66F22942"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325BF6F" w14:textId="77777777" w:rsidR="00BD4717" w:rsidRPr="00970AE2" w:rsidRDefault="00BD4717" w:rsidP="00BD4717">
            <w:pPr>
              <w:jc w:val="both"/>
              <w:rPr>
                <w:rFonts w:ascii="Arial" w:hAnsi="Arial" w:cs="Arial"/>
                <w:bCs/>
                <w:sz w:val="20"/>
                <w:szCs w:val="20"/>
              </w:rPr>
            </w:pPr>
          </w:p>
          <w:p w14:paraId="0A2E0C33"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CRVO </w:t>
            </w:r>
          </w:p>
          <w:p w14:paraId="2396B235"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centrálnej žily sietnice (CRVO) v prípade, že zmeny v makule nie sú ireverzibilného charakteru a liečba samotným laserom je neúčinná alebo nie je vhodné laserovú liečbu realizovať.</w:t>
            </w:r>
          </w:p>
          <w:p w14:paraId="673F5F23"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0531B149"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5E6B02C0" w14:textId="77777777" w:rsidR="00BD4717" w:rsidRPr="00970AE2" w:rsidRDefault="00BD4717">
            <w:pPr>
              <w:numPr>
                <w:ilvl w:val="0"/>
                <w:numId w:val="137"/>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72F0F1D1" w14:textId="77777777" w:rsidR="00BD4717" w:rsidRPr="00970AE2" w:rsidRDefault="00BD4717">
            <w:pPr>
              <w:numPr>
                <w:ilvl w:val="0"/>
                <w:numId w:val="137"/>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2079D1A5"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C6C5E03" w14:textId="190BBA78" w:rsidR="00BD4717" w:rsidRDefault="00BD4717" w:rsidP="00BD4717">
            <w:pPr>
              <w:jc w:val="both"/>
              <w:rPr>
                <w:rFonts w:ascii="Arial" w:hAnsi="Arial" w:cs="Arial"/>
                <w:bCs/>
                <w:sz w:val="20"/>
                <w:szCs w:val="20"/>
              </w:rPr>
            </w:pPr>
          </w:p>
          <w:p w14:paraId="645F8655"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BRVO </w:t>
            </w:r>
          </w:p>
          <w:p w14:paraId="3FB164C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vetvy žily sietnice (BRVO) v prípade, že zmeny v makule nie sú ireverzibilného charakteru a liečba samotným laserom je neúčinná alebo nie je vhodné laserovú liečbu realizovať.</w:t>
            </w:r>
          </w:p>
          <w:p w14:paraId="1374612B"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72C0628B"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599169FA" w14:textId="77777777" w:rsidR="00BD4717" w:rsidRPr="00970AE2" w:rsidRDefault="00BD4717">
            <w:pPr>
              <w:numPr>
                <w:ilvl w:val="0"/>
                <w:numId w:val="138"/>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3A9B82D9" w14:textId="77777777" w:rsidR="00BD4717" w:rsidRPr="00970AE2" w:rsidRDefault="00BD4717">
            <w:pPr>
              <w:numPr>
                <w:ilvl w:val="0"/>
                <w:numId w:val="138"/>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7AF78F4D"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28F7DA4B" w14:textId="77777777" w:rsidR="00BD4717" w:rsidRDefault="00BD4717" w:rsidP="00BD4717">
            <w:pPr>
              <w:jc w:val="both"/>
              <w:rPr>
                <w:rFonts w:ascii="Arial" w:hAnsi="Arial" w:cs="Arial"/>
                <w:sz w:val="20"/>
                <w:szCs w:val="20"/>
              </w:rPr>
            </w:pPr>
          </w:p>
          <w:p w14:paraId="12B5F367" w14:textId="036DDE5A" w:rsidR="00BD4717" w:rsidRPr="00970AE2" w:rsidRDefault="00BD4717" w:rsidP="00BD4717">
            <w:pPr>
              <w:jc w:val="both"/>
              <w:rPr>
                <w:rFonts w:ascii="Arial" w:hAnsi="Arial" w:cs="Arial"/>
                <w:sz w:val="20"/>
                <w:szCs w:val="20"/>
              </w:rPr>
            </w:pPr>
            <w:r w:rsidRPr="00970AE2">
              <w:rPr>
                <w:rFonts w:ascii="Arial" w:hAnsi="Arial" w:cs="Arial"/>
                <w:sz w:val="20"/>
                <w:szCs w:val="20"/>
              </w:rPr>
              <w:t>Hradená liečba sa môže indikovať na lôžkových očných oddeleniach nemocníc a očných pracoviskách jednodňovej ambulantnej starostlivosti.</w:t>
            </w:r>
          </w:p>
          <w:p w14:paraId="694777D4"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Pracovisko musí spĺňať tieto kritériá:</w:t>
            </w:r>
          </w:p>
          <w:p w14:paraId="75CCEFCE"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Liečbu musia vykonávať najmenej dvaja atestovaní lekári</w:t>
            </w:r>
          </w:p>
          <w:p w14:paraId="5218B256"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187E7ADD"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 xml:space="preserve">Sterilnú operačnú sálu s operačným mikroskopom </w:t>
            </w:r>
          </w:p>
          <w:p w14:paraId="473C4029"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V prípade, že pracovisko nevykonáva pars plana vitrektómiu, musí mať zazmluvnené vitreoretinálne pracovisko na riešenie prípadných komplikácií intravitreálnej antiVEGF liečby.</w:t>
            </w:r>
          </w:p>
          <w:p w14:paraId="6D76307F" w14:textId="77777777" w:rsidR="00BD4717" w:rsidRPr="00970AE2" w:rsidRDefault="00BD4717" w:rsidP="00BD4717">
            <w:pPr>
              <w:jc w:val="both"/>
              <w:rPr>
                <w:rFonts w:ascii="Arial" w:hAnsi="Arial" w:cs="Arial"/>
                <w:bCs/>
                <w:sz w:val="20"/>
                <w:szCs w:val="20"/>
              </w:rPr>
            </w:pPr>
          </w:p>
          <w:p w14:paraId="6A2F5C8A" w14:textId="77777777" w:rsidR="00BD4717" w:rsidRDefault="00BD4717" w:rsidP="00BD4717">
            <w:pPr>
              <w:jc w:val="both"/>
              <w:rPr>
                <w:rFonts w:ascii="Arial" w:hAnsi="Arial" w:cs="Arial"/>
                <w:bCs/>
                <w:sz w:val="20"/>
                <w:szCs w:val="20"/>
              </w:rPr>
            </w:pPr>
            <w:r w:rsidRPr="00970AE2">
              <w:rPr>
                <w:rFonts w:ascii="Arial" w:hAnsi="Arial" w:cs="Arial"/>
                <w:bCs/>
                <w:sz w:val="20"/>
                <w:szCs w:val="20"/>
              </w:rPr>
              <w:t>Hradená liečba podlieha predchádzajúcemu súhlasu zdravotnej poisťovne.</w:t>
            </w:r>
          </w:p>
          <w:p w14:paraId="03316EE0" w14:textId="77777777" w:rsidR="00BD4717" w:rsidRPr="0000591E" w:rsidRDefault="00BD4717" w:rsidP="00BD4717">
            <w:pPr>
              <w:jc w:val="both"/>
              <w:rPr>
                <w:rFonts w:ascii="Arial" w:hAnsi="Arial" w:cs="Arial"/>
                <w:b/>
                <w:bCs/>
                <w:sz w:val="20"/>
                <w:szCs w:val="20"/>
              </w:rPr>
            </w:pPr>
          </w:p>
        </w:tc>
      </w:tr>
      <w:tr w:rsidR="00BD4717" w:rsidRPr="0000591E" w14:paraId="0C72259D" w14:textId="77777777" w:rsidTr="00DA0B5C">
        <w:trPr>
          <w:trHeight w:val="20"/>
        </w:trPr>
        <w:tc>
          <w:tcPr>
            <w:tcW w:w="1277" w:type="dxa"/>
            <w:tcBorders>
              <w:bottom w:val="single" w:sz="4" w:space="0" w:color="auto"/>
            </w:tcBorders>
            <w:noWrap/>
          </w:tcPr>
          <w:p w14:paraId="4670BD8D" w14:textId="77777777" w:rsidR="00BD4717" w:rsidRDefault="00BD4717" w:rsidP="00BD4717">
            <w:pPr>
              <w:jc w:val="both"/>
              <w:rPr>
                <w:rFonts w:ascii="Arial" w:hAnsi="Arial" w:cs="Arial"/>
                <w:b/>
                <w:bCs/>
                <w:sz w:val="20"/>
                <w:szCs w:val="20"/>
              </w:rPr>
            </w:pPr>
            <w:r w:rsidRPr="00BC36C4">
              <w:rPr>
                <w:rFonts w:ascii="Arial" w:hAnsi="Arial" w:cs="Arial"/>
                <w:b/>
                <w:bCs/>
                <w:sz w:val="20"/>
                <w:szCs w:val="20"/>
              </w:rPr>
              <w:t>S01LA05</w:t>
            </w:r>
          </w:p>
        </w:tc>
        <w:tc>
          <w:tcPr>
            <w:tcW w:w="9355" w:type="dxa"/>
            <w:tcBorders>
              <w:bottom w:val="single" w:sz="4" w:space="0" w:color="auto"/>
            </w:tcBorders>
            <w:noWrap/>
          </w:tcPr>
          <w:p w14:paraId="6E2494EC" w14:textId="77777777" w:rsidR="00BD4717" w:rsidRDefault="00BD4717" w:rsidP="00BD4717">
            <w:pPr>
              <w:jc w:val="both"/>
              <w:rPr>
                <w:rFonts w:ascii="Arial" w:hAnsi="Arial" w:cs="Arial"/>
                <w:b/>
                <w:bCs/>
                <w:sz w:val="20"/>
                <w:szCs w:val="20"/>
              </w:rPr>
            </w:pPr>
            <w:r w:rsidRPr="00BC36C4">
              <w:rPr>
                <w:rFonts w:ascii="Arial" w:hAnsi="Arial" w:cs="Arial"/>
                <w:b/>
                <w:bCs/>
                <w:sz w:val="20"/>
                <w:szCs w:val="20"/>
              </w:rPr>
              <w:t>Aflibercept</w:t>
            </w:r>
            <w:r>
              <w:rPr>
                <w:rFonts w:ascii="Arial" w:hAnsi="Arial" w:cs="Arial"/>
                <w:b/>
                <w:bCs/>
                <w:sz w:val="20"/>
                <w:szCs w:val="20"/>
              </w:rPr>
              <w:t xml:space="preserve"> </w:t>
            </w:r>
            <w:r w:rsidRPr="00BC36C4">
              <w:rPr>
                <w:rFonts w:ascii="Arial" w:hAnsi="Arial" w:cs="Arial"/>
                <w:b/>
                <w:bCs/>
                <w:sz w:val="20"/>
                <w:szCs w:val="20"/>
              </w:rPr>
              <w:t>intravitreálne 114,3 mg/ml</w:t>
            </w:r>
          </w:p>
        </w:tc>
      </w:tr>
      <w:tr w:rsidR="00BD4717" w:rsidRPr="0000591E" w14:paraId="2971E62D" w14:textId="77777777" w:rsidTr="00DA0B5C">
        <w:trPr>
          <w:trHeight w:val="20"/>
        </w:trPr>
        <w:tc>
          <w:tcPr>
            <w:tcW w:w="1277" w:type="dxa"/>
            <w:tcBorders>
              <w:top w:val="single" w:sz="4" w:space="0" w:color="auto"/>
              <w:bottom w:val="nil"/>
            </w:tcBorders>
            <w:noWrap/>
          </w:tcPr>
          <w:p w14:paraId="12199F87" w14:textId="77777777" w:rsidR="00BD4717" w:rsidRDefault="00BD4717" w:rsidP="00BD4717">
            <w:pPr>
              <w:jc w:val="both"/>
              <w:rPr>
                <w:rFonts w:ascii="Arial" w:hAnsi="Arial" w:cs="Arial"/>
                <w:b/>
                <w:bCs/>
                <w:sz w:val="20"/>
                <w:szCs w:val="20"/>
              </w:rPr>
            </w:pPr>
          </w:p>
        </w:tc>
        <w:tc>
          <w:tcPr>
            <w:tcW w:w="9355" w:type="dxa"/>
            <w:tcBorders>
              <w:bottom w:val="nil"/>
            </w:tcBorders>
            <w:noWrap/>
          </w:tcPr>
          <w:p w14:paraId="45631077" w14:textId="77777777" w:rsidR="00BD4717" w:rsidRDefault="00BD4717" w:rsidP="00BD4717">
            <w:pPr>
              <w:jc w:val="both"/>
              <w:rPr>
                <w:rFonts w:ascii="Arial" w:hAnsi="Arial" w:cs="Arial"/>
                <w:bCs/>
                <w:i/>
                <w:sz w:val="20"/>
                <w:szCs w:val="20"/>
                <w:u w:val="single"/>
              </w:rPr>
            </w:pPr>
          </w:p>
          <w:p w14:paraId="7C09A6F3" w14:textId="627BE091" w:rsidR="00BD4717" w:rsidRPr="00415F5A" w:rsidRDefault="00BD4717" w:rsidP="00BD4717">
            <w:pPr>
              <w:jc w:val="both"/>
              <w:rPr>
                <w:rFonts w:ascii="Arial" w:hAnsi="Arial" w:cs="Arial"/>
                <w:bCs/>
                <w:i/>
                <w:sz w:val="20"/>
                <w:szCs w:val="20"/>
              </w:rPr>
            </w:pPr>
            <w:r w:rsidRPr="00415F5A">
              <w:rPr>
                <w:rFonts w:ascii="Arial" w:hAnsi="Arial" w:cs="Arial"/>
                <w:bCs/>
                <w:i/>
                <w:sz w:val="20"/>
                <w:szCs w:val="20"/>
                <w:u w:val="single"/>
              </w:rPr>
              <w:t>Vlhká forma VPDM</w:t>
            </w:r>
            <w:r w:rsidRPr="00415F5A">
              <w:rPr>
                <w:rFonts w:ascii="Arial" w:hAnsi="Arial" w:cs="Arial"/>
                <w:bCs/>
                <w:i/>
                <w:sz w:val="20"/>
                <w:szCs w:val="20"/>
              </w:rPr>
              <w:t xml:space="preserve">  </w:t>
            </w:r>
          </w:p>
          <w:p w14:paraId="1956BF3A" w14:textId="77777777" w:rsidR="00BD4717" w:rsidRDefault="00BD4717" w:rsidP="00BD4717">
            <w:pPr>
              <w:jc w:val="both"/>
              <w:rPr>
                <w:rFonts w:ascii="Arial" w:hAnsi="Arial" w:cs="Arial"/>
                <w:bCs/>
                <w:sz w:val="20"/>
                <w:szCs w:val="20"/>
              </w:rPr>
            </w:pPr>
            <w:r w:rsidRPr="00BC36C4">
              <w:rPr>
                <w:rFonts w:ascii="Arial" w:hAnsi="Arial" w:cs="Arial"/>
                <w:bCs/>
                <w:sz w:val="20"/>
                <w:szCs w:val="20"/>
              </w:rPr>
              <w:t xml:space="preserve">Hradená liečba sa u pacientov s vlhkou formou VPDM môže indikovať za predpokladu splnenia nasledujúcich kritérií:   </w:t>
            </w:r>
          </w:p>
          <w:p w14:paraId="2FF2CCCB"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a)</w:t>
            </w:r>
            <w:r>
              <w:rPr>
                <w:rFonts w:ascii="Arial" w:hAnsi="Arial" w:cs="Arial"/>
                <w:bCs/>
                <w:sz w:val="20"/>
                <w:szCs w:val="20"/>
              </w:rPr>
              <w:tab/>
            </w:r>
            <w:r w:rsidRPr="00BC36C4">
              <w:rPr>
                <w:rFonts w:ascii="Arial" w:hAnsi="Arial" w:cs="Arial"/>
                <w:bCs/>
                <w:sz w:val="20"/>
                <w:szCs w:val="20"/>
              </w:rPr>
              <w:t xml:space="preserve">Vstupná zraková ostrosť v rozmedzí 20/25 – 20/200, u monokulov 20/25 – 20/320   </w:t>
            </w:r>
          </w:p>
          <w:p w14:paraId="10A74E7B"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b)</w:t>
            </w:r>
            <w:r>
              <w:rPr>
                <w:rFonts w:ascii="Arial" w:hAnsi="Arial" w:cs="Arial"/>
                <w:bCs/>
                <w:sz w:val="20"/>
                <w:szCs w:val="20"/>
              </w:rPr>
              <w:tab/>
            </w:r>
            <w:r w:rsidRPr="00BC36C4">
              <w:rPr>
                <w:rFonts w:ascii="Arial" w:hAnsi="Arial" w:cs="Arial"/>
                <w:bCs/>
                <w:sz w:val="20"/>
                <w:szCs w:val="20"/>
              </w:rPr>
              <w:t xml:space="preserve">Preukázaná aktívna subfoveálna neovaskulárna VPDM   </w:t>
            </w:r>
          </w:p>
          <w:p w14:paraId="7D7A8A24"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c)</w:t>
            </w:r>
            <w:r>
              <w:rPr>
                <w:rFonts w:ascii="Arial" w:hAnsi="Arial" w:cs="Arial"/>
                <w:bCs/>
                <w:sz w:val="20"/>
                <w:szCs w:val="20"/>
              </w:rPr>
              <w:tab/>
            </w:r>
            <w:r w:rsidRPr="00BC36C4">
              <w:rPr>
                <w:rFonts w:ascii="Arial" w:hAnsi="Arial" w:cs="Arial"/>
                <w:bCs/>
                <w:sz w:val="20"/>
                <w:szCs w:val="20"/>
              </w:rPr>
              <w:t xml:space="preserve">Známky aktivity CNV lézie preukázané na OCT a/alebo FAG a/alebo A-OCT  </w:t>
            </w:r>
          </w:p>
          <w:p w14:paraId="61126F87"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d)</w:t>
            </w:r>
            <w:r>
              <w:rPr>
                <w:rFonts w:ascii="Arial" w:hAnsi="Arial" w:cs="Arial"/>
                <w:bCs/>
                <w:sz w:val="20"/>
                <w:szCs w:val="20"/>
              </w:rPr>
              <w:tab/>
            </w:r>
            <w:r w:rsidRPr="00BC36C4">
              <w:rPr>
                <w:rFonts w:ascii="Arial" w:hAnsi="Arial" w:cs="Arial"/>
                <w:bCs/>
                <w:sz w:val="20"/>
                <w:szCs w:val="20"/>
              </w:rPr>
              <w:t xml:space="preserve">Priložený diagnostický záver k vyšetreniam a snímka OCT a/alebo FAG a/alebo A-OCT  </w:t>
            </w:r>
          </w:p>
          <w:p w14:paraId="1B4D6FFA"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e)</w:t>
            </w:r>
            <w:r>
              <w:rPr>
                <w:rFonts w:ascii="Arial" w:hAnsi="Arial" w:cs="Arial"/>
                <w:bCs/>
                <w:sz w:val="20"/>
                <w:szCs w:val="20"/>
              </w:rPr>
              <w:tab/>
            </w:r>
            <w:r w:rsidRPr="00BC36C4">
              <w:rPr>
                <w:rFonts w:ascii="Arial" w:hAnsi="Arial" w:cs="Arial"/>
                <w:bCs/>
                <w:sz w:val="20"/>
                <w:szCs w:val="20"/>
              </w:rPr>
              <w:t>Liečba je hradená do dosiahnutia maximálnej odpo</w:t>
            </w:r>
            <w:r>
              <w:rPr>
                <w:rFonts w:ascii="Arial" w:hAnsi="Arial" w:cs="Arial"/>
                <w:bCs/>
                <w:sz w:val="20"/>
                <w:szCs w:val="20"/>
              </w:rPr>
              <w:t>vede na liečbu. t</w:t>
            </w:r>
            <w:r w:rsidRPr="00BC36C4">
              <w:rPr>
                <w:rFonts w:ascii="Arial" w:hAnsi="Arial" w:cs="Arial"/>
                <w:bCs/>
                <w:sz w:val="20"/>
                <w:szCs w:val="20"/>
              </w:rPr>
              <w:t xml:space="preserve">.j.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  </w:t>
            </w:r>
          </w:p>
          <w:p w14:paraId="04CD8CCF"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f)</w:t>
            </w:r>
            <w:r>
              <w:rPr>
                <w:rFonts w:ascii="Arial" w:hAnsi="Arial" w:cs="Arial"/>
                <w:bCs/>
                <w:sz w:val="20"/>
                <w:szCs w:val="20"/>
              </w:rPr>
              <w:tab/>
            </w:r>
            <w:r w:rsidRPr="00BC36C4">
              <w:rPr>
                <w:rFonts w:ascii="Arial" w:hAnsi="Arial" w:cs="Arial"/>
                <w:bCs/>
                <w:sz w:val="20"/>
                <w:szCs w:val="20"/>
              </w:rPr>
              <w:t xml:space="preserve">Liečba je znovu zahájená, keď sledovanie pacienta preukáže zhoršenie stavu spôsobeného VPDM za predpokladu splnenia vyššie uvedených kritérií.     </w:t>
            </w:r>
          </w:p>
          <w:p w14:paraId="5C9FA382" w14:textId="77777777" w:rsidR="00BD4717" w:rsidRDefault="00BD4717" w:rsidP="00BD4717">
            <w:pPr>
              <w:jc w:val="both"/>
              <w:rPr>
                <w:rFonts w:ascii="Arial" w:hAnsi="Arial" w:cs="Arial"/>
                <w:bCs/>
                <w:sz w:val="20"/>
                <w:szCs w:val="20"/>
              </w:rPr>
            </w:pPr>
          </w:p>
          <w:p w14:paraId="7350A8E9" w14:textId="77777777" w:rsidR="00BD4717" w:rsidRDefault="00BD4717" w:rsidP="00BD4717">
            <w:pPr>
              <w:jc w:val="both"/>
              <w:rPr>
                <w:rFonts w:ascii="Arial" w:hAnsi="Arial" w:cs="Arial"/>
                <w:bCs/>
                <w:sz w:val="20"/>
                <w:szCs w:val="20"/>
              </w:rPr>
            </w:pPr>
            <w:r w:rsidRPr="00BC36C4">
              <w:rPr>
                <w:rFonts w:ascii="Arial" w:hAnsi="Arial" w:cs="Arial"/>
                <w:bCs/>
                <w:sz w:val="20"/>
                <w:szCs w:val="20"/>
              </w:rPr>
              <w:t xml:space="preserve">Hradená liečba sa ukončí v nasledujúcich prípadoch:   </w:t>
            </w:r>
          </w:p>
          <w:p w14:paraId="786CE80E" w14:textId="77777777" w:rsidR="00BD4717" w:rsidRDefault="00BD4717" w:rsidP="00BD4717">
            <w:pPr>
              <w:tabs>
                <w:tab w:val="left" w:pos="410"/>
              </w:tabs>
              <w:ind w:firstLine="179"/>
              <w:jc w:val="both"/>
              <w:rPr>
                <w:rFonts w:ascii="Arial" w:hAnsi="Arial" w:cs="Arial"/>
                <w:bCs/>
                <w:sz w:val="20"/>
                <w:szCs w:val="20"/>
              </w:rPr>
            </w:pPr>
            <w:r w:rsidRPr="00BC36C4">
              <w:rPr>
                <w:rFonts w:ascii="Arial" w:hAnsi="Arial" w:cs="Arial"/>
                <w:bCs/>
                <w:sz w:val="20"/>
                <w:szCs w:val="20"/>
              </w:rPr>
              <w:t>a)</w:t>
            </w:r>
            <w:r>
              <w:rPr>
                <w:rFonts w:ascii="Arial" w:hAnsi="Arial" w:cs="Arial"/>
                <w:bCs/>
                <w:sz w:val="20"/>
                <w:szCs w:val="20"/>
              </w:rPr>
              <w:tab/>
            </w:r>
            <w:r w:rsidRPr="00BC36C4">
              <w:rPr>
                <w:rFonts w:ascii="Arial" w:hAnsi="Arial" w:cs="Arial"/>
                <w:bCs/>
                <w:sz w:val="20"/>
                <w:szCs w:val="20"/>
              </w:rPr>
              <w:t xml:space="preserve">Pokiaľ je zraková ostrosť pacienta horšia ako 20/200, u monokulov 20/400  </w:t>
            </w:r>
          </w:p>
          <w:p w14:paraId="050F5335" w14:textId="77777777" w:rsidR="00BD4717" w:rsidRDefault="00BD4717" w:rsidP="00BD4717">
            <w:pPr>
              <w:tabs>
                <w:tab w:val="left" w:pos="410"/>
              </w:tabs>
              <w:ind w:firstLine="179"/>
              <w:jc w:val="both"/>
              <w:rPr>
                <w:rFonts w:ascii="Arial" w:hAnsi="Arial" w:cs="Arial"/>
                <w:bCs/>
                <w:sz w:val="20"/>
                <w:szCs w:val="20"/>
              </w:rPr>
            </w:pPr>
            <w:r w:rsidRPr="00BC36C4">
              <w:rPr>
                <w:rFonts w:ascii="Arial" w:hAnsi="Arial" w:cs="Arial"/>
                <w:bCs/>
                <w:sz w:val="20"/>
                <w:szCs w:val="20"/>
              </w:rPr>
              <w:t>b)</w:t>
            </w:r>
            <w:r>
              <w:rPr>
                <w:rFonts w:ascii="Arial" w:hAnsi="Arial" w:cs="Arial"/>
                <w:bCs/>
                <w:sz w:val="20"/>
                <w:szCs w:val="20"/>
              </w:rPr>
              <w:tab/>
            </w:r>
            <w:r w:rsidRPr="00BC36C4">
              <w:rPr>
                <w:rFonts w:ascii="Arial" w:hAnsi="Arial" w:cs="Arial"/>
                <w:bCs/>
                <w:sz w:val="20"/>
                <w:szCs w:val="20"/>
              </w:rPr>
              <w:t xml:space="preserve">Ak na základe anatomického nálezu v makule nie je možné očakávať ďalší efekt liečby. </w:t>
            </w:r>
          </w:p>
          <w:p w14:paraId="37F7BDF2" w14:textId="77777777" w:rsidR="00BD4717" w:rsidRDefault="00BD4717" w:rsidP="00BD4717">
            <w:pPr>
              <w:tabs>
                <w:tab w:val="left" w:pos="410"/>
              </w:tabs>
              <w:jc w:val="both"/>
              <w:rPr>
                <w:rFonts w:ascii="Arial" w:hAnsi="Arial" w:cs="Arial"/>
                <w:bCs/>
                <w:sz w:val="20"/>
                <w:szCs w:val="20"/>
              </w:rPr>
            </w:pPr>
          </w:p>
          <w:p w14:paraId="363EAE67" w14:textId="77777777" w:rsidR="00BD4717" w:rsidRDefault="00BD4717" w:rsidP="00BD4717">
            <w:pPr>
              <w:tabs>
                <w:tab w:val="left" w:pos="410"/>
              </w:tabs>
              <w:jc w:val="both"/>
              <w:rPr>
                <w:rFonts w:ascii="Arial" w:hAnsi="Arial" w:cs="Arial"/>
                <w:bCs/>
                <w:sz w:val="20"/>
                <w:szCs w:val="20"/>
              </w:rPr>
            </w:pPr>
            <w:r w:rsidRPr="00BC36C4">
              <w:rPr>
                <w:rFonts w:ascii="Arial" w:hAnsi="Arial" w:cs="Arial"/>
                <w:bCs/>
                <w:sz w:val="20"/>
                <w:szCs w:val="20"/>
              </w:rPr>
              <w:t xml:space="preserve">Vylučujúcim kritériom liečby je Infarkt myokardu alebo NCMP za obdobie predchádzajúcich 3 mesiacov.     </w:t>
            </w:r>
          </w:p>
          <w:p w14:paraId="5575A8F1" w14:textId="22618C7D" w:rsidR="00BD4717" w:rsidRDefault="00BD4717" w:rsidP="00BD4717">
            <w:pPr>
              <w:tabs>
                <w:tab w:val="left" w:pos="410"/>
              </w:tabs>
              <w:jc w:val="both"/>
              <w:rPr>
                <w:rFonts w:ascii="Arial" w:hAnsi="Arial" w:cs="Arial"/>
                <w:bCs/>
                <w:sz w:val="20"/>
                <w:szCs w:val="20"/>
              </w:rPr>
            </w:pPr>
            <w:r w:rsidRPr="00BC36C4">
              <w:rPr>
                <w:rFonts w:ascii="Arial" w:hAnsi="Arial" w:cs="Arial"/>
                <w:bCs/>
                <w:sz w:val="20"/>
                <w:szCs w:val="20"/>
              </w:rPr>
              <w:t>Na základe verejného zdravotného poistenia sa uhrádza maximálne 8 dávok anti-VEGF liečby (kumulatívne za obe liečivá ranibizumab a aflibercept podávané intravitreálne) do jedného oka v prvom roku liečby a maximálne 6 dávok anti-VEGF liečby (kumulatívne za obe liečivá ranibizumab a aflibercept podávané intravitreálne) do jedného oka</w:t>
            </w:r>
            <w:r>
              <w:rPr>
                <w:rFonts w:ascii="Arial" w:hAnsi="Arial" w:cs="Arial"/>
                <w:bCs/>
                <w:sz w:val="20"/>
                <w:szCs w:val="20"/>
              </w:rPr>
              <w:t xml:space="preserve"> za rok v nasledujúcich rokoch.</w:t>
            </w:r>
          </w:p>
          <w:p w14:paraId="13574AE4" w14:textId="77777777" w:rsidR="00BD4717" w:rsidRDefault="00BD4717" w:rsidP="00BD4717">
            <w:pPr>
              <w:tabs>
                <w:tab w:val="left" w:pos="410"/>
              </w:tabs>
              <w:jc w:val="both"/>
              <w:rPr>
                <w:rFonts w:ascii="Arial" w:hAnsi="Arial" w:cs="Arial"/>
                <w:bCs/>
                <w:sz w:val="20"/>
                <w:szCs w:val="20"/>
              </w:rPr>
            </w:pPr>
          </w:p>
          <w:p w14:paraId="1DDF1379"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DEM </w:t>
            </w:r>
          </w:p>
          <w:p w14:paraId="11FACE58"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Prípravok je hradený v liečbe poškodenia zraku spôsobeného diabetickým edémom makuly podľa nasledujúcich kritérií: </w:t>
            </w:r>
          </w:p>
          <w:p w14:paraId="5DCAC116" w14:textId="77777777" w:rsidR="00BD4717" w:rsidRPr="00970AE2" w:rsidRDefault="00BD4717" w:rsidP="00BD4717">
            <w:pPr>
              <w:spacing w:line="276" w:lineRule="auto"/>
              <w:ind w:left="746" w:hanging="425"/>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 xml:space="preserve">Liečba sa môže indikovať u diabetikov s DM 1.typu alebo *kompenzovaných diabetikov s DM 2.typu, u ktorých *hodnota glykovaného hemoglobínu HbA1C (nie staršia ako 3 mesiace) je nižšia alebo rovná 8,0% /DCCT/  64 mmol/mol /IFCC/ </w:t>
            </w:r>
          </w:p>
          <w:p w14:paraId="465E4EE5" w14:textId="77777777" w:rsidR="00BD4717" w:rsidRPr="00720B30" w:rsidRDefault="00BD4717">
            <w:pPr>
              <w:pStyle w:val="Odsekzoznamu"/>
              <w:numPr>
                <w:ilvl w:val="0"/>
                <w:numId w:val="135"/>
              </w:numPr>
              <w:rPr>
                <w:rFonts w:ascii="Arial" w:hAnsi="Arial" w:cs="Arial"/>
                <w:bCs/>
                <w:sz w:val="20"/>
                <w:szCs w:val="20"/>
              </w:rPr>
            </w:pPr>
            <w:r w:rsidRPr="00720B30">
              <w:rPr>
                <w:rFonts w:ascii="Arial" w:hAnsi="Arial" w:cs="Arial"/>
                <w:bCs/>
                <w:sz w:val="20"/>
                <w:szCs w:val="20"/>
              </w:rPr>
              <w:t>Liečba sa môže indikovať u pacientov s diabetickým edémom makuly, ktorý je príčinou zhoršenia zrakovej ostrosti v rozmedzí 20/25 - 20/200, u pacientov s hrúbkou sietnice v makulárnej krajine, u monokulov 20/25 – 20/320</w:t>
            </w:r>
          </w:p>
          <w:p w14:paraId="2B05823B"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 400 μm alebo ak diabetický edém makuly nereaguje na liečbu laserom a hrúbka sietnice v makulárnej krajine je ≥ 300μm. </w:t>
            </w:r>
          </w:p>
          <w:p w14:paraId="0D61DF83"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indikovaná len v prípade, že zmeny v makule nie sú ireverzibilného charakteru a nie sú prítomné známky sprievodného ochorenia makuly. </w:t>
            </w:r>
          </w:p>
          <w:p w14:paraId="7EC86267"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hradená do dosiahnutia maximálnej zrakovej ostrosti, t.j. do stavu, keď je pacientova zraková ostrosť stabilná počas 3 po sebe nasledujúcich aplikačných návštev. </w:t>
            </w:r>
          </w:p>
          <w:p w14:paraId="68740400"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diabetickým edémom makuly za predpokladu splnenia vyššie uvedených kritérií. </w:t>
            </w:r>
          </w:p>
          <w:p w14:paraId="45CA5422" w14:textId="77777777" w:rsidR="00BD4717" w:rsidRPr="00970AE2" w:rsidRDefault="00BD4717" w:rsidP="00BD4717">
            <w:pPr>
              <w:jc w:val="both"/>
              <w:rPr>
                <w:rFonts w:ascii="Arial" w:hAnsi="Arial" w:cs="Arial"/>
                <w:bCs/>
                <w:sz w:val="20"/>
                <w:szCs w:val="20"/>
              </w:rPr>
            </w:pPr>
          </w:p>
          <w:p w14:paraId="7E0A77E9"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aj v nasledujúcich prípadoch:</w:t>
            </w:r>
          </w:p>
          <w:p w14:paraId="72A7247F"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 xml:space="preserve">Ak po piatich /SPC/ úvodných aplikáciách nedôjde k resorpcii edému makuly minimálne o 50 μm alebo zlepšeniu zrakovej ostrosti minimálne o 5 písmen ETDRS. </w:t>
            </w:r>
          </w:p>
          <w:p w14:paraId="113009E9"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V prípade zhoršenia zrakovej ostrosti o viac než tri riadky ETDRS optotypu, ktoré je spôsobené neúčinnosťou liečby a pacient nie je monokulus</w:t>
            </w:r>
            <w:r>
              <w:rPr>
                <w:rFonts w:ascii="Arial" w:hAnsi="Arial" w:cs="Arial"/>
                <w:bCs/>
                <w:sz w:val="20"/>
                <w:szCs w:val="20"/>
              </w:rPr>
              <w:t>.</w:t>
            </w:r>
          </w:p>
          <w:p w14:paraId="7AF8E72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39C926F3" w14:textId="77777777" w:rsidR="00BD4717" w:rsidRDefault="00BD4717" w:rsidP="00BD4717">
            <w:pPr>
              <w:tabs>
                <w:tab w:val="left" w:pos="410"/>
              </w:tabs>
              <w:jc w:val="both"/>
              <w:rPr>
                <w:rFonts w:ascii="Arial" w:hAnsi="Arial" w:cs="Arial"/>
                <w:bCs/>
                <w:sz w:val="20"/>
                <w:szCs w:val="20"/>
              </w:rPr>
            </w:pPr>
          </w:p>
          <w:p w14:paraId="74E8194E" w14:textId="77777777" w:rsidR="00BD4717" w:rsidRDefault="00BD4717" w:rsidP="00BD4717">
            <w:pPr>
              <w:tabs>
                <w:tab w:val="left" w:pos="410"/>
              </w:tabs>
              <w:jc w:val="both"/>
              <w:rPr>
                <w:rFonts w:ascii="Arial" w:hAnsi="Arial" w:cs="Arial"/>
                <w:bCs/>
                <w:sz w:val="20"/>
                <w:szCs w:val="20"/>
              </w:rPr>
            </w:pPr>
          </w:p>
          <w:p w14:paraId="071FCE29"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Hradená liečba sa môže indikovať na lôžkových očných oddeleniach nemocníc a očných pracoviskách jednodňovej ambulantnej starostlivosti.</w:t>
            </w:r>
          </w:p>
          <w:p w14:paraId="6A34A214"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Pracovisko musí spĺňať tieto kritériá:</w:t>
            </w:r>
          </w:p>
          <w:p w14:paraId="003AD966"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Liečbu musia vykonávať najmenej dvaja atestovaní lekári</w:t>
            </w:r>
          </w:p>
          <w:p w14:paraId="6CB2C264"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20D87A35"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 xml:space="preserve">Sterilnú operačnú sálu s operačným mikroskopom </w:t>
            </w:r>
          </w:p>
          <w:p w14:paraId="2BD4F921"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V prípade, že pracovisko nevykonáva pars plana vitrektómiu, musí mať zazmluvnené vitreoretinálne pracovisko na riešenie prípadných komplikácií intravitreálnej antiVEGF liečby.</w:t>
            </w:r>
          </w:p>
          <w:p w14:paraId="24663178" w14:textId="77777777" w:rsidR="00BD4717" w:rsidRDefault="00BD4717" w:rsidP="00BD4717">
            <w:pPr>
              <w:tabs>
                <w:tab w:val="left" w:pos="410"/>
              </w:tabs>
              <w:jc w:val="both"/>
              <w:rPr>
                <w:rFonts w:ascii="Arial" w:hAnsi="Arial" w:cs="Arial"/>
                <w:bCs/>
                <w:sz w:val="20"/>
                <w:szCs w:val="20"/>
              </w:rPr>
            </w:pPr>
          </w:p>
          <w:p w14:paraId="7F849132" w14:textId="77777777" w:rsidR="00BD4717" w:rsidRDefault="00BD4717" w:rsidP="00BD4717">
            <w:pPr>
              <w:tabs>
                <w:tab w:val="left" w:pos="410"/>
              </w:tabs>
              <w:jc w:val="both"/>
              <w:rPr>
                <w:rFonts w:ascii="Arial" w:hAnsi="Arial" w:cs="Arial"/>
                <w:bCs/>
                <w:sz w:val="20"/>
                <w:szCs w:val="20"/>
              </w:rPr>
            </w:pPr>
            <w:r w:rsidRPr="00BC36C4">
              <w:rPr>
                <w:rFonts w:ascii="Arial" w:hAnsi="Arial" w:cs="Arial"/>
                <w:bCs/>
                <w:sz w:val="20"/>
                <w:szCs w:val="20"/>
              </w:rPr>
              <w:t>Hradená liečba podlieha predchádzajúcemu súhlasu zdravotnej poisťovne.</w:t>
            </w:r>
          </w:p>
          <w:p w14:paraId="1BC32BBE" w14:textId="77777777" w:rsidR="00BD4717" w:rsidRPr="00BC36C4" w:rsidRDefault="00BD4717" w:rsidP="00BD4717">
            <w:pPr>
              <w:tabs>
                <w:tab w:val="left" w:pos="410"/>
              </w:tabs>
              <w:jc w:val="both"/>
              <w:rPr>
                <w:rFonts w:ascii="Arial" w:hAnsi="Arial" w:cs="Arial"/>
                <w:bCs/>
                <w:sz w:val="20"/>
                <w:szCs w:val="20"/>
              </w:rPr>
            </w:pPr>
          </w:p>
        </w:tc>
      </w:tr>
      <w:tr w:rsidR="00BD4717" w:rsidRPr="0000591E" w14:paraId="37B41193" w14:textId="77777777" w:rsidTr="008D1D03">
        <w:trPr>
          <w:trHeight w:val="20"/>
        </w:trPr>
        <w:tc>
          <w:tcPr>
            <w:tcW w:w="1277" w:type="dxa"/>
            <w:tcBorders>
              <w:top w:val="nil"/>
              <w:bottom w:val="single" w:sz="4" w:space="0" w:color="auto"/>
            </w:tcBorders>
            <w:noWrap/>
          </w:tcPr>
          <w:p w14:paraId="7561F3CC" w14:textId="3B07D07D" w:rsidR="00BD4717" w:rsidRDefault="00BD4717" w:rsidP="00BD4717">
            <w:pPr>
              <w:jc w:val="both"/>
              <w:rPr>
                <w:rFonts w:ascii="Arial" w:hAnsi="Arial" w:cs="Arial"/>
                <w:b/>
                <w:bCs/>
                <w:sz w:val="20"/>
                <w:szCs w:val="20"/>
              </w:rPr>
            </w:pPr>
            <w:r>
              <w:rPr>
                <w:rFonts w:ascii="Arial" w:hAnsi="Arial" w:cs="Arial"/>
                <w:b/>
                <w:bCs/>
                <w:sz w:val="20"/>
                <w:szCs w:val="20"/>
              </w:rPr>
              <w:t>S01LA06</w:t>
            </w:r>
          </w:p>
        </w:tc>
        <w:tc>
          <w:tcPr>
            <w:tcW w:w="9355" w:type="dxa"/>
            <w:tcBorders>
              <w:bottom w:val="single" w:sz="4" w:space="0" w:color="auto"/>
            </w:tcBorders>
            <w:noWrap/>
          </w:tcPr>
          <w:p w14:paraId="49D2D14B" w14:textId="5A4430B1" w:rsidR="00BD4717" w:rsidRDefault="00BD4717" w:rsidP="00BD4717">
            <w:pPr>
              <w:jc w:val="both"/>
              <w:rPr>
                <w:rFonts w:ascii="Arial" w:hAnsi="Arial" w:cs="Arial"/>
                <w:b/>
                <w:bCs/>
                <w:sz w:val="20"/>
                <w:szCs w:val="20"/>
              </w:rPr>
            </w:pPr>
            <w:r w:rsidRPr="008D1D03">
              <w:rPr>
                <w:rFonts w:ascii="Arial" w:hAnsi="Arial" w:cs="Arial"/>
                <w:b/>
                <w:bCs/>
                <w:sz w:val="20"/>
                <w:szCs w:val="20"/>
              </w:rPr>
              <w:t>Brolucizumab intravitreálne 120 mg/ml</w:t>
            </w:r>
          </w:p>
        </w:tc>
      </w:tr>
      <w:tr w:rsidR="00BD4717" w:rsidRPr="0000591E" w14:paraId="785FE19D" w14:textId="77777777" w:rsidTr="008D1D03">
        <w:trPr>
          <w:trHeight w:val="20"/>
        </w:trPr>
        <w:tc>
          <w:tcPr>
            <w:tcW w:w="1277" w:type="dxa"/>
            <w:tcBorders>
              <w:top w:val="nil"/>
              <w:bottom w:val="nil"/>
            </w:tcBorders>
            <w:noWrap/>
          </w:tcPr>
          <w:p w14:paraId="1E630EFE" w14:textId="77777777" w:rsidR="00BD4717" w:rsidRDefault="00BD4717" w:rsidP="00BD4717">
            <w:pPr>
              <w:jc w:val="both"/>
              <w:rPr>
                <w:rFonts w:ascii="Arial" w:hAnsi="Arial" w:cs="Arial"/>
                <w:b/>
                <w:bCs/>
                <w:sz w:val="20"/>
                <w:szCs w:val="20"/>
              </w:rPr>
            </w:pPr>
          </w:p>
        </w:tc>
        <w:tc>
          <w:tcPr>
            <w:tcW w:w="9355" w:type="dxa"/>
            <w:tcBorders>
              <w:bottom w:val="nil"/>
            </w:tcBorders>
            <w:noWrap/>
          </w:tcPr>
          <w:p w14:paraId="4A5A6893" w14:textId="77777777" w:rsidR="00BD4717" w:rsidRPr="00304C1C" w:rsidRDefault="00BD4717" w:rsidP="00BD4717">
            <w:pPr>
              <w:jc w:val="both"/>
              <w:rPr>
                <w:rFonts w:ascii="Arial" w:hAnsi="Arial" w:cs="Arial"/>
                <w:bCs/>
                <w:sz w:val="20"/>
                <w:szCs w:val="20"/>
              </w:rPr>
            </w:pPr>
            <w:r w:rsidRPr="00304C1C">
              <w:rPr>
                <w:rFonts w:ascii="Arial" w:hAnsi="Arial" w:cs="Arial"/>
                <w:bCs/>
                <w:sz w:val="20"/>
                <w:szCs w:val="20"/>
              </w:rPr>
              <w:t>Vlhká forma VPDM</w:t>
            </w:r>
          </w:p>
          <w:p w14:paraId="5D361252" w14:textId="6BA77C1A"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u pacientov s vlhkou formou VPDM môže indikovať za predpokladu splnenia nasledujúcich kritérií: </w:t>
            </w:r>
          </w:p>
          <w:p w14:paraId="7E69C5FA"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Vstupná zraková ostrosť v rozmedzí 20/25 – 20/200, u monokulov 20/25 – 20/320. </w:t>
            </w:r>
          </w:p>
          <w:p w14:paraId="3ADD0121"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b) Preukázaná aktívna subfoveálna neovaskulárna VPDM </w:t>
            </w:r>
          </w:p>
          <w:p w14:paraId="4B812BD3"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c) Známky aktivity CNV lézie preukázané na OCT a/alebo FAG a/alebo A-OCT </w:t>
            </w:r>
          </w:p>
          <w:p w14:paraId="357B1984"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d) Priložený diagnostický záver k vyšetreniam a snímka OCT a/alebo FAG a/alebo A-OCT </w:t>
            </w:r>
          </w:p>
          <w:p w14:paraId="4E8EAAF4"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e) 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 </w:t>
            </w:r>
          </w:p>
          <w:p w14:paraId="52412FDA"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f) Liečba je znovu zahájená, keď sledovanie pacienta preukáže zhoršenie stavu spôsobeného VPDM za predpokladu splnenia vyššie uvedených kritérií. </w:t>
            </w:r>
          </w:p>
          <w:p w14:paraId="29D5968A" w14:textId="77777777" w:rsidR="00BD4717" w:rsidRPr="008D1D03" w:rsidRDefault="00BD4717" w:rsidP="00BD4717">
            <w:pPr>
              <w:jc w:val="both"/>
              <w:rPr>
                <w:rFonts w:ascii="Arial" w:hAnsi="Arial" w:cs="Arial"/>
                <w:bCs/>
                <w:sz w:val="20"/>
                <w:szCs w:val="20"/>
              </w:rPr>
            </w:pPr>
          </w:p>
          <w:p w14:paraId="01FCE588"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ukončí v nasledujúcich prípadoch: </w:t>
            </w:r>
          </w:p>
          <w:p w14:paraId="5DFE4B20"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Pokiaľ je zraková ostrosť pacienta horšia ako 20/200, u monokulov 20/400. </w:t>
            </w:r>
          </w:p>
          <w:p w14:paraId="7F94F7B8"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b) Ak na základe anatomického nálezu v makule nie je možné očakávať ďalší efekt liečby.</w:t>
            </w:r>
          </w:p>
          <w:p w14:paraId="10F050AC" w14:textId="77777777" w:rsidR="00BD4717" w:rsidRPr="008D1D03" w:rsidRDefault="00BD4717" w:rsidP="00BD4717">
            <w:pPr>
              <w:jc w:val="both"/>
              <w:rPr>
                <w:rFonts w:ascii="Arial" w:hAnsi="Arial" w:cs="Arial"/>
                <w:bCs/>
                <w:sz w:val="20"/>
                <w:szCs w:val="20"/>
              </w:rPr>
            </w:pPr>
          </w:p>
          <w:p w14:paraId="6E538FA7"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Vylučujúcim kritériom liečby je Infarkt myokardu alebo NCMP za obdobie predchádzajúcich 3 mesiacov. Na základe verejného zdravotného poistenia sa uhrádza maximálne 8 dávok anti-VEGF liečby (kumulatívne za liečivá brolucizumab, ranibizumab a aflibercept podávané intravitreálne) do jedného oka v prvom roku liečby a maximálne 6 dávok anti-VEGF liečby (kumulatívne za liečivá brolucizumab, ranibizumab a aflibercept podávané intravitreálne) do jedného oka za rok v nasledujúcich rokoch. </w:t>
            </w:r>
          </w:p>
          <w:p w14:paraId="16BAEA37" w14:textId="77777777" w:rsidR="00BD4717" w:rsidRPr="008D1D03" w:rsidRDefault="00BD4717" w:rsidP="00BD4717">
            <w:pPr>
              <w:jc w:val="both"/>
              <w:rPr>
                <w:rFonts w:ascii="Arial" w:hAnsi="Arial" w:cs="Arial"/>
                <w:bCs/>
                <w:sz w:val="20"/>
                <w:szCs w:val="20"/>
              </w:rPr>
            </w:pPr>
          </w:p>
          <w:p w14:paraId="1BB7ECDD"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DEM </w:t>
            </w:r>
          </w:p>
          <w:p w14:paraId="7A06AC8E"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Prípravok je hradený v liečbe poškodenia zraku spôsobeného diabetickým edémom makuly podľa nasledujúcich kritérií: </w:t>
            </w:r>
          </w:p>
          <w:p w14:paraId="6D16AE5B"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Liečba sa môže indikovať u diabetikov s DM 1.typu alebo *kompenzovaných diabetikov s DM 2.typu, u ktorých *hodnota glykovaného hemoglobínu HbA1C (nie staršia ako 3 mesiace) je nižšia alebo rovná 8,0% /DCCT/ 64 mmol/mol /IFCC. </w:t>
            </w:r>
          </w:p>
          <w:p w14:paraId="1A2BD31F"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b) Liečba sa môže indikovať u pacientov s diabetickým edémom makuly, ktorý je príčinou zhoršenia zrakovej ostrosti v rozmedzí 20/25 - 20/200, u pacientov s hrúbkou sietnice v makulárnej krajine, u monokulov 20/25 – 20/320. </w:t>
            </w:r>
          </w:p>
          <w:p w14:paraId="1E4EFBB2"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c) ≥ 400 μm alebo ak diabetický edém makuly nereaguje na liečbu laserom a hrúbka sietnice v makulárnej krajine je ≥ 300μm. </w:t>
            </w:r>
          </w:p>
          <w:p w14:paraId="571A8E51"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d) Liečba je indikovaná len v prípade, že zmeny v makule nie sú ireverzibilného charakteru a nie sú prítomné známky sprievodného ochorenia makuly. </w:t>
            </w:r>
          </w:p>
          <w:p w14:paraId="30D28B2C"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e) Liečba je hradená do dosiahnutia maximálnej zrakovej ostrosti, t.j. do stavu, keď je pacientova zraková ostrosť stabilná počas 3 po sebe nasledujúcich aplikačných návštev. </w:t>
            </w:r>
          </w:p>
          <w:p w14:paraId="1831F758"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f) Liečba je znovu zahájená, keď sledovanie pacienta preukáže zhoršenie stavu spôsobeného diabetickým edémom makuly za predpokladu splnenia vyššie uvedených kritérií.</w:t>
            </w:r>
          </w:p>
          <w:p w14:paraId="4FEAB512" w14:textId="77777777" w:rsidR="00BD4717" w:rsidRPr="008D1D03" w:rsidRDefault="00BD4717" w:rsidP="00BD4717">
            <w:pPr>
              <w:jc w:val="both"/>
              <w:rPr>
                <w:rFonts w:ascii="Arial" w:hAnsi="Arial" w:cs="Arial"/>
                <w:bCs/>
                <w:sz w:val="20"/>
                <w:szCs w:val="20"/>
              </w:rPr>
            </w:pPr>
          </w:p>
          <w:p w14:paraId="7A316607"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ukončí aj v nasledujúcich prípadoch: </w:t>
            </w:r>
          </w:p>
          <w:p w14:paraId="5424095C"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Ak po piatich /SPC/ úvodných aplikáciách nedôjde k resorpcii edému makuly minimálne o 50 μm alebo zlepšeniu zrakovej ostrosti minimálne o 5 písmen ETDRS. </w:t>
            </w:r>
          </w:p>
          <w:p w14:paraId="05880124"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b) V prípade zhoršenia zrakovej ostrosti o viac než tri riadky ETDRS optotypu, ktoré je spôsobené neúčinnosťou liečby a pacient nie je monokulus. Vylučujúcim kritériom liečby je Infarkt myokardu alebo NCMP za obdobie predchádzajúcich 3 mesiacov.</w:t>
            </w:r>
          </w:p>
          <w:p w14:paraId="2051B42F"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môže indikovať na lôžkových očných oddeleniach nemocníc a očných pracoviskách jednodňovej ambulantnej starostlivosti. Pracovisko musí spĺňať tieto kritériá: - Liečbu musia vykonávať najmenej dvaja atestovaní lekári. - Pracovisko má potrebné technické vybavenie na diagnostiku a monitoring vlhkej formy VPDM, ETDRS optotyp, funduskamera na farebnú fotografiu fundu a fluoresceínovú angiografiu, OCT a/alebo Angio OCT. - Sterilnú operačnú sálu s operačným mikroskopom. - V prípade, že pracovisko nevykonáva pars plana vitrektómiu, musí mať zazmluvnené vitreoretinálne pracovisko na riešenie prípadných komplikácií intravitreálnej antiVEGF liečby. </w:t>
            </w:r>
          </w:p>
          <w:p w14:paraId="797A2039" w14:textId="77777777" w:rsidR="00BD4717" w:rsidRPr="008D1D03" w:rsidRDefault="00BD4717" w:rsidP="00BD4717">
            <w:pPr>
              <w:jc w:val="both"/>
              <w:rPr>
                <w:rFonts w:ascii="Arial" w:hAnsi="Arial" w:cs="Arial"/>
                <w:bCs/>
                <w:sz w:val="20"/>
                <w:szCs w:val="20"/>
              </w:rPr>
            </w:pPr>
          </w:p>
          <w:p w14:paraId="5D3330E7"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Hradená liečba podlieha predchádzajúcemu súhlasu zdravotnej poisťovne.</w:t>
            </w:r>
          </w:p>
          <w:p w14:paraId="5942F28D" w14:textId="77777777" w:rsidR="00BD4717" w:rsidRPr="008D1D03" w:rsidRDefault="00BD4717" w:rsidP="00BD4717">
            <w:pPr>
              <w:jc w:val="both"/>
              <w:rPr>
                <w:rFonts w:ascii="Arial" w:hAnsi="Arial" w:cs="Arial"/>
                <w:bCs/>
                <w:sz w:val="20"/>
                <w:szCs w:val="20"/>
              </w:rPr>
            </w:pPr>
          </w:p>
        </w:tc>
      </w:tr>
      <w:tr w:rsidR="00BD4717" w:rsidRPr="0000591E" w14:paraId="3DE0942A" w14:textId="77777777" w:rsidTr="008D1D03">
        <w:trPr>
          <w:trHeight w:val="20"/>
        </w:trPr>
        <w:tc>
          <w:tcPr>
            <w:tcW w:w="1277" w:type="dxa"/>
            <w:tcBorders>
              <w:top w:val="nil"/>
              <w:bottom w:val="single" w:sz="4" w:space="0" w:color="auto"/>
            </w:tcBorders>
            <w:noWrap/>
          </w:tcPr>
          <w:p w14:paraId="13885343" w14:textId="77777777" w:rsidR="00BD4717" w:rsidRPr="0000591E" w:rsidRDefault="00BD4717" w:rsidP="00BD4717">
            <w:pPr>
              <w:jc w:val="both"/>
              <w:rPr>
                <w:rFonts w:ascii="Arial" w:hAnsi="Arial" w:cs="Arial"/>
                <w:b/>
                <w:bCs/>
                <w:sz w:val="20"/>
                <w:szCs w:val="20"/>
              </w:rPr>
            </w:pPr>
            <w:r w:rsidRPr="00655874">
              <w:rPr>
                <w:rFonts w:ascii="Arial" w:hAnsi="Arial" w:cs="Arial"/>
                <w:b/>
                <w:bCs/>
                <w:sz w:val="20"/>
                <w:szCs w:val="20"/>
              </w:rPr>
              <w:t>S01LA</w:t>
            </w:r>
            <w:r>
              <w:rPr>
                <w:rFonts w:ascii="Arial" w:hAnsi="Arial" w:cs="Arial"/>
                <w:b/>
                <w:bCs/>
                <w:sz w:val="20"/>
                <w:szCs w:val="20"/>
              </w:rPr>
              <w:t>09</w:t>
            </w:r>
          </w:p>
        </w:tc>
        <w:tc>
          <w:tcPr>
            <w:tcW w:w="9355" w:type="dxa"/>
            <w:tcBorders>
              <w:top w:val="nil"/>
              <w:bottom w:val="single" w:sz="4" w:space="0" w:color="auto"/>
            </w:tcBorders>
            <w:noWrap/>
          </w:tcPr>
          <w:p w14:paraId="6FEEF958" w14:textId="77777777" w:rsidR="00BD4717" w:rsidRPr="0000591E" w:rsidRDefault="00BD4717" w:rsidP="00BD4717">
            <w:pPr>
              <w:jc w:val="both"/>
              <w:rPr>
                <w:rFonts w:ascii="Arial" w:hAnsi="Arial" w:cs="Arial"/>
                <w:sz w:val="20"/>
                <w:szCs w:val="20"/>
              </w:rPr>
            </w:pPr>
            <w:r>
              <w:rPr>
                <w:rFonts w:ascii="Arial" w:hAnsi="Arial" w:cs="Arial"/>
                <w:b/>
                <w:bCs/>
                <w:sz w:val="20"/>
                <w:szCs w:val="20"/>
              </w:rPr>
              <w:t>Faricimab intravitreálne 120 mg/ml</w:t>
            </w:r>
          </w:p>
        </w:tc>
      </w:tr>
      <w:tr w:rsidR="00BD4717" w:rsidRPr="0000591E" w14:paraId="04CA6B76" w14:textId="77777777" w:rsidTr="00670FEC">
        <w:trPr>
          <w:trHeight w:val="20"/>
        </w:trPr>
        <w:tc>
          <w:tcPr>
            <w:tcW w:w="1277" w:type="dxa"/>
            <w:tcBorders>
              <w:top w:val="single" w:sz="4" w:space="0" w:color="auto"/>
            </w:tcBorders>
            <w:noWrap/>
          </w:tcPr>
          <w:p w14:paraId="6BA0D803" w14:textId="77777777" w:rsidR="00BD4717" w:rsidRPr="00655874" w:rsidRDefault="00BD4717" w:rsidP="00BD4717">
            <w:pPr>
              <w:jc w:val="both"/>
              <w:rPr>
                <w:rFonts w:ascii="Arial" w:hAnsi="Arial" w:cs="Arial"/>
                <w:b/>
                <w:bCs/>
                <w:sz w:val="20"/>
                <w:szCs w:val="20"/>
              </w:rPr>
            </w:pPr>
          </w:p>
        </w:tc>
        <w:tc>
          <w:tcPr>
            <w:tcW w:w="9355" w:type="dxa"/>
            <w:tcBorders>
              <w:top w:val="single" w:sz="4" w:space="0" w:color="auto"/>
            </w:tcBorders>
            <w:noWrap/>
          </w:tcPr>
          <w:p w14:paraId="148BD33E" w14:textId="77777777" w:rsidR="00BD4717" w:rsidRDefault="00BD4717" w:rsidP="00BD4717">
            <w:pPr>
              <w:jc w:val="both"/>
              <w:rPr>
                <w:rFonts w:ascii="Arial" w:hAnsi="Arial" w:cs="Arial"/>
                <w:bCs/>
                <w:sz w:val="20"/>
                <w:szCs w:val="20"/>
              </w:rPr>
            </w:pPr>
            <w:r w:rsidRPr="00655874">
              <w:rPr>
                <w:rFonts w:ascii="Arial" w:hAnsi="Arial" w:cs="Arial"/>
                <w:bCs/>
                <w:sz w:val="20"/>
                <w:szCs w:val="20"/>
              </w:rPr>
              <w:t>Vlhká forma VPDM</w:t>
            </w:r>
          </w:p>
          <w:p w14:paraId="5333B795"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Hradená liečba sa u pacientov s vlhkou formou VPDM môže indikovať za predpokladu splnenia nasledujúcich kritérií:</w:t>
            </w:r>
          </w:p>
          <w:p w14:paraId="0216A29A"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a) vstupná zraková ostrosť v rozmedzí 20/25 – 20/200, u monokulov 20/25 – 20/320</w:t>
            </w:r>
          </w:p>
          <w:p w14:paraId="3968AEC2"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b) preukázaná aktívna subfoveálna neovaskulárna VPDM </w:t>
            </w:r>
          </w:p>
          <w:p w14:paraId="000526E5"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c) známky aktivity CNV lézie preukázané na OCT a/alebo FAG a/alebo A-OCT </w:t>
            </w:r>
          </w:p>
          <w:p w14:paraId="60B1BE3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d) priložený diagnostický záver k vyšetreniam a snímka OCT a/alebo FAG a/alebo A-OCT</w:t>
            </w:r>
          </w:p>
          <w:p w14:paraId="1DDAFF1A"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e) 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w:t>
            </w:r>
          </w:p>
          <w:p w14:paraId="4ADF31A9" w14:textId="1FD2CEAE"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f) liečba je znovu zahájená, keď sledovanie pacienta preukáže zhoršenie stavu spôsobeného VPDM za predpokladu splnenia vyššie uvedených kritérií. </w:t>
            </w:r>
          </w:p>
          <w:p w14:paraId="6F80F35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Hradená liečba sa ukončí v nasledujúcich prípadoch: </w:t>
            </w:r>
          </w:p>
          <w:p w14:paraId="41042D5E"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a) pokiaľ je zraková ostrosť pacienta horšia ako 20/200, u monokulov 20/400</w:t>
            </w:r>
          </w:p>
          <w:p w14:paraId="584D4431"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b) ak na základe anatomického nálezu v makule nie je možné očakávať ďalší efekt liečby.</w:t>
            </w:r>
          </w:p>
          <w:p w14:paraId="273DEBDC"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Vylučujúcim kritériom liečby je Infarkt myokardu alebo NCMP za obdobie predchádzajúcich 3 mesiacov. </w:t>
            </w:r>
          </w:p>
          <w:p w14:paraId="0D8E2B85"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Na základe verejného zdravotného poistenia sa uhrádza maximálne 8 dávok anti-VEGF liečby (kumulatívne za liečivá faricimab, brolucizumab, ranibizumab a aflibercept podávané intravitreálne) do jedného oka v prvom roku liečby a maximálne 6 dávok anti-VEGF liečby (kumulatívne za liečivá faricimab, brolucizumab, ranibizumab a aflibercept podávané intravitreálne) do jedného oka za rok v nasledujúcich rokoch. </w:t>
            </w:r>
          </w:p>
          <w:p w14:paraId="22284391"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sa môže indikovať na lôžkových očných oddeleniach nemocníc a očných pracoviskách jednodňovej ambulantnej starostlivosti.</w:t>
            </w:r>
          </w:p>
          <w:p w14:paraId="7DB4D8A1" w14:textId="77777777" w:rsidR="00BD4717" w:rsidRPr="00655874" w:rsidRDefault="00BD4717" w:rsidP="00BD4717">
            <w:pPr>
              <w:jc w:val="both"/>
              <w:rPr>
                <w:rFonts w:ascii="Arial" w:hAnsi="Arial" w:cs="Arial"/>
                <w:bCs/>
                <w:sz w:val="20"/>
                <w:szCs w:val="20"/>
              </w:rPr>
            </w:pPr>
          </w:p>
          <w:p w14:paraId="1DE79938"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Pracovisko musí spĺňať tieto kritériá:</w:t>
            </w:r>
          </w:p>
          <w:p w14:paraId="58EDAF3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Liečbu musia vykonávať najmenej dvaja atestovaní lekári</w:t>
            </w:r>
          </w:p>
          <w:p w14:paraId="3167C1D3"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Pracovisko má potrebné technické vybavenie na diagnostiku a monitoring vlhkej formy VPDM a diabetickej retinopatie a diabetického edému makuly, edému makuly pre</w:t>
            </w:r>
          </w:p>
          <w:p w14:paraId="74838441"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oklúziu v.c.retinae: ETDRS optotyp, funduskamera na farebnú fotografiu fundu a fluoresceínovú angiografiu, OCT a/alebo Angio OCT </w:t>
            </w:r>
          </w:p>
          <w:p w14:paraId="7475B230"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 Sterilnú operačnú sálu s operačným mikroskopom </w:t>
            </w:r>
          </w:p>
          <w:p w14:paraId="6241CFF3" w14:textId="77777777" w:rsidR="00BD4717" w:rsidRDefault="00BD4717" w:rsidP="00BD4717">
            <w:pPr>
              <w:jc w:val="both"/>
              <w:rPr>
                <w:rFonts w:ascii="Arial" w:hAnsi="Arial" w:cs="Arial"/>
                <w:bCs/>
                <w:sz w:val="20"/>
                <w:szCs w:val="20"/>
              </w:rPr>
            </w:pPr>
            <w:r w:rsidRPr="00655874">
              <w:rPr>
                <w:rFonts w:ascii="Arial" w:hAnsi="Arial" w:cs="Arial"/>
                <w:bCs/>
                <w:sz w:val="20"/>
                <w:szCs w:val="20"/>
              </w:rPr>
              <w:t>• V prípade, že pracovisko nevykonáva pars plana vitrektómiu, musí mať zazmluvnené vitreoretinálne pracovisko na riešenie prípadných komplikácií intravitreálnej antiVEGF liečby.</w:t>
            </w:r>
          </w:p>
          <w:p w14:paraId="11D38881" w14:textId="77777777" w:rsidR="00BD4717" w:rsidRPr="00655874" w:rsidRDefault="00BD4717" w:rsidP="00BD4717">
            <w:pPr>
              <w:jc w:val="both"/>
              <w:rPr>
                <w:rFonts w:ascii="Arial" w:hAnsi="Arial" w:cs="Arial"/>
                <w:bCs/>
                <w:sz w:val="20"/>
                <w:szCs w:val="20"/>
              </w:rPr>
            </w:pPr>
          </w:p>
          <w:p w14:paraId="7B286D90"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podlieha predchádzajúcemu súhlasu zdravotnej poisťovne.</w:t>
            </w:r>
          </w:p>
          <w:p w14:paraId="59003010" w14:textId="77777777" w:rsidR="00BD4717" w:rsidRDefault="00BD4717" w:rsidP="00BD4717">
            <w:pPr>
              <w:jc w:val="both"/>
              <w:rPr>
                <w:rFonts w:ascii="Arial" w:hAnsi="Arial" w:cs="Arial"/>
                <w:bCs/>
                <w:sz w:val="20"/>
                <w:szCs w:val="20"/>
              </w:rPr>
            </w:pPr>
          </w:p>
          <w:p w14:paraId="7740AE4D" w14:textId="77777777" w:rsidR="00BD4717" w:rsidRDefault="00BD4717" w:rsidP="00BD4717">
            <w:pPr>
              <w:jc w:val="both"/>
              <w:rPr>
                <w:rFonts w:ascii="Arial" w:hAnsi="Arial" w:cs="Arial"/>
                <w:bCs/>
                <w:sz w:val="20"/>
                <w:szCs w:val="20"/>
              </w:rPr>
            </w:pPr>
            <w:r w:rsidRPr="00655874">
              <w:rPr>
                <w:rFonts w:ascii="Arial" w:hAnsi="Arial" w:cs="Arial"/>
                <w:bCs/>
                <w:sz w:val="20"/>
                <w:szCs w:val="20"/>
              </w:rPr>
              <w:t>DEM</w:t>
            </w:r>
          </w:p>
          <w:p w14:paraId="076BADAC"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Prípravok je hradený v liečbe poškodenia zraku spôsobeného diabetickým edémom makuly podľa nasledujúcich kritérií: </w:t>
            </w:r>
          </w:p>
          <w:p w14:paraId="48F24FF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a) liečba sa môže indikovať u diabetikov s DM 1.typu alebo *kompenzovaných diabetikov s DM 2.typu, u ktorých *hodnota glykovaného hemoglobínu HbA1C (nie staršia ako 3 mesiace) je nižšia alebo rovná 8,0% /DCCT/ 6,4% /IFCC/ 64 mmol/mol /IFCC/ </w:t>
            </w:r>
          </w:p>
          <w:p w14:paraId="12F27E3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b) liečba sa môže indikovať u pacientov s diabetickým edémom makuly, ktorý je príčinouzhoršenia zrakovej ostrosti v rozmedzí 20/25 - 20/200, u pacientov s hrúbkou sietnice v makulárnej krajine, u monokulov 20/25 – 20/320</w:t>
            </w:r>
          </w:p>
          <w:p w14:paraId="7BE0C264"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c) ≥ 400 μm alebo ak diabetický edém makuly nereaguje na liečbu laserom a hrúbka sietnice v makulárnej krajine je ≥ 300μm </w:t>
            </w:r>
          </w:p>
          <w:p w14:paraId="788E824B"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d) liečba je indikovaná len v prípade, že zmeny v makule nie sú ireverzibilného charakteru a nie sú prítomné známky sprievodného ochorenia makuly </w:t>
            </w:r>
          </w:p>
          <w:p w14:paraId="0E295CC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e) liečba je hradená do dosiahnutia maximálnej zrakovej ostrosti, t.j. do stavu, keď je pacientova zraková ostrosť stabilná počas 3 po sebe nasledujúcich aplikačných návštev. </w:t>
            </w:r>
          </w:p>
          <w:p w14:paraId="1577DBF7" w14:textId="275FB77A"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f) liečba je znovu zahájená, keď sledovanie pacienta preukáže zhoršenie stavu spôsobeného diabetickým edémom makuly za predpokladu splnenia vyššie uvedených kritérií. </w:t>
            </w:r>
          </w:p>
          <w:p w14:paraId="323E4A8E"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Hradená liečba sa ukončí aj v nasledujúcich prípadoch:</w:t>
            </w:r>
          </w:p>
          <w:p w14:paraId="1ABEE96D"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a) ak po štyroch úvodných aplikáciách /SPC/ nedôjde k resorpcii edému makuly minimálne o 50 μm alebo zlepšeniu zrakovej ostrosti minimálne o 5 písmen ETDRS. </w:t>
            </w:r>
          </w:p>
          <w:p w14:paraId="290DCB2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b) v prípade zhoršenia zrakovej ostrosti o viac než tri riadky ETDRS optotypu, ktoré je spôsobené neúčinnosťou liečby a pacient nie je monokulus.</w:t>
            </w:r>
          </w:p>
          <w:p w14:paraId="11372E6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Vylučujúcim kritériom liečby je Infarkt myokardu alebo NCMP za obdobie predchádzajúcich 3 mesiacov.</w:t>
            </w:r>
          </w:p>
          <w:p w14:paraId="0CFBBE5F" w14:textId="77777777" w:rsidR="00BD4717" w:rsidRPr="00655874" w:rsidRDefault="00BD4717" w:rsidP="00BD4717">
            <w:pPr>
              <w:jc w:val="both"/>
              <w:rPr>
                <w:rFonts w:ascii="Arial" w:hAnsi="Arial" w:cs="Arial"/>
                <w:bCs/>
                <w:sz w:val="20"/>
                <w:szCs w:val="20"/>
              </w:rPr>
            </w:pPr>
          </w:p>
          <w:p w14:paraId="30C308A5"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sa môže indikovať na lôžkových očných oddeleniach nemocníc a očných pracoviskách jednodňovej ambulantnej starostlivosti.</w:t>
            </w:r>
          </w:p>
          <w:p w14:paraId="49C3784B"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Pracovisko musí spĺňať tieto kritériá:</w:t>
            </w:r>
          </w:p>
          <w:p w14:paraId="6AEAB40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Liečbu musia vykonávať najmenej dvaja atestovaní lekári</w:t>
            </w:r>
          </w:p>
          <w:p w14:paraId="49096821"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08EC8FEF"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 Sterilnú operačnú sálu s operačným mikroskopom </w:t>
            </w:r>
          </w:p>
          <w:p w14:paraId="765A8469" w14:textId="77777777" w:rsidR="00BD4717" w:rsidRDefault="00BD4717" w:rsidP="00BD4717">
            <w:pPr>
              <w:jc w:val="both"/>
              <w:rPr>
                <w:rFonts w:ascii="Arial" w:hAnsi="Arial" w:cs="Arial"/>
                <w:bCs/>
                <w:sz w:val="20"/>
                <w:szCs w:val="20"/>
              </w:rPr>
            </w:pPr>
            <w:r w:rsidRPr="00655874">
              <w:rPr>
                <w:rFonts w:ascii="Arial" w:hAnsi="Arial" w:cs="Arial"/>
                <w:bCs/>
                <w:sz w:val="20"/>
                <w:szCs w:val="20"/>
              </w:rPr>
              <w:t>• V prípade, že pracovisko nevykonáva pars plana vitrektómiu, musí mať zazmluvnené vitreoretinálne pracovisko na riešenie prípadných komplikácií intravitreálnej antiVEGF liečby.</w:t>
            </w:r>
          </w:p>
          <w:p w14:paraId="0996A004" w14:textId="77777777" w:rsidR="00BD4717" w:rsidRPr="00655874" w:rsidRDefault="00BD4717" w:rsidP="00BD4717">
            <w:pPr>
              <w:jc w:val="both"/>
              <w:rPr>
                <w:rFonts w:ascii="Arial" w:hAnsi="Arial" w:cs="Arial"/>
                <w:bCs/>
                <w:sz w:val="20"/>
                <w:szCs w:val="20"/>
              </w:rPr>
            </w:pPr>
          </w:p>
          <w:p w14:paraId="6C347289"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podlieha predchádzajúcemu súhlasu zdravotnej poisťovne.</w:t>
            </w:r>
          </w:p>
          <w:p w14:paraId="2CBF4F79" w14:textId="77777777" w:rsidR="00DC02AC" w:rsidRDefault="00DC02AC" w:rsidP="00BD4717">
            <w:pPr>
              <w:jc w:val="both"/>
              <w:rPr>
                <w:rFonts w:ascii="Arial" w:hAnsi="Arial" w:cs="Arial"/>
                <w:bCs/>
                <w:sz w:val="20"/>
                <w:szCs w:val="20"/>
              </w:rPr>
            </w:pPr>
          </w:p>
          <w:p w14:paraId="2834B097"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CRVO </w:t>
            </w:r>
          </w:p>
          <w:p w14:paraId="08674D8D"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Liečba je hradená u pacientov s makulárnym edémom po oklúzii centrálnej žily sietnice (CRVO) v prípade, že zmeny v makule nie sú ireverzibilného charakteru a liečba samotným laserom je neúčinná alebo nie je vhodné laserovú liečbu realizovať.</w:t>
            </w:r>
          </w:p>
          <w:p w14:paraId="7E16D2A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Podmienkou hradenej liečby je vstupná zraková ostrosť v rozmedzí 20/32 – 20/200 a kompenzácia pacienta po internej stránke. Na základe verejného zdravotného poistenia sa uhrádza liečba maximálne na 2 roky.</w:t>
            </w:r>
          </w:p>
          <w:p w14:paraId="114D823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Hradená liečba sa ukončí v nasledujúcich prípadoch:</w:t>
            </w:r>
          </w:p>
          <w:p w14:paraId="6588C57A"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a) Ak po prvých 3 injekciách nedôjde k zlepšeniu zrakovej ostrosti najmenej o 5 písmen ETDRS alebo ku zníženiu edému makuly aspoň o 50 μm podľa OCT. </w:t>
            </w:r>
          </w:p>
          <w:p w14:paraId="4B0CC930"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b) V prípade zhoršenia zrakovej ostrosti o viac než tri riadky ETDRS optotypu, ktoré je spôsobené neúčinnosťou liečby. </w:t>
            </w:r>
          </w:p>
          <w:p w14:paraId="448F178B"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Vylučujúcim kritériom liečby je Infarkt myokardu alebo NCMP za obdobie predchádzajúcich 3 mesiacov. </w:t>
            </w:r>
          </w:p>
          <w:p w14:paraId="408718EC" w14:textId="77777777" w:rsidR="00DC02AC" w:rsidRPr="00DC02AC" w:rsidRDefault="00DC02AC" w:rsidP="00DC02AC">
            <w:pPr>
              <w:jc w:val="both"/>
              <w:rPr>
                <w:rFonts w:ascii="Arial" w:hAnsi="Arial" w:cs="Arial"/>
                <w:bCs/>
                <w:sz w:val="20"/>
                <w:szCs w:val="20"/>
              </w:rPr>
            </w:pPr>
          </w:p>
          <w:p w14:paraId="19D3DF0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Hradená liečba sa môže indikovať na lôžkových očných oddeleniach nemocníc a očných pracoviskách jednodňovej ambulantnej starostlivosti.</w:t>
            </w:r>
          </w:p>
          <w:p w14:paraId="701F68A7"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Pracovisko musí spĺňať tieto kritériá:</w:t>
            </w:r>
          </w:p>
          <w:p w14:paraId="7FFEC47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Liečbu musia vykonávať najmenej dvaja atestovaní lekári</w:t>
            </w:r>
          </w:p>
          <w:p w14:paraId="6BC384A8"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46C51E3D"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 Sterilnú operačnú sálu s operačným mikroskopom </w:t>
            </w:r>
          </w:p>
          <w:p w14:paraId="1325D1B8"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V prípade, že pracovisko nevykonáva pars plana vitrektómiu, musí mať zazmluvnené vitreoretinálne pracovisko na riešenie prípadných komplikácií intravitreálnej antiVEGF liečby.</w:t>
            </w:r>
          </w:p>
          <w:p w14:paraId="5F50789E" w14:textId="2CEB453B" w:rsidR="00DC02AC" w:rsidRDefault="00DC02AC" w:rsidP="00DC02AC">
            <w:pPr>
              <w:jc w:val="both"/>
              <w:rPr>
                <w:rFonts w:ascii="Arial" w:hAnsi="Arial" w:cs="Arial"/>
                <w:bCs/>
                <w:sz w:val="20"/>
                <w:szCs w:val="20"/>
              </w:rPr>
            </w:pPr>
            <w:r w:rsidRPr="00DC02AC">
              <w:rPr>
                <w:rFonts w:ascii="Arial" w:hAnsi="Arial" w:cs="Arial"/>
                <w:bCs/>
                <w:sz w:val="20"/>
                <w:szCs w:val="20"/>
              </w:rPr>
              <w:t>Hradená liečba podlieha predchádzajúcemu súhlasu zdravotnej poisťovne.</w:t>
            </w:r>
          </w:p>
          <w:p w14:paraId="174E3E21" w14:textId="77777777" w:rsidR="00BD4717" w:rsidRPr="00DC02AC" w:rsidRDefault="00BD4717" w:rsidP="00BD4717">
            <w:pPr>
              <w:jc w:val="both"/>
              <w:rPr>
                <w:rFonts w:ascii="Arial" w:hAnsi="Arial" w:cs="Arial"/>
                <w:sz w:val="20"/>
                <w:szCs w:val="20"/>
              </w:rPr>
            </w:pPr>
          </w:p>
          <w:p w14:paraId="621CF709"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BRVO </w:t>
            </w:r>
          </w:p>
          <w:p w14:paraId="0C3DF934"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Liečba je hradená u pacientov s makulárnym edémom po oklúzii vetvy žily sietnice (BRVO) v prípade, že zmeny v makule nie sú ireverzibilného charakteru a liečba samotným laserom je neúčinná alebo nie je vhodné laserovú liečbu realizovať.</w:t>
            </w:r>
          </w:p>
          <w:p w14:paraId="408DE6B4"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1ED864AE"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Hradená liečba sa ukončí v nasledujúcich prípadoch:</w:t>
            </w:r>
          </w:p>
          <w:p w14:paraId="6E9B2027"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a) Ak po prvých 3 injekciách nedôjde k zlepšeniu zrakovej ostrosti najmenej o 5 písmen ETDRS alebo ku zníženiu edému makuly aspoň o 50 μm podľa OCT. </w:t>
            </w:r>
          </w:p>
          <w:p w14:paraId="502D7A2B"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b) V prípade zhoršenia zrakovej ostrosti o viac než tri riadky ETDRS optotypu, ktoré je spôsobené neúčinnosťou liečby. </w:t>
            </w:r>
          </w:p>
          <w:p w14:paraId="7BB4A327"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Vylučujúcim kritériom liečby je Infarkt myokardu alebo NCMP za obdobie predchádzajúcich 3 mesiacov. </w:t>
            </w:r>
          </w:p>
          <w:p w14:paraId="5BE3FFB5"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w:t>
            </w:r>
          </w:p>
          <w:p w14:paraId="54D5BC5D"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Hradená liečba sa môže indikovať na lôžkových očných oddeleniach nemocníc a očných pracoviskách jednodňovej ambulantnej starostlivosti.</w:t>
            </w:r>
          </w:p>
          <w:p w14:paraId="26A80E0F"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Pracovisko musí spĺňať tieto kritériá:</w:t>
            </w:r>
          </w:p>
          <w:p w14:paraId="183019DD"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Liečbu musia vykonávať najmenej dvaja atestovaní lekári</w:t>
            </w:r>
          </w:p>
          <w:p w14:paraId="085CE08C"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6E1F033E"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 Sterilnú operačnú sálu s operačným mikroskopom </w:t>
            </w:r>
          </w:p>
          <w:p w14:paraId="36CC5E0E"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V prípade, že pracovisko nevykonáva pars plana vitrektómiu, musí mať zazmluvnené vitreoretinálne pracovisko na riešenie prípadných komplikácií intravitreálnej antiVEGF liečby.</w:t>
            </w:r>
          </w:p>
          <w:p w14:paraId="594114BA" w14:textId="77777777" w:rsidR="00DC02AC" w:rsidRPr="00DC02AC" w:rsidRDefault="00DC02AC" w:rsidP="00DC02AC">
            <w:pPr>
              <w:jc w:val="both"/>
              <w:rPr>
                <w:rFonts w:ascii="Arial" w:hAnsi="Arial" w:cs="Arial"/>
                <w:sz w:val="20"/>
                <w:szCs w:val="20"/>
              </w:rPr>
            </w:pPr>
          </w:p>
          <w:p w14:paraId="5E9154DF" w14:textId="77777777" w:rsidR="00DC02AC" w:rsidRDefault="00DC02AC" w:rsidP="00DC02AC">
            <w:pPr>
              <w:jc w:val="both"/>
              <w:rPr>
                <w:rFonts w:ascii="Arial" w:hAnsi="Arial" w:cs="Arial"/>
                <w:sz w:val="20"/>
                <w:szCs w:val="20"/>
              </w:rPr>
            </w:pPr>
            <w:r w:rsidRPr="00DC02AC">
              <w:rPr>
                <w:rFonts w:ascii="Arial" w:hAnsi="Arial" w:cs="Arial"/>
                <w:sz w:val="20"/>
                <w:szCs w:val="20"/>
              </w:rPr>
              <w:t>Hradená liečba podlieha predchádzajúcemu súhlasu zdravotnej poisťovne.</w:t>
            </w:r>
          </w:p>
          <w:p w14:paraId="72857445" w14:textId="30C51503" w:rsidR="00DC02AC" w:rsidRDefault="00DC02AC" w:rsidP="00DC02AC">
            <w:pPr>
              <w:jc w:val="both"/>
              <w:rPr>
                <w:rFonts w:ascii="Arial" w:hAnsi="Arial" w:cs="Arial"/>
                <w:b/>
                <w:bCs/>
                <w:sz w:val="20"/>
                <w:szCs w:val="20"/>
              </w:rPr>
            </w:pPr>
          </w:p>
        </w:tc>
      </w:tr>
    </w:tbl>
    <w:tbl>
      <w:tblPr>
        <w:tblW w:w="10611" w:type="dxa"/>
        <w:tblInd w:w="-830" w:type="dxa"/>
        <w:tblCellMar>
          <w:left w:w="70" w:type="dxa"/>
          <w:right w:w="70" w:type="dxa"/>
        </w:tblCellMar>
        <w:tblLook w:val="0000" w:firstRow="0" w:lastRow="0" w:firstColumn="0" w:lastColumn="0" w:noHBand="0" w:noVBand="0"/>
      </w:tblPr>
      <w:tblGrid>
        <w:gridCol w:w="1256"/>
        <w:gridCol w:w="9355"/>
      </w:tblGrid>
      <w:tr w:rsidR="00094A51" w:rsidRPr="0000591E" w14:paraId="1CA4D494" w14:textId="77777777" w:rsidTr="00094A51">
        <w:tc>
          <w:tcPr>
            <w:tcW w:w="1256" w:type="dxa"/>
            <w:tcBorders>
              <w:bottom w:val="single" w:sz="4" w:space="0" w:color="auto"/>
            </w:tcBorders>
            <w:noWrap/>
            <w:vAlign w:val="bottom"/>
          </w:tcPr>
          <w:p w14:paraId="7A2AD82F" w14:textId="0FF12E7F" w:rsidR="00094A51" w:rsidRDefault="00094A51" w:rsidP="00094A51">
            <w:pPr>
              <w:jc w:val="both"/>
              <w:rPr>
                <w:rFonts w:ascii="Arial" w:hAnsi="Arial" w:cs="Arial"/>
                <w:b/>
                <w:bCs/>
                <w:sz w:val="20"/>
                <w:szCs w:val="20"/>
              </w:rPr>
            </w:pPr>
            <w:r>
              <w:rPr>
                <w:rFonts w:ascii="Arial" w:hAnsi="Arial" w:cs="Arial"/>
                <w:b/>
                <w:bCs/>
                <w:sz w:val="20"/>
                <w:szCs w:val="20"/>
              </w:rPr>
              <w:t>S01XA18</w:t>
            </w:r>
          </w:p>
        </w:tc>
        <w:tc>
          <w:tcPr>
            <w:tcW w:w="9355" w:type="dxa"/>
            <w:tcBorders>
              <w:bottom w:val="single" w:sz="4" w:space="0" w:color="auto"/>
            </w:tcBorders>
          </w:tcPr>
          <w:p w14:paraId="58B46C1F" w14:textId="4C2C3E4E" w:rsidR="00094A51" w:rsidRPr="0008112A" w:rsidRDefault="00094A51" w:rsidP="00094A51">
            <w:pPr>
              <w:jc w:val="both"/>
              <w:rPr>
                <w:rFonts w:ascii="Arial" w:hAnsi="Arial" w:cs="Arial"/>
                <w:sz w:val="20"/>
                <w:szCs w:val="20"/>
              </w:rPr>
            </w:pPr>
            <w:r w:rsidRPr="0008112A">
              <w:rPr>
                <w:rFonts w:ascii="Arial" w:hAnsi="Arial" w:cs="Arial"/>
                <w:b/>
                <w:bCs/>
                <w:sz w:val="20"/>
                <w:szCs w:val="20"/>
              </w:rPr>
              <w:t>Cyklosporín loc. 1 mg/ml</w:t>
            </w:r>
          </w:p>
        </w:tc>
      </w:tr>
      <w:tr w:rsidR="00094A51" w:rsidRPr="0000591E" w14:paraId="60C7FC50" w14:textId="77777777" w:rsidTr="00094A51">
        <w:tc>
          <w:tcPr>
            <w:tcW w:w="1256" w:type="dxa"/>
            <w:noWrap/>
            <w:vAlign w:val="bottom"/>
          </w:tcPr>
          <w:p w14:paraId="43AA69EA" w14:textId="77777777" w:rsidR="00094A51" w:rsidRDefault="00094A51" w:rsidP="00094A51">
            <w:pPr>
              <w:jc w:val="both"/>
              <w:rPr>
                <w:rFonts w:ascii="Arial" w:hAnsi="Arial" w:cs="Arial"/>
                <w:b/>
                <w:bCs/>
                <w:sz w:val="20"/>
                <w:szCs w:val="20"/>
              </w:rPr>
            </w:pPr>
          </w:p>
        </w:tc>
        <w:tc>
          <w:tcPr>
            <w:tcW w:w="9355" w:type="dxa"/>
          </w:tcPr>
          <w:p w14:paraId="419684FA" w14:textId="77777777" w:rsidR="00094A51" w:rsidRDefault="00094A51" w:rsidP="00094A51">
            <w:pPr>
              <w:jc w:val="both"/>
              <w:rPr>
                <w:rFonts w:ascii="Arial" w:hAnsi="Arial" w:cs="Arial"/>
                <w:sz w:val="20"/>
                <w:szCs w:val="20"/>
              </w:rPr>
            </w:pPr>
            <w:r w:rsidRPr="0008112A">
              <w:rPr>
                <w:rFonts w:ascii="Arial" w:hAnsi="Arial" w:cs="Arial"/>
                <w:sz w:val="20"/>
                <w:szCs w:val="20"/>
              </w:rPr>
              <w:t xml:space="preserve">Hradená liečba sa môže indikovať u dospelých pacientov na liečbu závažnej keratitídy so syndrómom suchého oka (definovaným CFS (Corneal Fluorescein Staining) ≥ 4 body na Oxfordskej škále a/alebo Schirmerovým testom s hodnotami ≥2mm/5min a zároveň &lt;10mm/5min) v prípade, že liečba samotnými umelými slzami neviedla k zlepšeniu. </w:t>
            </w:r>
          </w:p>
          <w:p w14:paraId="46784017" w14:textId="77777777" w:rsidR="00094A51" w:rsidRDefault="00094A51" w:rsidP="00094A51">
            <w:pPr>
              <w:jc w:val="both"/>
              <w:rPr>
                <w:rFonts w:ascii="Arial" w:hAnsi="Arial" w:cs="Arial"/>
                <w:sz w:val="20"/>
                <w:szCs w:val="20"/>
              </w:rPr>
            </w:pPr>
            <w:r w:rsidRPr="0008112A">
              <w:rPr>
                <w:rFonts w:ascii="Arial" w:hAnsi="Arial" w:cs="Arial"/>
                <w:sz w:val="20"/>
                <w:szCs w:val="20"/>
              </w:rPr>
              <w:t>Liečba je ukončená po 6 mesiacoch alebo na pravidelnom kontrolnom vyšetrení, ak sa koná neskôr, v prípade, že pacientovi sa nezlepšilo skóre CFS o aspoň 3 body.</w:t>
            </w:r>
          </w:p>
          <w:p w14:paraId="7BAE177C" w14:textId="77777777" w:rsidR="00094A51" w:rsidRPr="00094A51" w:rsidRDefault="00094A51" w:rsidP="00094A51">
            <w:pPr>
              <w:jc w:val="both"/>
              <w:rPr>
                <w:rFonts w:ascii="Arial" w:hAnsi="Arial" w:cs="Arial"/>
                <w:b/>
                <w:sz w:val="20"/>
                <w:szCs w:val="20"/>
              </w:rPr>
            </w:pPr>
          </w:p>
        </w:tc>
      </w:tr>
      <w:tr w:rsidR="00094A51" w:rsidRPr="0000591E" w14:paraId="591BB2D2" w14:textId="77777777" w:rsidTr="00094A51">
        <w:tc>
          <w:tcPr>
            <w:tcW w:w="1256" w:type="dxa"/>
            <w:tcBorders>
              <w:bottom w:val="single" w:sz="4" w:space="0" w:color="auto"/>
            </w:tcBorders>
            <w:noWrap/>
            <w:vAlign w:val="bottom"/>
          </w:tcPr>
          <w:p w14:paraId="5701DD3F" w14:textId="01CA158F" w:rsidR="00094A51" w:rsidRPr="0000591E" w:rsidRDefault="00094A51" w:rsidP="00094A51">
            <w:pPr>
              <w:jc w:val="both"/>
              <w:rPr>
                <w:rFonts w:ascii="Arial" w:hAnsi="Arial" w:cs="Arial"/>
                <w:b/>
                <w:bCs/>
                <w:sz w:val="20"/>
                <w:szCs w:val="20"/>
              </w:rPr>
            </w:pPr>
            <w:r>
              <w:rPr>
                <w:rFonts w:ascii="Arial" w:hAnsi="Arial" w:cs="Arial"/>
                <w:b/>
                <w:bCs/>
                <w:sz w:val="20"/>
                <w:szCs w:val="20"/>
              </w:rPr>
              <w:t>S01XA21</w:t>
            </w:r>
          </w:p>
        </w:tc>
        <w:tc>
          <w:tcPr>
            <w:tcW w:w="9355" w:type="dxa"/>
            <w:tcBorders>
              <w:bottom w:val="single" w:sz="4" w:space="0" w:color="auto"/>
            </w:tcBorders>
          </w:tcPr>
          <w:p w14:paraId="7D91B00C" w14:textId="5B95F7E1" w:rsidR="00094A51" w:rsidRPr="00094A51" w:rsidRDefault="00094A51" w:rsidP="00094A51">
            <w:pPr>
              <w:jc w:val="both"/>
              <w:rPr>
                <w:rFonts w:ascii="Arial" w:hAnsi="Arial" w:cs="Arial"/>
                <w:sz w:val="20"/>
                <w:szCs w:val="20"/>
              </w:rPr>
            </w:pPr>
            <w:r w:rsidRPr="00094A51">
              <w:rPr>
                <w:rFonts w:ascii="Arial" w:hAnsi="Arial" w:cs="Arial"/>
                <w:b/>
                <w:sz w:val="20"/>
                <w:szCs w:val="20"/>
              </w:rPr>
              <w:t>Merkaptamín loc. 3,8 mg/ml</w:t>
            </w:r>
          </w:p>
        </w:tc>
      </w:tr>
      <w:tr w:rsidR="00094A51" w:rsidRPr="0000591E" w14:paraId="6F2AE585" w14:textId="77777777" w:rsidTr="00094A51">
        <w:tc>
          <w:tcPr>
            <w:tcW w:w="1256" w:type="dxa"/>
            <w:tcBorders>
              <w:top w:val="single" w:sz="4" w:space="0" w:color="auto"/>
            </w:tcBorders>
            <w:noWrap/>
            <w:vAlign w:val="bottom"/>
          </w:tcPr>
          <w:p w14:paraId="61ABF4DA" w14:textId="77777777" w:rsidR="00094A51" w:rsidRPr="0000591E" w:rsidRDefault="00094A51" w:rsidP="00094A51">
            <w:pPr>
              <w:jc w:val="both"/>
              <w:rPr>
                <w:rFonts w:ascii="Arial" w:hAnsi="Arial" w:cs="Arial"/>
                <w:b/>
                <w:bCs/>
                <w:sz w:val="20"/>
                <w:szCs w:val="20"/>
              </w:rPr>
            </w:pPr>
          </w:p>
        </w:tc>
        <w:tc>
          <w:tcPr>
            <w:tcW w:w="9355" w:type="dxa"/>
            <w:tcBorders>
              <w:top w:val="single" w:sz="4" w:space="0" w:color="auto"/>
            </w:tcBorders>
          </w:tcPr>
          <w:p w14:paraId="1CDD419D" w14:textId="57AFF149" w:rsidR="00094A51" w:rsidRPr="0000591E" w:rsidRDefault="00094A51" w:rsidP="00094A51">
            <w:pPr>
              <w:jc w:val="both"/>
              <w:rPr>
                <w:rFonts w:ascii="Arial" w:hAnsi="Arial" w:cs="Arial"/>
                <w:b/>
                <w:bCs/>
                <w:sz w:val="20"/>
                <w:szCs w:val="20"/>
              </w:rPr>
            </w:pPr>
            <w:r w:rsidRPr="00094A51">
              <w:rPr>
                <w:rFonts w:ascii="Arial" w:hAnsi="Arial" w:cs="Arial"/>
                <w:sz w:val="20"/>
                <w:szCs w:val="20"/>
              </w:rPr>
              <w:t>Hradená liečba podlieha predchádzajúcemu súhlasu zdravotnej poisťovne.</w:t>
            </w:r>
          </w:p>
        </w:tc>
      </w:tr>
      <w:tr w:rsidR="00094A51" w:rsidRPr="0000591E" w14:paraId="3B036674" w14:textId="77777777" w:rsidTr="00340DA2">
        <w:tc>
          <w:tcPr>
            <w:tcW w:w="1256" w:type="dxa"/>
            <w:noWrap/>
            <w:vAlign w:val="bottom"/>
          </w:tcPr>
          <w:p w14:paraId="071DAA2C" w14:textId="77777777" w:rsidR="00094A51" w:rsidRPr="0000591E" w:rsidRDefault="00094A51" w:rsidP="00094A51">
            <w:pPr>
              <w:jc w:val="both"/>
              <w:rPr>
                <w:rFonts w:ascii="Arial" w:hAnsi="Arial" w:cs="Arial"/>
                <w:b/>
                <w:bCs/>
                <w:sz w:val="20"/>
                <w:szCs w:val="20"/>
              </w:rPr>
            </w:pPr>
          </w:p>
        </w:tc>
        <w:tc>
          <w:tcPr>
            <w:tcW w:w="9355" w:type="dxa"/>
          </w:tcPr>
          <w:p w14:paraId="1F37CEC0" w14:textId="77777777" w:rsidR="00094A51" w:rsidRPr="0000591E" w:rsidRDefault="00094A51" w:rsidP="00094A51">
            <w:pPr>
              <w:jc w:val="both"/>
              <w:rPr>
                <w:rFonts w:ascii="Arial" w:hAnsi="Arial" w:cs="Arial"/>
                <w:b/>
                <w:bCs/>
                <w:sz w:val="20"/>
                <w:szCs w:val="20"/>
              </w:rPr>
            </w:pPr>
          </w:p>
        </w:tc>
      </w:tr>
      <w:tr w:rsidR="00094A51" w:rsidRPr="0000591E" w14:paraId="165A3698" w14:textId="77777777" w:rsidTr="00340DA2">
        <w:tc>
          <w:tcPr>
            <w:tcW w:w="1256" w:type="dxa"/>
            <w:tcBorders>
              <w:bottom w:val="single" w:sz="4" w:space="0" w:color="auto"/>
            </w:tcBorders>
            <w:noWrap/>
            <w:vAlign w:val="bottom"/>
          </w:tcPr>
          <w:p w14:paraId="0C7E4DA8"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V03AE02</w:t>
            </w:r>
          </w:p>
        </w:tc>
        <w:tc>
          <w:tcPr>
            <w:tcW w:w="9355" w:type="dxa"/>
            <w:tcBorders>
              <w:bottom w:val="single" w:sz="4" w:space="0" w:color="auto"/>
            </w:tcBorders>
          </w:tcPr>
          <w:p w14:paraId="6475CD84" w14:textId="553337F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Sevelam</w:t>
            </w:r>
            <w:r>
              <w:rPr>
                <w:rFonts w:ascii="Arial" w:hAnsi="Arial" w:cs="Arial"/>
                <w:b/>
                <w:bCs/>
                <w:sz w:val="20"/>
                <w:szCs w:val="20"/>
              </w:rPr>
              <w:t>é</w:t>
            </w:r>
            <w:r w:rsidRPr="0000591E">
              <w:rPr>
                <w:rFonts w:ascii="Arial" w:hAnsi="Arial" w:cs="Arial"/>
                <w:b/>
                <w:bCs/>
                <w:sz w:val="20"/>
                <w:szCs w:val="20"/>
              </w:rPr>
              <w:t>r p.o. 800 mg</w:t>
            </w:r>
          </w:p>
        </w:tc>
      </w:tr>
      <w:tr w:rsidR="00094A51" w:rsidRPr="0000591E" w14:paraId="1EEE0F61" w14:textId="77777777" w:rsidTr="00340DA2">
        <w:tc>
          <w:tcPr>
            <w:tcW w:w="1256" w:type="dxa"/>
            <w:noWrap/>
            <w:vAlign w:val="bottom"/>
          </w:tcPr>
          <w:p w14:paraId="1DED1F71" w14:textId="77777777" w:rsidR="00094A51" w:rsidRPr="0000591E" w:rsidRDefault="00094A51" w:rsidP="00094A51">
            <w:pPr>
              <w:jc w:val="both"/>
              <w:rPr>
                <w:rFonts w:ascii="Arial" w:hAnsi="Arial" w:cs="Arial"/>
                <w:b/>
                <w:bCs/>
                <w:sz w:val="20"/>
                <w:szCs w:val="20"/>
              </w:rPr>
            </w:pPr>
          </w:p>
        </w:tc>
        <w:tc>
          <w:tcPr>
            <w:tcW w:w="9355" w:type="dxa"/>
          </w:tcPr>
          <w:p w14:paraId="2CDBEAB3"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Hradená liečba sa môže indikovať u pacientov s chronickým ochorením obličiek v nefrologických ambulanciách, alebo na dialyzačnom stredisku u hemodialyzovaných pacientov a pacientov na peritoneálnej dialýze na liečbu hyperfosfatémie, ak pri liečbe kalciovými viazačmi fosfátov pretrváva hyperfosfatémia nad 1,8 mmol/l alebo dôjde pri tejto liečbe k hyperkalcémii nad 2,38 mmol/l, alebo ku klinicky alebo rádiologicky potvrdeným kalcifikátom v mäkkých tkanivách, alebo iPTH&lt;150pg/ml v dvoch po sebe nasledujúcich vyšetreniach s odstupom vyšetrení najmenej jeden mesiac.</w:t>
            </w:r>
          </w:p>
          <w:p w14:paraId="0BC794CB"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 xml:space="preserve">Ak dôjde u pacienta k progresii ochorenia, čiže sa zvýši hodnota fosfátu nad počiatočnú hodnotu, ďalšia liečba nie je hradenou liečbou. </w:t>
            </w:r>
          </w:p>
          <w:p w14:paraId="02A3F954" w14:textId="77777777" w:rsidR="00094A51" w:rsidRDefault="00094A51" w:rsidP="00094A51">
            <w:pPr>
              <w:jc w:val="both"/>
              <w:rPr>
                <w:rFonts w:ascii="Arial" w:hAnsi="Arial" w:cs="Arial"/>
                <w:sz w:val="20"/>
                <w:szCs w:val="20"/>
              </w:rPr>
            </w:pPr>
            <w:r w:rsidRPr="0000591E">
              <w:rPr>
                <w:rFonts w:ascii="Arial" w:hAnsi="Arial" w:cs="Arial"/>
                <w:sz w:val="20"/>
                <w:szCs w:val="20"/>
              </w:rPr>
              <w:t>Podmienkou hradenej liečby je vyhodnocovanie efektivity indikovanej liečby v pravidelných mesačných intervaloch.</w:t>
            </w:r>
          </w:p>
          <w:p w14:paraId="67A0CD3A" w14:textId="77777777" w:rsidR="00094A51" w:rsidRPr="0000591E" w:rsidRDefault="00094A51" w:rsidP="00094A51">
            <w:pPr>
              <w:jc w:val="both"/>
              <w:rPr>
                <w:rFonts w:ascii="Arial" w:hAnsi="Arial" w:cs="Arial"/>
                <w:b/>
                <w:bCs/>
                <w:sz w:val="20"/>
                <w:szCs w:val="20"/>
              </w:rPr>
            </w:pPr>
          </w:p>
        </w:tc>
      </w:tr>
      <w:tr w:rsidR="00094A51" w:rsidRPr="0000591E" w14:paraId="587D24A0" w14:textId="77777777" w:rsidTr="00340DA2">
        <w:tc>
          <w:tcPr>
            <w:tcW w:w="1256" w:type="dxa"/>
            <w:tcBorders>
              <w:bottom w:val="single" w:sz="4" w:space="0" w:color="auto"/>
            </w:tcBorders>
            <w:noWrap/>
            <w:vAlign w:val="bottom"/>
          </w:tcPr>
          <w:p w14:paraId="2DD0B689"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V03AE03</w:t>
            </w:r>
          </w:p>
        </w:tc>
        <w:tc>
          <w:tcPr>
            <w:tcW w:w="9355" w:type="dxa"/>
            <w:tcBorders>
              <w:bottom w:val="single" w:sz="4" w:space="0" w:color="auto"/>
            </w:tcBorders>
          </w:tcPr>
          <w:p w14:paraId="3AF76562"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Hydrát uhličitanu lantanitého p.o. 500 mg,</w:t>
            </w:r>
          </w:p>
          <w:p w14:paraId="3FF9429C"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Hydrát uhličitanu lantanitého p.o. 750 mg</w:t>
            </w:r>
          </w:p>
        </w:tc>
      </w:tr>
      <w:tr w:rsidR="00094A51" w:rsidRPr="0000591E" w14:paraId="4997784B" w14:textId="77777777" w:rsidTr="00340DA2">
        <w:tc>
          <w:tcPr>
            <w:tcW w:w="1256" w:type="dxa"/>
            <w:tcBorders>
              <w:top w:val="single" w:sz="4" w:space="0" w:color="auto"/>
            </w:tcBorders>
            <w:noWrap/>
            <w:vAlign w:val="bottom"/>
          </w:tcPr>
          <w:p w14:paraId="53F2F2AE" w14:textId="77777777" w:rsidR="00094A51" w:rsidRPr="0000591E" w:rsidRDefault="00094A51" w:rsidP="00094A51">
            <w:pPr>
              <w:jc w:val="both"/>
              <w:rPr>
                <w:rFonts w:ascii="Arial" w:hAnsi="Arial" w:cs="Arial"/>
                <w:b/>
                <w:sz w:val="20"/>
                <w:szCs w:val="20"/>
                <w:lang w:eastAsia="cs-CZ"/>
              </w:rPr>
            </w:pPr>
          </w:p>
        </w:tc>
        <w:tc>
          <w:tcPr>
            <w:tcW w:w="9355" w:type="dxa"/>
            <w:tcBorders>
              <w:top w:val="single" w:sz="4" w:space="0" w:color="auto"/>
            </w:tcBorders>
          </w:tcPr>
          <w:p w14:paraId="2A54CDE9"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Hradená liečba sa môže indikovať u pacientov s chronickým ochorením obličiek v nefrologických ambulanciách, alebo na dialyzačnom stredisku u hemodialyzovaných pacientov a pacientov na peritoneálnej dialýze na liečbu hyperfosfatémie, ak pri liečbe kalciovými viazačmi fosfátov pretrváva hyperfosfatémia nad 1,8 mmol/l alebo dôjde pri tejto liečbe k hyperkalcémii nad 2,38 mmol/l, alebo ku klinicky alebo rádiologicky potvrdeným kalcifikátom v mäkkých tkanivách, alebo iPTH&lt;150pg/ml v dvoch po sebe nasledujúcich vyšetreniach s odstupom vyšetrení najmenej jeden mesiac.</w:t>
            </w:r>
          </w:p>
          <w:p w14:paraId="126C2F2D"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 xml:space="preserve">Ak dôjde u pacienta k progresii ochorenia, čiže sa zvýši hodnota fosfátu nad počiatočnú hodnotu, ďalšia liečba nie je hradenou liečbou. </w:t>
            </w:r>
          </w:p>
          <w:p w14:paraId="5B5A886B"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Podmienkou hradenej liečby je vyhodnocovanie efektivity indikovanej liečby v pravidelných mesačných intervaloch.</w:t>
            </w:r>
          </w:p>
          <w:p w14:paraId="3B305E1E" w14:textId="77777777" w:rsidR="00094A51" w:rsidRPr="0000591E" w:rsidRDefault="00094A51" w:rsidP="00094A51">
            <w:pPr>
              <w:rPr>
                <w:rFonts w:ascii="Arial" w:hAnsi="Arial" w:cs="Arial"/>
                <w:b/>
                <w:sz w:val="20"/>
                <w:szCs w:val="20"/>
              </w:rPr>
            </w:pPr>
          </w:p>
        </w:tc>
      </w:tr>
      <w:tr w:rsidR="00094A51" w:rsidRPr="0000591E" w14:paraId="574A6BDA" w14:textId="77777777" w:rsidTr="00340DA2">
        <w:tc>
          <w:tcPr>
            <w:tcW w:w="1256" w:type="dxa"/>
            <w:tcBorders>
              <w:bottom w:val="single" w:sz="4" w:space="0" w:color="auto"/>
            </w:tcBorders>
            <w:noWrap/>
            <w:vAlign w:val="bottom"/>
          </w:tcPr>
          <w:p w14:paraId="52EEB574" w14:textId="77777777" w:rsidR="00094A51" w:rsidRPr="0000591E" w:rsidRDefault="00094A51" w:rsidP="00094A51">
            <w:pPr>
              <w:jc w:val="both"/>
              <w:rPr>
                <w:rFonts w:ascii="Arial" w:hAnsi="Arial" w:cs="Arial"/>
                <w:b/>
                <w:bCs/>
                <w:sz w:val="20"/>
                <w:szCs w:val="20"/>
              </w:rPr>
            </w:pPr>
            <w:r w:rsidRPr="0000591E">
              <w:rPr>
                <w:rFonts w:ascii="Arial" w:hAnsi="Arial" w:cs="Arial"/>
                <w:b/>
                <w:sz w:val="20"/>
                <w:szCs w:val="20"/>
                <w:lang w:eastAsia="cs-CZ"/>
              </w:rPr>
              <w:t>V03AE04</w:t>
            </w:r>
          </w:p>
        </w:tc>
        <w:tc>
          <w:tcPr>
            <w:tcW w:w="9355" w:type="dxa"/>
            <w:tcBorders>
              <w:bottom w:val="single" w:sz="4" w:space="0" w:color="auto"/>
            </w:tcBorders>
          </w:tcPr>
          <w:p w14:paraId="2AB405AC" w14:textId="1B2031A3" w:rsidR="00094A51" w:rsidRPr="0000591E" w:rsidRDefault="00094A51" w:rsidP="00094A51">
            <w:pPr>
              <w:jc w:val="both"/>
              <w:rPr>
                <w:rFonts w:ascii="Arial" w:hAnsi="Arial" w:cs="Arial"/>
                <w:b/>
                <w:bCs/>
                <w:sz w:val="20"/>
                <w:szCs w:val="20"/>
              </w:rPr>
            </w:pPr>
            <w:r w:rsidRPr="000D0608">
              <w:rPr>
                <w:rFonts w:ascii="Arial" w:hAnsi="Arial" w:cs="Arial"/>
                <w:b/>
                <w:sz w:val="20"/>
                <w:szCs w:val="20"/>
              </w:rPr>
              <w:t>Kalciumacetát a</w:t>
            </w:r>
            <w:r>
              <w:rPr>
                <w:rFonts w:ascii="Arial" w:hAnsi="Arial" w:cs="Arial"/>
                <w:b/>
                <w:sz w:val="20"/>
                <w:szCs w:val="20"/>
              </w:rPr>
              <w:t> </w:t>
            </w:r>
            <w:r w:rsidRPr="000D0608">
              <w:rPr>
                <w:rFonts w:ascii="Arial" w:hAnsi="Arial" w:cs="Arial"/>
                <w:b/>
                <w:sz w:val="20"/>
                <w:szCs w:val="20"/>
              </w:rPr>
              <w:t>magnéziumkarbonát</w:t>
            </w:r>
            <w:r>
              <w:rPr>
                <w:rFonts w:ascii="Arial" w:hAnsi="Arial" w:cs="Arial"/>
                <w:b/>
                <w:sz w:val="20"/>
                <w:szCs w:val="20"/>
              </w:rPr>
              <w:t xml:space="preserve"> p.o. 435/235 mg </w:t>
            </w:r>
          </w:p>
        </w:tc>
      </w:tr>
      <w:tr w:rsidR="00094A51" w:rsidRPr="0000591E" w14:paraId="090BC6D5" w14:textId="77777777" w:rsidTr="00340DA2">
        <w:tc>
          <w:tcPr>
            <w:tcW w:w="1256" w:type="dxa"/>
            <w:tcBorders>
              <w:top w:val="single" w:sz="4" w:space="0" w:color="auto"/>
            </w:tcBorders>
            <w:noWrap/>
            <w:vAlign w:val="bottom"/>
          </w:tcPr>
          <w:p w14:paraId="5D187843" w14:textId="77777777" w:rsidR="00094A51" w:rsidRDefault="00094A51" w:rsidP="00094A51">
            <w:pPr>
              <w:jc w:val="both"/>
              <w:rPr>
                <w:rFonts w:ascii="Arial" w:hAnsi="Arial" w:cs="Arial"/>
                <w:b/>
                <w:bCs/>
                <w:sz w:val="20"/>
                <w:szCs w:val="20"/>
              </w:rPr>
            </w:pPr>
          </w:p>
          <w:p w14:paraId="0ECA9C07" w14:textId="77777777" w:rsidR="00094A51" w:rsidRDefault="00094A51" w:rsidP="00094A51">
            <w:pPr>
              <w:jc w:val="both"/>
              <w:rPr>
                <w:rFonts w:ascii="Arial" w:hAnsi="Arial" w:cs="Arial"/>
                <w:b/>
                <w:bCs/>
                <w:sz w:val="20"/>
                <w:szCs w:val="20"/>
              </w:rPr>
            </w:pPr>
          </w:p>
          <w:p w14:paraId="0DD06B6C" w14:textId="77777777" w:rsidR="00094A51" w:rsidRPr="0000591E" w:rsidRDefault="00094A51" w:rsidP="00094A51">
            <w:pPr>
              <w:jc w:val="both"/>
              <w:rPr>
                <w:rFonts w:ascii="Arial" w:hAnsi="Arial" w:cs="Arial"/>
                <w:b/>
                <w:bCs/>
                <w:sz w:val="20"/>
                <w:szCs w:val="20"/>
              </w:rPr>
            </w:pPr>
          </w:p>
        </w:tc>
        <w:tc>
          <w:tcPr>
            <w:tcW w:w="9355" w:type="dxa"/>
            <w:tcBorders>
              <w:top w:val="single" w:sz="4" w:space="0" w:color="auto"/>
            </w:tcBorders>
          </w:tcPr>
          <w:p w14:paraId="0FB5CE87" w14:textId="77777777" w:rsidR="00094A51" w:rsidRDefault="00094A51" w:rsidP="00094A51">
            <w:pPr>
              <w:jc w:val="both"/>
              <w:rPr>
                <w:rFonts w:ascii="Arial" w:hAnsi="Arial" w:cs="Arial"/>
                <w:sz w:val="20"/>
                <w:szCs w:val="20"/>
              </w:rPr>
            </w:pPr>
            <w:r w:rsidRPr="0000591E">
              <w:rPr>
                <w:rFonts w:ascii="Arial" w:hAnsi="Arial" w:cs="Arial"/>
                <w:sz w:val="20"/>
                <w:szCs w:val="20"/>
              </w:rPr>
              <w:t>Hradená liečba sa môže indikovať na hemodialyzačnom stredisku u hemodialyzovaných pacientov, pacientov na peritoneálnej dialýze a na nefrologickej ambulancii u pacientov v príprave na dialyzačnú liečbu pri neznášanlivosti liečby uhličitanom vápenatým.</w:t>
            </w:r>
          </w:p>
          <w:p w14:paraId="195FBE14" w14:textId="167082BC" w:rsidR="00094A51" w:rsidRPr="0000591E" w:rsidRDefault="00094A51" w:rsidP="00094A51">
            <w:pPr>
              <w:jc w:val="both"/>
              <w:rPr>
                <w:rFonts w:ascii="Arial" w:hAnsi="Arial" w:cs="Arial"/>
                <w:b/>
                <w:bCs/>
                <w:sz w:val="20"/>
                <w:szCs w:val="20"/>
              </w:rPr>
            </w:pPr>
          </w:p>
        </w:tc>
      </w:tr>
      <w:tr w:rsidR="00094A51" w:rsidRPr="0000591E" w14:paraId="44612D6E" w14:textId="77777777" w:rsidTr="00340DA2">
        <w:tc>
          <w:tcPr>
            <w:tcW w:w="1256" w:type="dxa"/>
            <w:tcBorders>
              <w:bottom w:val="single" w:sz="4" w:space="0" w:color="auto"/>
            </w:tcBorders>
            <w:noWrap/>
            <w:vAlign w:val="bottom"/>
          </w:tcPr>
          <w:p w14:paraId="23D78A62" w14:textId="77777777" w:rsidR="00094A51" w:rsidRPr="0000591E" w:rsidRDefault="00094A51" w:rsidP="00094A51">
            <w:pPr>
              <w:jc w:val="both"/>
              <w:rPr>
                <w:rFonts w:ascii="Arial" w:hAnsi="Arial" w:cs="Arial"/>
                <w:b/>
                <w:bCs/>
                <w:sz w:val="20"/>
                <w:szCs w:val="20"/>
              </w:rPr>
            </w:pPr>
            <w:r w:rsidRPr="0000591E">
              <w:rPr>
                <w:rFonts w:ascii="Arial" w:hAnsi="Arial" w:cs="Arial"/>
                <w:b/>
                <w:sz w:val="20"/>
                <w:szCs w:val="20"/>
                <w:lang w:eastAsia="cs-CZ"/>
              </w:rPr>
              <w:t>V0</w:t>
            </w:r>
            <w:r>
              <w:rPr>
                <w:rFonts w:ascii="Arial" w:hAnsi="Arial" w:cs="Arial"/>
                <w:b/>
                <w:sz w:val="20"/>
                <w:szCs w:val="20"/>
                <w:lang w:eastAsia="cs-CZ"/>
              </w:rPr>
              <w:t>4CD01</w:t>
            </w:r>
          </w:p>
        </w:tc>
        <w:tc>
          <w:tcPr>
            <w:tcW w:w="9355" w:type="dxa"/>
            <w:tcBorders>
              <w:bottom w:val="single" w:sz="4" w:space="0" w:color="auto"/>
            </w:tcBorders>
          </w:tcPr>
          <w:p w14:paraId="1EE4A380" w14:textId="77777777" w:rsidR="00094A51" w:rsidRPr="004E47D8" w:rsidRDefault="00094A51" w:rsidP="00094A51">
            <w:pPr>
              <w:jc w:val="both"/>
              <w:rPr>
                <w:rFonts w:ascii="Arial" w:hAnsi="Arial" w:cs="Arial"/>
                <w:b/>
                <w:sz w:val="20"/>
                <w:szCs w:val="20"/>
              </w:rPr>
            </w:pPr>
            <w:r w:rsidRPr="004E47D8">
              <w:rPr>
                <w:rFonts w:ascii="Arial" w:hAnsi="Arial" w:cs="Arial"/>
                <w:b/>
                <w:sz w:val="20"/>
                <w:szCs w:val="20"/>
              </w:rPr>
              <w:t>Metyrapón</w:t>
            </w:r>
            <w:r>
              <w:rPr>
                <w:rFonts w:ascii="Arial" w:hAnsi="Arial" w:cs="Arial"/>
                <w:b/>
                <w:sz w:val="20"/>
                <w:szCs w:val="20"/>
              </w:rPr>
              <w:t xml:space="preserve"> p.o. 250 mg</w:t>
            </w:r>
          </w:p>
        </w:tc>
      </w:tr>
      <w:tr w:rsidR="00094A51" w:rsidRPr="0000591E" w14:paraId="229105E9" w14:textId="77777777" w:rsidTr="00340DA2">
        <w:tc>
          <w:tcPr>
            <w:tcW w:w="1256" w:type="dxa"/>
            <w:tcBorders>
              <w:top w:val="single" w:sz="4" w:space="0" w:color="auto"/>
            </w:tcBorders>
            <w:noWrap/>
            <w:vAlign w:val="bottom"/>
          </w:tcPr>
          <w:p w14:paraId="5F18BD2F" w14:textId="77777777" w:rsidR="00094A51" w:rsidRPr="0000591E" w:rsidRDefault="00094A51" w:rsidP="00094A51">
            <w:pPr>
              <w:jc w:val="both"/>
              <w:rPr>
                <w:rFonts w:ascii="Arial" w:hAnsi="Arial" w:cs="Arial"/>
                <w:b/>
                <w:bCs/>
                <w:sz w:val="20"/>
                <w:szCs w:val="20"/>
              </w:rPr>
            </w:pPr>
          </w:p>
        </w:tc>
        <w:tc>
          <w:tcPr>
            <w:tcW w:w="9355" w:type="dxa"/>
            <w:tcBorders>
              <w:top w:val="single" w:sz="4" w:space="0" w:color="auto"/>
            </w:tcBorders>
          </w:tcPr>
          <w:p w14:paraId="531EA750" w14:textId="77777777" w:rsidR="00094A51" w:rsidRPr="0000591E" w:rsidRDefault="00094A51" w:rsidP="00094A51">
            <w:pPr>
              <w:jc w:val="both"/>
              <w:rPr>
                <w:rFonts w:ascii="Arial" w:hAnsi="Arial" w:cs="Arial"/>
                <w:sz w:val="20"/>
                <w:szCs w:val="20"/>
              </w:rPr>
            </w:pPr>
            <w:r w:rsidRPr="004E47D8">
              <w:rPr>
                <w:rFonts w:ascii="Arial" w:hAnsi="Arial" w:cs="Arial"/>
                <w:sz w:val="20"/>
                <w:szCs w:val="20"/>
              </w:rPr>
              <w:t>Hradená liečba sa môže indikovať na liečbu u pacientov s endogénnym Cushingovým syndrómom vo vybraných špecializovaných centrách: Národný endokrinologický a diabetologický ústav Ľubochňa n. o., V. interná klinika LFUK a UN Bratislava, Onkologický ústav sv. Alžbety Bratislava, I. interná klinika LFUK a UN Bratislava, I. interná klinika SZU  a UN Bratislava – Kramáre, I. interná klinika UNLP, Košice.</w:t>
            </w:r>
          </w:p>
          <w:p w14:paraId="226BF48A" w14:textId="77777777" w:rsidR="00094A51" w:rsidRPr="0000591E" w:rsidRDefault="00094A51" w:rsidP="00094A51">
            <w:pPr>
              <w:jc w:val="both"/>
              <w:rPr>
                <w:rFonts w:ascii="Arial" w:hAnsi="Arial" w:cs="Arial"/>
                <w:b/>
                <w:bCs/>
                <w:sz w:val="20"/>
                <w:szCs w:val="20"/>
              </w:rPr>
            </w:pPr>
          </w:p>
        </w:tc>
      </w:tr>
      <w:tr w:rsidR="00094A51" w:rsidRPr="0000591E" w14:paraId="4C297875" w14:textId="77777777" w:rsidTr="009B2693">
        <w:tc>
          <w:tcPr>
            <w:tcW w:w="1256" w:type="dxa"/>
            <w:tcBorders>
              <w:bottom w:val="single" w:sz="4" w:space="0" w:color="auto"/>
            </w:tcBorders>
            <w:noWrap/>
          </w:tcPr>
          <w:p w14:paraId="309C82D4" w14:textId="77777777" w:rsidR="00094A51" w:rsidRPr="0000591E" w:rsidRDefault="00094A51" w:rsidP="00094A51">
            <w:pPr>
              <w:rPr>
                <w:rFonts w:ascii="Arial" w:hAnsi="Arial" w:cs="Arial"/>
                <w:b/>
                <w:bCs/>
                <w:sz w:val="20"/>
                <w:szCs w:val="20"/>
              </w:rPr>
            </w:pPr>
            <w:r w:rsidRPr="0000591E">
              <w:rPr>
                <w:rFonts w:ascii="Arial" w:hAnsi="Arial" w:cs="Arial"/>
                <w:b/>
                <w:bCs/>
                <w:sz w:val="20"/>
                <w:szCs w:val="20"/>
              </w:rPr>
              <w:t>V10XX02</w:t>
            </w:r>
          </w:p>
        </w:tc>
        <w:tc>
          <w:tcPr>
            <w:tcW w:w="9355" w:type="dxa"/>
            <w:tcBorders>
              <w:bottom w:val="single" w:sz="4" w:space="0" w:color="auto"/>
            </w:tcBorders>
          </w:tcPr>
          <w:p w14:paraId="7F53C7EB" w14:textId="4D5D3A5D" w:rsidR="00094A51" w:rsidRPr="0000591E" w:rsidRDefault="00094A51" w:rsidP="00094A51">
            <w:pPr>
              <w:rPr>
                <w:rFonts w:ascii="Arial" w:hAnsi="Arial" w:cs="Arial"/>
                <w:b/>
                <w:bCs/>
                <w:sz w:val="20"/>
                <w:szCs w:val="20"/>
              </w:rPr>
            </w:pPr>
            <w:r w:rsidRPr="009B2693">
              <w:rPr>
                <w:rFonts w:ascii="Arial" w:hAnsi="Arial" w:cs="Arial"/>
                <w:b/>
                <w:bCs/>
                <w:sz w:val="20"/>
                <w:szCs w:val="20"/>
              </w:rPr>
              <w:t>Ibritumomabtiuxetán (90Y)</w:t>
            </w:r>
            <w:r>
              <w:rPr>
                <w:rFonts w:ascii="Arial" w:hAnsi="Arial" w:cs="Arial"/>
                <w:b/>
                <w:bCs/>
                <w:sz w:val="20"/>
                <w:szCs w:val="20"/>
              </w:rPr>
              <w:t xml:space="preserve"> </w:t>
            </w:r>
            <w:r w:rsidRPr="009B2693">
              <w:rPr>
                <w:rFonts w:ascii="Arial" w:hAnsi="Arial" w:cs="Arial"/>
                <w:b/>
                <w:bCs/>
                <w:sz w:val="20"/>
                <w:szCs w:val="20"/>
              </w:rPr>
              <w:t>parent. 3,2 mg</w:t>
            </w:r>
          </w:p>
        </w:tc>
      </w:tr>
      <w:tr w:rsidR="00094A51" w:rsidRPr="0000591E" w14:paraId="0D0A2D41" w14:textId="77777777" w:rsidTr="009B2693">
        <w:tc>
          <w:tcPr>
            <w:tcW w:w="1256" w:type="dxa"/>
            <w:tcBorders>
              <w:top w:val="single" w:sz="4" w:space="0" w:color="auto"/>
            </w:tcBorders>
            <w:noWrap/>
          </w:tcPr>
          <w:p w14:paraId="6E38C6C9" w14:textId="77777777" w:rsidR="00094A51" w:rsidRPr="0000591E" w:rsidRDefault="00094A51" w:rsidP="00094A51">
            <w:pPr>
              <w:rPr>
                <w:rFonts w:ascii="Arial" w:hAnsi="Arial" w:cs="Arial"/>
                <w:b/>
                <w:bCs/>
                <w:sz w:val="20"/>
                <w:szCs w:val="20"/>
              </w:rPr>
            </w:pPr>
          </w:p>
        </w:tc>
        <w:tc>
          <w:tcPr>
            <w:tcW w:w="9355" w:type="dxa"/>
            <w:tcBorders>
              <w:top w:val="single" w:sz="4" w:space="0" w:color="auto"/>
            </w:tcBorders>
          </w:tcPr>
          <w:p w14:paraId="161A0630" w14:textId="77777777" w:rsidR="00094A51" w:rsidRPr="0000591E" w:rsidRDefault="00094A51" w:rsidP="00094A51">
            <w:pPr>
              <w:pStyle w:val="Zkladntext"/>
              <w:jc w:val="both"/>
              <w:rPr>
                <w:lang w:val="sk-SK"/>
              </w:rPr>
            </w:pPr>
            <w:r w:rsidRPr="0000591E">
              <w:rPr>
                <w:lang w:val="sk-SK"/>
              </w:rPr>
              <w:t>Hradená liečba sa môže indikovať u pacientov s CD20+ folikulárnym non-hodgkinovým lymfómom B-bunkového typu (NHL), ktorý relapsoval alebo nereagoval na liečbu rituximabom.</w:t>
            </w:r>
          </w:p>
          <w:p w14:paraId="7F6C2FFB" w14:textId="77777777" w:rsidR="00094A51" w:rsidRPr="0000591E" w:rsidRDefault="00094A51" w:rsidP="00094A51">
            <w:pPr>
              <w:pStyle w:val="Zkladntext"/>
              <w:jc w:val="both"/>
              <w:rPr>
                <w:lang w:val="sk-SK"/>
              </w:rPr>
            </w:pPr>
            <w:r w:rsidRPr="0000591E">
              <w:rPr>
                <w:lang w:val="sk-SK"/>
              </w:rPr>
              <w:t>Hradená liečba sa môže indikovať na klinike nukleárnej medicíny Onkologického ústavu sv. Alžbety s.r.o., na klinike nukleárnej medicíny Univerzitnej nemocnice, Martin a v Inštitúte nukleárnej a molekulárnej medicíny, Košice.</w:t>
            </w:r>
          </w:p>
          <w:p w14:paraId="75C3FA87" w14:textId="77777777" w:rsidR="00094A51" w:rsidRDefault="00094A51" w:rsidP="00094A51">
            <w:pPr>
              <w:rPr>
                <w:rFonts w:ascii="Arial" w:hAnsi="Arial" w:cs="Arial"/>
                <w:b/>
                <w:bCs/>
                <w:sz w:val="20"/>
                <w:szCs w:val="20"/>
              </w:rPr>
            </w:pPr>
          </w:p>
          <w:p w14:paraId="132EFF70" w14:textId="6EE6801F" w:rsidR="00094A51" w:rsidRPr="0000591E" w:rsidRDefault="00094A51" w:rsidP="00094A51">
            <w:pPr>
              <w:pStyle w:val="Zkladntext"/>
              <w:jc w:val="both"/>
              <w:rPr>
                <w:b/>
                <w:bCs/>
              </w:rPr>
            </w:pPr>
            <w:r w:rsidRPr="0000591E">
              <w:rPr>
                <w:lang w:val="sk-SK"/>
              </w:rPr>
              <w:t>Ambulantná liečba ibritumomabtiuxetanom sa môže indikovať podľa § 6 ods. 12 nariadenia vlády Slovenskej republiky č. 340/2006 Z.z. o ochrane zdravia osôb pred nepriaznivými účinkami ionizujúceho žiarenia pri lekárskom ožiarení len vo výnimočných prípadoch na základe individuálneho povolenia Úradu verejného zdravotníctva Slovenskej republiky. Na indikáciu hradenej liečby je potrebný súhlas lekára, ktorý poskytuje zdravotnú starostlivosť v špecializačnom odbore nukleárna medicína.</w:t>
            </w:r>
          </w:p>
        </w:tc>
      </w:tr>
    </w:tbl>
    <w:p w14:paraId="5D44EE0B" w14:textId="77777777" w:rsidR="00C548D3" w:rsidRPr="0000591E" w:rsidRDefault="00C548D3"/>
    <w:sectPr w:rsidR="00C548D3" w:rsidRPr="0000591E" w:rsidSect="00AF6A84">
      <w:footerReference w:type="even" r:id="rId11"/>
      <w:footerReference w:type="default" r:id="rId12"/>
      <w:pgSz w:w="11906" w:h="16838"/>
      <w:pgMar w:top="1417" w:right="1417" w:bottom="1417" w:left="1417" w:header="708" w:footer="708" w:gutter="0"/>
      <w:pgNumType w:start="1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AF096" w14:textId="77777777" w:rsidR="00C03D15" w:rsidRDefault="00C03D15">
      <w:r>
        <w:separator/>
      </w:r>
    </w:p>
  </w:endnote>
  <w:endnote w:type="continuationSeparator" w:id="0">
    <w:p w14:paraId="31F67D6F" w14:textId="77777777" w:rsidR="00C03D15" w:rsidRDefault="00C03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NewRomanPSMT-Identity-H">
    <w:altName w:val="MS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96CE" w14:textId="77777777" w:rsidR="000023CB" w:rsidRDefault="000023CB" w:rsidP="00AD36F1">
    <w:pPr>
      <w:pStyle w:val="Pta"/>
      <w:framePr w:wrap="around" w:vAnchor="text" w:hAnchor="margin" w:xAlign="center" w:y="1"/>
      <w:rPr>
        <w:rStyle w:val="slostrany"/>
      </w:rPr>
    </w:pPr>
    <w:r>
      <w:rPr>
        <w:rStyle w:val="slostrany"/>
      </w:rPr>
      <w:fldChar w:fldCharType="begin"/>
    </w:r>
    <w:r>
      <w:rPr>
        <w:rStyle w:val="slostrany"/>
      </w:rPr>
      <w:instrText xml:space="preserve">PAGE  </w:instrText>
    </w:r>
    <w:r>
      <w:rPr>
        <w:rStyle w:val="slostrany"/>
      </w:rPr>
      <w:fldChar w:fldCharType="end"/>
    </w:r>
  </w:p>
  <w:p w14:paraId="506E2ECF" w14:textId="77777777" w:rsidR="000023CB" w:rsidRDefault="000023CB">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C530" w14:textId="29EE08F5" w:rsidR="000023CB" w:rsidRDefault="000023CB" w:rsidP="00AD36F1">
    <w:pPr>
      <w:pStyle w:val="Pta"/>
      <w:framePr w:wrap="around" w:vAnchor="text" w:hAnchor="margin" w:xAlign="center" w:y="1"/>
      <w:rPr>
        <w:rStyle w:val="slostrany"/>
      </w:rPr>
    </w:pPr>
    <w:r>
      <w:rPr>
        <w:rStyle w:val="slostrany"/>
      </w:rPr>
      <w:fldChar w:fldCharType="begin"/>
    </w:r>
    <w:r>
      <w:rPr>
        <w:rStyle w:val="slostrany"/>
      </w:rPr>
      <w:instrText xml:space="preserve">PAGE  </w:instrText>
    </w:r>
    <w:r>
      <w:rPr>
        <w:rStyle w:val="slostrany"/>
      </w:rPr>
      <w:fldChar w:fldCharType="separate"/>
    </w:r>
    <w:r w:rsidR="00094A51">
      <w:rPr>
        <w:rStyle w:val="slostrany"/>
      </w:rPr>
      <w:t>282</w:t>
    </w:r>
    <w:r>
      <w:rPr>
        <w:rStyle w:val="slostrany"/>
      </w:rPr>
      <w:fldChar w:fldCharType="end"/>
    </w:r>
  </w:p>
  <w:p w14:paraId="55558FB0" w14:textId="77777777" w:rsidR="000023CB" w:rsidRDefault="000023CB" w:rsidP="00AA08AE">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AB97" w14:textId="77777777" w:rsidR="00C03D15" w:rsidRDefault="00C03D15">
      <w:r>
        <w:separator/>
      </w:r>
    </w:p>
  </w:footnote>
  <w:footnote w:type="continuationSeparator" w:id="0">
    <w:p w14:paraId="703B454C" w14:textId="77777777" w:rsidR="00C03D15" w:rsidRDefault="00C03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E6"/>
    <w:multiLevelType w:val="hybridMultilevel"/>
    <w:tmpl w:val="A4DACE2A"/>
    <w:lvl w:ilvl="0" w:tplc="041B0017">
      <w:start w:val="1"/>
      <w:numFmt w:val="lowerLetter"/>
      <w:lvlText w:val="%1)"/>
      <w:lvlJc w:val="left"/>
      <w:pPr>
        <w:ind w:left="1211" w:hanging="360"/>
      </w:pPr>
      <w:rPr>
        <w:rFonts w:cs="Times New Roman" w:hint="default"/>
      </w:rPr>
    </w:lvl>
    <w:lvl w:ilvl="1" w:tplc="041B0019">
      <w:start w:val="1"/>
      <w:numFmt w:val="lowerLetter"/>
      <w:lvlText w:val="%2."/>
      <w:lvlJc w:val="left"/>
      <w:pPr>
        <w:ind w:left="1931" w:hanging="360"/>
      </w:pPr>
      <w:rPr>
        <w:rFonts w:cs="Times New Roman"/>
      </w:rPr>
    </w:lvl>
    <w:lvl w:ilvl="2" w:tplc="041B001B" w:tentative="1">
      <w:start w:val="1"/>
      <w:numFmt w:val="lowerRoman"/>
      <w:lvlText w:val="%3."/>
      <w:lvlJc w:val="right"/>
      <w:pPr>
        <w:ind w:left="2651" w:hanging="180"/>
      </w:pPr>
      <w:rPr>
        <w:rFonts w:cs="Times New Roman"/>
      </w:rPr>
    </w:lvl>
    <w:lvl w:ilvl="3" w:tplc="041B000F" w:tentative="1">
      <w:start w:val="1"/>
      <w:numFmt w:val="decimal"/>
      <w:lvlText w:val="%4."/>
      <w:lvlJc w:val="left"/>
      <w:pPr>
        <w:ind w:left="3371" w:hanging="360"/>
      </w:pPr>
      <w:rPr>
        <w:rFonts w:cs="Times New Roman"/>
      </w:rPr>
    </w:lvl>
    <w:lvl w:ilvl="4" w:tplc="041B0019" w:tentative="1">
      <w:start w:val="1"/>
      <w:numFmt w:val="lowerLetter"/>
      <w:lvlText w:val="%5."/>
      <w:lvlJc w:val="left"/>
      <w:pPr>
        <w:ind w:left="4091" w:hanging="360"/>
      </w:pPr>
      <w:rPr>
        <w:rFonts w:cs="Times New Roman"/>
      </w:rPr>
    </w:lvl>
    <w:lvl w:ilvl="5" w:tplc="041B001B" w:tentative="1">
      <w:start w:val="1"/>
      <w:numFmt w:val="lowerRoman"/>
      <w:lvlText w:val="%6."/>
      <w:lvlJc w:val="right"/>
      <w:pPr>
        <w:ind w:left="4811" w:hanging="180"/>
      </w:pPr>
      <w:rPr>
        <w:rFonts w:cs="Times New Roman"/>
      </w:rPr>
    </w:lvl>
    <w:lvl w:ilvl="6" w:tplc="041B000F" w:tentative="1">
      <w:start w:val="1"/>
      <w:numFmt w:val="decimal"/>
      <w:lvlText w:val="%7."/>
      <w:lvlJc w:val="left"/>
      <w:pPr>
        <w:ind w:left="5531" w:hanging="360"/>
      </w:pPr>
      <w:rPr>
        <w:rFonts w:cs="Times New Roman"/>
      </w:rPr>
    </w:lvl>
    <w:lvl w:ilvl="7" w:tplc="041B0019" w:tentative="1">
      <w:start w:val="1"/>
      <w:numFmt w:val="lowerLetter"/>
      <w:lvlText w:val="%8."/>
      <w:lvlJc w:val="left"/>
      <w:pPr>
        <w:ind w:left="6251" w:hanging="360"/>
      </w:pPr>
      <w:rPr>
        <w:rFonts w:cs="Times New Roman"/>
      </w:rPr>
    </w:lvl>
    <w:lvl w:ilvl="8" w:tplc="041B001B" w:tentative="1">
      <w:start w:val="1"/>
      <w:numFmt w:val="lowerRoman"/>
      <w:lvlText w:val="%9."/>
      <w:lvlJc w:val="right"/>
      <w:pPr>
        <w:ind w:left="6971" w:hanging="180"/>
      </w:pPr>
      <w:rPr>
        <w:rFonts w:cs="Times New Roman"/>
      </w:rPr>
    </w:lvl>
  </w:abstractNum>
  <w:abstractNum w:abstractNumId="1" w15:restartNumberingAfterBreak="0">
    <w:nsid w:val="004F0096"/>
    <w:multiLevelType w:val="hybridMultilevel"/>
    <w:tmpl w:val="94C6E708"/>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 w15:restartNumberingAfterBreak="0">
    <w:nsid w:val="00F60B71"/>
    <w:multiLevelType w:val="hybridMultilevel"/>
    <w:tmpl w:val="496AFF4E"/>
    <w:lvl w:ilvl="0" w:tplc="041B000F">
      <w:start w:val="1"/>
      <w:numFmt w:val="decimal"/>
      <w:lvlText w:val="%1."/>
      <w:lvlJc w:val="left"/>
      <w:pPr>
        <w:ind w:left="1776" w:hanging="360"/>
      </w:pPr>
      <w:rPr>
        <w:rFonts w:cs="Times New Roman"/>
      </w:rPr>
    </w:lvl>
    <w:lvl w:ilvl="1" w:tplc="041B0019" w:tentative="1">
      <w:start w:val="1"/>
      <w:numFmt w:val="lowerLetter"/>
      <w:lvlText w:val="%2."/>
      <w:lvlJc w:val="left"/>
      <w:pPr>
        <w:ind w:left="2496" w:hanging="360"/>
      </w:pPr>
      <w:rPr>
        <w:rFonts w:cs="Times New Roman"/>
      </w:rPr>
    </w:lvl>
    <w:lvl w:ilvl="2" w:tplc="041B001B" w:tentative="1">
      <w:start w:val="1"/>
      <w:numFmt w:val="lowerRoman"/>
      <w:lvlText w:val="%3."/>
      <w:lvlJc w:val="right"/>
      <w:pPr>
        <w:ind w:left="3216" w:hanging="180"/>
      </w:pPr>
      <w:rPr>
        <w:rFonts w:cs="Times New Roman"/>
      </w:rPr>
    </w:lvl>
    <w:lvl w:ilvl="3" w:tplc="041B000F" w:tentative="1">
      <w:start w:val="1"/>
      <w:numFmt w:val="decimal"/>
      <w:lvlText w:val="%4."/>
      <w:lvlJc w:val="left"/>
      <w:pPr>
        <w:ind w:left="3936" w:hanging="360"/>
      </w:pPr>
      <w:rPr>
        <w:rFonts w:cs="Times New Roman"/>
      </w:rPr>
    </w:lvl>
    <w:lvl w:ilvl="4" w:tplc="041B0019" w:tentative="1">
      <w:start w:val="1"/>
      <w:numFmt w:val="lowerLetter"/>
      <w:lvlText w:val="%5."/>
      <w:lvlJc w:val="left"/>
      <w:pPr>
        <w:ind w:left="4656" w:hanging="360"/>
      </w:pPr>
      <w:rPr>
        <w:rFonts w:cs="Times New Roman"/>
      </w:rPr>
    </w:lvl>
    <w:lvl w:ilvl="5" w:tplc="041B001B" w:tentative="1">
      <w:start w:val="1"/>
      <w:numFmt w:val="lowerRoman"/>
      <w:lvlText w:val="%6."/>
      <w:lvlJc w:val="right"/>
      <w:pPr>
        <w:ind w:left="5376" w:hanging="180"/>
      </w:pPr>
      <w:rPr>
        <w:rFonts w:cs="Times New Roman"/>
      </w:rPr>
    </w:lvl>
    <w:lvl w:ilvl="6" w:tplc="041B000F" w:tentative="1">
      <w:start w:val="1"/>
      <w:numFmt w:val="decimal"/>
      <w:lvlText w:val="%7."/>
      <w:lvlJc w:val="left"/>
      <w:pPr>
        <w:ind w:left="6096" w:hanging="360"/>
      </w:pPr>
      <w:rPr>
        <w:rFonts w:cs="Times New Roman"/>
      </w:rPr>
    </w:lvl>
    <w:lvl w:ilvl="7" w:tplc="041B0019" w:tentative="1">
      <w:start w:val="1"/>
      <w:numFmt w:val="lowerLetter"/>
      <w:lvlText w:val="%8."/>
      <w:lvlJc w:val="left"/>
      <w:pPr>
        <w:ind w:left="6816" w:hanging="360"/>
      </w:pPr>
      <w:rPr>
        <w:rFonts w:cs="Times New Roman"/>
      </w:rPr>
    </w:lvl>
    <w:lvl w:ilvl="8" w:tplc="041B001B" w:tentative="1">
      <w:start w:val="1"/>
      <w:numFmt w:val="lowerRoman"/>
      <w:lvlText w:val="%9."/>
      <w:lvlJc w:val="right"/>
      <w:pPr>
        <w:ind w:left="7536" w:hanging="180"/>
      </w:pPr>
      <w:rPr>
        <w:rFonts w:cs="Times New Roman"/>
      </w:rPr>
    </w:lvl>
  </w:abstractNum>
  <w:abstractNum w:abstractNumId="3" w15:restartNumberingAfterBreak="0">
    <w:nsid w:val="04CD60F0"/>
    <w:multiLevelType w:val="hybridMultilevel"/>
    <w:tmpl w:val="82C2C85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5844B94"/>
    <w:multiLevelType w:val="hybridMultilevel"/>
    <w:tmpl w:val="88523F6E"/>
    <w:lvl w:ilvl="0" w:tplc="0405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 w15:restartNumberingAfterBreak="0">
    <w:nsid w:val="058616AE"/>
    <w:multiLevelType w:val="hybridMultilevel"/>
    <w:tmpl w:val="812CE138"/>
    <w:lvl w:ilvl="0" w:tplc="9B8860F2">
      <w:start w:val="1"/>
      <w:numFmt w:val="lowerLetter"/>
      <w:lvlText w:val="%1)"/>
      <w:lvlJc w:val="left"/>
      <w:pPr>
        <w:ind w:left="1428" w:hanging="360"/>
      </w:pPr>
      <w:rPr>
        <w:rFonts w:cs="Times New Roman"/>
      </w:rPr>
    </w:lvl>
    <w:lvl w:ilvl="1" w:tplc="041B0019" w:tentative="1">
      <w:start w:val="1"/>
      <w:numFmt w:val="lowerLetter"/>
      <w:lvlText w:val="%2."/>
      <w:lvlJc w:val="left"/>
      <w:pPr>
        <w:ind w:left="2148" w:hanging="360"/>
      </w:pPr>
      <w:rPr>
        <w:rFonts w:cs="Times New Roman"/>
      </w:rPr>
    </w:lvl>
    <w:lvl w:ilvl="2" w:tplc="041B001B" w:tentative="1">
      <w:start w:val="1"/>
      <w:numFmt w:val="lowerRoman"/>
      <w:lvlText w:val="%3."/>
      <w:lvlJc w:val="right"/>
      <w:pPr>
        <w:ind w:left="2868" w:hanging="180"/>
      </w:pPr>
      <w:rPr>
        <w:rFonts w:cs="Times New Roman"/>
      </w:rPr>
    </w:lvl>
    <w:lvl w:ilvl="3" w:tplc="041B000F" w:tentative="1">
      <w:start w:val="1"/>
      <w:numFmt w:val="decimal"/>
      <w:lvlText w:val="%4."/>
      <w:lvlJc w:val="left"/>
      <w:pPr>
        <w:ind w:left="3588" w:hanging="360"/>
      </w:pPr>
      <w:rPr>
        <w:rFonts w:cs="Times New Roman"/>
      </w:rPr>
    </w:lvl>
    <w:lvl w:ilvl="4" w:tplc="041B0019" w:tentative="1">
      <w:start w:val="1"/>
      <w:numFmt w:val="lowerLetter"/>
      <w:lvlText w:val="%5."/>
      <w:lvlJc w:val="left"/>
      <w:pPr>
        <w:ind w:left="4308" w:hanging="360"/>
      </w:pPr>
      <w:rPr>
        <w:rFonts w:cs="Times New Roman"/>
      </w:rPr>
    </w:lvl>
    <w:lvl w:ilvl="5" w:tplc="041B001B" w:tentative="1">
      <w:start w:val="1"/>
      <w:numFmt w:val="lowerRoman"/>
      <w:lvlText w:val="%6."/>
      <w:lvlJc w:val="right"/>
      <w:pPr>
        <w:ind w:left="5028" w:hanging="180"/>
      </w:pPr>
      <w:rPr>
        <w:rFonts w:cs="Times New Roman"/>
      </w:rPr>
    </w:lvl>
    <w:lvl w:ilvl="6" w:tplc="041B000F" w:tentative="1">
      <w:start w:val="1"/>
      <w:numFmt w:val="decimal"/>
      <w:lvlText w:val="%7."/>
      <w:lvlJc w:val="left"/>
      <w:pPr>
        <w:ind w:left="5748" w:hanging="360"/>
      </w:pPr>
      <w:rPr>
        <w:rFonts w:cs="Times New Roman"/>
      </w:rPr>
    </w:lvl>
    <w:lvl w:ilvl="7" w:tplc="041B0019" w:tentative="1">
      <w:start w:val="1"/>
      <w:numFmt w:val="lowerLetter"/>
      <w:lvlText w:val="%8."/>
      <w:lvlJc w:val="left"/>
      <w:pPr>
        <w:ind w:left="6468" w:hanging="360"/>
      </w:pPr>
      <w:rPr>
        <w:rFonts w:cs="Times New Roman"/>
      </w:rPr>
    </w:lvl>
    <w:lvl w:ilvl="8" w:tplc="041B001B" w:tentative="1">
      <w:start w:val="1"/>
      <w:numFmt w:val="lowerRoman"/>
      <w:lvlText w:val="%9."/>
      <w:lvlJc w:val="right"/>
      <w:pPr>
        <w:ind w:left="7188" w:hanging="180"/>
      </w:pPr>
      <w:rPr>
        <w:rFonts w:cs="Times New Roman"/>
      </w:rPr>
    </w:lvl>
  </w:abstractNum>
  <w:abstractNum w:abstractNumId="6" w15:restartNumberingAfterBreak="0">
    <w:nsid w:val="064B086D"/>
    <w:multiLevelType w:val="hybridMultilevel"/>
    <w:tmpl w:val="BE8C9890"/>
    <w:lvl w:ilvl="0" w:tplc="041B000F">
      <w:start w:val="1"/>
      <w:numFmt w:val="decimal"/>
      <w:lvlText w:val="%1."/>
      <w:lvlJc w:val="left"/>
      <w:pPr>
        <w:ind w:left="1776" w:hanging="360"/>
      </w:pPr>
      <w:rPr>
        <w:rFonts w:cs="Times New Roman"/>
      </w:rPr>
    </w:lvl>
    <w:lvl w:ilvl="1" w:tplc="041B0019" w:tentative="1">
      <w:start w:val="1"/>
      <w:numFmt w:val="lowerLetter"/>
      <w:lvlText w:val="%2."/>
      <w:lvlJc w:val="left"/>
      <w:pPr>
        <w:ind w:left="2496" w:hanging="360"/>
      </w:pPr>
      <w:rPr>
        <w:rFonts w:cs="Times New Roman"/>
      </w:rPr>
    </w:lvl>
    <w:lvl w:ilvl="2" w:tplc="041B001B" w:tentative="1">
      <w:start w:val="1"/>
      <w:numFmt w:val="lowerRoman"/>
      <w:lvlText w:val="%3."/>
      <w:lvlJc w:val="right"/>
      <w:pPr>
        <w:ind w:left="3216" w:hanging="180"/>
      </w:pPr>
      <w:rPr>
        <w:rFonts w:cs="Times New Roman"/>
      </w:rPr>
    </w:lvl>
    <w:lvl w:ilvl="3" w:tplc="041B000F" w:tentative="1">
      <w:start w:val="1"/>
      <w:numFmt w:val="decimal"/>
      <w:lvlText w:val="%4."/>
      <w:lvlJc w:val="left"/>
      <w:pPr>
        <w:ind w:left="3936" w:hanging="360"/>
      </w:pPr>
      <w:rPr>
        <w:rFonts w:cs="Times New Roman"/>
      </w:rPr>
    </w:lvl>
    <w:lvl w:ilvl="4" w:tplc="041B0019" w:tentative="1">
      <w:start w:val="1"/>
      <w:numFmt w:val="lowerLetter"/>
      <w:lvlText w:val="%5."/>
      <w:lvlJc w:val="left"/>
      <w:pPr>
        <w:ind w:left="4656" w:hanging="360"/>
      </w:pPr>
      <w:rPr>
        <w:rFonts w:cs="Times New Roman"/>
      </w:rPr>
    </w:lvl>
    <w:lvl w:ilvl="5" w:tplc="041B001B" w:tentative="1">
      <w:start w:val="1"/>
      <w:numFmt w:val="lowerRoman"/>
      <w:lvlText w:val="%6."/>
      <w:lvlJc w:val="right"/>
      <w:pPr>
        <w:ind w:left="5376" w:hanging="180"/>
      </w:pPr>
      <w:rPr>
        <w:rFonts w:cs="Times New Roman"/>
      </w:rPr>
    </w:lvl>
    <w:lvl w:ilvl="6" w:tplc="041B000F" w:tentative="1">
      <w:start w:val="1"/>
      <w:numFmt w:val="decimal"/>
      <w:lvlText w:val="%7."/>
      <w:lvlJc w:val="left"/>
      <w:pPr>
        <w:ind w:left="6096" w:hanging="360"/>
      </w:pPr>
      <w:rPr>
        <w:rFonts w:cs="Times New Roman"/>
      </w:rPr>
    </w:lvl>
    <w:lvl w:ilvl="7" w:tplc="041B0019" w:tentative="1">
      <w:start w:val="1"/>
      <w:numFmt w:val="lowerLetter"/>
      <w:lvlText w:val="%8."/>
      <w:lvlJc w:val="left"/>
      <w:pPr>
        <w:ind w:left="6816" w:hanging="360"/>
      </w:pPr>
      <w:rPr>
        <w:rFonts w:cs="Times New Roman"/>
      </w:rPr>
    </w:lvl>
    <w:lvl w:ilvl="8" w:tplc="041B001B" w:tentative="1">
      <w:start w:val="1"/>
      <w:numFmt w:val="lowerRoman"/>
      <w:lvlText w:val="%9."/>
      <w:lvlJc w:val="right"/>
      <w:pPr>
        <w:ind w:left="7536" w:hanging="180"/>
      </w:pPr>
      <w:rPr>
        <w:rFonts w:cs="Times New Roman"/>
      </w:rPr>
    </w:lvl>
  </w:abstractNum>
  <w:abstractNum w:abstractNumId="7" w15:restartNumberingAfterBreak="0">
    <w:nsid w:val="0703305C"/>
    <w:multiLevelType w:val="hybridMultilevel"/>
    <w:tmpl w:val="4BD6AC4A"/>
    <w:lvl w:ilvl="0" w:tplc="9B8860F2">
      <w:start w:val="1"/>
      <w:numFmt w:val="lowerLetter"/>
      <w:lvlText w:val="%1)"/>
      <w:lvlJc w:val="left"/>
      <w:pPr>
        <w:tabs>
          <w:tab w:val="num" w:pos="720"/>
        </w:tabs>
        <w:ind w:left="720" w:hanging="360"/>
      </w:pPr>
      <w:rPr>
        <w:rFonts w:cs="Times New Roman"/>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8" w15:restartNumberingAfterBreak="0">
    <w:nsid w:val="07101890"/>
    <w:multiLevelType w:val="hybridMultilevel"/>
    <w:tmpl w:val="EF1EE5E8"/>
    <w:lvl w:ilvl="0" w:tplc="041B0017">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075040F4"/>
    <w:multiLevelType w:val="hybridMultilevel"/>
    <w:tmpl w:val="23582BDC"/>
    <w:lvl w:ilvl="0" w:tplc="438807A8">
      <w:start w:val="1"/>
      <w:numFmt w:val="decimal"/>
      <w:lvlText w:val="%1."/>
      <w:lvlJc w:val="left"/>
      <w:pPr>
        <w:ind w:left="1426" w:hanging="360"/>
      </w:pPr>
      <w:rPr>
        <w:rFonts w:cs="Times New Roman" w:hint="default"/>
      </w:rPr>
    </w:lvl>
    <w:lvl w:ilvl="1" w:tplc="041B000F">
      <w:start w:val="1"/>
      <w:numFmt w:val="decimal"/>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 w15:restartNumberingAfterBreak="0">
    <w:nsid w:val="07A32D8B"/>
    <w:multiLevelType w:val="hybridMultilevel"/>
    <w:tmpl w:val="D05E5C4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1" w15:restartNumberingAfterBreak="0">
    <w:nsid w:val="086D6B6E"/>
    <w:multiLevelType w:val="hybridMultilevel"/>
    <w:tmpl w:val="7EA4E2D8"/>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2" w15:restartNumberingAfterBreak="0">
    <w:nsid w:val="087B1A86"/>
    <w:multiLevelType w:val="hybridMultilevel"/>
    <w:tmpl w:val="AEA0A9E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3" w15:restartNumberingAfterBreak="0">
    <w:nsid w:val="095F1FED"/>
    <w:multiLevelType w:val="hybridMultilevel"/>
    <w:tmpl w:val="13F64652"/>
    <w:lvl w:ilvl="0" w:tplc="46B882B0">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09925134"/>
    <w:multiLevelType w:val="hybridMultilevel"/>
    <w:tmpl w:val="18C6C40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09C73B84"/>
    <w:multiLevelType w:val="hybridMultilevel"/>
    <w:tmpl w:val="9B707ECC"/>
    <w:lvl w:ilvl="0" w:tplc="E13E869C">
      <w:start w:val="1"/>
      <w:numFmt w:val="decimal"/>
      <w:lvlText w:val="%1."/>
      <w:lvlJc w:val="left"/>
      <w:pPr>
        <w:ind w:left="720" w:hanging="360"/>
      </w:pPr>
      <w:rPr>
        <w:rFonts w:ascii="Arial" w:hAnsi="Arial" w:cs="Arial" w:hint="default"/>
        <w:b w:val="0"/>
        <w:i w:val="0"/>
        <w:strike w:val="0"/>
        <w:color w:val="000000"/>
        <w:sz w:val="20"/>
        <w:szCs w:val="20"/>
        <w:u w:val="none" w:color="000000"/>
      </w:rPr>
    </w:lvl>
    <w:lvl w:ilvl="1" w:tplc="FFFFFFFF">
      <w:start w:val="1"/>
      <w:numFmt w:val="lowerLetter"/>
      <w:lvlText w:val="%2."/>
      <w:lvlJc w:val="left"/>
      <w:pPr>
        <w:ind w:left="1080" w:hanging="360"/>
      </w:pPr>
      <w:rPr>
        <w:rFonts w:ascii="Verdana" w:hAnsi="Verdana" w:cs="Times New Roman"/>
        <w:b w:val="0"/>
        <w:i w:val="0"/>
        <w:strike w:val="0"/>
        <w:color w:val="000000"/>
        <w:sz w:val="24"/>
        <w:u w:val="none" w:color="000000"/>
      </w:rPr>
    </w:lvl>
    <w:lvl w:ilvl="2" w:tplc="FFFFFFFF">
      <w:start w:val="1"/>
      <w:numFmt w:val="lowerRoman"/>
      <w:lvlText w:val="%3."/>
      <w:lvlJc w:val="left"/>
      <w:pPr>
        <w:ind w:left="1440" w:hanging="360"/>
      </w:pPr>
      <w:rPr>
        <w:rFonts w:ascii="Verdana" w:hAnsi="Verdana" w:cs="Times New Roman"/>
        <w:b w:val="0"/>
        <w:i w:val="0"/>
        <w:strike w:val="0"/>
        <w:color w:val="000000"/>
        <w:sz w:val="24"/>
        <w:u w:val="none" w:color="000000"/>
      </w:rPr>
    </w:lvl>
    <w:lvl w:ilvl="3" w:tplc="FFFFFFFF">
      <w:start w:val="1"/>
      <w:numFmt w:val="decimal"/>
      <w:lvlText w:val="%4."/>
      <w:lvlJc w:val="left"/>
      <w:pPr>
        <w:ind w:left="1800" w:hanging="360"/>
      </w:pPr>
      <w:rPr>
        <w:rFonts w:ascii="Verdana" w:hAnsi="Verdana" w:cs="Times New Roman"/>
        <w:b w:val="0"/>
        <w:i w:val="0"/>
        <w:strike w:val="0"/>
        <w:color w:val="000000"/>
        <w:sz w:val="24"/>
        <w:u w:val="none" w:color="000000"/>
      </w:rPr>
    </w:lvl>
    <w:lvl w:ilvl="4" w:tplc="FFFFFFFF">
      <w:start w:val="1"/>
      <w:numFmt w:val="lowerLetter"/>
      <w:lvlText w:val="%5."/>
      <w:lvlJc w:val="left"/>
      <w:pPr>
        <w:ind w:left="2160" w:hanging="360"/>
      </w:pPr>
      <w:rPr>
        <w:rFonts w:ascii="Verdana" w:hAnsi="Verdana" w:cs="Times New Roman"/>
        <w:b w:val="0"/>
        <w:i w:val="0"/>
        <w:strike w:val="0"/>
        <w:color w:val="000000"/>
        <w:sz w:val="24"/>
        <w:u w:val="none" w:color="000000"/>
      </w:rPr>
    </w:lvl>
    <w:lvl w:ilvl="5" w:tplc="FFFFFFFF">
      <w:start w:val="1"/>
      <w:numFmt w:val="lowerRoman"/>
      <w:lvlText w:val="%6."/>
      <w:lvlJc w:val="left"/>
      <w:pPr>
        <w:ind w:left="2520" w:hanging="360"/>
      </w:pPr>
      <w:rPr>
        <w:rFonts w:ascii="Verdana" w:hAnsi="Verdana" w:cs="Times New Roman"/>
        <w:b w:val="0"/>
        <w:i w:val="0"/>
        <w:strike w:val="0"/>
        <w:color w:val="000000"/>
        <w:sz w:val="24"/>
        <w:u w:val="none" w:color="000000"/>
      </w:rPr>
    </w:lvl>
    <w:lvl w:ilvl="6" w:tplc="FFFFFFFF">
      <w:start w:val="1"/>
      <w:numFmt w:val="decimal"/>
      <w:lvlText w:val="%7."/>
      <w:lvlJc w:val="left"/>
      <w:pPr>
        <w:ind w:left="2880" w:hanging="360"/>
      </w:pPr>
      <w:rPr>
        <w:rFonts w:ascii="Verdana" w:hAnsi="Verdana" w:cs="Times New Roman"/>
        <w:b w:val="0"/>
        <w:i w:val="0"/>
        <w:strike w:val="0"/>
        <w:color w:val="000000"/>
        <w:sz w:val="24"/>
        <w:u w:val="none" w:color="000000"/>
      </w:rPr>
    </w:lvl>
    <w:lvl w:ilvl="7" w:tplc="FFFFFFFF">
      <w:start w:val="1"/>
      <w:numFmt w:val="lowerLetter"/>
      <w:lvlText w:val="%8."/>
      <w:lvlJc w:val="left"/>
      <w:pPr>
        <w:ind w:left="3240" w:hanging="360"/>
      </w:pPr>
      <w:rPr>
        <w:rFonts w:ascii="Verdana" w:hAnsi="Verdana" w:cs="Times New Roman"/>
        <w:b w:val="0"/>
        <w:i w:val="0"/>
        <w:strike w:val="0"/>
        <w:color w:val="000000"/>
        <w:sz w:val="24"/>
        <w:u w:val="none" w:color="000000"/>
      </w:rPr>
    </w:lvl>
    <w:lvl w:ilvl="8" w:tplc="FFFFFFFF">
      <w:start w:val="1"/>
      <w:numFmt w:val="lowerRoman"/>
      <w:lvlText w:val="%9."/>
      <w:lvlJc w:val="left"/>
      <w:pPr>
        <w:ind w:left="3600" w:hanging="360"/>
      </w:pPr>
      <w:rPr>
        <w:rFonts w:ascii="Verdana" w:hAnsi="Verdana" w:cs="Times New Roman"/>
        <w:b w:val="0"/>
        <w:i w:val="0"/>
        <w:strike w:val="0"/>
        <w:color w:val="000000"/>
        <w:sz w:val="24"/>
        <w:u w:val="none" w:color="000000"/>
      </w:rPr>
    </w:lvl>
  </w:abstractNum>
  <w:abstractNum w:abstractNumId="16" w15:restartNumberingAfterBreak="0">
    <w:nsid w:val="0A7A27E3"/>
    <w:multiLevelType w:val="hybridMultilevel"/>
    <w:tmpl w:val="E14843BA"/>
    <w:lvl w:ilvl="0" w:tplc="041B000F">
      <w:start w:val="1"/>
      <w:numFmt w:val="decimal"/>
      <w:lvlText w:val="%1."/>
      <w:lvlJc w:val="left"/>
      <w:pPr>
        <w:ind w:left="1440" w:hanging="360"/>
      </w:pPr>
      <w:rPr>
        <w:rFonts w:cs="Times New Roman"/>
      </w:rPr>
    </w:lvl>
    <w:lvl w:ilvl="1" w:tplc="041B0019" w:tentative="1">
      <w:start w:val="1"/>
      <w:numFmt w:val="lowerLetter"/>
      <w:lvlText w:val="%2."/>
      <w:lvlJc w:val="left"/>
      <w:pPr>
        <w:ind w:left="2160" w:hanging="360"/>
      </w:pPr>
      <w:rPr>
        <w:rFonts w:cs="Times New Roman"/>
      </w:rPr>
    </w:lvl>
    <w:lvl w:ilvl="2" w:tplc="041B001B" w:tentative="1">
      <w:start w:val="1"/>
      <w:numFmt w:val="lowerRoman"/>
      <w:lvlText w:val="%3."/>
      <w:lvlJc w:val="right"/>
      <w:pPr>
        <w:ind w:left="2880" w:hanging="180"/>
      </w:pPr>
      <w:rPr>
        <w:rFonts w:cs="Times New Roman"/>
      </w:rPr>
    </w:lvl>
    <w:lvl w:ilvl="3" w:tplc="041B000F" w:tentative="1">
      <w:start w:val="1"/>
      <w:numFmt w:val="decimal"/>
      <w:lvlText w:val="%4."/>
      <w:lvlJc w:val="left"/>
      <w:pPr>
        <w:ind w:left="3600" w:hanging="360"/>
      </w:pPr>
      <w:rPr>
        <w:rFonts w:cs="Times New Roman"/>
      </w:rPr>
    </w:lvl>
    <w:lvl w:ilvl="4" w:tplc="041B0019" w:tentative="1">
      <w:start w:val="1"/>
      <w:numFmt w:val="lowerLetter"/>
      <w:lvlText w:val="%5."/>
      <w:lvlJc w:val="left"/>
      <w:pPr>
        <w:ind w:left="4320" w:hanging="360"/>
      </w:pPr>
      <w:rPr>
        <w:rFonts w:cs="Times New Roman"/>
      </w:rPr>
    </w:lvl>
    <w:lvl w:ilvl="5" w:tplc="041B001B" w:tentative="1">
      <w:start w:val="1"/>
      <w:numFmt w:val="lowerRoman"/>
      <w:lvlText w:val="%6."/>
      <w:lvlJc w:val="right"/>
      <w:pPr>
        <w:ind w:left="5040" w:hanging="180"/>
      </w:pPr>
      <w:rPr>
        <w:rFonts w:cs="Times New Roman"/>
      </w:rPr>
    </w:lvl>
    <w:lvl w:ilvl="6" w:tplc="041B000F" w:tentative="1">
      <w:start w:val="1"/>
      <w:numFmt w:val="decimal"/>
      <w:lvlText w:val="%7."/>
      <w:lvlJc w:val="left"/>
      <w:pPr>
        <w:ind w:left="5760" w:hanging="360"/>
      </w:pPr>
      <w:rPr>
        <w:rFonts w:cs="Times New Roman"/>
      </w:rPr>
    </w:lvl>
    <w:lvl w:ilvl="7" w:tplc="041B0019" w:tentative="1">
      <w:start w:val="1"/>
      <w:numFmt w:val="lowerLetter"/>
      <w:lvlText w:val="%8."/>
      <w:lvlJc w:val="left"/>
      <w:pPr>
        <w:ind w:left="6480" w:hanging="360"/>
      </w:pPr>
      <w:rPr>
        <w:rFonts w:cs="Times New Roman"/>
      </w:rPr>
    </w:lvl>
    <w:lvl w:ilvl="8" w:tplc="041B001B" w:tentative="1">
      <w:start w:val="1"/>
      <w:numFmt w:val="lowerRoman"/>
      <w:lvlText w:val="%9."/>
      <w:lvlJc w:val="right"/>
      <w:pPr>
        <w:ind w:left="7200" w:hanging="180"/>
      </w:pPr>
      <w:rPr>
        <w:rFonts w:cs="Times New Roman"/>
      </w:rPr>
    </w:lvl>
  </w:abstractNum>
  <w:abstractNum w:abstractNumId="17" w15:restartNumberingAfterBreak="0">
    <w:nsid w:val="0AAF0B50"/>
    <w:multiLevelType w:val="hybridMultilevel"/>
    <w:tmpl w:val="9C46C02A"/>
    <w:lvl w:ilvl="0" w:tplc="9174A336">
      <w:start w:val="1"/>
      <w:numFmt w:val="lowerLetter"/>
      <w:lvlText w:val="%1)"/>
      <w:lvlJc w:val="left"/>
      <w:pPr>
        <w:tabs>
          <w:tab w:val="num" w:pos="720"/>
        </w:tabs>
        <w:ind w:left="720" w:hanging="360"/>
      </w:pPr>
      <w:rPr>
        <w:rFonts w:cs="Times New Roman"/>
        <w:strike w:val="0"/>
      </w:rPr>
    </w:lvl>
    <w:lvl w:ilvl="1" w:tplc="04050019">
      <w:start w:val="1"/>
      <w:numFmt w:val="lowerLetter"/>
      <w:lvlText w:val="%2."/>
      <w:lvlJc w:val="left"/>
      <w:pPr>
        <w:tabs>
          <w:tab w:val="num" w:pos="1440"/>
        </w:tabs>
        <w:ind w:left="1440" w:hanging="360"/>
      </w:pPr>
      <w:rPr>
        <w:rFonts w:cs="Times New Roman"/>
      </w:rPr>
    </w:lvl>
    <w:lvl w:ilvl="2" w:tplc="0405001B">
      <w:start w:val="1"/>
      <w:numFmt w:val="lowerRoman"/>
      <w:lvlText w:val="%3."/>
      <w:lvlJc w:val="right"/>
      <w:pPr>
        <w:tabs>
          <w:tab w:val="num" w:pos="2160"/>
        </w:tabs>
        <w:ind w:left="2160" w:hanging="18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lowerLetter"/>
      <w:lvlText w:val="%5."/>
      <w:lvlJc w:val="left"/>
      <w:pPr>
        <w:tabs>
          <w:tab w:val="num" w:pos="3600"/>
        </w:tabs>
        <w:ind w:left="3600" w:hanging="360"/>
      </w:pPr>
      <w:rPr>
        <w:rFonts w:cs="Times New Roman"/>
      </w:rPr>
    </w:lvl>
    <w:lvl w:ilvl="5" w:tplc="0405001B">
      <w:start w:val="1"/>
      <w:numFmt w:val="lowerRoman"/>
      <w:lvlText w:val="%6."/>
      <w:lvlJc w:val="right"/>
      <w:pPr>
        <w:tabs>
          <w:tab w:val="num" w:pos="4320"/>
        </w:tabs>
        <w:ind w:left="4320" w:hanging="18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lowerLetter"/>
      <w:lvlText w:val="%8."/>
      <w:lvlJc w:val="left"/>
      <w:pPr>
        <w:tabs>
          <w:tab w:val="num" w:pos="5760"/>
        </w:tabs>
        <w:ind w:left="5760" w:hanging="360"/>
      </w:pPr>
      <w:rPr>
        <w:rFonts w:cs="Times New Roman"/>
      </w:rPr>
    </w:lvl>
    <w:lvl w:ilvl="8" w:tplc="0405001B">
      <w:start w:val="1"/>
      <w:numFmt w:val="lowerRoman"/>
      <w:lvlText w:val="%9."/>
      <w:lvlJc w:val="right"/>
      <w:pPr>
        <w:tabs>
          <w:tab w:val="num" w:pos="6480"/>
        </w:tabs>
        <w:ind w:left="6480" w:hanging="180"/>
      </w:pPr>
      <w:rPr>
        <w:rFonts w:cs="Times New Roman"/>
      </w:rPr>
    </w:lvl>
  </w:abstractNum>
  <w:abstractNum w:abstractNumId="18" w15:restartNumberingAfterBreak="0">
    <w:nsid w:val="0C7E7991"/>
    <w:multiLevelType w:val="hybridMultilevel"/>
    <w:tmpl w:val="E172973E"/>
    <w:lvl w:ilvl="0" w:tplc="041B0017">
      <w:start w:val="1"/>
      <w:numFmt w:val="lowerLetter"/>
      <w:lvlText w:val="%1)"/>
      <w:lvlJc w:val="left"/>
      <w:pPr>
        <w:ind w:left="731" w:hanging="360"/>
      </w:pPr>
      <w:rPr>
        <w:rFonts w:cs="Times New Roman"/>
      </w:rPr>
    </w:lvl>
    <w:lvl w:ilvl="1" w:tplc="041B0019" w:tentative="1">
      <w:start w:val="1"/>
      <w:numFmt w:val="lowerLetter"/>
      <w:lvlText w:val="%2."/>
      <w:lvlJc w:val="left"/>
      <w:pPr>
        <w:ind w:left="1451" w:hanging="360"/>
      </w:pPr>
      <w:rPr>
        <w:rFonts w:cs="Times New Roman"/>
      </w:rPr>
    </w:lvl>
    <w:lvl w:ilvl="2" w:tplc="041B001B" w:tentative="1">
      <w:start w:val="1"/>
      <w:numFmt w:val="lowerRoman"/>
      <w:lvlText w:val="%3."/>
      <w:lvlJc w:val="right"/>
      <w:pPr>
        <w:ind w:left="2171" w:hanging="180"/>
      </w:pPr>
      <w:rPr>
        <w:rFonts w:cs="Times New Roman"/>
      </w:rPr>
    </w:lvl>
    <w:lvl w:ilvl="3" w:tplc="041B000F" w:tentative="1">
      <w:start w:val="1"/>
      <w:numFmt w:val="decimal"/>
      <w:lvlText w:val="%4."/>
      <w:lvlJc w:val="left"/>
      <w:pPr>
        <w:ind w:left="2891" w:hanging="360"/>
      </w:pPr>
      <w:rPr>
        <w:rFonts w:cs="Times New Roman"/>
      </w:rPr>
    </w:lvl>
    <w:lvl w:ilvl="4" w:tplc="041B0019" w:tentative="1">
      <w:start w:val="1"/>
      <w:numFmt w:val="lowerLetter"/>
      <w:lvlText w:val="%5."/>
      <w:lvlJc w:val="left"/>
      <w:pPr>
        <w:ind w:left="3611" w:hanging="360"/>
      </w:pPr>
      <w:rPr>
        <w:rFonts w:cs="Times New Roman"/>
      </w:rPr>
    </w:lvl>
    <w:lvl w:ilvl="5" w:tplc="041B001B" w:tentative="1">
      <w:start w:val="1"/>
      <w:numFmt w:val="lowerRoman"/>
      <w:lvlText w:val="%6."/>
      <w:lvlJc w:val="right"/>
      <w:pPr>
        <w:ind w:left="4331" w:hanging="180"/>
      </w:pPr>
      <w:rPr>
        <w:rFonts w:cs="Times New Roman"/>
      </w:rPr>
    </w:lvl>
    <w:lvl w:ilvl="6" w:tplc="041B000F" w:tentative="1">
      <w:start w:val="1"/>
      <w:numFmt w:val="decimal"/>
      <w:lvlText w:val="%7."/>
      <w:lvlJc w:val="left"/>
      <w:pPr>
        <w:ind w:left="5051" w:hanging="360"/>
      </w:pPr>
      <w:rPr>
        <w:rFonts w:cs="Times New Roman"/>
      </w:rPr>
    </w:lvl>
    <w:lvl w:ilvl="7" w:tplc="041B0019" w:tentative="1">
      <w:start w:val="1"/>
      <w:numFmt w:val="lowerLetter"/>
      <w:lvlText w:val="%8."/>
      <w:lvlJc w:val="left"/>
      <w:pPr>
        <w:ind w:left="5771" w:hanging="360"/>
      </w:pPr>
      <w:rPr>
        <w:rFonts w:cs="Times New Roman"/>
      </w:rPr>
    </w:lvl>
    <w:lvl w:ilvl="8" w:tplc="041B001B" w:tentative="1">
      <w:start w:val="1"/>
      <w:numFmt w:val="lowerRoman"/>
      <w:lvlText w:val="%9."/>
      <w:lvlJc w:val="right"/>
      <w:pPr>
        <w:ind w:left="6491" w:hanging="180"/>
      </w:pPr>
      <w:rPr>
        <w:rFonts w:cs="Times New Roman"/>
      </w:rPr>
    </w:lvl>
  </w:abstractNum>
  <w:abstractNum w:abstractNumId="19" w15:restartNumberingAfterBreak="0">
    <w:nsid w:val="0C9A1896"/>
    <w:multiLevelType w:val="hybridMultilevel"/>
    <w:tmpl w:val="EB280C60"/>
    <w:lvl w:ilvl="0" w:tplc="18B89F62">
      <w:start w:val="4"/>
      <w:numFmt w:val="lowerLetter"/>
      <w:lvlText w:val="%1)"/>
      <w:lvlJc w:val="left"/>
      <w:pPr>
        <w:tabs>
          <w:tab w:val="num" w:pos="1776"/>
        </w:tabs>
        <w:ind w:left="1776" w:hanging="360"/>
      </w:pPr>
      <w:rPr>
        <w:rFonts w:cs="Times New Roman" w:hint="default"/>
      </w:rPr>
    </w:lvl>
    <w:lvl w:ilvl="1" w:tplc="041B0019" w:tentative="1">
      <w:start w:val="1"/>
      <w:numFmt w:val="lowerLetter"/>
      <w:lvlText w:val="%2."/>
      <w:lvlJc w:val="left"/>
      <w:pPr>
        <w:ind w:left="1776" w:hanging="360"/>
      </w:pPr>
      <w:rPr>
        <w:rFonts w:cs="Times New Roman"/>
      </w:rPr>
    </w:lvl>
    <w:lvl w:ilvl="2" w:tplc="041B001B" w:tentative="1">
      <w:start w:val="1"/>
      <w:numFmt w:val="lowerRoman"/>
      <w:lvlText w:val="%3."/>
      <w:lvlJc w:val="right"/>
      <w:pPr>
        <w:ind w:left="2496" w:hanging="180"/>
      </w:pPr>
      <w:rPr>
        <w:rFonts w:cs="Times New Roman"/>
      </w:rPr>
    </w:lvl>
    <w:lvl w:ilvl="3" w:tplc="041B000F" w:tentative="1">
      <w:start w:val="1"/>
      <w:numFmt w:val="decimal"/>
      <w:lvlText w:val="%4."/>
      <w:lvlJc w:val="left"/>
      <w:pPr>
        <w:ind w:left="3216" w:hanging="360"/>
      </w:pPr>
      <w:rPr>
        <w:rFonts w:cs="Times New Roman"/>
      </w:rPr>
    </w:lvl>
    <w:lvl w:ilvl="4" w:tplc="041B0019" w:tentative="1">
      <w:start w:val="1"/>
      <w:numFmt w:val="lowerLetter"/>
      <w:lvlText w:val="%5."/>
      <w:lvlJc w:val="left"/>
      <w:pPr>
        <w:ind w:left="3936" w:hanging="360"/>
      </w:pPr>
      <w:rPr>
        <w:rFonts w:cs="Times New Roman"/>
      </w:rPr>
    </w:lvl>
    <w:lvl w:ilvl="5" w:tplc="041B001B" w:tentative="1">
      <w:start w:val="1"/>
      <w:numFmt w:val="lowerRoman"/>
      <w:lvlText w:val="%6."/>
      <w:lvlJc w:val="right"/>
      <w:pPr>
        <w:ind w:left="4656" w:hanging="180"/>
      </w:pPr>
      <w:rPr>
        <w:rFonts w:cs="Times New Roman"/>
      </w:rPr>
    </w:lvl>
    <w:lvl w:ilvl="6" w:tplc="041B000F" w:tentative="1">
      <w:start w:val="1"/>
      <w:numFmt w:val="decimal"/>
      <w:lvlText w:val="%7."/>
      <w:lvlJc w:val="left"/>
      <w:pPr>
        <w:ind w:left="5376" w:hanging="360"/>
      </w:pPr>
      <w:rPr>
        <w:rFonts w:cs="Times New Roman"/>
      </w:rPr>
    </w:lvl>
    <w:lvl w:ilvl="7" w:tplc="041B0019" w:tentative="1">
      <w:start w:val="1"/>
      <w:numFmt w:val="lowerLetter"/>
      <w:lvlText w:val="%8."/>
      <w:lvlJc w:val="left"/>
      <w:pPr>
        <w:ind w:left="6096" w:hanging="360"/>
      </w:pPr>
      <w:rPr>
        <w:rFonts w:cs="Times New Roman"/>
      </w:rPr>
    </w:lvl>
    <w:lvl w:ilvl="8" w:tplc="041B001B" w:tentative="1">
      <w:start w:val="1"/>
      <w:numFmt w:val="lowerRoman"/>
      <w:lvlText w:val="%9."/>
      <w:lvlJc w:val="right"/>
      <w:pPr>
        <w:ind w:left="6816" w:hanging="180"/>
      </w:pPr>
      <w:rPr>
        <w:rFonts w:cs="Times New Roman"/>
      </w:rPr>
    </w:lvl>
  </w:abstractNum>
  <w:abstractNum w:abstractNumId="20" w15:restartNumberingAfterBreak="0">
    <w:nsid w:val="0D57688F"/>
    <w:multiLevelType w:val="hybridMultilevel"/>
    <w:tmpl w:val="3B825C1A"/>
    <w:lvl w:ilvl="0" w:tplc="DC16D41E">
      <w:start w:val="1"/>
      <w:numFmt w:val="lowerLetter"/>
      <w:lvlText w:val="%1)"/>
      <w:lvlJc w:val="left"/>
      <w:pPr>
        <w:tabs>
          <w:tab w:val="num" w:pos="975"/>
        </w:tabs>
        <w:ind w:left="975" w:hanging="615"/>
      </w:pPr>
      <w:rPr>
        <w:rFonts w:cs="Times New Roman"/>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21" w15:restartNumberingAfterBreak="0">
    <w:nsid w:val="0DE84193"/>
    <w:multiLevelType w:val="hybridMultilevel"/>
    <w:tmpl w:val="AB186582"/>
    <w:lvl w:ilvl="0" w:tplc="0409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0E3C3C2F"/>
    <w:multiLevelType w:val="hybridMultilevel"/>
    <w:tmpl w:val="1BB68516"/>
    <w:lvl w:ilvl="0" w:tplc="EF30C4BC">
      <w:numFmt w:val="bullet"/>
      <w:lvlText w:val="-"/>
      <w:lvlJc w:val="left"/>
      <w:pPr>
        <w:ind w:left="720" w:hanging="360"/>
      </w:pPr>
      <w:rPr>
        <w:rFonts w:ascii="Calibri" w:eastAsia="Times New Roman" w:hAnsi="Calibri" w:hint="default"/>
      </w:rPr>
    </w:lvl>
    <w:lvl w:ilvl="1" w:tplc="041B0003">
      <w:start w:val="1"/>
      <w:numFmt w:val="bullet"/>
      <w:lvlText w:val="o"/>
      <w:lvlJc w:val="left"/>
      <w:pPr>
        <w:ind w:left="1440" w:hanging="360"/>
      </w:pPr>
      <w:rPr>
        <w:rFonts w:ascii="Courier New" w:hAnsi="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hint="default"/>
      </w:rPr>
    </w:lvl>
    <w:lvl w:ilvl="8" w:tplc="041B0005">
      <w:start w:val="1"/>
      <w:numFmt w:val="bullet"/>
      <w:lvlText w:val=""/>
      <w:lvlJc w:val="left"/>
      <w:pPr>
        <w:ind w:left="6480" w:hanging="360"/>
      </w:pPr>
      <w:rPr>
        <w:rFonts w:ascii="Wingdings" w:hAnsi="Wingdings" w:hint="default"/>
      </w:rPr>
    </w:lvl>
  </w:abstractNum>
  <w:abstractNum w:abstractNumId="23" w15:restartNumberingAfterBreak="0">
    <w:nsid w:val="0ED71253"/>
    <w:multiLevelType w:val="hybridMultilevel"/>
    <w:tmpl w:val="6C987B3C"/>
    <w:lvl w:ilvl="0" w:tplc="C128A018">
      <w:start w:val="1"/>
      <w:numFmt w:val="lowerLetter"/>
      <w:lvlText w:val="%1)"/>
      <w:lvlJc w:val="left"/>
      <w:pPr>
        <w:tabs>
          <w:tab w:val="num" w:pos="1230"/>
        </w:tabs>
        <w:ind w:left="1230" w:hanging="375"/>
      </w:pPr>
      <w:rPr>
        <w:rFonts w:cs="Times New Roman" w:hint="default"/>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0F6725F8"/>
    <w:multiLevelType w:val="hybridMultilevel"/>
    <w:tmpl w:val="38E04ED2"/>
    <w:lvl w:ilvl="0" w:tplc="041B0017">
      <w:start w:val="1"/>
      <w:numFmt w:val="lowerLetter"/>
      <w:lvlText w:val="%1)"/>
      <w:lvlJc w:val="left"/>
      <w:pPr>
        <w:tabs>
          <w:tab w:val="num" w:pos="720"/>
        </w:tabs>
        <w:ind w:left="720" w:hanging="360"/>
      </w:pPr>
      <w:rPr>
        <w:rFonts w:cs="Times New Roman"/>
      </w:rPr>
    </w:lvl>
    <w:lvl w:ilvl="1" w:tplc="041B000F">
      <w:start w:val="1"/>
      <w:numFmt w:val="decimal"/>
      <w:lvlText w:val="%2."/>
      <w:lvlJc w:val="left"/>
      <w:pPr>
        <w:tabs>
          <w:tab w:val="num" w:pos="1440"/>
        </w:tabs>
        <w:ind w:left="1440" w:hanging="360"/>
      </w:pPr>
      <w:rPr>
        <w:rFonts w:cs="Times New Roman"/>
      </w:rPr>
    </w:lvl>
    <w:lvl w:ilvl="2" w:tplc="56B49BDE">
      <w:start w:val="1"/>
      <w:numFmt w:val="decimal"/>
      <w:lvlText w:val="%3."/>
      <w:lvlJc w:val="left"/>
      <w:pPr>
        <w:tabs>
          <w:tab w:val="num" w:pos="2340"/>
        </w:tabs>
        <w:ind w:left="234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25" w15:restartNumberingAfterBreak="0">
    <w:nsid w:val="103A39A8"/>
    <w:multiLevelType w:val="hybridMultilevel"/>
    <w:tmpl w:val="2098C38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6" w15:restartNumberingAfterBreak="0">
    <w:nsid w:val="107B01C1"/>
    <w:multiLevelType w:val="hybridMultilevel"/>
    <w:tmpl w:val="9C8E6690"/>
    <w:lvl w:ilvl="0" w:tplc="041B000F">
      <w:start w:val="1"/>
      <w:numFmt w:val="decimal"/>
      <w:lvlText w:val="%1."/>
      <w:lvlJc w:val="left"/>
      <w:pPr>
        <w:ind w:left="1440" w:hanging="360"/>
      </w:pPr>
      <w:rPr>
        <w:rFonts w:cs="Times New Roman"/>
      </w:rPr>
    </w:lvl>
    <w:lvl w:ilvl="1" w:tplc="041B0019" w:tentative="1">
      <w:start w:val="1"/>
      <w:numFmt w:val="lowerLetter"/>
      <w:lvlText w:val="%2."/>
      <w:lvlJc w:val="left"/>
      <w:pPr>
        <w:ind w:left="2160" w:hanging="360"/>
      </w:pPr>
      <w:rPr>
        <w:rFonts w:cs="Times New Roman"/>
      </w:rPr>
    </w:lvl>
    <w:lvl w:ilvl="2" w:tplc="041B001B" w:tentative="1">
      <w:start w:val="1"/>
      <w:numFmt w:val="lowerRoman"/>
      <w:lvlText w:val="%3."/>
      <w:lvlJc w:val="right"/>
      <w:pPr>
        <w:ind w:left="2880" w:hanging="180"/>
      </w:pPr>
      <w:rPr>
        <w:rFonts w:cs="Times New Roman"/>
      </w:rPr>
    </w:lvl>
    <w:lvl w:ilvl="3" w:tplc="041B000F" w:tentative="1">
      <w:start w:val="1"/>
      <w:numFmt w:val="decimal"/>
      <w:lvlText w:val="%4."/>
      <w:lvlJc w:val="left"/>
      <w:pPr>
        <w:ind w:left="3600" w:hanging="360"/>
      </w:pPr>
      <w:rPr>
        <w:rFonts w:cs="Times New Roman"/>
      </w:rPr>
    </w:lvl>
    <w:lvl w:ilvl="4" w:tplc="041B0019" w:tentative="1">
      <w:start w:val="1"/>
      <w:numFmt w:val="lowerLetter"/>
      <w:lvlText w:val="%5."/>
      <w:lvlJc w:val="left"/>
      <w:pPr>
        <w:ind w:left="4320" w:hanging="360"/>
      </w:pPr>
      <w:rPr>
        <w:rFonts w:cs="Times New Roman"/>
      </w:rPr>
    </w:lvl>
    <w:lvl w:ilvl="5" w:tplc="041B001B" w:tentative="1">
      <w:start w:val="1"/>
      <w:numFmt w:val="lowerRoman"/>
      <w:lvlText w:val="%6."/>
      <w:lvlJc w:val="right"/>
      <w:pPr>
        <w:ind w:left="5040" w:hanging="180"/>
      </w:pPr>
      <w:rPr>
        <w:rFonts w:cs="Times New Roman"/>
      </w:rPr>
    </w:lvl>
    <w:lvl w:ilvl="6" w:tplc="041B000F" w:tentative="1">
      <w:start w:val="1"/>
      <w:numFmt w:val="decimal"/>
      <w:lvlText w:val="%7."/>
      <w:lvlJc w:val="left"/>
      <w:pPr>
        <w:ind w:left="5760" w:hanging="360"/>
      </w:pPr>
      <w:rPr>
        <w:rFonts w:cs="Times New Roman"/>
      </w:rPr>
    </w:lvl>
    <w:lvl w:ilvl="7" w:tplc="041B0019" w:tentative="1">
      <w:start w:val="1"/>
      <w:numFmt w:val="lowerLetter"/>
      <w:lvlText w:val="%8."/>
      <w:lvlJc w:val="left"/>
      <w:pPr>
        <w:ind w:left="6480" w:hanging="360"/>
      </w:pPr>
      <w:rPr>
        <w:rFonts w:cs="Times New Roman"/>
      </w:rPr>
    </w:lvl>
    <w:lvl w:ilvl="8" w:tplc="041B001B" w:tentative="1">
      <w:start w:val="1"/>
      <w:numFmt w:val="lowerRoman"/>
      <w:lvlText w:val="%9."/>
      <w:lvlJc w:val="right"/>
      <w:pPr>
        <w:ind w:left="7200" w:hanging="180"/>
      </w:pPr>
      <w:rPr>
        <w:rFonts w:cs="Times New Roman"/>
      </w:rPr>
    </w:lvl>
  </w:abstractNum>
  <w:abstractNum w:abstractNumId="27" w15:restartNumberingAfterBreak="0">
    <w:nsid w:val="10D453FF"/>
    <w:multiLevelType w:val="hybridMultilevel"/>
    <w:tmpl w:val="D05E5C4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8" w15:restartNumberingAfterBreak="0">
    <w:nsid w:val="1237788D"/>
    <w:multiLevelType w:val="hybridMultilevel"/>
    <w:tmpl w:val="9E0000CC"/>
    <w:lvl w:ilvl="0" w:tplc="041B001B">
      <w:start w:val="1"/>
      <w:numFmt w:val="decimal"/>
      <w:lvlText w:val="%1."/>
      <w:lvlJc w:val="left"/>
      <w:pPr>
        <w:tabs>
          <w:tab w:val="num" w:pos="2160"/>
        </w:tabs>
        <w:ind w:left="2160" w:hanging="360"/>
      </w:pPr>
      <w:rPr>
        <w:rFonts w:cs="Times New Roman"/>
      </w:rPr>
    </w:lvl>
    <w:lvl w:ilvl="1" w:tplc="FF20100A">
      <w:start w:val="1"/>
      <w:numFmt w:val="lowerLetter"/>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29" w15:restartNumberingAfterBreak="0">
    <w:nsid w:val="13985963"/>
    <w:multiLevelType w:val="hybridMultilevel"/>
    <w:tmpl w:val="C76AAC2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30" w15:restartNumberingAfterBreak="0">
    <w:nsid w:val="13C21ED4"/>
    <w:multiLevelType w:val="hybridMultilevel"/>
    <w:tmpl w:val="DD62A12A"/>
    <w:lvl w:ilvl="0" w:tplc="4A7ABC92">
      <w:start w:val="1"/>
      <w:numFmt w:val="lowerLetter"/>
      <w:lvlText w:val="%1)"/>
      <w:lvlJc w:val="left"/>
      <w:pPr>
        <w:tabs>
          <w:tab w:val="num" w:pos="720"/>
        </w:tabs>
        <w:ind w:left="720" w:hanging="360"/>
      </w:pPr>
      <w:rPr>
        <w:rFonts w:cs="Times New Roman"/>
        <w:strike w:val="0"/>
        <w:dstrike w:val="0"/>
        <w:color w:val="auto"/>
        <w:u w:val="none"/>
        <w:effect w:val="none"/>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14B463AF"/>
    <w:multiLevelType w:val="hybridMultilevel"/>
    <w:tmpl w:val="3BAA5D1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32" w15:restartNumberingAfterBreak="0">
    <w:nsid w:val="155C2803"/>
    <w:multiLevelType w:val="hybridMultilevel"/>
    <w:tmpl w:val="86CE1F10"/>
    <w:lvl w:ilvl="0" w:tplc="041B0017">
      <w:start w:val="1"/>
      <w:numFmt w:val="lowerLetter"/>
      <w:lvlText w:val="%1)"/>
      <w:lvlJc w:val="left"/>
      <w:pPr>
        <w:ind w:left="783" w:hanging="360"/>
      </w:pPr>
      <w:rPr>
        <w:rFonts w:cs="Times New Roman"/>
      </w:rPr>
    </w:lvl>
    <w:lvl w:ilvl="1" w:tplc="041B0019">
      <w:start w:val="1"/>
      <w:numFmt w:val="lowerLetter"/>
      <w:lvlText w:val="%2."/>
      <w:lvlJc w:val="left"/>
      <w:pPr>
        <w:ind w:left="1503" w:hanging="360"/>
      </w:pPr>
      <w:rPr>
        <w:rFonts w:cs="Times New Roman"/>
      </w:rPr>
    </w:lvl>
    <w:lvl w:ilvl="2" w:tplc="041B001B">
      <w:start w:val="1"/>
      <w:numFmt w:val="lowerRoman"/>
      <w:lvlText w:val="%3."/>
      <w:lvlJc w:val="right"/>
      <w:pPr>
        <w:ind w:left="2223" w:hanging="180"/>
      </w:pPr>
      <w:rPr>
        <w:rFonts w:cs="Times New Roman"/>
      </w:rPr>
    </w:lvl>
    <w:lvl w:ilvl="3" w:tplc="041B000F">
      <w:start w:val="1"/>
      <w:numFmt w:val="decimal"/>
      <w:lvlText w:val="%4."/>
      <w:lvlJc w:val="left"/>
      <w:pPr>
        <w:ind w:left="2943" w:hanging="360"/>
      </w:pPr>
      <w:rPr>
        <w:rFonts w:cs="Times New Roman"/>
      </w:rPr>
    </w:lvl>
    <w:lvl w:ilvl="4" w:tplc="041B0019">
      <w:start w:val="1"/>
      <w:numFmt w:val="lowerLetter"/>
      <w:lvlText w:val="%5."/>
      <w:lvlJc w:val="left"/>
      <w:pPr>
        <w:ind w:left="3663" w:hanging="360"/>
      </w:pPr>
      <w:rPr>
        <w:rFonts w:cs="Times New Roman"/>
      </w:rPr>
    </w:lvl>
    <w:lvl w:ilvl="5" w:tplc="041B001B">
      <w:start w:val="1"/>
      <w:numFmt w:val="lowerRoman"/>
      <w:lvlText w:val="%6."/>
      <w:lvlJc w:val="right"/>
      <w:pPr>
        <w:ind w:left="4383" w:hanging="180"/>
      </w:pPr>
      <w:rPr>
        <w:rFonts w:cs="Times New Roman"/>
      </w:rPr>
    </w:lvl>
    <w:lvl w:ilvl="6" w:tplc="041B000F">
      <w:start w:val="1"/>
      <w:numFmt w:val="decimal"/>
      <w:lvlText w:val="%7."/>
      <w:lvlJc w:val="left"/>
      <w:pPr>
        <w:ind w:left="5103" w:hanging="360"/>
      </w:pPr>
      <w:rPr>
        <w:rFonts w:cs="Times New Roman"/>
      </w:rPr>
    </w:lvl>
    <w:lvl w:ilvl="7" w:tplc="041B0019">
      <w:start w:val="1"/>
      <w:numFmt w:val="lowerLetter"/>
      <w:lvlText w:val="%8."/>
      <w:lvlJc w:val="left"/>
      <w:pPr>
        <w:ind w:left="5823" w:hanging="360"/>
      </w:pPr>
      <w:rPr>
        <w:rFonts w:cs="Times New Roman"/>
      </w:rPr>
    </w:lvl>
    <w:lvl w:ilvl="8" w:tplc="041B001B">
      <w:start w:val="1"/>
      <w:numFmt w:val="lowerRoman"/>
      <w:lvlText w:val="%9."/>
      <w:lvlJc w:val="right"/>
      <w:pPr>
        <w:ind w:left="6543" w:hanging="180"/>
      </w:pPr>
      <w:rPr>
        <w:rFonts w:cs="Times New Roman"/>
      </w:rPr>
    </w:lvl>
  </w:abstractNum>
  <w:abstractNum w:abstractNumId="33" w15:restartNumberingAfterBreak="0">
    <w:nsid w:val="17A0128F"/>
    <w:multiLevelType w:val="hybridMultilevel"/>
    <w:tmpl w:val="4EFCA46C"/>
    <w:lvl w:ilvl="0" w:tplc="EB40948A">
      <w:numFmt w:val="bullet"/>
      <w:lvlText w:val="-"/>
      <w:lvlJc w:val="left"/>
      <w:pPr>
        <w:ind w:left="720" w:hanging="360"/>
      </w:pPr>
      <w:rPr>
        <w:rFonts w:ascii="Times New Roman" w:eastAsia="Times New Roman" w:hAnsi="Times New Roman"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4" w15:restartNumberingAfterBreak="0">
    <w:nsid w:val="17C81962"/>
    <w:multiLevelType w:val="hybridMultilevel"/>
    <w:tmpl w:val="59F8E090"/>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35" w15:restartNumberingAfterBreak="0">
    <w:nsid w:val="18B57D0D"/>
    <w:multiLevelType w:val="hybridMultilevel"/>
    <w:tmpl w:val="983CE2E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36" w15:restartNumberingAfterBreak="0">
    <w:nsid w:val="18F46DD9"/>
    <w:multiLevelType w:val="hybridMultilevel"/>
    <w:tmpl w:val="FB9C434A"/>
    <w:name w:val="WWNum832"/>
    <w:lvl w:ilvl="0" w:tplc="041B000F">
      <w:start w:val="1"/>
      <w:numFmt w:val="decimal"/>
      <w:lvlText w:val="%1."/>
      <w:lvlJc w:val="left"/>
      <w:pPr>
        <w:ind w:left="1440" w:hanging="360"/>
      </w:pPr>
      <w:rPr>
        <w:rFonts w:cs="Times New Roman"/>
      </w:rPr>
    </w:lvl>
    <w:lvl w:ilvl="1" w:tplc="041B0019" w:tentative="1">
      <w:start w:val="1"/>
      <w:numFmt w:val="lowerLetter"/>
      <w:lvlText w:val="%2."/>
      <w:lvlJc w:val="left"/>
      <w:pPr>
        <w:ind w:left="2160" w:hanging="360"/>
      </w:pPr>
      <w:rPr>
        <w:rFonts w:cs="Times New Roman"/>
      </w:rPr>
    </w:lvl>
    <w:lvl w:ilvl="2" w:tplc="041B001B" w:tentative="1">
      <w:start w:val="1"/>
      <w:numFmt w:val="lowerRoman"/>
      <w:lvlText w:val="%3."/>
      <w:lvlJc w:val="right"/>
      <w:pPr>
        <w:ind w:left="2880" w:hanging="180"/>
      </w:pPr>
      <w:rPr>
        <w:rFonts w:cs="Times New Roman"/>
      </w:rPr>
    </w:lvl>
    <w:lvl w:ilvl="3" w:tplc="041B000F" w:tentative="1">
      <w:start w:val="1"/>
      <w:numFmt w:val="decimal"/>
      <w:lvlText w:val="%4."/>
      <w:lvlJc w:val="left"/>
      <w:pPr>
        <w:ind w:left="3600" w:hanging="360"/>
      </w:pPr>
      <w:rPr>
        <w:rFonts w:cs="Times New Roman"/>
      </w:rPr>
    </w:lvl>
    <w:lvl w:ilvl="4" w:tplc="041B0019" w:tentative="1">
      <w:start w:val="1"/>
      <w:numFmt w:val="lowerLetter"/>
      <w:lvlText w:val="%5."/>
      <w:lvlJc w:val="left"/>
      <w:pPr>
        <w:ind w:left="4320" w:hanging="360"/>
      </w:pPr>
      <w:rPr>
        <w:rFonts w:cs="Times New Roman"/>
      </w:rPr>
    </w:lvl>
    <w:lvl w:ilvl="5" w:tplc="041B001B" w:tentative="1">
      <w:start w:val="1"/>
      <w:numFmt w:val="lowerRoman"/>
      <w:lvlText w:val="%6."/>
      <w:lvlJc w:val="right"/>
      <w:pPr>
        <w:ind w:left="5040" w:hanging="180"/>
      </w:pPr>
      <w:rPr>
        <w:rFonts w:cs="Times New Roman"/>
      </w:rPr>
    </w:lvl>
    <w:lvl w:ilvl="6" w:tplc="041B000F" w:tentative="1">
      <w:start w:val="1"/>
      <w:numFmt w:val="decimal"/>
      <w:lvlText w:val="%7."/>
      <w:lvlJc w:val="left"/>
      <w:pPr>
        <w:ind w:left="5760" w:hanging="360"/>
      </w:pPr>
      <w:rPr>
        <w:rFonts w:cs="Times New Roman"/>
      </w:rPr>
    </w:lvl>
    <w:lvl w:ilvl="7" w:tplc="041B0019" w:tentative="1">
      <w:start w:val="1"/>
      <w:numFmt w:val="lowerLetter"/>
      <w:lvlText w:val="%8."/>
      <w:lvlJc w:val="left"/>
      <w:pPr>
        <w:ind w:left="6480" w:hanging="360"/>
      </w:pPr>
      <w:rPr>
        <w:rFonts w:cs="Times New Roman"/>
      </w:rPr>
    </w:lvl>
    <w:lvl w:ilvl="8" w:tplc="041B001B" w:tentative="1">
      <w:start w:val="1"/>
      <w:numFmt w:val="lowerRoman"/>
      <w:lvlText w:val="%9."/>
      <w:lvlJc w:val="right"/>
      <w:pPr>
        <w:ind w:left="7200" w:hanging="180"/>
      </w:pPr>
      <w:rPr>
        <w:rFonts w:cs="Times New Roman"/>
      </w:rPr>
    </w:lvl>
  </w:abstractNum>
  <w:abstractNum w:abstractNumId="37" w15:restartNumberingAfterBreak="0">
    <w:nsid w:val="191A28E9"/>
    <w:multiLevelType w:val="hybridMultilevel"/>
    <w:tmpl w:val="6FEE948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199D42D0"/>
    <w:multiLevelType w:val="hybridMultilevel"/>
    <w:tmpl w:val="68FE6AF2"/>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39" w15:restartNumberingAfterBreak="0">
    <w:nsid w:val="1BB80DED"/>
    <w:multiLevelType w:val="hybridMultilevel"/>
    <w:tmpl w:val="035E6F1A"/>
    <w:lvl w:ilvl="0" w:tplc="041B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BDB51D6"/>
    <w:multiLevelType w:val="hybridMultilevel"/>
    <w:tmpl w:val="A52E6394"/>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41" w15:restartNumberingAfterBreak="0">
    <w:nsid w:val="1CC72932"/>
    <w:multiLevelType w:val="hybridMultilevel"/>
    <w:tmpl w:val="C276DE42"/>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42" w15:restartNumberingAfterBreak="0">
    <w:nsid w:val="1D49225A"/>
    <w:multiLevelType w:val="hybridMultilevel"/>
    <w:tmpl w:val="5F606B5E"/>
    <w:lvl w:ilvl="0" w:tplc="C128A018">
      <w:start w:val="1"/>
      <w:numFmt w:val="lowerLetter"/>
      <w:lvlText w:val="%1)"/>
      <w:lvlJc w:val="left"/>
      <w:pPr>
        <w:tabs>
          <w:tab w:val="num" w:pos="1230"/>
        </w:tabs>
        <w:ind w:left="1230" w:hanging="375"/>
      </w:pPr>
      <w:rPr>
        <w:rFonts w:cs="Times New Roman" w:hint="default"/>
      </w:rPr>
    </w:lvl>
    <w:lvl w:ilvl="1" w:tplc="04050019" w:tentative="1">
      <w:start w:val="1"/>
      <w:numFmt w:val="lowerLetter"/>
      <w:lvlText w:val="%2."/>
      <w:lvlJc w:val="left"/>
      <w:pPr>
        <w:tabs>
          <w:tab w:val="num" w:pos="1935"/>
        </w:tabs>
        <w:ind w:left="1935" w:hanging="360"/>
      </w:pPr>
      <w:rPr>
        <w:rFonts w:cs="Times New Roman"/>
      </w:rPr>
    </w:lvl>
    <w:lvl w:ilvl="2" w:tplc="0405001B" w:tentative="1">
      <w:start w:val="1"/>
      <w:numFmt w:val="lowerRoman"/>
      <w:lvlText w:val="%3."/>
      <w:lvlJc w:val="right"/>
      <w:pPr>
        <w:tabs>
          <w:tab w:val="num" w:pos="2655"/>
        </w:tabs>
        <w:ind w:left="2655" w:hanging="180"/>
      </w:pPr>
      <w:rPr>
        <w:rFonts w:cs="Times New Roman"/>
      </w:rPr>
    </w:lvl>
    <w:lvl w:ilvl="3" w:tplc="0405000F" w:tentative="1">
      <w:start w:val="1"/>
      <w:numFmt w:val="decimal"/>
      <w:lvlText w:val="%4."/>
      <w:lvlJc w:val="left"/>
      <w:pPr>
        <w:tabs>
          <w:tab w:val="num" w:pos="3375"/>
        </w:tabs>
        <w:ind w:left="3375" w:hanging="360"/>
      </w:pPr>
      <w:rPr>
        <w:rFonts w:cs="Times New Roman"/>
      </w:rPr>
    </w:lvl>
    <w:lvl w:ilvl="4" w:tplc="04050019" w:tentative="1">
      <w:start w:val="1"/>
      <w:numFmt w:val="lowerLetter"/>
      <w:lvlText w:val="%5."/>
      <w:lvlJc w:val="left"/>
      <w:pPr>
        <w:tabs>
          <w:tab w:val="num" w:pos="4095"/>
        </w:tabs>
        <w:ind w:left="4095" w:hanging="360"/>
      </w:pPr>
      <w:rPr>
        <w:rFonts w:cs="Times New Roman"/>
      </w:rPr>
    </w:lvl>
    <w:lvl w:ilvl="5" w:tplc="0405001B" w:tentative="1">
      <w:start w:val="1"/>
      <w:numFmt w:val="lowerRoman"/>
      <w:lvlText w:val="%6."/>
      <w:lvlJc w:val="right"/>
      <w:pPr>
        <w:tabs>
          <w:tab w:val="num" w:pos="4815"/>
        </w:tabs>
        <w:ind w:left="4815" w:hanging="180"/>
      </w:pPr>
      <w:rPr>
        <w:rFonts w:cs="Times New Roman"/>
      </w:rPr>
    </w:lvl>
    <w:lvl w:ilvl="6" w:tplc="0405000F" w:tentative="1">
      <w:start w:val="1"/>
      <w:numFmt w:val="decimal"/>
      <w:lvlText w:val="%7."/>
      <w:lvlJc w:val="left"/>
      <w:pPr>
        <w:tabs>
          <w:tab w:val="num" w:pos="5535"/>
        </w:tabs>
        <w:ind w:left="5535" w:hanging="360"/>
      </w:pPr>
      <w:rPr>
        <w:rFonts w:cs="Times New Roman"/>
      </w:rPr>
    </w:lvl>
    <w:lvl w:ilvl="7" w:tplc="04050019" w:tentative="1">
      <w:start w:val="1"/>
      <w:numFmt w:val="lowerLetter"/>
      <w:lvlText w:val="%8."/>
      <w:lvlJc w:val="left"/>
      <w:pPr>
        <w:tabs>
          <w:tab w:val="num" w:pos="6255"/>
        </w:tabs>
        <w:ind w:left="6255" w:hanging="360"/>
      </w:pPr>
      <w:rPr>
        <w:rFonts w:cs="Times New Roman"/>
      </w:rPr>
    </w:lvl>
    <w:lvl w:ilvl="8" w:tplc="0405001B" w:tentative="1">
      <w:start w:val="1"/>
      <w:numFmt w:val="lowerRoman"/>
      <w:lvlText w:val="%9."/>
      <w:lvlJc w:val="right"/>
      <w:pPr>
        <w:tabs>
          <w:tab w:val="num" w:pos="6975"/>
        </w:tabs>
        <w:ind w:left="6975" w:hanging="180"/>
      </w:pPr>
      <w:rPr>
        <w:rFonts w:cs="Times New Roman"/>
      </w:rPr>
    </w:lvl>
  </w:abstractNum>
  <w:abstractNum w:abstractNumId="43" w15:restartNumberingAfterBreak="0">
    <w:nsid w:val="1E746D14"/>
    <w:multiLevelType w:val="hybridMultilevel"/>
    <w:tmpl w:val="CDE8D6C2"/>
    <w:lvl w:ilvl="0" w:tplc="041B0003">
      <w:start w:val="1"/>
      <w:numFmt w:val="bullet"/>
      <w:lvlText w:val="o"/>
      <w:lvlJc w:val="left"/>
      <w:pPr>
        <w:ind w:left="1430" w:hanging="360"/>
      </w:pPr>
      <w:rPr>
        <w:rFonts w:ascii="Courier New" w:hAnsi="Courier New" w:cs="Courier New" w:hint="default"/>
      </w:rPr>
    </w:lvl>
    <w:lvl w:ilvl="1" w:tplc="041B0003" w:tentative="1">
      <w:start w:val="1"/>
      <w:numFmt w:val="bullet"/>
      <w:lvlText w:val="o"/>
      <w:lvlJc w:val="left"/>
      <w:pPr>
        <w:ind w:left="2150" w:hanging="360"/>
      </w:pPr>
      <w:rPr>
        <w:rFonts w:ascii="Courier New" w:hAnsi="Courier New" w:cs="Courier New" w:hint="default"/>
      </w:rPr>
    </w:lvl>
    <w:lvl w:ilvl="2" w:tplc="041B0005" w:tentative="1">
      <w:start w:val="1"/>
      <w:numFmt w:val="bullet"/>
      <w:lvlText w:val=""/>
      <w:lvlJc w:val="left"/>
      <w:pPr>
        <w:ind w:left="2870" w:hanging="360"/>
      </w:pPr>
      <w:rPr>
        <w:rFonts w:ascii="Wingdings" w:hAnsi="Wingdings" w:hint="default"/>
      </w:rPr>
    </w:lvl>
    <w:lvl w:ilvl="3" w:tplc="041B0001" w:tentative="1">
      <w:start w:val="1"/>
      <w:numFmt w:val="bullet"/>
      <w:lvlText w:val=""/>
      <w:lvlJc w:val="left"/>
      <w:pPr>
        <w:ind w:left="3590" w:hanging="360"/>
      </w:pPr>
      <w:rPr>
        <w:rFonts w:ascii="Symbol" w:hAnsi="Symbol" w:hint="default"/>
      </w:rPr>
    </w:lvl>
    <w:lvl w:ilvl="4" w:tplc="041B0003" w:tentative="1">
      <w:start w:val="1"/>
      <w:numFmt w:val="bullet"/>
      <w:lvlText w:val="o"/>
      <w:lvlJc w:val="left"/>
      <w:pPr>
        <w:ind w:left="4310" w:hanging="360"/>
      </w:pPr>
      <w:rPr>
        <w:rFonts w:ascii="Courier New" w:hAnsi="Courier New" w:cs="Courier New" w:hint="default"/>
      </w:rPr>
    </w:lvl>
    <w:lvl w:ilvl="5" w:tplc="041B0005" w:tentative="1">
      <w:start w:val="1"/>
      <w:numFmt w:val="bullet"/>
      <w:lvlText w:val=""/>
      <w:lvlJc w:val="left"/>
      <w:pPr>
        <w:ind w:left="5030" w:hanging="360"/>
      </w:pPr>
      <w:rPr>
        <w:rFonts w:ascii="Wingdings" w:hAnsi="Wingdings" w:hint="default"/>
      </w:rPr>
    </w:lvl>
    <w:lvl w:ilvl="6" w:tplc="041B0001" w:tentative="1">
      <w:start w:val="1"/>
      <w:numFmt w:val="bullet"/>
      <w:lvlText w:val=""/>
      <w:lvlJc w:val="left"/>
      <w:pPr>
        <w:ind w:left="5750" w:hanging="360"/>
      </w:pPr>
      <w:rPr>
        <w:rFonts w:ascii="Symbol" w:hAnsi="Symbol" w:hint="default"/>
      </w:rPr>
    </w:lvl>
    <w:lvl w:ilvl="7" w:tplc="041B0003" w:tentative="1">
      <w:start w:val="1"/>
      <w:numFmt w:val="bullet"/>
      <w:lvlText w:val="o"/>
      <w:lvlJc w:val="left"/>
      <w:pPr>
        <w:ind w:left="6470" w:hanging="360"/>
      </w:pPr>
      <w:rPr>
        <w:rFonts w:ascii="Courier New" w:hAnsi="Courier New" w:cs="Courier New" w:hint="default"/>
      </w:rPr>
    </w:lvl>
    <w:lvl w:ilvl="8" w:tplc="041B0005" w:tentative="1">
      <w:start w:val="1"/>
      <w:numFmt w:val="bullet"/>
      <w:lvlText w:val=""/>
      <w:lvlJc w:val="left"/>
      <w:pPr>
        <w:ind w:left="7190" w:hanging="360"/>
      </w:pPr>
      <w:rPr>
        <w:rFonts w:ascii="Wingdings" w:hAnsi="Wingdings" w:hint="default"/>
      </w:rPr>
    </w:lvl>
  </w:abstractNum>
  <w:abstractNum w:abstractNumId="44" w15:restartNumberingAfterBreak="0">
    <w:nsid w:val="1E8F7E14"/>
    <w:multiLevelType w:val="hybridMultilevel"/>
    <w:tmpl w:val="5328948A"/>
    <w:lvl w:ilvl="0" w:tplc="1CE6F14E">
      <w:start w:val="1"/>
      <w:numFmt w:val="decimal"/>
      <w:lvlText w:val="%1."/>
      <w:lvlJc w:val="left"/>
      <w:pPr>
        <w:ind w:left="720" w:hanging="360"/>
      </w:pPr>
      <w:rPr>
        <w:rFonts w:cs="Times New Roman" w:hint="default"/>
      </w:rPr>
    </w:lvl>
    <w:lvl w:ilvl="1" w:tplc="D15C4446">
      <w:start w:val="1"/>
      <w:numFmt w:val="decimal"/>
      <w:lvlText w:val="%2."/>
      <w:lvlJc w:val="center"/>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45" w15:restartNumberingAfterBreak="0">
    <w:nsid w:val="1E902331"/>
    <w:multiLevelType w:val="hybridMultilevel"/>
    <w:tmpl w:val="D39ECB58"/>
    <w:lvl w:ilvl="0" w:tplc="1E062B24">
      <w:start w:val="5"/>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7F7893"/>
    <w:multiLevelType w:val="hybridMultilevel"/>
    <w:tmpl w:val="03589BA6"/>
    <w:lvl w:ilvl="0" w:tplc="0409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2085549D"/>
    <w:multiLevelType w:val="hybridMultilevel"/>
    <w:tmpl w:val="A7E459E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48" w15:restartNumberingAfterBreak="0">
    <w:nsid w:val="20BF78FC"/>
    <w:multiLevelType w:val="hybridMultilevel"/>
    <w:tmpl w:val="6178BF2E"/>
    <w:lvl w:ilvl="0" w:tplc="D772E488">
      <w:start w:val="1"/>
      <w:numFmt w:val="lowerLetter"/>
      <w:lvlText w:val="%1)"/>
      <w:lvlJc w:val="left"/>
      <w:pPr>
        <w:tabs>
          <w:tab w:val="num" w:pos="720"/>
        </w:tabs>
        <w:ind w:left="720" w:hanging="360"/>
      </w:pPr>
      <w:rPr>
        <w:rFonts w:cs="Times New Roman" w:hint="default"/>
        <w:strike w:val="0"/>
        <w:color w:val="000000"/>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49" w15:restartNumberingAfterBreak="0">
    <w:nsid w:val="245B6724"/>
    <w:multiLevelType w:val="hybridMultilevel"/>
    <w:tmpl w:val="6E38F756"/>
    <w:lvl w:ilvl="0" w:tplc="04090017">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0" w15:restartNumberingAfterBreak="0">
    <w:nsid w:val="24F87824"/>
    <w:multiLevelType w:val="hybridMultilevel"/>
    <w:tmpl w:val="969C479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1" w15:restartNumberingAfterBreak="0">
    <w:nsid w:val="27EF286D"/>
    <w:multiLevelType w:val="hybridMultilevel"/>
    <w:tmpl w:val="71A67096"/>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52" w15:restartNumberingAfterBreak="0">
    <w:nsid w:val="282E262D"/>
    <w:multiLevelType w:val="hybridMultilevel"/>
    <w:tmpl w:val="72E8B244"/>
    <w:lvl w:ilvl="0" w:tplc="041B000F">
      <w:start w:val="1"/>
      <w:numFmt w:val="decimal"/>
      <w:lvlText w:val="%1."/>
      <w:lvlJc w:val="left"/>
      <w:pPr>
        <w:tabs>
          <w:tab w:val="num" w:pos="1068"/>
        </w:tabs>
        <w:ind w:left="1068" w:hanging="360"/>
      </w:pPr>
      <w:rPr>
        <w:rFonts w:cs="Times New Roman"/>
      </w:rPr>
    </w:lvl>
    <w:lvl w:ilvl="1" w:tplc="041B0019">
      <w:start w:val="1"/>
      <w:numFmt w:val="decimal"/>
      <w:lvlText w:val="%2."/>
      <w:lvlJc w:val="left"/>
      <w:pPr>
        <w:tabs>
          <w:tab w:val="num" w:pos="1788"/>
        </w:tabs>
        <w:ind w:left="1788" w:hanging="360"/>
      </w:pPr>
      <w:rPr>
        <w:rFonts w:cs="Times New Roman"/>
      </w:rPr>
    </w:lvl>
    <w:lvl w:ilvl="2" w:tplc="041B001B">
      <w:start w:val="1"/>
      <w:numFmt w:val="decimal"/>
      <w:lvlText w:val="%3."/>
      <w:lvlJc w:val="left"/>
      <w:pPr>
        <w:tabs>
          <w:tab w:val="num" w:pos="2508"/>
        </w:tabs>
        <w:ind w:left="2508" w:hanging="360"/>
      </w:pPr>
      <w:rPr>
        <w:rFonts w:cs="Times New Roman"/>
      </w:rPr>
    </w:lvl>
    <w:lvl w:ilvl="3" w:tplc="041B000F">
      <w:start w:val="1"/>
      <w:numFmt w:val="decimal"/>
      <w:lvlText w:val="%4."/>
      <w:lvlJc w:val="left"/>
      <w:pPr>
        <w:tabs>
          <w:tab w:val="num" w:pos="3228"/>
        </w:tabs>
        <w:ind w:left="3228" w:hanging="360"/>
      </w:pPr>
      <w:rPr>
        <w:rFonts w:cs="Times New Roman"/>
      </w:rPr>
    </w:lvl>
    <w:lvl w:ilvl="4" w:tplc="041B0019">
      <w:start w:val="1"/>
      <w:numFmt w:val="decimal"/>
      <w:lvlText w:val="%5."/>
      <w:lvlJc w:val="left"/>
      <w:pPr>
        <w:tabs>
          <w:tab w:val="num" w:pos="3948"/>
        </w:tabs>
        <w:ind w:left="3948" w:hanging="360"/>
      </w:pPr>
      <w:rPr>
        <w:rFonts w:cs="Times New Roman"/>
      </w:rPr>
    </w:lvl>
    <w:lvl w:ilvl="5" w:tplc="041B001B">
      <w:start w:val="1"/>
      <w:numFmt w:val="decimal"/>
      <w:lvlText w:val="%6."/>
      <w:lvlJc w:val="left"/>
      <w:pPr>
        <w:tabs>
          <w:tab w:val="num" w:pos="4668"/>
        </w:tabs>
        <w:ind w:left="4668" w:hanging="360"/>
      </w:pPr>
      <w:rPr>
        <w:rFonts w:cs="Times New Roman"/>
      </w:rPr>
    </w:lvl>
    <w:lvl w:ilvl="6" w:tplc="041B000F">
      <w:start w:val="1"/>
      <w:numFmt w:val="decimal"/>
      <w:lvlText w:val="%7."/>
      <w:lvlJc w:val="left"/>
      <w:pPr>
        <w:tabs>
          <w:tab w:val="num" w:pos="5388"/>
        </w:tabs>
        <w:ind w:left="5388" w:hanging="360"/>
      </w:pPr>
      <w:rPr>
        <w:rFonts w:cs="Times New Roman"/>
      </w:rPr>
    </w:lvl>
    <w:lvl w:ilvl="7" w:tplc="041B0019">
      <w:start w:val="1"/>
      <w:numFmt w:val="decimal"/>
      <w:lvlText w:val="%8."/>
      <w:lvlJc w:val="left"/>
      <w:pPr>
        <w:tabs>
          <w:tab w:val="num" w:pos="6108"/>
        </w:tabs>
        <w:ind w:left="6108" w:hanging="360"/>
      </w:pPr>
      <w:rPr>
        <w:rFonts w:cs="Times New Roman"/>
      </w:rPr>
    </w:lvl>
    <w:lvl w:ilvl="8" w:tplc="041B001B">
      <w:start w:val="1"/>
      <w:numFmt w:val="decimal"/>
      <w:lvlText w:val="%9."/>
      <w:lvlJc w:val="left"/>
      <w:pPr>
        <w:tabs>
          <w:tab w:val="num" w:pos="6828"/>
        </w:tabs>
        <w:ind w:left="6828" w:hanging="360"/>
      </w:pPr>
      <w:rPr>
        <w:rFonts w:cs="Times New Roman"/>
      </w:rPr>
    </w:lvl>
  </w:abstractNum>
  <w:abstractNum w:abstractNumId="53" w15:restartNumberingAfterBreak="0">
    <w:nsid w:val="2844615C"/>
    <w:multiLevelType w:val="hybridMultilevel"/>
    <w:tmpl w:val="A2CCFD7C"/>
    <w:lvl w:ilvl="0" w:tplc="0409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54" w15:restartNumberingAfterBreak="0">
    <w:nsid w:val="28E10570"/>
    <w:multiLevelType w:val="hybridMultilevel"/>
    <w:tmpl w:val="C018DFB8"/>
    <w:lvl w:ilvl="0" w:tplc="0405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2CE21471"/>
    <w:multiLevelType w:val="hybridMultilevel"/>
    <w:tmpl w:val="871230EA"/>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6" w15:restartNumberingAfterBreak="0">
    <w:nsid w:val="2D6D62AC"/>
    <w:multiLevelType w:val="hybridMultilevel"/>
    <w:tmpl w:val="9E6892F4"/>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7" w15:restartNumberingAfterBreak="0">
    <w:nsid w:val="2DE315AA"/>
    <w:multiLevelType w:val="hybridMultilevel"/>
    <w:tmpl w:val="9322ECD2"/>
    <w:lvl w:ilvl="0" w:tplc="041B000F">
      <w:start w:val="1"/>
      <w:numFmt w:val="decimal"/>
      <w:lvlText w:val="%1."/>
      <w:lvlJc w:val="left"/>
      <w:pPr>
        <w:ind w:left="1143" w:hanging="360"/>
      </w:pPr>
      <w:rPr>
        <w:rFonts w:cs="Times New Roman"/>
      </w:rPr>
    </w:lvl>
    <w:lvl w:ilvl="1" w:tplc="041B0019">
      <w:start w:val="1"/>
      <w:numFmt w:val="lowerLetter"/>
      <w:lvlText w:val="%2."/>
      <w:lvlJc w:val="left"/>
      <w:pPr>
        <w:ind w:left="1863" w:hanging="360"/>
      </w:pPr>
      <w:rPr>
        <w:rFonts w:cs="Times New Roman"/>
      </w:rPr>
    </w:lvl>
    <w:lvl w:ilvl="2" w:tplc="041B001B">
      <w:start w:val="1"/>
      <w:numFmt w:val="lowerRoman"/>
      <w:lvlText w:val="%3."/>
      <w:lvlJc w:val="right"/>
      <w:pPr>
        <w:ind w:left="2583" w:hanging="180"/>
      </w:pPr>
      <w:rPr>
        <w:rFonts w:cs="Times New Roman"/>
      </w:rPr>
    </w:lvl>
    <w:lvl w:ilvl="3" w:tplc="041B000F">
      <w:start w:val="1"/>
      <w:numFmt w:val="decimal"/>
      <w:lvlText w:val="%4."/>
      <w:lvlJc w:val="left"/>
      <w:pPr>
        <w:ind w:left="3303" w:hanging="360"/>
      </w:pPr>
      <w:rPr>
        <w:rFonts w:cs="Times New Roman"/>
      </w:rPr>
    </w:lvl>
    <w:lvl w:ilvl="4" w:tplc="041B0019">
      <w:start w:val="1"/>
      <w:numFmt w:val="lowerLetter"/>
      <w:lvlText w:val="%5."/>
      <w:lvlJc w:val="left"/>
      <w:pPr>
        <w:ind w:left="4023" w:hanging="360"/>
      </w:pPr>
      <w:rPr>
        <w:rFonts w:cs="Times New Roman"/>
      </w:rPr>
    </w:lvl>
    <w:lvl w:ilvl="5" w:tplc="041B001B">
      <w:start w:val="1"/>
      <w:numFmt w:val="lowerRoman"/>
      <w:lvlText w:val="%6."/>
      <w:lvlJc w:val="right"/>
      <w:pPr>
        <w:ind w:left="4743" w:hanging="180"/>
      </w:pPr>
      <w:rPr>
        <w:rFonts w:cs="Times New Roman"/>
      </w:rPr>
    </w:lvl>
    <w:lvl w:ilvl="6" w:tplc="041B000F">
      <w:start w:val="1"/>
      <w:numFmt w:val="decimal"/>
      <w:lvlText w:val="%7."/>
      <w:lvlJc w:val="left"/>
      <w:pPr>
        <w:ind w:left="5463" w:hanging="360"/>
      </w:pPr>
      <w:rPr>
        <w:rFonts w:cs="Times New Roman"/>
      </w:rPr>
    </w:lvl>
    <w:lvl w:ilvl="7" w:tplc="041B0019">
      <w:start w:val="1"/>
      <w:numFmt w:val="lowerLetter"/>
      <w:lvlText w:val="%8."/>
      <w:lvlJc w:val="left"/>
      <w:pPr>
        <w:ind w:left="6183" w:hanging="360"/>
      </w:pPr>
      <w:rPr>
        <w:rFonts w:cs="Times New Roman"/>
      </w:rPr>
    </w:lvl>
    <w:lvl w:ilvl="8" w:tplc="041B001B">
      <w:start w:val="1"/>
      <w:numFmt w:val="lowerRoman"/>
      <w:lvlText w:val="%9."/>
      <w:lvlJc w:val="right"/>
      <w:pPr>
        <w:ind w:left="6903" w:hanging="180"/>
      </w:pPr>
      <w:rPr>
        <w:rFonts w:cs="Times New Roman"/>
      </w:rPr>
    </w:lvl>
  </w:abstractNum>
  <w:abstractNum w:abstractNumId="58" w15:restartNumberingAfterBreak="0">
    <w:nsid w:val="2F452112"/>
    <w:multiLevelType w:val="hybridMultilevel"/>
    <w:tmpl w:val="061CD2D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9" w15:restartNumberingAfterBreak="0">
    <w:nsid w:val="321D4C4A"/>
    <w:multiLevelType w:val="hybridMultilevel"/>
    <w:tmpl w:val="14AED32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0" w15:restartNumberingAfterBreak="0">
    <w:nsid w:val="32312D2E"/>
    <w:multiLevelType w:val="hybridMultilevel"/>
    <w:tmpl w:val="BCEC2D90"/>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1" w15:restartNumberingAfterBreak="0">
    <w:nsid w:val="3250776D"/>
    <w:multiLevelType w:val="hybridMultilevel"/>
    <w:tmpl w:val="00000000"/>
    <w:lvl w:ilvl="0" w:tplc="FFFFFFFF">
      <w:start w:val="1"/>
      <w:numFmt w:val="lowerLetter"/>
      <w:lvlText w:val="%1)"/>
      <w:lvlJc w:val="left"/>
      <w:pPr>
        <w:ind w:left="720" w:hanging="360"/>
      </w:pPr>
      <w:rPr>
        <w:rFonts w:ascii="Times New Roman" w:hAnsi="Times New Roman" w:cs="Times New Roman"/>
        <w:b w:val="0"/>
        <w:i w:val="0"/>
        <w:strike w:val="0"/>
        <w:color w:val="000000"/>
        <w:sz w:val="24"/>
        <w:u w:val="none" w:color="000000"/>
      </w:rPr>
    </w:lvl>
    <w:lvl w:ilvl="1" w:tplc="FFFFFFFF">
      <w:start w:val="1"/>
      <w:numFmt w:val="lowerLetter"/>
      <w:lvlText w:val="%2."/>
      <w:lvlJc w:val="left"/>
      <w:pPr>
        <w:ind w:left="1440" w:hanging="360"/>
      </w:pPr>
      <w:rPr>
        <w:rFonts w:ascii="Times New Roman" w:hAnsi="Times New Roman" w:cs="Times New Roman"/>
        <w:b w:val="0"/>
        <w:i w:val="0"/>
        <w:strike w:val="0"/>
        <w:color w:val="000000"/>
        <w:sz w:val="24"/>
        <w:u w:val="none" w:color="000000"/>
      </w:rPr>
    </w:lvl>
    <w:lvl w:ilvl="2" w:tplc="FFFFFFFF">
      <w:start w:val="1"/>
      <w:numFmt w:val="lowerRoman"/>
      <w:lvlText w:val="%3."/>
      <w:lvlJc w:val="left"/>
      <w:pPr>
        <w:ind w:left="2160" w:hanging="180"/>
      </w:pPr>
      <w:rPr>
        <w:rFonts w:ascii="Times New Roman" w:hAnsi="Times New Roman" w:cs="Times New Roman"/>
        <w:b w:val="0"/>
        <w:i w:val="0"/>
        <w:strike w:val="0"/>
        <w:color w:val="000000"/>
        <w:sz w:val="24"/>
        <w:u w:val="none" w:color="000000"/>
      </w:rPr>
    </w:lvl>
    <w:lvl w:ilvl="3" w:tplc="FFFFFFFF">
      <w:start w:val="1"/>
      <w:numFmt w:val="decimal"/>
      <w:lvlText w:val="%4."/>
      <w:lvlJc w:val="left"/>
      <w:pPr>
        <w:ind w:left="2880" w:hanging="360"/>
      </w:pPr>
      <w:rPr>
        <w:rFonts w:ascii="Times New Roman" w:hAnsi="Times New Roman" w:cs="Times New Roman"/>
        <w:b w:val="0"/>
        <w:i w:val="0"/>
        <w:strike w:val="0"/>
        <w:color w:val="000000"/>
        <w:sz w:val="24"/>
        <w:u w:val="none" w:color="000000"/>
      </w:rPr>
    </w:lvl>
    <w:lvl w:ilvl="4" w:tplc="FFFFFFFF">
      <w:start w:val="1"/>
      <w:numFmt w:val="lowerLetter"/>
      <w:lvlText w:val="%5."/>
      <w:lvlJc w:val="left"/>
      <w:pPr>
        <w:ind w:left="3600" w:hanging="360"/>
      </w:pPr>
      <w:rPr>
        <w:rFonts w:ascii="Times New Roman" w:hAnsi="Times New Roman" w:cs="Times New Roman"/>
        <w:b w:val="0"/>
        <w:i w:val="0"/>
        <w:strike w:val="0"/>
        <w:color w:val="000000"/>
        <w:sz w:val="24"/>
        <w:u w:val="none" w:color="000000"/>
      </w:rPr>
    </w:lvl>
    <w:lvl w:ilvl="5" w:tplc="FFFFFFFF">
      <w:start w:val="1"/>
      <w:numFmt w:val="lowerRoman"/>
      <w:lvlText w:val="%6."/>
      <w:lvlJc w:val="left"/>
      <w:pPr>
        <w:ind w:left="4320" w:hanging="180"/>
      </w:pPr>
      <w:rPr>
        <w:rFonts w:ascii="Times New Roman" w:hAnsi="Times New Roman" w:cs="Times New Roman"/>
        <w:b w:val="0"/>
        <w:i w:val="0"/>
        <w:strike w:val="0"/>
        <w:color w:val="000000"/>
        <w:sz w:val="24"/>
        <w:u w:val="none" w:color="000000"/>
      </w:rPr>
    </w:lvl>
    <w:lvl w:ilvl="6" w:tplc="FFFFFFFF">
      <w:start w:val="1"/>
      <w:numFmt w:val="decimal"/>
      <w:lvlText w:val="%7."/>
      <w:lvlJc w:val="left"/>
      <w:pPr>
        <w:ind w:left="5040" w:hanging="360"/>
      </w:pPr>
      <w:rPr>
        <w:rFonts w:ascii="Times New Roman" w:hAnsi="Times New Roman" w:cs="Times New Roman"/>
        <w:b w:val="0"/>
        <w:i w:val="0"/>
        <w:strike w:val="0"/>
        <w:color w:val="000000"/>
        <w:sz w:val="24"/>
        <w:u w:val="none" w:color="000000"/>
      </w:rPr>
    </w:lvl>
    <w:lvl w:ilvl="7" w:tplc="FFFFFFFF">
      <w:start w:val="1"/>
      <w:numFmt w:val="lowerLetter"/>
      <w:lvlText w:val="%8."/>
      <w:lvlJc w:val="left"/>
      <w:pPr>
        <w:ind w:left="5760" w:hanging="360"/>
      </w:pPr>
      <w:rPr>
        <w:rFonts w:ascii="Times New Roman" w:hAnsi="Times New Roman" w:cs="Times New Roman"/>
        <w:b w:val="0"/>
        <w:i w:val="0"/>
        <w:strike w:val="0"/>
        <w:color w:val="000000"/>
        <w:sz w:val="24"/>
        <w:u w:val="none" w:color="000000"/>
      </w:rPr>
    </w:lvl>
    <w:lvl w:ilvl="8" w:tplc="FFFFFFFF">
      <w:start w:val="1"/>
      <w:numFmt w:val="lowerRoman"/>
      <w:lvlText w:val="%9."/>
      <w:lvlJc w:val="left"/>
      <w:pPr>
        <w:ind w:left="6480" w:hanging="180"/>
      </w:pPr>
      <w:rPr>
        <w:rFonts w:ascii="Times New Roman" w:hAnsi="Times New Roman" w:cs="Times New Roman"/>
        <w:b w:val="0"/>
        <w:i w:val="0"/>
        <w:strike w:val="0"/>
        <w:color w:val="000000"/>
        <w:sz w:val="24"/>
        <w:u w:val="none" w:color="000000"/>
      </w:rPr>
    </w:lvl>
  </w:abstractNum>
  <w:abstractNum w:abstractNumId="62" w15:restartNumberingAfterBreak="0">
    <w:nsid w:val="32616858"/>
    <w:multiLevelType w:val="hybridMultilevel"/>
    <w:tmpl w:val="1996CE2E"/>
    <w:lvl w:ilvl="0" w:tplc="4DDEA2F6">
      <w:start w:val="1"/>
      <w:numFmt w:val="decimal"/>
      <w:lvlText w:val="%1."/>
      <w:lvlJc w:val="left"/>
      <w:pPr>
        <w:ind w:left="1080" w:hanging="360"/>
      </w:pPr>
      <w:rPr>
        <w:rFonts w:cs="Times New Roman"/>
        <w:color w:val="auto"/>
      </w:rPr>
    </w:lvl>
    <w:lvl w:ilvl="1" w:tplc="041B0019">
      <w:start w:val="1"/>
      <w:numFmt w:val="lowerLetter"/>
      <w:lvlText w:val="%2."/>
      <w:lvlJc w:val="left"/>
      <w:pPr>
        <w:ind w:left="1800" w:hanging="360"/>
      </w:pPr>
      <w:rPr>
        <w:rFonts w:cs="Times New Roman"/>
      </w:rPr>
    </w:lvl>
    <w:lvl w:ilvl="2" w:tplc="041B001B">
      <w:start w:val="1"/>
      <w:numFmt w:val="lowerRoman"/>
      <w:lvlText w:val="%3."/>
      <w:lvlJc w:val="right"/>
      <w:pPr>
        <w:ind w:left="2520" w:hanging="180"/>
      </w:pPr>
      <w:rPr>
        <w:rFonts w:cs="Times New Roman"/>
      </w:rPr>
    </w:lvl>
    <w:lvl w:ilvl="3" w:tplc="041B000F">
      <w:start w:val="1"/>
      <w:numFmt w:val="decimal"/>
      <w:lvlText w:val="%4."/>
      <w:lvlJc w:val="left"/>
      <w:pPr>
        <w:ind w:left="3240" w:hanging="360"/>
      </w:pPr>
      <w:rPr>
        <w:rFonts w:cs="Times New Roman"/>
      </w:rPr>
    </w:lvl>
    <w:lvl w:ilvl="4" w:tplc="041B0019">
      <w:start w:val="1"/>
      <w:numFmt w:val="lowerLetter"/>
      <w:lvlText w:val="%5."/>
      <w:lvlJc w:val="left"/>
      <w:pPr>
        <w:ind w:left="3960" w:hanging="360"/>
      </w:pPr>
      <w:rPr>
        <w:rFonts w:cs="Times New Roman"/>
      </w:rPr>
    </w:lvl>
    <w:lvl w:ilvl="5" w:tplc="041B001B">
      <w:start w:val="1"/>
      <w:numFmt w:val="lowerRoman"/>
      <w:lvlText w:val="%6."/>
      <w:lvlJc w:val="right"/>
      <w:pPr>
        <w:ind w:left="4680" w:hanging="180"/>
      </w:pPr>
      <w:rPr>
        <w:rFonts w:cs="Times New Roman"/>
      </w:rPr>
    </w:lvl>
    <w:lvl w:ilvl="6" w:tplc="041B000F">
      <w:start w:val="1"/>
      <w:numFmt w:val="decimal"/>
      <w:lvlText w:val="%7."/>
      <w:lvlJc w:val="left"/>
      <w:pPr>
        <w:ind w:left="5400" w:hanging="360"/>
      </w:pPr>
      <w:rPr>
        <w:rFonts w:cs="Times New Roman"/>
      </w:rPr>
    </w:lvl>
    <w:lvl w:ilvl="7" w:tplc="041B0019">
      <w:start w:val="1"/>
      <w:numFmt w:val="lowerLetter"/>
      <w:lvlText w:val="%8."/>
      <w:lvlJc w:val="left"/>
      <w:pPr>
        <w:ind w:left="6120" w:hanging="360"/>
      </w:pPr>
      <w:rPr>
        <w:rFonts w:cs="Times New Roman"/>
      </w:rPr>
    </w:lvl>
    <w:lvl w:ilvl="8" w:tplc="041B001B">
      <w:start w:val="1"/>
      <w:numFmt w:val="lowerRoman"/>
      <w:lvlText w:val="%9."/>
      <w:lvlJc w:val="right"/>
      <w:pPr>
        <w:ind w:left="6840" w:hanging="180"/>
      </w:pPr>
      <w:rPr>
        <w:rFonts w:cs="Times New Roman"/>
      </w:rPr>
    </w:lvl>
  </w:abstractNum>
  <w:abstractNum w:abstractNumId="63" w15:restartNumberingAfterBreak="0">
    <w:nsid w:val="3397566A"/>
    <w:multiLevelType w:val="hybridMultilevel"/>
    <w:tmpl w:val="CE681D7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64" w15:restartNumberingAfterBreak="0">
    <w:nsid w:val="33E74F9D"/>
    <w:multiLevelType w:val="hybridMultilevel"/>
    <w:tmpl w:val="26504ABA"/>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65" w15:restartNumberingAfterBreak="0">
    <w:nsid w:val="34864219"/>
    <w:multiLevelType w:val="hybridMultilevel"/>
    <w:tmpl w:val="0652B2EE"/>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6" w15:restartNumberingAfterBreak="0">
    <w:nsid w:val="380D7DED"/>
    <w:multiLevelType w:val="hybridMultilevel"/>
    <w:tmpl w:val="66E03264"/>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67" w15:restartNumberingAfterBreak="0">
    <w:nsid w:val="385A178B"/>
    <w:multiLevelType w:val="hybridMultilevel"/>
    <w:tmpl w:val="88CEB0AE"/>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68" w15:restartNumberingAfterBreak="0">
    <w:nsid w:val="38C06A63"/>
    <w:multiLevelType w:val="hybridMultilevel"/>
    <w:tmpl w:val="658E6EB6"/>
    <w:lvl w:ilvl="0" w:tplc="D33E78B0">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69" w15:restartNumberingAfterBreak="0">
    <w:nsid w:val="3AF33476"/>
    <w:multiLevelType w:val="hybridMultilevel"/>
    <w:tmpl w:val="F3F6D290"/>
    <w:lvl w:ilvl="0" w:tplc="BF0A7408">
      <w:start w:val="1"/>
      <w:numFmt w:val="lowerLetter"/>
      <w:lvlText w:val="%1)"/>
      <w:lvlJc w:val="left"/>
      <w:pPr>
        <w:tabs>
          <w:tab w:val="num" w:pos="720"/>
        </w:tabs>
        <w:ind w:left="720" w:hanging="360"/>
      </w:pPr>
      <w:rPr>
        <w:rFonts w:cs="Times New Roman" w:hint="default"/>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70" w15:restartNumberingAfterBreak="0">
    <w:nsid w:val="3CC21BD6"/>
    <w:multiLevelType w:val="hybridMultilevel"/>
    <w:tmpl w:val="1BAAB91C"/>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1" w15:restartNumberingAfterBreak="0">
    <w:nsid w:val="3E910425"/>
    <w:multiLevelType w:val="hybridMultilevel"/>
    <w:tmpl w:val="438CE112"/>
    <w:lvl w:ilvl="0" w:tplc="041B000F">
      <w:start w:val="1"/>
      <w:numFmt w:val="decimal"/>
      <w:lvlText w:val="%1."/>
      <w:lvlJc w:val="left"/>
      <w:pPr>
        <w:ind w:left="1426" w:hanging="360"/>
      </w:pPr>
      <w:rPr>
        <w:rFonts w:cs="Times New Roman"/>
      </w:rPr>
    </w:lvl>
    <w:lvl w:ilvl="1" w:tplc="041B0019" w:tentative="1">
      <w:start w:val="1"/>
      <w:numFmt w:val="lowerLetter"/>
      <w:lvlText w:val="%2."/>
      <w:lvlJc w:val="left"/>
      <w:pPr>
        <w:ind w:left="2146" w:hanging="360"/>
      </w:pPr>
      <w:rPr>
        <w:rFonts w:cs="Times New Roman"/>
      </w:rPr>
    </w:lvl>
    <w:lvl w:ilvl="2" w:tplc="041B001B" w:tentative="1">
      <w:start w:val="1"/>
      <w:numFmt w:val="lowerRoman"/>
      <w:lvlText w:val="%3."/>
      <w:lvlJc w:val="right"/>
      <w:pPr>
        <w:ind w:left="2866" w:hanging="180"/>
      </w:pPr>
      <w:rPr>
        <w:rFonts w:cs="Times New Roman"/>
      </w:rPr>
    </w:lvl>
    <w:lvl w:ilvl="3" w:tplc="041B000F" w:tentative="1">
      <w:start w:val="1"/>
      <w:numFmt w:val="decimal"/>
      <w:lvlText w:val="%4."/>
      <w:lvlJc w:val="left"/>
      <w:pPr>
        <w:ind w:left="3586" w:hanging="360"/>
      </w:pPr>
      <w:rPr>
        <w:rFonts w:cs="Times New Roman"/>
      </w:rPr>
    </w:lvl>
    <w:lvl w:ilvl="4" w:tplc="041B0019" w:tentative="1">
      <w:start w:val="1"/>
      <w:numFmt w:val="lowerLetter"/>
      <w:lvlText w:val="%5."/>
      <w:lvlJc w:val="left"/>
      <w:pPr>
        <w:ind w:left="4306" w:hanging="360"/>
      </w:pPr>
      <w:rPr>
        <w:rFonts w:cs="Times New Roman"/>
      </w:rPr>
    </w:lvl>
    <w:lvl w:ilvl="5" w:tplc="041B001B" w:tentative="1">
      <w:start w:val="1"/>
      <w:numFmt w:val="lowerRoman"/>
      <w:lvlText w:val="%6."/>
      <w:lvlJc w:val="right"/>
      <w:pPr>
        <w:ind w:left="5026" w:hanging="180"/>
      </w:pPr>
      <w:rPr>
        <w:rFonts w:cs="Times New Roman"/>
      </w:rPr>
    </w:lvl>
    <w:lvl w:ilvl="6" w:tplc="041B000F" w:tentative="1">
      <w:start w:val="1"/>
      <w:numFmt w:val="decimal"/>
      <w:lvlText w:val="%7."/>
      <w:lvlJc w:val="left"/>
      <w:pPr>
        <w:ind w:left="5746" w:hanging="360"/>
      </w:pPr>
      <w:rPr>
        <w:rFonts w:cs="Times New Roman"/>
      </w:rPr>
    </w:lvl>
    <w:lvl w:ilvl="7" w:tplc="041B0019" w:tentative="1">
      <w:start w:val="1"/>
      <w:numFmt w:val="lowerLetter"/>
      <w:lvlText w:val="%8."/>
      <w:lvlJc w:val="left"/>
      <w:pPr>
        <w:ind w:left="6466" w:hanging="360"/>
      </w:pPr>
      <w:rPr>
        <w:rFonts w:cs="Times New Roman"/>
      </w:rPr>
    </w:lvl>
    <w:lvl w:ilvl="8" w:tplc="041B001B" w:tentative="1">
      <w:start w:val="1"/>
      <w:numFmt w:val="lowerRoman"/>
      <w:lvlText w:val="%9."/>
      <w:lvlJc w:val="right"/>
      <w:pPr>
        <w:ind w:left="7186" w:hanging="180"/>
      </w:pPr>
      <w:rPr>
        <w:rFonts w:cs="Times New Roman"/>
      </w:rPr>
    </w:lvl>
  </w:abstractNum>
  <w:abstractNum w:abstractNumId="72" w15:restartNumberingAfterBreak="0">
    <w:nsid w:val="3EC53BEC"/>
    <w:multiLevelType w:val="hybridMultilevel"/>
    <w:tmpl w:val="10A26F26"/>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3" w15:restartNumberingAfterBreak="0">
    <w:nsid w:val="3F1B3449"/>
    <w:multiLevelType w:val="hybridMultilevel"/>
    <w:tmpl w:val="0FAC9E74"/>
    <w:name w:val="WWNum8323"/>
    <w:lvl w:ilvl="0" w:tplc="099026D8">
      <w:start w:val="1"/>
      <w:numFmt w:val="decimal"/>
      <w:lvlText w:val="%1."/>
      <w:lvlJc w:val="left"/>
      <w:pPr>
        <w:ind w:left="144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4" w15:restartNumberingAfterBreak="0">
    <w:nsid w:val="3F222EB3"/>
    <w:multiLevelType w:val="hybridMultilevel"/>
    <w:tmpl w:val="59B04742"/>
    <w:lvl w:ilvl="0" w:tplc="041B000F">
      <w:start w:val="1"/>
      <w:numFmt w:val="decimal"/>
      <w:lvlText w:val="%1."/>
      <w:lvlJc w:val="left"/>
      <w:pPr>
        <w:ind w:left="1776" w:hanging="360"/>
      </w:pPr>
      <w:rPr>
        <w:rFonts w:cs="Times New Roman"/>
      </w:rPr>
    </w:lvl>
    <w:lvl w:ilvl="1" w:tplc="3BB84C48">
      <w:start w:val="1"/>
      <w:numFmt w:val="lowerLetter"/>
      <w:lvlText w:val="%2)"/>
      <w:lvlJc w:val="left"/>
      <w:pPr>
        <w:ind w:left="2496" w:hanging="360"/>
      </w:pPr>
      <w:rPr>
        <w:rFonts w:ascii="Arial" w:eastAsia="Times New Roman" w:hAnsi="Arial" w:cs="Arial" w:hint="default"/>
      </w:rPr>
    </w:lvl>
    <w:lvl w:ilvl="2" w:tplc="041B001B" w:tentative="1">
      <w:start w:val="1"/>
      <w:numFmt w:val="lowerRoman"/>
      <w:lvlText w:val="%3."/>
      <w:lvlJc w:val="right"/>
      <w:pPr>
        <w:ind w:left="3216" w:hanging="180"/>
      </w:pPr>
      <w:rPr>
        <w:rFonts w:cs="Times New Roman"/>
      </w:rPr>
    </w:lvl>
    <w:lvl w:ilvl="3" w:tplc="041B000F" w:tentative="1">
      <w:start w:val="1"/>
      <w:numFmt w:val="decimal"/>
      <w:lvlText w:val="%4."/>
      <w:lvlJc w:val="left"/>
      <w:pPr>
        <w:ind w:left="3936" w:hanging="360"/>
      </w:pPr>
      <w:rPr>
        <w:rFonts w:cs="Times New Roman"/>
      </w:rPr>
    </w:lvl>
    <w:lvl w:ilvl="4" w:tplc="041B0019" w:tentative="1">
      <w:start w:val="1"/>
      <w:numFmt w:val="lowerLetter"/>
      <w:lvlText w:val="%5."/>
      <w:lvlJc w:val="left"/>
      <w:pPr>
        <w:ind w:left="4656" w:hanging="360"/>
      </w:pPr>
      <w:rPr>
        <w:rFonts w:cs="Times New Roman"/>
      </w:rPr>
    </w:lvl>
    <w:lvl w:ilvl="5" w:tplc="041B001B" w:tentative="1">
      <w:start w:val="1"/>
      <w:numFmt w:val="lowerRoman"/>
      <w:lvlText w:val="%6."/>
      <w:lvlJc w:val="right"/>
      <w:pPr>
        <w:ind w:left="5376" w:hanging="180"/>
      </w:pPr>
      <w:rPr>
        <w:rFonts w:cs="Times New Roman"/>
      </w:rPr>
    </w:lvl>
    <w:lvl w:ilvl="6" w:tplc="041B000F" w:tentative="1">
      <w:start w:val="1"/>
      <w:numFmt w:val="decimal"/>
      <w:lvlText w:val="%7."/>
      <w:lvlJc w:val="left"/>
      <w:pPr>
        <w:ind w:left="6096" w:hanging="360"/>
      </w:pPr>
      <w:rPr>
        <w:rFonts w:cs="Times New Roman"/>
      </w:rPr>
    </w:lvl>
    <w:lvl w:ilvl="7" w:tplc="041B0019" w:tentative="1">
      <w:start w:val="1"/>
      <w:numFmt w:val="lowerLetter"/>
      <w:lvlText w:val="%8."/>
      <w:lvlJc w:val="left"/>
      <w:pPr>
        <w:ind w:left="6816" w:hanging="360"/>
      </w:pPr>
      <w:rPr>
        <w:rFonts w:cs="Times New Roman"/>
      </w:rPr>
    </w:lvl>
    <w:lvl w:ilvl="8" w:tplc="041B001B" w:tentative="1">
      <w:start w:val="1"/>
      <w:numFmt w:val="lowerRoman"/>
      <w:lvlText w:val="%9."/>
      <w:lvlJc w:val="right"/>
      <w:pPr>
        <w:ind w:left="7536" w:hanging="180"/>
      </w:pPr>
      <w:rPr>
        <w:rFonts w:cs="Times New Roman"/>
      </w:rPr>
    </w:lvl>
  </w:abstractNum>
  <w:abstractNum w:abstractNumId="75" w15:restartNumberingAfterBreak="0">
    <w:nsid w:val="3F40374A"/>
    <w:multiLevelType w:val="hybridMultilevel"/>
    <w:tmpl w:val="E0F6FD24"/>
    <w:lvl w:ilvl="0" w:tplc="04090017">
      <w:start w:val="1"/>
      <w:numFmt w:val="lowerLetter"/>
      <w:lvlText w:val="%1)"/>
      <w:lvlJc w:val="left"/>
      <w:pPr>
        <w:tabs>
          <w:tab w:val="num" w:pos="720"/>
        </w:tabs>
        <w:ind w:left="720" w:hanging="360"/>
      </w:pPr>
      <w:rPr>
        <w:rFonts w:cs="Times New Roman"/>
      </w:rPr>
    </w:lvl>
    <w:lvl w:ilvl="1" w:tplc="0409000F">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76" w15:restartNumberingAfterBreak="0">
    <w:nsid w:val="3F804EA5"/>
    <w:multiLevelType w:val="hybridMultilevel"/>
    <w:tmpl w:val="8E40AEE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7" w15:restartNumberingAfterBreak="0">
    <w:nsid w:val="3FE5735D"/>
    <w:multiLevelType w:val="hybridMultilevel"/>
    <w:tmpl w:val="FCE43F90"/>
    <w:lvl w:ilvl="0" w:tplc="4A7ABC92">
      <w:start w:val="1"/>
      <w:numFmt w:val="lowerLetter"/>
      <w:lvlText w:val="%1)"/>
      <w:lvlJc w:val="left"/>
      <w:pPr>
        <w:tabs>
          <w:tab w:val="num" w:pos="720"/>
        </w:tabs>
        <w:ind w:left="720" w:hanging="360"/>
      </w:pPr>
      <w:rPr>
        <w:rFonts w:cs="Times New Roman"/>
        <w:strike w:val="0"/>
        <w:dstrike w:val="0"/>
        <w:color w:val="auto"/>
        <w:u w:val="none"/>
        <w:effect w:val="none"/>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78" w15:restartNumberingAfterBreak="0">
    <w:nsid w:val="40007F98"/>
    <w:multiLevelType w:val="hybridMultilevel"/>
    <w:tmpl w:val="5940849E"/>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9" w15:restartNumberingAfterBreak="0">
    <w:nsid w:val="4031600D"/>
    <w:multiLevelType w:val="hybridMultilevel"/>
    <w:tmpl w:val="53C66284"/>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80" w15:restartNumberingAfterBreak="0">
    <w:nsid w:val="41AD526D"/>
    <w:multiLevelType w:val="hybridMultilevel"/>
    <w:tmpl w:val="0C987296"/>
    <w:lvl w:ilvl="0" w:tplc="041B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425C7F28"/>
    <w:multiLevelType w:val="hybridMultilevel"/>
    <w:tmpl w:val="F38AA538"/>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82" w15:restartNumberingAfterBreak="0">
    <w:nsid w:val="426D04E2"/>
    <w:multiLevelType w:val="hybridMultilevel"/>
    <w:tmpl w:val="E0B06418"/>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83" w15:restartNumberingAfterBreak="0">
    <w:nsid w:val="435146F4"/>
    <w:multiLevelType w:val="hybridMultilevel"/>
    <w:tmpl w:val="A0F08258"/>
    <w:lvl w:ilvl="0" w:tplc="041B0001">
      <w:start w:val="1"/>
      <w:numFmt w:val="bullet"/>
      <w:lvlText w:val=""/>
      <w:lvlJc w:val="left"/>
      <w:pPr>
        <w:ind w:left="1037" w:hanging="360"/>
      </w:pPr>
      <w:rPr>
        <w:rFonts w:ascii="Symbol" w:hAnsi="Symbol" w:hint="default"/>
      </w:rPr>
    </w:lvl>
    <w:lvl w:ilvl="1" w:tplc="041B0003" w:tentative="1">
      <w:start w:val="1"/>
      <w:numFmt w:val="bullet"/>
      <w:lvlText w:val="o"/>
      <w:lvlJc w:val="left"/>
      <w:pPr>
        <w:ind w:left="1757" w:hanging="360"/>
      </w:pPr>
      <w:rPr>
        <w:rFonts w:ascii="Courier New" w:hAnsi="Courier New" w:cs="Courier New" w:hint="default"/>
      </w:rPr>
    </w:lvl>
    <w:lvl w:ilvl="2" w:tplc="041B0005" w:tentative="1">
      <w:start w:val="1"/>
      <w:numFmt w:val="bullet"/>
      <w:lvlText w:val=""/>
      <w:lvlJc w:val="left"/>
      <w:pPr>
        <w:ind w:left="2477" w:hanging="360"/>
      </w:pPr>
      <w:rPr>
        <w:rFonts w:ascii="Wingdings" w:hAnsi="Wingdings" w:hint="default"/>
      </w:rPr>
    </w:lvl>
    <w:lvl w:ilvl="3" w:tplc="041B0001" w:tentative="1">
      <w:start w:val="1"/>
      <w:numFmt w:val="bullet"/>
      <w:lvlText w:val=""/>
      <w:lvlJc w:val="left"/>
      <w:pPr>
        <w:ind w:left="3197" w:hanging="360"/>
      </w:pPr>
      <w:rPr>
        <w:rFonts w:ascii="Symbol" w:hAnsi="Symbol" w:hint="default"/>
      </w:rPr>
    </w:lvl>
    <w:lvl w:ilvl="4" w:tplc="041B0003" w:tentative="1">
      <w:start w:val="1"/>
      <w:numFmt w:val="bullet"/>
      <w:lvlText w:val="o"/>
      <w:lvlJc w:val="left"/>
      <w:pPr>
        <w:ind w:left="3917" w:hanging="360"/>
      </w:pPr>
      <w:rPr>
        <w:rFonts w:ascii="Courier New" w:hAnsi="Courier New" w:cs="Courier New" w:hint="default"/>
      </w:rPr>
    </w:lvl>
    <w:lvl w:ilvl="5" w:tplc="041B0005" w:tentative="1">
      <w:start w:val="1"/>
      <w:numFmt w:val="bullet"/>
      <w:lvlText w:val=""/>
      <w:lvlJc w:val="left"/>
      <w:pPr>
        <w:ind w:left="4637" w:hanging="360"/>
      </w:pPr>
      <w:rPr>
        <w:rFonts w:ascii="Wingdings" w:hAnsi="Wingdings" w:hint="default"/>
      </w:rPr>
    </w:lvl>
    <w:lvl w:ilvl="6" w:tplc="041B0001" w:tentative="1">
      <w:start w:val="1"/>
      <w:numFmt w:val="bullet"/>
      <w:lvlText w:val=""/>
      <w:lvlJc w:val="left"/>
      <w:pPr>
        <w:ind w:left="5357" w:hanging="360"/>
      </w:pPr>
      <w:rPr>
        <w:rFonts w:ascii="Symbol" w:hAnsi="Symbol" w:hint="default"/>
      </w:rPr>
    </w:lvl>
    <w:lvl w:ilvl="7" w:tplc="041B0003" w:tentative="1">
      <w:start w:val="1"/>
      <w:numFmt w:val="bullet"/>
      <w:lvlText w:val="o"/>
      <w:lvlJc w:val="left"/>
      <w:pPr>
        <w:ind w:left="6077" w:hanging="360"/>
      </w:pPr>
      <w:rPr>
        <w:rFonts w:ascii="Courier New" w:hAnsi="Courier New" w:cs="Courier New" w:hint="default"/>
      </w:rPr>
    </w:lvl>
    <w:lvl w:ilvl="8" w:tplc="041B0005" w:tentative="1">
      <w:start w:val="1"/>
      <w:numFmt w:val="bullet"/>
      <w:lvlText w:val=""/>
      <w:lvlJc w:val="left"/>
      <w:pPr>
        <w:ind w:left="6797" w:hanging="360"/>
      </w:pPr>
      <w:rPr>
        <w:rFonts w:ascii="Wingdings" w:hAnsi="Wingdings" w:hint="default"/>
      </w:rPr>
    </w:lvl>
  </w:abstractNum>
  <w:abstractNum w:abstractNumId="84" w15:restartNumberingAfterBreak="0">
    <w:nsid w:val="436D7C11"/>
    <w:multiLevelType w:val="hybridMultilevel"/>
    <w:tmpl w:val="6C1CED00"/>
    <w:lvl w:ilvl="0" w:tplc="041B0017">
      <w:start w:val="1"/>
      <w:numFmt w:val="lowerLetter"/>
      <w:lvlText w:val="%1)"/>
      <w:lvlJc w:val="left"/>
      <w:pPr>
        <w:ind w:left="1428" w:hanging="360"/>
      </w:pPr>
      <w:rPr>
        <w:rFonts w:cs="Times New Roman"/>
      </w:rPr>
    </w:lvl>
    <w:lvl w:ilvl="1" w:tplc="041B0019" w:tentative="1">
      <w:start w:val="1"/>
      <w:numFmt w:val="lowerLetter"/>
      <w:lvlText w:val="%2."/>
      <w:lvlJc w:val="left"/>
      <w:pPr>
        <w:ind w:left="2148" w:hanging="360"/>
      </w:pPr>
      <w:rPr>
        <w:rFonts w:cs="Times New Roman"/>
      </w:rPr>
    </w:lvl>
    <w:lvl w:ilvl="2" w:tplc="041B001B" w:tentative="1">
      <w:start w:val="1"/>
      <w:numFmt w:val="lowerRoman"/>
      <w:lvlText w:val="%3."/>
      <w:lvlJc w:val="right"/>
      <w:pPr>
        <w:ind w:left="2868" w:hanging="180"/>
      </w:pPr>
      <w:rPr>
        <w:rFonts w:cs="Times New Roman"/>
      </w:rPr>
    </w:lvl>
    <w:lvl w:ilvl="3" w:tplc="041B000F" w:tentative="1">
      <w:start w:val="1"/>
      <w:numFmt w:val="decimal"/>
      <w:lvlText w:val="%4."/>
      <w:lvlJc w:val="left"/>
      <w:pPr>
        <w:ind w:left="3588" w:hanging="360"/>
      </w:pPr>
      <w:rPr>
        <w:rFonts w:cs="Times New Roman"/>
      </w:rPr>
    </w:lvl>
    <w:lvl w:ilvl="4" w:tplc="041B0019" w:tentative="1">
      <w:start w:val="1"/>
      <w:numFmt w:val="lowerLetter"/>
      <w:lvlText w:val="%5."/>
      <w:lvlJc w:val="left"/>
      <w:pPr>
        <w:ind w:left="4308" w:hanging="360"/>
      </w:pPr>
      <w:rPr>
        <w:rFonts w:cs="Times New Roman"/>
      </w:rPr>
    </w:lvl>
    <w:lvl w:ilvl="5" w:tplc="041B001B" w:tentative="1">
      <w:start w:val="1"/>
      <w:numFmt w:val="lowerRoman"/>
      <w:lvlText w:val="%6."/>
      <w:lvlJc w:val="right"/>
      <w:pPr>
        <w:ind w:left="5028" w:hanging="180"/>
      </w:pPr>
      <w:rPr>
        <w:rFonts w:cs="Times New Roman"/>
      </w:rPr>
    </w:lvl>
    <w:lvl w:ilvl="6" w:tplc="041B000F" w:tentative="1">
      <w:start w:val="1"/>
      <w:numFmt w:val="decimal"/>
      <w:lvlText w:val="%7."/>
      <w:lvlJc w:val="left"/>
      <w:pPr>
        <w:ind w:left="5748" w:hanging="360"/>
      </w:pPr>
      <w:rPr>
        <w:rFonts w:cs="Times New Roman"/>
      </w:rPr>
    </w:lvl>
    <w:lvl w:ilvl="7" w:tplc="041B0019" w:tentative="1">
      <w:start w:val="1"/>
      <w:numFmt w:val="lowerLetter"/>
      <w:lvlText w:val="%8."/>
      <w:lvlJc w:val="left"/>
      <w:pPr>
        <w:ind w:left="6468" w:hanging="360"/>
      </w:pPr>
      <w:rPr>
        <w:rFonts w:cs="Times New Roman"/>
      </w:rPr>
    </w:lvl>
    <w:lvl w:ilvl="8" w:tplc="041B001B" w:tentative="1">
      <w:start w:val="1"/>
      <w:numFmt w:val="lowerRoman"/>
      <w:lvlText w:val="%9."/>
      <w:lvlJc w:val="right"/>
      <w:pPr>
        <w:ind w:left="7188" w:hanging="180"/>
      </w:pPr>
      <w:rPr>
        <w:rFonts w:cs="Times New Roman"/>
      </w:rPr>
    </w:lvl>
  </w:abstractNum>
  <w:abstractNum w:abstractNumId="85" w15:restartNumberingAfterBreak="0">
    <w:nsid w:val="43F959CC"/>
    <w:multiLevelType w:val="hybridMultilevel"/>
    <w:tmpl w:val="7E761C98"/>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86" w15:restartNumberingAfterBreak="0">
    <w:nsid w:val="4551734F"/>
    <w:multiLevelType w:val="hybridMultilevel"/>
    <w:tmpl w:val="AB22E15E"/>
    <w:lvl w:ilvl="0" w:tplc="54303EBE">
      <w:start w:val="1"/>
      <w:numFmt w:val="lowerLetter"/>
      <w:lvlText w:val="%1)"/>
      <w:lvlJc w:val="left"/>
      <w:pPr>
        <w:tabs>
          <w:tab w:val="num" w:pos="720"/>
        </w:tabs>
        <w:ind w:left="720" w:hanging="360"/>
      </w:pPr>
      <w:rPr>
        <w:rFonts w:cs="Times New Roman"/>
        <w:strike w:val="0"/>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87" w15:restartNumberingAfterBreak="0">
    <w:nsid w:val="46486CC9"/>
    <w:multiLevelType w:val="hybridMultilevel"/>
    <w:tmpl w:val="8C5E6CAA"/>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88" w15:restartNumberingAfterBreak="0">
    <w:nsid w:val="47402ECE"/>
    <w:multiLevelType w:val="hybridMultilevel"/>
    <w:tmpl w:val="C4102774"/>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9" w15:restartNumberingAfterBreak="0">
    <w:nsid w:val="496B5C2F"/>
    <w:multiLevelType w:val="hybridMultilevel"/>
    <w:tmpl w:val="B5980530"/>
    <w:lvl w:ilvl="0" w:tplc="041B0017">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90" w15:restartNumberingAfterBreak="0">
    <w:nsid w:val="49BF5793"/>
    <w:multiLevelType w:val="hybridMultilevel"/>
    <w:tmpl w:val="69C8BE0C"/>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91" w15:restartNumberingAfterBreak="0">
    <w:nsid w:val="4A0D28F4"/>
    <w:multiLevelType w:val="hybridMultilevel"/>
    <w:tmpl w:val="57D4F9EE"/>
    <w:lvl w:ilvl="0" w:tplc="D15C4446">
      <w:start w:val="1"/>
      <w:numFmt w:val="decimal"/>
      <w:lvlText w:val="%1."/>
      <w:lvlJc w:val="center"/>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92" w15:restartNumberingAfterBreak="0">
    <w:nsid w:val="4C150BAD"/>
    <w:multiLevelType w:val="hybridMultilevel"/>
    <w:tmpl w:val="2630857C"/>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93" w15:restartNumberingAfterBreak="0">
    <w:nsid w:val="4C324D4B"/>
    <w:multiLevelType w:val="hybridMultilevel"/>
    <w:tmpl w:val="E7E876A2"/>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94" w15:restartNumberingAfterBreak="0">
    <w:nsid w:val="4C4C40F8"/>
    <w:multiLevelType w:val="hybridMultilevel"/>
    <w:tmpl w:val="0000443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95" w15:restartNumberingAfterBreak="0">
    <w:nsid w:val="4DBD1DF6"/>
    <w:multiLevelType w:val="hybridMultilevel"/>
    <w:tmpl w:val="532041F6"/>
    <w:lvl w:ilvl="0" w:tplc="041B0017">
      <w:start w:val="1"/>
      <w:numFmt w:val="lowerLetter"/>
      <w:lvlText w:val="%1)"/>
      <w:lvlJc w:val="left"/>
      <w:pPr>
        <w:tabs>
          <w:tab w:val="num" w:pos="1068"/>
        </w:tabs>
        <w:ind w:left="1068"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6" w15:restartNumberingAfterBreak="0">
    <w:nsid w:val="4F471AEE"/>
    <w:multiLevelType w:val="hybridMultilevel"/>
    <w:tmpl w:val="A2E6BB98"/>
    <w:lvl w:ilvl="0" w:tplc="611E48FE">
      <w:start w:val="2"/>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7" w15:restartNumberingAfterBreak="0">
    <w:nsid w:val="515F6B37"/>
    <w:multiLevelType w:val="hybridMultilevel"/>
    <w:tmpl w:val="9EE2E82C"/>
    <w:lvl w:ilvl="0" w:tplc="9B8860F2">
      <w:start w:val="1"/>
      <w:numFmt w:val="lowerLetter"/>
      <w:lvlText w:val="%1)"/>
      <w:lvlJc w:val="left"/>
      <w:pPr>
        <w:ind w:left="1428" w:hanging="360"/>
      </w:pPr>
      <w:rPr>
        <w:rFonts w:cs="Times New Roman"/>
      </w:rPr>
    </w:lvl>
    <w:lvl w:ilvl="1" w:tplc="041B0019" w:tentative="1">
      <w:start w:val="1"/>
      <w:numFmt w:val="lowerLetter"/>
      <w:lvlText w:val="%2."/>
      <w:lvlJc w:val="left"/>
      <w:pPr>
        <w:ind w:left="2148" w:hanging="360"/>
      </w:pPr>
      <w:rPr>
        <w:rFonts w:cs="Times New Roman"/>
      </w:rPr>
    </w:lvl>
    <w:lvl w:ilvl="2" w:tplc="041B001B" w:tentative="1">
      <w:start w:val="1"/>
      <w:numFmt w:val="lowerRoman"/>
      <w:lvlText w:val="%3."/>
      <w:lvlJc w:val="right"/>
      <w:pPr>
        <w:ind w:left="2868" w:hanging="180"/>
      </w:pPr>
      <w:rPr>
        <w:rFonts w:cs="Times New Roman"/>
      </w:rPr>
    </w:lvl>
    <w:lvl w:ilvl="3" w:tplc="041B000F" w:tentative="1">
      <w:start w:val="1"/>
      <w:numFmt w:val="decimal"/>
      <w:lvlText w:val="%4."/>
      <w:lvlJc w:val="left"/>
      <w:pPr>
        <w:ind w:left="3588" w:hanging="360"/>
      </w:pPr>
      <w:rPr>
        <w:rFonts w:cs="Times New Roman"/>
      </w:rPr>
    </w:lvl>
    <w:lvl w:ilvl="4" w:tplc="041B0019" w:tentative="1">
      <w:start w:val="1"/>
      <w:numFmt w:val="lowerLetter"/>
      <w:lvlText w:val="%5."/>
      <w:lvlJc w:val="left"/>
      <w:pPr>
        <w:ind w:left="4308" w:hanging="360"/>
      </w:pPr>
      <w:rPr>
        <w:rFonts w:cs="Times New Roman"/>
      </w:rPr>
    </w:lvl>
    <w:lvl w:ilvl="5" w:tplc="041B001B" w:tentative="1">
      <w:start w:val="1"/>
      <w:numFmt w:val="lowerRoman"/>
      <w:lvlText w:val="%6."/>
      <w:lvlJc w:val="right"/>
      <w:pPr>
        <w:ind w:left="5028" w:hanging="180"/>
      </w:pPr>
      <w:rPr>
        <w:rFonts w:cs="Times New Roman"/>
      </w:rPr>
    </w:lvl>
    <w:lvl w:ilvl="6" w:tplc="041B000F" w:tentative="1">
      <w:start w:val="1"/>
      <w:numFmt w:val="decimal"/>
      <w:lvlText w:val="%7."/>
      <w:lvlJc w:val="left"/>
      <w:pPr>
        <w:ind w:left="5748" w:hanging="360"/>
      </w:pPr>
      <w:rPr>
        <w:rFonts w:cs="Times New Roman"/>
      </w:rPr>
    </w:lvl>
    <w:lvl w:ilvl="7" w:tplc="041B0019" w:tentative="1">
      <w:start w:val="1"/>
      <w:numFmt w:val="lowerLetter"/>
      <w:lvlText w:val="%8."/>
      <w:lvlJc w:val="left"/>
      <w:pPr>
        <w:ind w:left="6468" w:hanging="360"/>
      </w:pPr>
      <w:rPr>
        <w:rFonts w:cs="Times New Roman"/>
      </w:rPr>
    </w:lvl>
    <w:lvl w:ilvl="8" w:tplc="041B001B" w:tentative="1">
      <w:start w:val="1"/>
      <w:numFmt w:val="lowerRoman"/>
      <w:lvlText w:val="%9."/>
      <w:lvlJc w:val="right"/>
      <w:pPr>
        <w:ind w:left="7188" w:hanging="180"/>
      </w:pPr>
      <w:rPr>
        <w:rFonts w:cs="Times New Roman"/>
      </w:rPr>
    </w:lvl>
  </w:abstractNum>
  <w:abstractNum w:abstractNumId="98" w15:restartNumberingAfterBreak="0">
    <w:nsid w:val="51892DA2"/>
    <w:multiLevelType w:val="hybridMultilevel"/>
    <w:tmpl w:val="A2E25BB6"/>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99" w15:restartNumberingAfterBreak="0">
    <w:nsid w:val="52C16C9D"/>
    <w:multiLevelType w:val="hybridMultilevel"/>
    <w:tmpl w:val="3F6EB8D0"/>
    <w:lvl w:ilvl="0" w:tplc="D8EA128A">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0" w15:restartNumberingAfterBreak="0">
    <w:nsid w:val="53703F3F"/>
    <w:multiLevelType w:val="hybridMultilevel"/>
    <w:tmpl w:val="EF32E772"/>
    <w:lvl w:ilvl="0" w:tplc="041B0017">
      <w:start w:val="1"/>
      <w:numFmt w:val="lowerLetter"/>
      <w:lvlText w:val="%1)"/>
      <w:lvlJc w:val="left"/>
      <w:pPr>
        <w:tabs>
          <w:tab w:val="num" w:pos="989"/>
        </w:tabs>
        <w:ind w:left="989" w:hanging="360"/>
      </w:pPr>
      <w:rPr>
        <w:rFonts w:cs="Times New Roman"/>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101" w15:restartNumberingAfterBreak="0">
    <w:nsid w:val="53C043FC"/>
    <w:multiLevelType w:val="hybridMultilevel"/>
    <w:tmpl w:val="186C625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2" w15:restartNumberingAfterBreak="0">
    <w:nsid w:val="546E5876"/>
    <w:multiLevelType w:val="hybridMultilevel"/>
    <w:tmpl w:val="E5081076"/>
    <w:lvl w:ilvl="0" w:tplc="041B000F">
      <w:start w:val="1"/>
      <w:numFmt w:val="decimal"/>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03" w15:restartNumberingAfterBreak="0">
    <w:nsid w:val="54EE746D"/>
    <w:multiLevelType w:val="hybridMultilevel"/>
    <w:tmpl w:val="81A894C6"/>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4" w15:restartNumberingAfterBreak="0">
    <w:nsid w:val="54FC027D"/>
    <w:multiLevelType w:val="hybridMultilevel"/>
    <w:tmpl w:val="EF682FAC"/>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5" w15:restartNumberingAfterBreak="0">
    <w:nsid w:val="582E34BB"/>
    <w:multiLevelType w:val="hybridMultilevel"/>
    <w:tmpl w:val="4086AB70"/>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06" w15:restartNumberingAfterBreak="0">
    <w:nsid w:val="59C242ED"/>
    <w:multiLevelType w:val="hybridMultilevel"/>
    <w:tmpl w:val="FC0859A0"/>
    <w:lvl w:ilvl="0" w:tplc="A394D170">
      <w:start w:val="5"/>
      <w:numFmt w:val="bullet"/>
      <w:lvlText w:val="-"/>
      <w:lvlJc w:val="left"/>
      <w:pPr>
        <w:ind w:left="720" w:hanging="360"/>
      </w:pPr>
      <w:rPr>
        <w:rFonts w:ascii="Arial" w:eastAsia="Times New Roman" w:hAnsi="Arial" w:hint="default"/>
        <w:b w:val="0"/>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7" w15:restartNumberingAfterBreak="0">
    <w:nsid w:val="5A8017AB"/>
    <w:multiLevelType w:val="hybridMultilevel"/>
    <w:tmpl w:val="51DAA15C"/>
    <w:lvl w:ilvl="0" w:tplc="04050017">
      <w:start w:val="1"/>
      <w:numFmt w:val="lowerLetter"/>
      <w:lvlText w:val="%1)"/>
      <w:lvlJc w:val="left"/>
      <w:pPr>
        <w:tabs>
          <w:tab w:val="num" w:pos="720"/>
        </w:tabs>
        <w:ind w:left="720" w:hanging="360"/>
      </w:pPr>
      <w:rPr>
        <w:rFonts w:cs="Times New Roman" w:hint="default"/>
      </w:rPr>
    </w:lvl>
    <w:lvl w:ilvl="1" w:tplc="50928B78" w:tentative="1">
      <w:start w:val="1"/>
      <w:numFmt w:val="bullet"/>
      <w:lvlText w:val="•"/>
      <w:lvlJc w:val="left"/>
      <w:pPr>
        <w:tabs>
          <w:tab w:val="num" w:pos="1440"/>
        </w:tabs>
        <w:ind w:left="1440" w:hanging="360"/>
      </w:pPr>
      <w:rPr>
        <w:rFonts w:ascii="Arial" w:hAnsi="Arial" w:hint="default"/>
      </w:rPr>
    </w:lvl>
    <w:lvl w:ilvl="2" w:tplc="E7A8D5E2" w:tentative="1">
      <w:start w:val="1"/>
      <w:numFmt w:val="bullet"/>
      <w:lvlText w:val="•"/>
      <w:lvlJc w:val="left"/>
      <w:pPr>
        <w:tabs>
          <w:tab w:val="num" w:pos="2160"/>
        </w:tabs>
        <w:ind w:left="2160" w:hanging="360"/>
      </w:pPr>
      <w:rPr>
        <w:rFonts w:ascii="Arial" w:hAnsi="Arial" w:hint="default"/>
      </w:rPr>
    </w:lvl>
    <w:lvl w:ilvl="3" w:tplc="BCB2A0AE" w:tentative="1">
      <w:start w:val="1"/>
      <w:numFmt w:val="bullet"/>
      <w:lvlText w:val="•"/>
      <w:lvlJc w:val="left"/>
      <w:pPr>
        <w:tabs>
          <w:tab w:val="num" w:pos="2880"/>
        </w:tabs>
        <w:ind w:left="2880" w:hanging="360"/>
      </w:pPr>
      <w:rPr>
        <w:rFonts w:ascii="Arial" w:hAnsi="Arial" w:hint="default"/>
      </w:rPr>
    </w:lvl>
    <w:lvl w:ilvl="4" w:tplc="B386AE46" w:tentative="1">
      <w:start w:val="1"/>
      <w:numFmt w:val="bullet"/>
      <w:lvlText w:val="•"/>
      <w:lvlJc w:val="left"/>
      <w:pPr>
        <w:tabs>
          <w:tab w:val="num" w:pos="3600"/>
        </w:tabs>
        <w:ind w:left="3600" w:hanging="360"/>
      </w:pPr>
      <w:rPr>
        <w:rFonts w:ascii="Arial" w:hAnsi="Arial" w:hint="default"/>
      </w:rPr>
    </w:lvl>
    <w:lvl w:ilvl="5" w:tplc="30B288BA" w:tentative="1">
      <w:start w:val="1"/>
      <w:numFmt w:val="bullet"/>
      <w:lvlText w:val="•"/>
      <w:lvlJc w:val="left"/>
      <w:pPr>
        <w:tabs>
          <w:tab w:val="num" w:pos="4320"/>
        </w:tabs>
        <w:ind w:left="4320" w:hanging="360"/>
      </w:pPr>
      <w:rPr>
        <w:rFonts w:ascii="Arial" w:hAnsi="Arial" w:hint="default"/>
      </w:rPr>
    </w:lvl>
    <w:lvl w:ilvl="6" w:tplc="B20884F4" w:tentative="1">
      <w:start w:val="1"/>
      <w:numFmt w:val="bullet"/>
      <w:lvlText w:val="•"/>
      <w:lvlJc w:val="left"/>
      <w:pPr>
        <w:tabs>
          <w:tab w:val="num" w:pos="5040"/>
        </w:tabs>
        <w:ind w:left="5040" w:hanging="360"/>
      </w:pPr>
      <w:rPr>
        <w:rFonts w:ascii="Arial" w:hAnsi="Arial" w:hint="default"/>
      </w:rPr>
    </w:lvl>
    <w:lvl w:ilvl="7" w:tplc="E53CC5F4" w:tentative="1">
      <w:start w:val="1"/>
      <w:numFmt w:val="bullet"/>
      <w:lvlText w:val="•"/>
      <w:lvlJc w:val="left"/>
      <w:pPr>
        <w:tabs>
          <w:tab w:val="num" w:pos="5760"/>
        </w:tabs>
        <w:ind w:left="5760" w:hanging="360"/>
      </w:pPr>
      <w:rPr>
        <w:rFonts w:ascii="Arial" w:hAnsi="Arial" w:hint="default"/>
      </w:rPr>
    </w:lvl>
    <w:lvl w:ilvl="8" w:tplc="D3B45F68"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5B5217AB"/>
    <w:multiLevelType w:val="hybridMultilevel"/>
    <w:tmpl w:val="1FD0F024"/>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09" w15:restartNumberingAfterBreak="0">
    <w:nsid w:val="5B6B701A"/>
    <w:multiLevelType w:val="hybridMultilevel"/>
    <w:tmpl w:val="A6F8E270"/>
    <w:lvl w:ilvl="0" w:tplc="0405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110" w15:restartNumberingAfterBreak="0">
    <w:nsid w:val="5CF43421"/>
    <w:multiLevelType w:val="hybridMultilevel"/>
    <w:tmpl w:val="0E6EEDF8"/>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1" w15:restartNumberingAfterBreak="0">
    <w:nsid w:val="5D8C1194"/>
    <w:multiLevelType w:val="hybridMultilevel"/>
    <w:tmpl w:val="1F902EBC"/>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2" w15:restartNumberingAfterBreak="0">
    <w:nsid w:val="5EF94379"/>
    <w:multiLevelType w:val="hybridMultilevel"/>
    <w:tmpl w:val="5B3449EE"/>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13" w15:restartNumberingAfterBreak="0">
    <w:nsid w:val="5FA620A3"/>
    <w:multiLevelType w:val="hybridMultilevel"/>
    <w:tmpl w:val="72A25142"/>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4" w15:restartNumberingAfterBreak="0">
    <w:nsid w:val="62051711"/>
    <w:multiLevelType w:val="hybridMultilevel"/>
    <w:tmpl w:val="56962C0E"/>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5" w15:restartNumberingAfterBreak="0">
    <w:nsid w:val="64096942"/>
    <w:multiLevelType w:val="hybridMultilevel"/>
    <w:tmpl w:val="8C60AD3C"/>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16" w15:restartNumberingAfterBreak="0">
    <w:nsid w:val="648E6C70"/>
    <w:multiLevelType w:val="hybridMultilevel"/>
    <w:tmpl w:val="8F6A7CD4"/>
    <w:lvl w:ilvl="0" w:tplc="041B000F">
      <w:start w:val="1"/>
      <w:numFmt w:val="decimal"/>
      <w:lvlText w:val="%1."/>
      <w:lvlJc w:val="left"/>
      <w:pPr>
        <w:ind w:left="1069" w:hanging="360"/>
      </w:pPr>
      <w:rPr>
        <w:rFonts w:cs="Times New Roman"/>
      </w:rPr>
    </w:lvl>
    <w:lvl w:ilvl="1" w:tplc="041B0019" w:tentative="1">
      <w:start w:val="1"/>
      <w:numFmt w:val="lowerLetter"/>
      <w:lvlText w:val="%2."/>
      <w:lvlJc w:val="left"/>
      <w:pPr>
        <w:ind w:left="1789" w:hanging="360"/>
      </w:pPr>
      <w:rPr>
        <w:rFonts w:cs="Times New Roman"/>
      </w:rPr>
    </w:lvl>
    <w:lvl w:ilvl="2" w:tplc="041B001B" w:tentative="1">
      <w:start w:val="1"/>
      <w:numFmt w:val="lowerRoman"/>
      <w:lvlText w:val="%3."/>
      <w:lvlJc w:val="right"/>
      <w:pPr>
        <w:ind w:left="2509" w:hanging="180"/>
      </w:pPr>
      <w:rPr>
        <w:rFonts w:cs="Times New Roman"/>
      </w:rPr>
    </w:lvl>
    <w:lvl w:ilvl="3" w:tplc="041B000F" w:tentative="1">
      <w:start w:val="1"/>
      <w:numFmt w:val="decimal"/>
      <w:lvlText w:val="%4."/>
      <w:lvlJc w:val="left"/>
      <w:pPr>
        <w:ind w:left="3229" w:hanging="360"/>
      </w:pPr>
      <w:rPr>
        <w:rFonts w:cs="Times New Roman"/>
      </w:rPr>
    </w:lvl>
    <w:lvl w:ilvl="4" w:tplc="041B0019" w:tentative="1">
      <w:start w:val="1"/>
      <w:numFmt w:val="lowerLetter"/>
      <w:lvlText w:val="%5."/>
      <w:lvlJc w:val="left"/>
      <w:pPr>
        <w:ind w:left="3949" w:hanging="360"/>
      </w:pPr>
      <w:rPr>
        <w:rFonts w:cs="Times New Roman"/>
      </w:rPr>
    </w:lvl>
    <w:lvl w:ilvl="5" w:tplc="041B001B" w:tentative="1">
      <w:start w:val="1"/>
      <w:numFmt w:val="lowerRoman"/>
      <w:lvlText w:val="%6."/>
      <w:lvlJc w:val="right"/>
      <w:pPr>
        <w:ind w:left="4669" w:hanging="180"/>
      </w:pPr>
      <w:rPr>
        <w:rFonts w:cs="Times New Roman"/>
      </w:rPr>
    </w:lvl>
    <w:lvl w:ilvl="6" w:tplc="041B000F" w:tentative="1">
      <w:start w:val="1"/>
      <w:numFmt w:val="decimal"/>
      <w:lvlText w:val="%7."/>
      <w:lvlJc w:val="left"/>
      <w:pPr>
        <w:ind w:left="5389" w:hanging="360"/>
      </w:pPr>
      <w:rPr>
        <w:rFonts w:cs="Times New Roman"/>
      </w:rPr>
    </w:lvl>
    <w:lvl w:ilvl="7" w:tplc="041B0019" w:tentative="1">
      <w:start w:val="1"/>
      <w:numFmt w:val="lowerLetter"/>
      <w:lvlText w:val="%8."/>
      <w:lvlJc w:val="left"/>
      <w:pPr>
        <w:ind w:left="6109" w:hanging="360"/>
      </w:pPr>
      <w:rPr>
        <w:rFonts w:cs="Times New Roman"/>
      </w:rPr>
    </w:lvl>
    <w:lvl w:ilvl="8" w:tplc="041B001B" w:tentative="1">
      <w:start w:val="1"/>
      <w:numFmt w:val="lowerRoman"/>
      <w:lvlText w:val="%9."/>
      <w:lvlJc w:val="right"/>
      <w:pPr>
        <w:ind w:left="6829" w:hanging="180"/>
      </w:pPr>
      <w:rPr>
        <w:rFonts w:cs="Times New Roman"/>
      </w:rPr>
    </w:lvl>
  </w:abstractNum>
  <w:abstractNum w:abstractNumId="117" w15:restartNumberingAfterBreak="0">
    <w:nsid w:val="650945C4"/>
    <w:multiLevelType w:val="hybridMultilevel"/>
    <w:tmpl w:val="6CA8EC30"/>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118" w15:restartNumberingAfterBreak="0">
    <w:nsid w:val="653F6903"/>
    <w:multiLevelType w:val="hybridMultilevel"/>
    <w:tmpl w:val="ADBEFB40"/>
    <w:lvl w:ilvl="0" w:tplc="5D0CEBBA">
      <w:start w:val="1"/>
      <w:numFmt w:val="lowerLetter"/>
      <w:lvlText w:val="%1)"/>
      <w:lvlJc w:val="left"/>
      <w:pPr>
        <w:tabs>
          <w:tab w:val="num" w:pos="720"/>
        </w:tabs>
        <w:ind w:left="720" w:hanging="360"/>
      </w:pPr>
      <w:rPr>
        <w:rFonts w:cs="Times New Roman"/>
        <w:b w:val="0"/>
        <w:bCs w:val="0"/>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19" w15:restartNumberingAfterBreak="0">
    <w:nsid w:val="66905E27"/>
    <w:multiLevelType w:val="hybridMultilevel"/>
    <w:tmpl w:val="470050E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20" w15:restartNumberingAfterBreak="0">
    <w:nsid w:val="67736B51"/>
    <w:multiLevelType w:val="hybridMultilevel"/>
    <w:tmpl w:val="0ACEC6CC"/>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21" w15:restartNumberingAfterBreak="0">
    <w:nsid w:val="67D40E1F"/>
    <w:multiLevelType w:val="hybridMultilevel"/>
    <w:tmpl w:val="26247EAA"/>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22" w15:restartNumberingAfterBreak="0">
    <w:nsid w:val="69AD5F84"/>
    <w:multiLevelType w:val="hybridMultilevel"/>
    <w:tmpl w:val="085AD8C8"/>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123" w15:restartNumberingAfterBreak="0">
    <w:nsid w:val="6DD674E8"/>
    <w:multiLevelType w:val="hybridMultilevel"/>
    <w:tmpl w:val="683EA696"/>
    <w:lvl w:ilvl="0" w:tplc="64E89C4A">
      <w:start w:val="1"/>
      <w:numFmt w:val="lowerLetter"/>
      <w:lvlText w:val="%1)"/>
      <w:lvlJc w:val="left"/>
      <w:pPr>
        <w:ind w:left="720" w:hanging="360"/>
      </w:pPr>
      <w:rPr>
        <w:rFonts w:ascii="Arial" w:hAnsi="Arial" w:cs="Arial" w:hint="default"/>
        <w:sz w:val="20"/>
        <w:szCs w:val="20"/>
      </w:rPr>
    </w:lvl>
    <w:lvl w:ilvl="1" w:tplc="041B0019">
      <w:start w:val="1"/>
      <w:numFmt w:val="lowerLetter"/>
      <w:lvlText w:val="%2."/>
      <w:lvlJc w:val="left"/>
      <w:pPr>
        <w:ind w:left="732" w:hanging="360"/>
      </w:pPr>
      <w:rPr>
        <w:rFonts w:cs="Times New Roman"/>
      </w:rPr>
    </w:lvl>
    <w:lvl w:ilvl="2" w:tplc="041B001B">
      <w:start w:val="1"/>
      <w:numFmt w:val="lowerRoman"/>
      <w:lvlText w:val="%3."/>
      <w:lvlJc w:val="right"/>
      <w:pPr>
        <w:ind w:left="1452" w:hanging="180"/>
      </w:pPr>
      <w:rPr>
        <w:rFonts w:cs="Times New Roman"/>
      </w:rPr>
    </w:lvl>
    <w:lvl w:ilvl="3" w:tplc="041B000F">
      <w:start w:val="1"/>
      <w:numFmt w:val="decimal"/>
      <w:lvlText w:val="%4."/>
      <w:lvlJc w:val="left"/>
      <w:pPr>
        <w:ind w:left="2172" w:hanging="360"/>
      </w:pPr>
      <w:rPr>
        <w:rFonts w:cs="Times New Roman"/>
      </w:rPr>
    </w:lvl>
    <w:lvl w:ilvl="4" w:tplc="041B0019">
      <w:start w:val="1"/>
      <w:numFmt w:val="lowerLetter"/>
      <w:lvlText w:val="%5."/>
      <w:lvlJc w:val="left"/>
      <w:pPr>
        <w:ind w:left="2892" w:hanging="360"/>
      </w:pPr>
      <w:rPr>
        <w:rFonts w:cs="Times New Roman"/>
      </w:rPr>
    </w:lvl>
    <w:lvl w:ilvl="5" w:tplc="041B001B">
      <w:start w:val="1"/>
      <w:numFmt w:val="lowerRoman"/>
      <w:lvlText w:val="%6."/>
      <w:lvlJc w:val="right"/>
      <w:pPr>
        <w:ind w:left="3612" w:hanging="180"/>
      </w:pPr>
      <w:rPr>
        <w:rFonts w:cs="Times New Roman"/>
      </w:rPr>
    </w:lvl>
    <w:lvl w:ilvl="6" w:tplc="041B000F">
      <w:start w:val="1"/>
      <w:numFmt w:val="decimal"/>
      <w:lvlText w:val="%7."/>
      <w:lvlJc w:val="left"/>
      <w:pPr>
        <w:ind w:left="4332" w:hanging="360"/>
      </w:pPr>
      <w:rPr>
        <w:rFonts w:cs="Times New Roman"/>
      </w:rPr>
    </w:lvl>
    <w:lvl w:ilvl="7" w:tplc="041B0019">
      <w:start w:val="1"/>
      <w:numFmt w:val="lowerLetter"/>
      <w:lvlText w:val="%8."/>
      <w:lvlJc w:val="left"/>
      <w:pPr>
        <w:ind w:left="5052" w:hanging="360"/>
      </w:pPr>
      <w:rPr>
        <w:rFonts w:cs="Times New Roman"/>
      </w:rPr>
    </w:lvl>
    <w:lvl w:ilvl="8" w:tplc="041B001B">
      <w:start w:val="1"/>
      <w:numFmt w:val="lowerRoman"/>
      <w:lvlText w:val="%9."/>
      <w:lvlJc w:val="right"/>
      <w:pPr>
        <w:ind w:left="5772" w:hanging="180"/>
      </w:pPr>
      <w:rPr>
        <w:rFonts w:cs="Times New Roman"/>
      </w:rPr>
    </w:lvl>
  </w:abstractNum>
  <w:abstractNum w:abstractNumId="124" w15:restartNumberingAfterBreak="0">
    <w:nsid w:val="6F8B6E21"/>
    <w:multiLevelType w:val="hybridMultilevel"/>
    <w:tmpl w:val="49B4F0E4"/>
    <w:lvl w:ilvl="0" w:tplc="DC485824">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5" w15:restartNumberingAfterBreak="0">
    <w:nsid w:val="7115090F"/>
    <w:multiLevelType w:val="hybridMultilevel"/>
    <w:tmpl w:val="775A48A0"/>
    <w:lvl w:ilvl="0" w:tplc="041B0017">
      <w:start w:val="1"/>
      <w:numFmt w:val="lowerLetter"/>
      <w:lvlText w:val="%1)"/>
      <w:lvlJc w:val="left"/>
      <w:pPr>
        <w:ind w:left="781" w:hanging="360"/>
      </w:pPr>
      <w:rPr>
        <w:rFonts w:cs="Times New Roman"/>
      </w:rPr>
    </w:lvl>
    <w:lvl w:ilvl="1" w:tplc="041B0019" w:tentative="1">
      <w:start w:val="1"/>
      <w:numFmt w:val="lowerLetter"/>
      <w:lvlText w:val="%2."/>
      <w:lvlJc w:val="left"/>
      <w:pPr>
        <w:ind w:left="1501" w:hanging="360"/>
      </w:pPr>
      <w:rPr>
        <w:rFonts w:cs="Times New Roman"/>
      </w:rPr>
    </w:lvl>
    <w:lvl w:ilvl="2" w:tplc="041B001B" w:tentative="1">
      <w:start w:val="1"/>
      <w:numFmt w:val="lowerRoman"/>
      <w:lvlText w:val="%3."/>
      <w:lvlJc w:val="right"/>
      <w:pPr>
        <w:ind w:left="2221" w:hanging="180"/>
      </w:pPr>
      <w:rPr>
        <w:rFonts w:cs="Times New Roman"/>
      </w:rPr>
    </w:lvl>
    <w:lvl w:ilvl="3" w:tplc="041B000F" w:tentative="1">
      <w:start w:val="1"/>
      <w:numFmt w:val="decimal"/>
      <w:lvlText w:val="%4."/>
      <w:lvlJc w:val="left"/>
      <w:pPr>
        <w:ind w:left="2941" w:hanging="360"/>
      </w:pPr>
      <w:rPr>
        <w:rFonts w:cs="Times New Roman"/>
      </w:rPr>
    </w:lvl>
    <w:lvl w:ilvl="4" w:tplc="041B0019" w:tentative="1">
      <w:start w:val="1"/>
      <w:numFmt w:val="lowerLetter"/>
      <w:lvlText w:val="%5."/>
      <w:lvlJc w:val="left"/>
      <w:pPr>
        <w:ind w:left="3661" w:hanging="360"/>
      </w:pPr>
      <w:rPr>
        <w:rFonts w:cs="Times New Roman"/>
      </w:rPr>
    </w:lvl>
    <w:lvl w:ilvl="5" w:tplc="041B001B" w:tentative="1">
      <w:start w:val="1"/>
      <w:numFmt w:val="lowerRoman"/>
      <w:lvlText w:val="%6."/>
      <w:lvlJc w:val="right"/>
      <w:pPr>
        <w:ind w:left="4381" w:hanging="180"/>
      </w:pPr>
      <w:rPr>
        <w:rFonts w:cs="Times New Roman"/>
      </w:rPr>
    </w:lvl>
    <w:lvl w:ilvl="6" w:tplc="041B000F" w:tentative="1">
      <w:start w:val="1"/>
      <w:numFmt w:val="decimal"/>
      <w:lvlText w:val="%7."/>
      <w:lvlJc w:val="left"/>
      <w:pPr>
        <w:ind w:left="5101" w:hanging="360"/>
      </w:pPr>
      <w:rPr>
        <w:rFonts w:cs="Times New Roman"/>
      </w:rPr>
    </w:lvl>
    <w:lvl w:ilvl="7" w:tplc="041B0019" w:tentative="1">
      <w:start w:val="1"/>
      <w:numFmt w:val="lowerLetter"/>
      <w:lvlText w:val="%8."/>
      <w:lvlJc w:val="left"/>
      <w:pPr>
        <w:ind w:left="5821" w:hanging="360"/>
      </w:pPr>
      <w:rPr>
        <w:rFonts w:cs="Times New Roman"/>
      </w:rPr>
    </w:lvl>
    <w:lvl w:ilvl="8" w:tplc="041B001B" w:tentative="1">
      <w:start w:val="1"/>
      <w:numFmt w:val="lowerRoman"/>
      <w:lvlText w:val="%9."/>
      <w:lvlJc w:val="right"/>
      <w:pPr>
        <w:ind w:left="6541" w:hanging="180"/>
      </w:pPr>
      <w:rPr>
        <w:rFonts w:cs="Times New Roman"/>
      </w:rPr>
    </w:lvl>
  </w:abstractNum>
  <w:abstractNum w:abstractNumId="126" w15:restartNumberingAfterBreak="0">
    <w:nsid w:val="715478F7"/>
    <w:multiLevelType w:val="hybridMultilevel"/>
    <w:tmpl w:val="295AC310"/>
    <w:lvl w:ilvl="0" w:tplc="E5F23806">
      <w:start w:val="1"/>
      <w:numFmt w:val="lowerLetter"/>
      <w:lvlText w:val="%1)"/>
      <w:lvlJc w:val="left"/>
      <w:pPr>
        <w:ind w:left="1080" w:hanging="360"/>
      </w:pPr>
      <w:rPr>
        <w:rFonts w:cs="Times New Roman"/>
        <w:b w:val="0"/>
        <w:bCs w:val="0"/>
        <w:i w:val="0"/>
        <w:iCs w:val="0"/>
      </w:rPr>
    </w:lvl>
    <w:lvl w:ilvl="1" w:tplc="041B0019" w:tentative="1">
      <w:start w:val="1"/>
      <w:numFmt w:val="lowerLetter"/>
      <w:lvlText w:val="%2."/>
      <w:lvlJc w:val="left"/>
      <w:pPr>
        <w:ind w:left="1800" w:hanging="360"/>
      </w:pPr>
      <w:rPr>
        <w:rFonts w:cs="Times New Roman"/>
      </w:rPr>
    </w:lvl>
    <w:lvl w:ilvl="2" w:tplc="041B001B" w:tentative="1">
      <w:start w:val="1"/>
      <w:numFmt w:val="lowerRoman"/>
      <w:lvlText w:val="%3."/>
      <w:lvlJc w:val="right"/>
      <w:pPr>
        <w:ind w:left="2520" w:hanging="180"/>
      </w:pPr>
      <w:rPr>
        <w:rFonts w:cs="Times New Roman"/>
      </w:rPr>
    </w:lvl>
    <w:lvl w:ilvl="3" w:tplc="041B000F" w:tentative="1">
      <w:start w:val="1"/>
      <w:numFmt w:val="decimal"/>
      <w:lvlText w:val="%4."/>
      <w:lvlJc w:val="left"/>
      <w:pPr>
        <w:ind w:left="3240" w:hanging="360"/>
      </w:pPr>
      <w:rPr>
        <w:rFonts w:cs="Times New Roman"/>
      </w:rPr>
    </w:lvl>
    <w:lvl w:ilvl="4" w:tplc="041B0019" w:tentative="1">
      <w:start w:val="1"/>
      <w:numFmt w:val="lowerLetter"/>
      <w:lvlText w:val="%5."/>
      <w:lvlJc w:val="left"/>
      <w:pPr>
        <w:ind w:left="3960" w:hanging="360"/>
      </w:pPr>
      <w:rPr>
        <w:rFonts w:cs="Times New Roman"/>
      </w:rPr>
    </w:lvl>
    <w:lvl w:ilvl="5" w:tplc="041B001B" w:tentative="1">
      <w:start w:val="1"/>
      <w:numFmt w:val="lowerRoman"/>
      <w:lvlText w:val="%6."/>
      <w:lvlJc w:val="right"/>
      <w:pPr>
        <w:ind w:left="4680" w:hanging="180"/>
      </w:pPr>
      <w:rPr>
        <w:rFonts w:cs="Times New Roman"/>
      </w:rPr>
    </w:lvl>
    <w:lvl w:ilvl="6" w:tplc="041B000F" w:tentative="1">
      <w:start w:val="1"/>
      <w:numFmt w:val="decimal"/>
      <w:lvlText w:val="%7."/>
      <w:lvlJc w:val="left"/>
      <w:pPr>
        <w:ind w:left="5400" w:hanging="360"/>
      </w:pPr>
      <w:rPr>
        <w:rFonts w:cs="Times New Roman"/>
      </w:rPr>
    </w:lvl>
    <w:lvl w:ilvl="7" w:tplc="041B0019" w:tentative="1">
      <w:start w:val="1"/>
      <w:numFmt w:val="lowerLetter"/>
      <w:lvlText w:val="%8."/>
      <w:lvlJc w:val="left"/>
      <w:pPr>
        <w:ind w:left="6120" w:hanging="360"/>
      </w:pPr>
      <w:rPr>
        <w:rFonts w:cs="Times New Roman"/>
      </w:rPr>
    </w:lvl>
    <w:lvl w:ilvl="8" w:tplc="041B001B" w:tentative="1">
      <w:start w:val="1"/>
      <w:numFmt w:val="lowerRoman"/>
      <w:lvlText w:val="%9."/>
      <w:lvlJc w:val="right"/>
      <w:pPr>
        <w:ind w:left="6840" w:hanging="180"/>
      </w:pPr>
      <w:rPr>
        <w:rFonts w:cs="Times New Roman"/>
      </w:rPr>
    </w:lvl>
  </w:abstractNum>
  <w:abstractNum w:abstractNumId="127" w15:restartNumberingAfterBreak="0">
    <w:nsid w:val="71AB0FE2"/>
    <w:multiLevelType w:val="hybridMultilevel"/>
    <w:tmpl w:val="A1DABA8C"/>
    <w:lvl w:ilvl="0" w:tplc="041B0017">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128" w15:restartNumberingAfterBreak="0">
    <w:nsid w:val="72980FC2"/>
    <w:multiLevelType w:val="hybridMultilevel"/>
    <w:tmpl w:val="949454F6"/>
    <w:lvl w:ilvl="0" w:tplc="041B000F">
      <w:start w:val="1"/>
      <w:numFmt w:val="decimal"/>
      <w:lvlText w:val="%1."/>
      <w:lvlJc w:val="left"/>
      <w:pPr>
        <w:ind w:left="1800" w:hanging="360"/>
      </w:pPr>
      <w:rPr>
        <w:rFonts w:cs="Times New Roman"/>
      </w:rPr>
    </w:lvl>
    <w:lvl w:ilvl="1" w:tplc="041B0019" w:tentative="1">
      <w:start w:val="1"/>
      <w:numFmt w:val="lowerLetter"/>
      <w:lvlText w:val="%2."/>
      <w:lvlJc w:val="left"/>
      <w:pPr>
        <w:ind w:left="2520" w:hanging="360"/>
      </w:pPr>
      <w:rPr>
        <w:rFonts w:cs="Times New Roman"/>
      </w:rPr>
    </w:lvl>
    <w:lvl w:ilvl="2" w:tplc="041B001B" w:tentative="1">
      <w:start w:val="1"/>
      <w:numFmt w:val="lowerRoman"/>
      <w:lvlText w:val="%3."/>
      <w:lvlJc w:val="right"/>
      <w:pPr>
        <w:ind w:left="3240" w:hanging="180"/>
      </w:pPr>
      <w:rPr>
        <w:rFonts w:cs="Times New Roman"/>
      </w:rPr>
    </w:lvl>
    <w:lvl w:ilvl="3" w:tplc="041B000F" w:tentative="1">
      <w:start w:val="1"/>
      <w:numFmt w:val="decimal"/>
      <w:lvlText w:val="%4."/>
      <w:lvlJc w:val="left"/>
      <w:pPr>
        <w:ind w:left="3960" w:hanging="360"/>
      </w:pPr>
      <w:rPr>
        <w:rFonts w:cs="Times New Roman"/>
      </w:rPr>
    </w:lvl>
    <w:lvl w:ilvl="4" w:tplc="041B0019" w:tentative="1">
      <w:start w:val="1"/>
      <w:numFmt w:val="lowerLetter"/>
      <w:lvlText w:val="%5."/>
      <w:lvlJc w:val="left"/>
      <w:pPr>
        <w:ind w:left="4680" w:hanging="360"/>
      </w:pPr>
      <w:rPr>
        <w:rFonts w:cs="Times New Roman"/>
      </w:rPr>
    </w:lvl>
    <w:lvl w:ilvl="5" w:tplc="041B001B" w:tentative="1">
      <w:start w:val="1"/>
      <w:numFmt w:val="lowerRoman"/>
      <w:lvlText w:val="%6."/>
      <w:lvlJc w:val="right"/>
      <w:pPr>
        <w:ind w:left="5400" w:hanging="180"/>
      </w:pPr>
      <w:rPr>
        <w:rFonts w:cs="Times New Roman"/>
      </w:rPr>
    </w:lvl>
    <w:lvl w:ilvl="6" w:tplc="041B000F" w:tentative="1">
      <w:start w:val="1"/>
      <w:numFmt w:val="decimal"/>
      <w:lvlText w:val="%7."/>
      <w:lvlJc w:val="left"/>
      <w:pPr>
        <w:ind w:left="6120" w:hanging="360"/>
      </w:pPr>
      <w:rPr>
        <w:rFonts w:cs="Times New Roman"/>
      </w:rPr>
    </w:lvl>
    <w:lvl w:ilvl="7" w:tplc="041B0019" w:tentative="1">
      <w:start w:val="1"/>
      <w:numFmt w:val="lowerLetter"/>
      <w:lvlText w:val="%8."/>
      <w:lvlJc w:val="left"/>
      <w:pPr>
        <w:ind w:left="6840" w:hanging="360"/>
      </w:pPr>
      <w:rPr>
        <w:rFonts w:cs="Times New Roman"/>
      </w:rPr>
    </w:lvl>
    <w:lvl w:ilvl="8" w:tplc="041B001B" w:tentative="1">
      <w:start w:val="1"/>
      <w:numFmt w:val="lowerRoman"/>
      <w:lvlText w:val="%9."/>
      <w:lvlJc w:val="right"/>
      <w:pPr>
        <w:ind w:left="7560" w:hanging="180"/>
      </w:pPr>
      <w:rPr>
        <w:rFonts w:cs="Times New Roman"/>
      </w:rPr>
    </w:lvl>
  </w:abstractNum>
  <w:abstractNum w:abstractNumId="129" w15:restartNumberingAfterBreak="0">
    <w:nsid w:val="73153ADD"/>
    <w:multiLevelType w:val="hybridMultilevel"/>
    <w:tmpl w:val="95824B3C"/>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30" w15:restartNumberingAfterBreak="0">
    <w:nsid w:val="741A4AD8"/>
    <w:multiLevelType w:val="hybridMultilevel"/>
    <w:tmpl w:val="EF32E772"/>
    <w:lvl w:ilvl="0" w:tplc="041B0017">
      <w:start w:val="1"/>
      <w:numFmt w:val="lowerLetter"/>
      <w:lvlText w:val="%1)"/>
      <w:lvlJc w:val="left"/>
      <w:pPr>
        <w:tabs>
          <w:tab w:val="num" w:pos="720"/>
        </w:tabs>
        <w:ind w:left="720" w:hanging="360"/>
      </w:pPr>
      <w:rPr>
        <w:rFonts w:cs="Times New Roman"/>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131" w15:restartNumberingAfterBreak="0">
    <w:nsid w:val="74E955AB"/>
    <w:multiLevelType w:val="hybridMultilevel"/>
    <w:tmpl w:val="506E1D00"/>
    <w:lvl w:ilvl="0" w:tplc="041B0017">
      <w:start w:val="1"/>
      <w:numFmt w:val="lowerLetter"/>
      <w:lvlText w:val="%1)"/>
      <w:lvlJc w:val="left"/>
      <w:pPr>
        <w:ind w:left="783" w:hanging="360"/>
      </w:pPr>
      <w:rPr>
        <w:rFonts w:cs="Times New Roman"/>
      </w:rPr>
    </w:lvl>
    <w:lvl w:ilvl="1" w:tplc="EB40948A">
      <w:numFmt w:val="bullet"/>
      <w:lvlText w:val="-"/>
      <w:lvlJc w:val="left"/>
      <w:pPr>
        <w:ind w:left="1503" w:hanging="360"/>
      </w:pPr>
      <w:rPr>
        <w:rFonts w:ascii="Times New Roman" w:eastAsia="Times New Roman" w:hAnsi="Times New Roman" w:hint="default"/>
      </w:rPr>
    </w:lvl>
    <w:lvl w:ilvl="2" w:tplc="041B001B" w:tentative="1">
      <w:start w:val="1"/>
      <w:numFmt w:val="lowerRoman"/>
      <w:lvlText w:val="%3."/>
      <w:lvlJc w:val="right"/>
      <w:pPr>
        <w:ind w:left="2223" w:hanging="180"/>
      </w:pPr>
      <w:rPr>
        <w:rFonts w:cs="Times New Roman"/>
      </w:rPr>
    </w:lvl>
    <w:lvl w:ilvl="3" w:tplc="041B000F" w:tentative="1">
      <w:start w:val="1"/>
      <w:numFmt w:val="decimal"/>
      <w:lvlText w:val="%4."/>
      <w:lvlJc w:val="left"/>
      <w:pPr>
        <w:ind w:left="2943" w:hanging="360"/>
      </w:pPr>
      <w:rPr>
        <w:rFonts w:cs="Times New Roman"/>
      </w:rPr>
    </w:lvl>
    <w:lvl w:ilvl="4" w:tplc="041B0019" w:tentative="1">
      <w:start w:val="1"/>
      <w:numFmt w:val="lowerLetter"/>
      <w:lvlText w:val="%5."/>
      <w:lvlJc w:val="left"/>
      <w:pPr>
        <w:ind w:left="3663" w:hanging="360"/>
      </w:pPr>
      <w:rPr>
        <w:rFonts w:cs="Times New Roman"/>
      </w:rPr>
    </w:lvl>
    <w:lvl w:ilvl="5" w:tplc="041B001B" w:tentative="1">
      <w:start w:val="1"/>
      <w:numFmt w:val="lowerRoman"/>
      <w:lvlText w:val="%6."/>
      <w:lvlJc w:val="right"/>
      <w:pPr>
        <w:ind w:left="4383" w:hanging="180"/>
      </w:pPr>
      <w:rPr>
        <w:rFonts w:cs="Times New Roman"/>
      </w:rPr>
    </w:lvl>
    <w:lvl w:ilvl="6" w:tplc="041B000F" w:tentative="1">
      <w:start w:val="1"/>
      <w:numFmt w:val="decimal"/>
      <w:lvlText w:val="%7."/>
      <w:lvlJc w:val="left"/>
      <w:pPr>
        <w:ind w:left="5103" w:hanging="360"/>
      </w:pPr>
      <w:rPr>
        <w:rFonts w:cs="Times New Roman"/>
      </w:rPr>
    </w:lvl>
    <w:lvl w:ilvl="7" w:tplc="041B0019" w:tentative="1">
      <w:start w:val="1"/>
      <w:numFmt w:val="lowerLetter"/>
      <w:lvlText w:val="%8."/>
      <w:lvlJc w:val="left"/>
      <w:pPr>
        <w:ind w:left="5823" w:hanging="360"/>
      </w:pPr>
      <w:rPr>
        <w:rFonts w:cs="Times New Roman"/>
      </w:rPr>
    </w:lvl>
    <w:lvl w:ilvl="8" w:tplc="041B001B" w:tentative="1">
      <w:start w:val="1"/>
      <w:numFmt w:val="lowerRoman"/>
      <w:lvlText w:val="%9."/>
      <w:lvlJc w:val="right"/>
      <w:pPr>
        <w:ind w:left="6543" w:hanging="180"/>
      </w:pPr>
      <w:rPr>
        <w:rFonts w:cs="Times New Roman"/>
      </w:rPr>
    </w:lvl>
  </w:abstractNum>
  <w:abstractNum w:abstractNumId="132" w15:restartNumberingAfterBreak="0">
    <w:nsid w:val="75063B1F"/>
    <w:multiLevelType w:val="hybridMultilevel"/>
    <w:tmpl w:val="9A286A0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3" w15:restartNumberingAfterBreak="0">
    <w:nsid w:val="75D302C1"/>
    <w:multiLevelType w:val="hybridMultilevel"/>
    <w:tmpl w:val="3006D9F6"/>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34" w15:restartNumberingAfterBreak="0">
    <w:nsid w:val="76840136"/>
    <w:multiLevelType w:val="hybridMultilevel"/>
    <w:tmpl w:val="EE1EB5FE"/>
    <w:lvl w:ilvl="0" w:tplc="9B8860F2">
      <w:start w:val="1"/>
      <w:numFmt w:val="lowerLetter"/>
      <w:lvlText w:val="%1)"/>
      <w:lvlJc w:val="left"/>
      <w:pPr>
        <w:tabs>
          <w:tab w:val="num" w:pos="720"/>
        </w:tabs>
        <w:ind w:left="720" w:hanging="360"/>
      </w:pPr>
      <w:rPr>
        <w:rFonts w:cs="Times New Roman"/>
      </w:rPr>
    </w:lvl>
    <w:lvl w:ilvl="1" w:tplc="04050019">
      <w:start w:val="1"/>
      <w:numFmt w:val="lowerLetter"/>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135" w15:restartNumberingAfterBreak="0">
    <w:nsid w:val="781A5ED5"/>
    <w:multiLevelType w:val="hybridMultilevel"/>
    <w:tmpl w:val="A25E9E1E"/>
    <w:lvl w:ilvl="0" w:tplc="041B000F">
      <w:start w:val="1"/>
      <w:numFmt w:val="decimal"/>
      <w:lvlText w:val="%1."/>
      <w:lvlJc w:val="left"/>
      <w:pPr>
        <w:ind w:left="1080" w:hanging="360"/>
      </w:pPr>
      <w:rPr>
        <w:rFonts w:cs="Times New Roman"/>
      </w:rPr>
    </w:lvl>
    <w:lvl w:ilvl="1" w:tplc="041B0019" w:tentative="1">
      <w:start w:val="1"/>
      <w:numFmt w:val="lowerLetter"/>
      <w:lvlText w:val="%2."/>
      <w:lvlJc w:val="left"/>
      <w:pPr>
        <w:ind w:left="1800" w:hanging="360"/>
      </w:pPr>
      <w:rPr>
        <w:rFonts w:cs="Times New Roman"/>
      </w:rPr>
    </w:lvl>
    <w:lvl w:ilvl="2" w:tplc="041B001B" w:tentative="1">
      <w:start w:val="1"/>
      <w:numFmt w:val="lowerRoman"/>
      <w:lvlText w:val="%3."/>
      <w:lvlJc w:val="right"/>
      <w:pPr>
        <w:ind w:left="2520" w:hanging="180"/>
      </w:pPr>
      <w:rPr>
        <w:rFonts w:cs="Times New Roman"/>
      </w:rPr>
    </w:lvl>
    <w:lvl w:ilvl="3" w:tplc="041B000F" w:tentative="1">
      <w:start w:val="1"/>
      <w:numFmt w:val="decimal"/>
      <w:lvlText w:val="%4."/>
      <w:lvlJc w:val="left"/>
      <w:pPr>
        <w:ind w:left="3240" w:hanging="360"/>
      </w:pPr>
      <w:rPr>
        <w:rFonts w:cs="Times New Roman"/>
      </w:rPr>
    </w:lvl>
    <w:lvl w:ilvl="4" w:tplc="041B0019" w:tentative="1">
      <w:start w:val="1"/>
      <w:numFmt w:val="lowerLetter"/>
      <w:lvlText w:val="%5."/>
      <w:lvlJc w:val="left"/>
      <w:pPr>
        <w:ind w:left="3960" w:hanging="360"/>
      </w:pPr>
      <w:rPr>
        <w:rFonts w:cs="Times New Roman"/>
      </w:rPr>
    </w:lvl>
    <w:lvl w:ilvl="5" w:tplc="041B001B" w:tentative="1">
      <w:start w:val="1"/>
      <w:numFmt w:val="lowerRoman"/>
      <w:lvlText w:val="%6."/>
      <w:lvlJc w:val="right"/>
      <w:pPr>
        <w:ind w:left="4680" w:hanging="180"/>
      </w:pPr>
      <w:rPr>
        <w:rFonts w:cs="Times New Roman"/>
      </w:rPr>
    </w:lvl>
    <w:lvl w:ilvl="6" w:tplc="041B000F" w:tentative="1">
      <w:start w:val="1"/>
      <w:numFmt w:val="decimal"/>
      <w:lvlText w:val="%7."/>
      <w:lvlJc w:val="left"/>
      <w:pPr>
        <w:ind w:left="5400" w:hanging="360"/>
      </w:pPr>
      <w:rPr>
        <w:rFonts w:cs="Times New Roman"/>
      </w:rPr>
    </w:lvl>
    <w:lvl w:ilvl="7" w:tplc="041B0019" w:tentative="1">
      <w:start w:val="1"/>
      <w:numFmt w:val="lowerLetter"/>
      <w:lvlText w:val="%8."/>
      <w:lvlJc w:val="left"/>
      <w:pPr>
        <w:ind w:left="6120" w:hanging="360"/>
      </w:pPr>
      <w:rPr>
        <w:rFonts w:cs="Times New Roman"/>
      </w:rPr>
    </w:lvl>
    <w:lvl w:ilvl="8" w:tplc="041B001B" w:tentative="1">
      <w:start w:val="1"/>
      <w:numFmt w:val="lowerRoman"/>
      <w:lvlText w:val="%9."/>
      <w:lvlJc w:val="right"/>
      <w:pPr>
        <w:ind w:left="6840" w:hanging="180"/>
      </w:pPr>
      <w:rPr>
        <w:rFonts w:cs="Times New Roman"/>
      </w:rPr>
    </w:lvl>
  </w:abstractNum>
  <w:abstractNum w:abstractNumId="136" w15:restartNumberingAfterBreak="0">
    <w:nsid w:val="79981B62"/>
    <w:multiLevelType w:val="hybridMultilevel"/>
    <w:tmpl w:val="7F3450F0"/>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37" w15:restartNumberingAfterBreak="0">
    <w:nsid w:val="79CB35E6"/>
    <w:multiLevelType w:val="hybridMultilevel"/>
    <w:tmpl w:val="B3A0B6D8"/>
    <w:lvl w:ilvl="0" w:tplc="D01E89B6">
      <w:start w:val="1"/>
      <w:numFmt w:val="lowerLetter"/>
      <w:lvlText w:val="%1)"/>
      <w:lvlJc w:val="left"/>
      <w:pPr>
        <w:ind w:left="720" w:hanging="360"/>
      </w:pPr>
      <w:rPr>
        <w:rFonts w:cs="Times New Roman" w:hint="default"/>
        <w:b w:val="0"/>
        <w:i w:val="0"/>
        <w:strike w:val="0"/>
        <w:color w:val="000000"/>
        <w:sz w:val="20"/>
        <w:szCs w:val="20"/>
        <w:u w:val="none" w:color="000000"/>
      </w:rPr>
    </w:lvl>
    <w:lvl w:ilvl="1" w:tplc="FFFFFFFF">
      <w:start w:val="1"/>
      <w:numFmt w:val="lowerLetter"/>
      <w:lvlText w:val="%2."/>
      <w:lvlJc w:val="left"/>
      <w:pPr>
        <w:ind w:left="1440" w:hanging="360"/>
      </w:pPr>
      <w:rPr>
        <w:rFonts w:ascii="Verdana" w:hAnsi="Verdana" w:cs="Times New Roman"/>
        <w:b w:val="0"/>
        <w:i w:val="0"/>
        <w:strike w:val="0"/>
        <w:color w:val="000000"/>
        <w:sz w:val="24"/>
        <w:u w:val="none" w:color="000000"/>
      </w:rPr>
    </w:lvl>
    <w:lvl w:ilvl="2" w:tplc="FFFFFFFF">
      <w:start w:val="1"/>
      <w:numFmt w:val="lowerRoman"/>
      <w:lvlText w:val="%3."/>
      <w:lvlJc w:val="left"/>
      <w:pPr>
        <w:ind w:left="2160" w:hanging="180"/>
      </w:pPr>
      <w:rPr>
        <w:rFonts w:ascii="Verdana" w:hAnsi="Verdana" w:cs="Times New Roman"/>
        <w:b w:val="0"/>
        <w:i w:val="0"/>
        <w:strike w:val="0"/>
        <w:color w:val="000000"/>
        <w:sz w:val="24"/>
        <w:u w:val="none" w:color="000000"/>
      </w:rPr>
    </w:lvl>
    <w:lvl w:ilvl="3" w:tplc="FFFFFFFF">
      <w:start w:val="1"/>
      <w:numFmt w:val="decimal"/>
      <w:lvlText w:val="%4."/>
      <w:lvlJc w:val="left"/>
      <w:pPr>
        <w:ind w:left="2880" w:hanging="360"/>
      </w:pPr>
      <w:rPr>
        <w:rFonts w:ascii="Verdana" w:hAnsi="Verdana" w:cs="Times New Roman"/>
        <w:b w:val="0"/>
        <w:i w:val="0"/>
        <w:strike w:val="0"/>
        <w:color w:val="000000"/>
        <w:sz w:val="24"/>
        <w:u w:val="none" w:color="000000"/>
      </w:rPr>
    </w:lvl>
    <w:lvl w:ilvl="4" w:tplc="FFFFFFFF">
      <w:start w:val="1"/>
      <w:numFmt w:val="lowerLetter"/>
      <w:lvlText w:val="%5."/>
      <w:lvlJc w:val="left"/>
      <w:pPr>
        <w:ind w:left="3600" w:hanging="360"/>
      </w:pPr>
      <w:rPr>
        <w:rFonts w:ascii="Verdana" w:hAnsi="Verdana" w:cs="Times New Roman"/>
        <w:b w:val="0"/>
        <w:i w:val="0"/>
        <w:strike w:val="0"/>
        <w:color w:val="000000"/>
        <w:sz w:val="24"/>
        <w:u w:val="none" w:color="000000"/>
      </w:rPr>
    </w:lvl>
    <w:lvl w:ilvl="5" w:tplc="FFFFFFFF">
      <w:start w:val="1"/>
      <w:numFmt w:val="lowerRoman"/>
      <w:lvlText w:val="%6."/>
      <w:lvlJc w:val="left"/>
      <w:pPr>
        <w:ind w:left="4320" w:hanging="180"/>
      </w:pPr>
      <w:rPr>
        <w:rFonts w:ascii="Verdana" w:hAnsi="Verdana" w:cs="Times New Roman"/>
        <w:b w:val="0"/>
        <w:i w:val="0"/>
        <w:strike w:val="0"/>
        <w:color w:val="000000"/>
        <w:sz w:val="24"/>
        <w:u w:val="none" w:color="000000"/>
      </w:rPr>
    </w:lvl>
    <w:lvl w:ilvl="6" w:tplc="FFFFFFFF">
      <w:start w:val="1"/>
      <w:numFmt w:val="decimal"/>
      <w:lvlText w:val="%7."/>
      <w:lvlJc w:val="left"/>
      <w:pPr>
        <w:ind w:left="5040" w:hanging="360"/>
      </w:pPr>
      <w:rPr>
        <w:rFonts w:ascii="Verdana" w:hAnsi="Verdana" w:cs="Times New Roman"/>
        <w:b w:val="0"/>
        <w:i w:val="0"/>
        <w:strike w:val="0"/>
        <w:color w:val="000000"/>
        <w:sz w:val="24"/>
        <w:u w:val="none" w:color="000000"/>
      </w:rPr>
    </w:lvl>
    <w:lvl w:ilvl="7" w:tplc="FFFFFFFF">
      <w:start w:val="1"/>
      <w:numFmt w:val="lowerLetter"/>
      <w:lvlText w:val="%8."/>
      <w:lvlJc w:val="left"/>
      <w:pPr>
        <w:ind w:left="5760" w:hanging="360"/>
      </w:pPr>
      <w:rPr>
        <w:rFonts w:ascii="Verdana" w:hAnsi="Verdana" w:cs="Times New Roman"/>
        <w:b w:val="0"/>
        <w:i w:val="0"/>
        <w:strike w:val="0"/>
        <w:color w:val="000000"/>
        <w:sz w:val="24"/>
        <w:u w:val="none" w:color="000000"/>
      </w:rPr>
    </w:lvl>
    <w:lvl w:ilvl="8" w:tplc="FFFFFFFF">
      <w:start w:val="1"/>
      <w:numFmt w:val="lowerRoman"/>
      <w:lvlText w:val="%9."/>
      <w:lvlJc w:val="left"/>
      <w:pPr>
        <w:ind w:left="6480" w:hanging="180"/>
      </w:pPr>
      <w:rPr>
        <w:rFonts w:ascii="Verdana" w:hAnsi="Verdana" w:cs="Times New Roman"/>
        <w:b w:val="0"/>
        <w:i w:val="0"/>
        <w:strike w:val="0"/>
        <w:color w:val="000000"/>
        <w:sz w:val="24"/>
        <w:u w:val="none" w:color="000000"/>
      </w:rPr>
    </w:lvl>
  </w:abstractNum>
  <w:abstractNum w:abstractNumId="138" w15:restartNumberingAfterBreak="0">
    <w:nsid w:val="7A333816"/>
    <w:multiLevelType w:val="hybridMultilevel"/>
    <w:tmpl w:val="A9D6E7B0"/>
    <w:lvl w:ilvl="0" w:tplc="041B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139" w15:restartNumberingAfterBreak="0">
    <w:nsid w:val="7B78041F"/>
    <w:multiLevelType w:val="hybridMultilevel"/>
    <w:tmpl w:val="83167B6A"/>
    <w:lvl w:ilvl="0" w:tplc="041B0017">
      <w:start w:val="1"/>
      <w:numFmt w:val="lowerLetter"/>
      <w:lvlText w:val="%1)"/>
      <w:lvlJc w:val="left"/>
      <w:pPr>
        <w:ind w:left="720" w:hanging="360"/>
      </w:p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140" w15:restartNumberingAfterBreak="0">
    <w:nsid w:val="7C5C29B2"/>
    <w:multiLevelType w:val="hybridMultilevel"/>
    <w:tmpl w:val="BCD248C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41" w15:restartNumberingAfterBreak="0">
    <w:nsid w:val="7C6911AD"/>
    <w:multiLevelType w:val="hybridMultilevel"/>
    <w:tmpl w:val="E4FAE45E"/>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42" w15:restartNumberingAfterBreak="0">
    <w:nsid w:val="7E4C1001"/>
    <w:multiLevelType w:val="hybridMultilevel"/>
    <w:tmpl w:val="76DEBDFA"/>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43" w15:restartNumberingAfterBreak="0">
    <w:nsid w:val="7F2757B5"/>
    <w:multiLevelType w:val="hybridMultilevel"/>
    <w:tmpl w:val="C8108D84"/>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44" w15:restartNumberingAfterBreak="0">
    <w:nsid w:val="7F356B97"/>
    <w:multiLevelType w:val="hybridMultilevel"/>
    <w:tmpl w:val="BC1CFBB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45" w15:restartNumberingAfterBreak="0">
    <w:nsid w:val="7F687D71"/>
    <w:multiLevelType w:val="hybridMultilevel"/>
    <w:tmpl w:val="73701B26"/>
    <w:lvl w:ilvl="0" w:tplc="07EAD724">
      <w:start w:val="1"/>
      <w:numFmt w:val="lowerLetter"/>
      <w:lvlText w:val="%1)"/>
      <w:lvlJc w:val="left"/>
      <w:pPr>
        <w:tabs>
          <w:tab w:val="num" w:pos="720"/>
        </w:tabs>
        <w:ind w:left="720" w:hanging="360"/>
      </w:pPr>
      <w:rPr>
        <w:rFonts w:cs="Times New Roman"/>
        <w:strike w:val="0"/>
        <w:color w:val="auto"/>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num w:numId="1" w16cid:durableId="3879214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483372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330849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183700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932438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722331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479033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230030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72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249196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307590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552974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43094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77748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281823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8626844">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41737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3036217">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868412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22746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978819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39581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26559976">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729768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3819730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66334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6878249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25374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297367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247479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92424146">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20110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81240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5496370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63151564">
    <w:abstractNumId w:val="142"/>
  </w:num>
  <w:num w:numId="36" w16cid:durableId="1540361396">
    <w:abstractNumId w:val="30"/>
  </w:num>
  <w:num w:numId="37" w16cid:durableId="753431250">
    <w:abstractNumId w:val="130"/>
  </w:num>
  <w:num w:numId="38" w16cid:durableId="975529246">
    <w:abstractNumId w:val="53"/>
  </w:num>
  <w:num w:numId="39" w16cid:durableId="1759522474">
    <w:abstractNumId w:val="39"/>
  </w:num>
  <w:num w:numId="40" w16cid:durableId="140928498">
    <w:abstractNumId w:val="77"/>
  </w:num>
  <w:num w:numId="41" w16cid:durableId="1987970219">
    <w:abstractNumId w:val="138"/>
  </w:num>
  <w:num w:numId="42" w16cid:durableId="518736110">
    <w:abstractNumId w:val="69"/>
  </w:num>
  <w:num w:numId="43" w16cid:durableId="1346664519">
    <w:abstractNumId w:val="42"/>
  </w:num>
  <w:num w:numId="44" w16cid:durableId="1434596783">
    <w:abstractNumId w:val="21"/>
  </w:num>
  <w:num w:numId="45" w16cid:durableId="1502889923">
    <w:abstractNumId w:val="109"/>
  </w:num>
  <w:num w:numId="46" w16cid:durableId="1036269999">
    <w:abstractNumId w:val="23"/>
  </w:num>
  <w:num w:numId="47" w16cid:durableId="1356079536">
    <w:abstractNumId w:val="107"/>
  </w:num>
  <w:num w:numId="48" w16cid:durableId="1589076886">
    <w:abstractNumId w:val="48"/>
  </w:num>
  <w:num w:numId="49" w16cid:durableId="736050894">
    <w:abstractNumId w:val="46"/>
  </w:num>
  <w:num w:numId="50" w16cid:durableId="136727168">
    <w:abstractNumId w:val="47"/>
  </w:num>
  <w:num w:numId="51" w16cid:durableId="403258994">
    <w:abstractNumId w:val="0"/>
  </w:num>
  <w:num w:numId="52" w16cid:durableId="498160713">
    <w:abstractNumId w:val="90"/>
  </w:num>
  <w:num w:numId="53" w16cid:durableId="1093014513">
    <w:abstractNumId w:val="125"/>
  </w:num>
  <w:num w:numId="54" w16cid:durableId="347635227">
    <w:abstractNumId w:val="100"/>
  </w:num>
  <w:num w:numId="55" w16cid:durableId="895967254">
    <w:abstractNumId w:val="118"/>
  </w:num>
  <w:num w:numId="56" w16cid:durableId="1130248252">
    <w:abstractNumId w:val="19"/>
  </w:num>
  <w:num w:numId="57" w16cid:durableId="570850874">
    <w:abstractNumId w:val="5"/>
  </w:num>
  <w:num w:numId="58" w16cid:durableId="283538058">
    <w:abstractNumId w:val="84"/>
  </w:num>
  <w:num w:numId="59" w16cid:durableId="1432050624">
    <w:abstractNumId w:val="10"/>
  </w:num>
  <w:num w:numId="60" w16cid:durableId="935594059">
    <w:abstractNumId w:val="78"/>
  </w:num>
  <w:num w:numId="61" w16cid:durableId="1670599600">
    <w:abstractNumId w:val="131"/>
  </w:num>
  <w:num w:numId="62" w16cid:durableId="1241914612">
    <w:abstractNumId w:val="6"/>
  </w:num>
  <w:num w:numId="63" w16cid:durableId="1490558533">
    <w:abstractNumId w:val="2"/>
  </w:num>
  <w:num w:numId="64" w16cid:durableId="1320769297">
    <w:abstractNumId w:val="74"/>
  </w:num>
  <w:num w:numId="65" w16cid:durableId="613362319">
    <w:abstractNumId w:val="102"/>
  </w:num>
  <w:num w:numId="66" w16cid:durableId="766652556">
    <w:abstractNumId w:val="70"/>
  </w:num>
  <w:num w:numId="67" w16cid:durableId="1274435030">
    <w:abstractNumId w:val="45"/>
  </w:num>
  <w:num w:numId="68" w16cid:durableId="428165733">
    <w:abstractNumId w:val="135"/>
  </w:num>
  <w:num w:numId="69" w16cid:durableId="1752845658">
    <w:abstractNumId w:val="106"/>
  </w:num>
  <w:num w:numId="70" w16cid:durableId="86662537">
    <w:abstractNumId w:val="97"/>
  </w:num>
  <w:num w:numId="71" w16cid:durableId="1165051078">
    <w:abstractNumId w:val="79"/>
  </w:num>
  <w:num w:numId="72" w16cid:durableId="1612055984">
    <w:abstractNumId w:val="29"/>
  </w:num>
  <w:num w:numId="73" w16cid:durableId="1936476802">
    <w:abstractNumId w:val="115"/>
  </w:num>
  <w:num w:numId="74" w16cid:durableId="779490198">
    <w:abstractNumId w:val="55"/>
  </w:num>
  <w:num w:numId="75" w16cid:durableId="12108454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484929131">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1654972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4313088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4792006">
    <w:abstractNumId w:val="9"/>
  </w:num>
  <w:num w:numId="80" w16cid:durableId="837159116">
    <w:abstractNumId w:val="59"/>
  </w:num>
  <w:num w:numId="81" w16cid:durableId="130904337">
    <w:abstractNumId w:val="18"/>
  </w:num>
  <w:num w:numId="82" w16cid:durableId="2099055813">
    <w:abstractNumId w:val="133"/>
  </w:num>
  <w:num w:numId="83" w16cid:durableId="1157260084">
    <w:abstractNumId w:val="80"/>
  </w:num>
  <w:num w:numId="84" w16cid:durableId="1135222637">
    <w:abstractNumId w:val="54"/>
  </w:num>
  <w:num w:numId="85" w16cid:durableId="173547308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8729548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39477790">
    <w:abstractNumId w:val="34"/>
  </w:num>
  <w:num w:numId="88" w16cid:durableId="983506846">
    <w:abstractNumId w:val="140"/>
  </w:num>
  <w:num w:numId="89" w16cid:durableId="162092831">
    <w:abstractNumId w:val="27"/>
  </w:num>
  <w:num w:numId="90" w16cid:durableId="164797248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6031552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06807079">
    <w:abstractNumId w:val="126"/>
  </w:num>
  <w:num w:numId="93" w16cid:durableId="1589341820">
    <w:abstractNumId w:val="25"/>
  </w:num>
  <w:num w:numId="94" w16cid:durableId="1393966358">
    <w:abstractNumId w:val="103"/>
  </w:num>
  <w:num w:numId="95" w16cid:durableId="924875308">
    <w:abstractNumId w:val="114"/>
  </w:num>
  <w:num w:numId="96" w16cid:durableId="491676021">
    <w:abstractNumId w:val="104"/>
  </w:num>
  <w:num w:numId="97" w16cid:durableId="1789200052">
    <w:abstractNumId w:val="113"/>
  </w:num>
  <w:num w:numId="98" w16cid:durableId="1478645038">
    <w:abstractNumId w:val="65"/>
  </w:num>
  <w:num w:numId="99" w16cid:durableId="1874927046">
    <w:abstractNumId w:val="110"/>
  </w:num>
  <w:num w:numId="100" w16cid:durableId="1132479067">
    <w:abstractNumId w:val="144"/>
  </w:num>
  <w:num w:numId="101" w16cid:durableId="709189788">
    <w:abstractNumId w:val="120"/>
  </w:num>
  <w:num w:numId="102" w16cid:durableId="90787123">
    <w:abstractNumId w:val="82"/>
  </w:num>
  <w:num w:numId="103" w16cid:durableId="1814911115">
    <w:abstractNumId w:val="143"/>
  </w:num>
  <w:num w:numId="104" w16cid:durableId="1403524958">
    <w:abstractNumId w:val="111"/>
  </w:num>
  <w:num w:numId="105" w16cid:durableId="1439373708">
    <w:abstractNumId w:val="72"/>
  </w:num>
  <w:num w:numId="106" w16cid:durableId="936402044">
    <w:abstractNumId w:val="85"/>
  </w:num>
  <w:num w:numId="107" w16cid:durableId="752118821">
    <w:abstractNumId w:val="31"/>
  </w:num>
  <w:num w:numId="108" w16cid:durableId="1741557614">
    <w:abstractNumId w:val="101"/>
  </w:num>
  <w:num w:numId="109" w16cid:durableId="1421217540">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34452498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67260976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6717835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89766354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8141841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19924358">
    <w:abstractNumId w:val="139"/>
  </w:num>
  <w:num w:numId="116" w16cid:durableId="2092582437">
    <w:abstractNumId w:val="22"/>
  </w:num>
  <w:num w:numId="117" w16cid:durableId="1482428131">
    <w:abstractNumId w:val="44"/>
  </w:num>
  <w:num w:numId="118" w16cid:durableId="1906914368">
    <w:abstractNumId w:val="61"/>
  </w:num>
  <w:num w:numId="119" w16cid:durableId="68162728">
    <w:abstractNumId w:val="137"/>
  </w:num>
  <w:num w:numId="120" w16cid:durableId="460078842">
    <w:abstractNumId w:val="15"/>
  </w:num>
  <w:num w:numId="121" w16cid:durableId="184897962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330207955">
    <w:abstractNumId w:val="1"/>
  </w:num>
  <w:num w:numId="123" w16cid:durableId="551380975">
    <w:abstractNumId w:val="26"/>
  </w:num>
  <w:num w:numId="124" w16cid:durableId="1470395224">
    <w:abstractNumId w:val="128"/>
  </w:num>
  <w:num w:numId="125" w16cid:durableId="590092313">
    <w:abstractNumId w:val="51"/>
  </w:num>
  <w:num w:numId="126" w16cid:durableId="1625236478">
    <w:abstractNumId w:val="136"/>
  </w:num>
  <w:num w:numId="127" w16cid:durableId="926157520">
    <w:abstractNumId w:val="76"/>
  </w:num>
  <w:num w:numId="128" w16cid:durableId="279384530">
    <w:abstractNumId w:val="60"/>
  </w:num>
  <w:num w:numId="129" w16cid:durableId="1347950893">
    <w:abstractNumId w:val="33"/>
  </w:num>
  <w:num w:numId="130" w16cid:durableId="1821456956">
    <w:abstractNumId w:val="119"/>
  </w:num>
  <w:num w:numId="131" w16cid:durableId="379214095">
    <w:abstractNumId w:val="121"/>
  </w:num>
  <w:num w:numId="132" w16cid:durableId="1420061034">
    <w:abstractNumId w:val="12"/>
  </w:num>
  <w:num w:numId="133" w16cid:durableId="2118018177">
    <w:abstractNumId w:val="50"/>
  </w:num>
  <w:num w:numId="134" w16cid:durableId="887692390">
    <w:abstractNumId w:val="88"/>
  </w:num>
  <w:num w:numId="135" w16cid:durableId="283540823">
    <w:abstractNumId w:val="96"/>
  </w:num>
  <w:num w:numId="136" w16cid:durableId="834959230">
    <w:abstractNumId w:val="124"/>
  </w:num>
  <w:num w:numId="137" w16cid:durableId="357507876">
    <w:abstractNumId w:val="99"/>
  </w:num>
  <w:num w:numId="138" w16cid:durableId="1570647724">
    <w:abstractNumId w:val="13"/>
  </w:num>
  <w:num w:numId="139" w16cid:durableId="1856192960">
    <w:abstractNumId w:val="14"/>
  </w:num>
  <w:num w:numId="140" w16cid:durableId="1507667153">
    <w:abstractNumId w:val="37"/>
  </w:num>
  <w:num w:numId="141" w16cid:durableId="1112895660">
    <w:abstractNumId w:val="83"/>
  </w:num>
  <w:num w:numId="142" w16cid:durableId="115684301">
    <w:abstractNumId w:val="132"/>
  </w:num>
  <w:num w:numId="143" w16cid:durableId="1143111341">
    <w:abstractNumId w:val="3"/>
  </w:num>
  <w:num w:numId="144" w16cid:durableId="1762868501">
    <w:abstractNumId w:val="4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6F1"/>
    <w:rsid w:val="0000057A"/>
    <w:rsid w:val="00000AB3"/>
    <w:rsid w:val="0000105B"/>
    <w:rsid w:val="000023CB"/>
    <w:rsid w:val="00002529"/>
    <w:rsid w:val="00002A37"/>
    <w:rsid w:val="00002B1C"/>
    <w:rsid w:val="00002CB3"/>
    <w:rsid w:val="0000332C"/>
    <w:rsid w:val="000036EA"/>
    <w:rsid w:val="00003A13"/>
    <w:rsid w:val="00003DCA"/>
    <w:rsid w:val="00003E23"/>
    <w:rsid w:val="0000437D"/>
    <w:rsid w:val="000053B3"/>
    <w:rsid w:val="0000587B"/>
    <w:rsid w:val="0000591E"/>
    <w:rsid w:val="00005DC3"/>
    <w:rsid w:val="000061FD"/>
    <w:rsid w:val="00006786"/>
    <w:rsid w:val="00006D27"/>
    <w:rsid w:val="0001025A"/>
    <w:rsid w:val="000116F7"/>
    <w:rsid w:val="000119AA"/>
    <w:rsid w:val="00011CA9"/>
    <w:rsid w:val="00011F42"/>
    <w:rsid w:val="000128B7"/>
    <w:rsid w:val="00012A44"/>
    <w:rsid w:val="00012EBA"/>
    <w:rsid w:val="00012F53"/>
    <w:rsid w:val="000140E3"/>
    <w:rsid w:val="00014676"/>
    <w:rsid w:val="00014791"/>
    <w:rsid w:val="000148C2"/>
    <w:rsid w:val="00014B5B"/>
    <w:rsid w:val="00014E3E"/>
    <w:rsid w:val="00015A66"/>
    <w:rsid w:val="00015CC4"/>
    <w:rsid w:val="00015D21"/>
    <w:rsid w:val="00015F65"/>
    <w:rsid w:val="00016176"/>
    <w:rsid w:val="00016688"/>
    <w:rsid w:val="00016869"/>
    <w:rsid w:val="00016D7B"/>
    <w:rsid w:val="00020579"/>
    <w:rsid w:val="00020AE7"/>
    <w:rsid w:val="00021540"/>
    <w:rsid w:val="00022917"/>
    <w:rsid w:val="000229FE"/>
    <w:rsid w:val="00022DE3"/>
    <w:rsid w:val="00022E58"/>
    <w:rsid w:val="00023417"/>
    <w:rsid w:val="0002359B"/>
    <w:rsid w:val="0002412C"/>
    <w:rsid w:val="000241FE"/>
    <w:rsid w:val="00024CEA"/>
    <w:rsid w:val="00024DB9"/>
    <w:rsid w:val="0002503D"/>
    <w:rsid w:val="00025602"/>
    <w:rsid w:val="00025A15"/>
    <w:rsid w:val="00025C28"/>
    <w:rsid w:val="00026118"/>
    <w:rsid w:val="0002673A"/>
    <w:rsid w:val="00026A21"/>
    <w:rsid w:val="0002758C"/>
    <w:rsid w:val="00027737"/>
    <w:rsid w:val="000300B7"/>
    <w:rsid w:val="000315DF"/>
    <w:rsid w:val="00032433"/>
    <w:rsid w:val="0003249E"/>
    <w:rsid w:val="00033473"/>
    <w:rsid w:val="00035612"/>
    <w:rsid w:val="00036680"/>
    <w:rsid w:val="00036F2B"/>
    <w:rsid w:val="00037CC4"/>
    <w:rsid w:val="00040189"/>
    <w:rsid w:val="00040ED5"/>
    <w:rsid w:val="00041276"/>
    <w:rsid w:val="000415BD"/>
    <w:rsid w:val="000418CA"/>
    <w:rsid w:val="00041918"/>
    <w:rsid w:val="00041B84"/>
    <w:rsid w:val="00041F57"/>
    <w:rsid w:val="00042765"/>
    <w:rsid w:val="000436E4"/>
    <w:rsid w:val="00043C37"/>
    <w:rsid w:val="000477AD"/>
    <w:rsid w:val="00050A61"/>
    <w:rsid w:val="00050EB2"/>
    <w:rsid w:val="000521D2"/>
    <w:rsid w:val="000524F4"/>
    <w:rsid w:val="00052589"/>
    <w:rsid w:val="000528F3"/>
    <w:rsid w:val="000532AC"/>
    <w:rsid w:val="0005340C"/>
    <w:rsid w:val="00053936"/>
    <w:rsid w:val="00053DF2"/>
    <w:rsid w:val="000548E1"/>
    <w:rsid w:val="000555C1"/>
    <w:rsid w:val="00055C32"/>
    <w:rsid w:val="000571FB"/>
    <w:rsid w:val="000572C7"/>
    <w:rsid w:val="0006008C"/>
    <w:rsid w:val="000607F1"/>
    <w:rsid w:val="00060DDA"/>
    <w:rsid w:val="00060E20"/>
    <w:rsid w:val="00060E50"/>
    <w:rsid w:val="00060E67"/>
    <w:rsid w:val="000614BF"/>
    <w:rsid w:val="00061910"/>
    <w:rsid w:val="00061C5D"/>
    <w:rsid w:val="0006290F"/>
    <w:rsid w:val="00062C37"/>
    <w:rsid w:val="00063D10"/>
    <w:rsid w:val="00064128"/>
    <w:rsid w:val="00064228"/>
    <w:rsid w:val="00064B4C"/>
    <w:rsid w:val="00066090"/>
    <w:rsid w:val="00066A86"/>
    <w:rsid w:val="00070434"/>
    <w:rsid w:val="0007064A"/>
    <w:rsid w:val="00070C4D"/>
    <w:rsid w:val="00070DD3"/>
    <w:rsid w:val="00071540"/>
    <w:rsid w:val="00072352"/>
    <w:rsid w:val="000736EE"/>
    <w:rsid w:val="00073D7F"/>
    <w:rsid w:val="00074305"/>
    <w:rsid w:val="00074462"/>
    <w:rsid w:val="00074517"/>
    <w:rsid w:val="00075B1E"/>
    <w:rsid w:val="00075DEE"/>
    <w:rsid w:val="000761F3"/>
    <w:rsid w:val="00076388"/>
    <w:rsid w:val="000763F3"/>
    <w:rsid w:val="0007651F"/>
    <w:rsid w:val="0007706B"/>
    <w:rsid w:val="0007708A"/>
    <w:rsid w:val="00077B08"/>
    <w:rsid w:val="00080559"/>
    <w:rsid w:val="00080873"/>
    <w:rsid w:val="00080BE5"/>
    <w:rsid w:val="0008112A"/>
    <w:rsid w:val="00081154"/>
    <w:rsid w:val="000812F7"/>
    <w:rsid w:val="000825A9"/>
    <w:rsid w:val="000828C7"/>
    <w:rsid w:val="00082F60"/>
    <w:rsid w:val="000830BA"/>
    <w:rsid w:val="00083771"/>
    <w:rsid w:val="00083BFC"/>
    <w:rsid w:val="000842B2"/>
    <w:rsid w:val="00084E44"/>
    <w:rsid w:val="000855BD"/>
    <w:rsid w:val="00085860"/>
    <w:rsid w:val="00085EC6"/>
    <w:rsid w:val="00085F3C"/>
    <w:rsid w:val="000903EB"/>
    <w:rsid w:val="0009055D"/>
    <w:rsid w:val="00090A40"/>
    <w:rsid w:val="00090C71"/>
    <w:rsid w:val="00091631"/>
    <w:rsid w:val="000920CC"/>
    <w:rsid w:val="0009250B"/>
    <w:rsid w:val="00092660"/>
    <w:rsid w:val="000935EF"/>
    <w:rsid w:val="0009391E"/>
    <w:rsid w:val="00093F25"/>
    <w:rsid w:val="00093F79"/>
    <w:rsid w:val="00094A51"/>
    <w:rsid w:val="00094AA0"/>
    <w:rsid w:val="0009533A"/>
    <w:rsid w:val="000955D9"/>
    <w:rsid w:val="00095BFA"/>
    <w:rsid w:val="00095D65"/>
    <w:rsid w:val="00095DF4"/>
    <w:rsid w:val="00095E46"/>
    <w:rsid w:val="000968CE"/>
    <w:rsid w:val="00096A8F"/>
    <w:rsid w:val="00096E8A"/>
    <w:rsid w:val="000976B7"/>
    <w:rsid w:val="000977AD"/>
    <w:rsid w:val="00097904"/>
    <w:rsid w:val="00097DCA"/>
    <w:rsid w:val="000A0022"/>
    <w:rsid w:val="000A0208"/>
    <w:rsid w:val="000A0C96"/>
    <w:rsid w:val="000A0E65"/>
    <w:rsid w:val="000A1715"/>
    <w:rsid w:val="000A187C"/>
    <w:rsid w:val="000A1A9B"/>
    <w:rsid w:val="000A29DD"/>
    <w:rsid w:val="000A2B61"/>
    <w:rsid w:val="000A2D60"/>
    <w:rsid w:val="000A3282"/>
    <w:rsid w:val="000A3428"/>
    <w:rsid w:val="000A3630"/>
    <w:rsid w:val="000A363C"/>
    <w:rsid w:val="000A4278"/>
    <w:rsid w:val="000A4741"/>
    <w:rsid w:val="000A4927"/>
    <w:rsid w:val="000A5108"/>
    <w:rsid w:val="000A5461"/>
    <w:rsid w:val="000A5BC9"/>
    <w:rsid w:val="000A5E8F"/>
    <w:rsid w:val="000A5E99"/>
    <w:rsid w:val="000A61BF"/>
    <w:rsid w:val="000A6414"/>
    <w:rsid w:val="000A6AF7"/>
    <w:rsid w:val="000A6EF0"/>
    <w:rsid w:val="000A75C6"/>
    <w:rsid w:val="000B0213"/>
    <w:rsid w:val="000B0263"/>
    <w:rsid w:val="000B1FBF"/>
    <w:rsid w:val="000B23ED"/>
    <w:rsid w:val="000B27CD"/>
    <w:rsid w:val="000B3029"/>
    <w:rsid w:val="000B3BB4"/>
    <w:rsid w:val="000B3CDA"/>
    <w:rsid w:val="000B4107"/>
    <w:rsid w:val="000B4559"/>
    <w:rsid w:val="000B4739"/>
    <w:rsid w:val="000B5984"/>
    <w:rsid w:val="000B5FC6"/>
    <w:rsid w:val="000B5FC7"/>
    <w:rsid w:val="000B668A"/>
    <w:rsid w:val="000B67CE"/>
    <w:rsid w:val="000B7068"/>
    <w:rsid w:val="000C007C"/>
    <w:rsid w:val="000C0099"/>
    <w:rsid w:val="000C0910"/>
    <w:rsid w:val="000C0C92"/>
    <w:rsid w:val="000C0D99"/>
    <w:rsid w:val="000C0E45"/>
    <w:rsid w:val="000C375F"/>
    <w:rsid w:val="000C3BEE"/>
    <w:rsid w:val="000C468F"/>
    <w:rsid w:val="000C4C21"/>
    <w:rsid w:val="000C4C77"/>
    <w:rsid w:val="000C576B"/>
    <w:rsid w:val="000C6223"/>
    <w:rsid w:val="000C6532"/>
    <w:rsid w:val="000C6609"/>
    <w:rsid w:val="000C68B7"/>
    <w:rsid w:val="000C6E7C"/>
    <w:rsid w:val="000C6F1E"/>
    <w:rsid w:val="000C7AFD"/>
    <w:rsid w:val="000D0464"/>
    <w:rsid w:val="000D0576"/>
    <w:rsid w:val="000D0608"/>
    <w:rsid w:val="000D0AAE"/>
    <w:rsid w:val="000D1549"/>
    <w:rsid w:val="000D16CA"/>
    <w:rsid w:val="000D1A61"/>
    <w:rsid w:val="000D1D85"/>
    <w:rsid w:val="000D1EEC"/>
    <w:rsid w:val="000D2173"/>
    <w:rsid w:val="000D2742"/>
    <w:rsid w:val="000D2CF9"/>
    <w:rsid w:val="000D3160"/>
    <w:rsid w:val="000D3622"/>
    <w:rsid w:val="000D3683"/>
    <w:rsid w:val="000D432A"/>
    <w:rsid w:val="000D467F"/>
    <w:rsid w:val="000D4D2B"/>
    <w:rsid w:val="000D61B8"/>
    <w:rsid w:val="000D61F1"/>
    <w:rsid w:val="000D625B"/>
    <w:rsid w:val="000D717C"/>
    <w:rsid w:val="000D71D7"/>
    <w:rsid w:val="000D73E3"/>
    <w:rsid w:val="000D7543"/>
    <w:rsid w:val="000D7C4C"/>
    <w:rsid w:val="000E03CA"/>
    <w:rsid w:val="000E081B"/>
    <w:rsid w:val="000E0F8B"/>
    <w:rsid w:val="000E2B86"/>
    <w:rsid w:val="000E30BB"/>
    <w:rsid w:val="000E3564"/>
    <w:rsid w:val="000E3ABF"/>
    <w:rsid w:val="000E3AF1"/>
    <w:rsid w:val="000E48EF"/>
    <w:rsid w:val="000E5428"/>
    <w:rsid w:val="000E5CB2"/>
    <w:rsid w:val="000E5D20"/>
    <w:rsid w:val="000E6211"/>
    <w:rsid w:val="000E6601"/>
    <w:rsid w:val="000E6E79"/>
    <w:rsid w:val="000E7B6C"/>
    <w:rsid w:val="000E7BFC"/>
    <w:rsid w:val="000F00B0"/>
    <w:rsid w:val="000F03C0"/>
    <w:rsid w:val="000F0E94"/>
    <w:rsid w:val="000F1A01"/>
    <w:rsid w:val="000F1A19"/>
    <w:rsid w:val="000F1A8A"/>
    <w:rsid w:val="000F2608"/>
    <w:rsid w:val="000F2789"/>
    <w:rsid w:val="000F2C4E"/>
    <w:rsid w:val="000F2FE7"/>
    <w:rsid w:val="000F3675"/>
    <w:rsid w:val="000F4F09"/>
    <w:rsid w:val="000F53BD"/>
    <w:rsid w:val="000F5A2C"/>
    <w:rsid w:val="000F5B80"/>
    <w:rsid w:val="000F6B36"/>
    <w:rsid w:val="000F6C05"/>
    <w:rsid w:val="000F7030"/>
    <w:rsid w:val="0010012C"/>
    <w:rsid w:val="001005C1"/>
    <w:rsid w:val="00100B69"/>
    <w:rsid w:val="001013C5"/>
    <w:rsid w:val="00101FE8"/>
    <w:rsid w:val="00102DB4"/>
    <w:rsid w:val="00103B98"/>
    <w:rsid w:val="0010401E"/>
    <w:rsid w:val="00104278"/>
    <w:rsid w:val="00104344"/>
    <w:rsid w:val="00104A1D"/>
    <w:rsid w:val="00104B56"/>
    <w:rsid w:val="00104B72"/>
    <w:rsid w:val="001051E1"/>
    <w:rsid w:val="00105398"/>
    <w:rsid w:val="001060F4"/>
    <w:rsid w:val="0011002D"/>
    <w:rsid w:val="001101EC"/>
    <w:rsid w:val="00110643"/>
    <w:rsid w:val="00110A9A"/>
    <w:rsid w:val="00111173"/>
    <w:rsid w:val="00111A09"/>
    <w:rsid w:val="00112638"/>
    <w:rsid w:val="00112F51"/>
    <w:rsid w:val="00113209"/>
    <w:rsid w:val="0011363A"/>
    <w:rsid w:val="00113C2C"/>
    <w:rsid w:val="001140F5"/>
    <w:rsid w:val="001146BA"/>
    <w:rsid w:val="00114E5B"/>
    <w:rsid w:val="00115E27"/>
    <w:rsid w:val="00117918"/>
    <w:rsid w:val="00117A10"/>
    <w:rsid w:val="0012144F"/>
    <w:rsid w:val="001218A5"/>
    <w:rsid w:val="00121EC2"/>
    <w:rsid w:val="00122A04"/>
    <w:rsid w:val="0012326E"/>
    <w:rsid w:val="001235AE"/>
    <w:rsid w:val="001237BD"/>
    <w:rsid w:val="00123B9B"/>
    <w:rsid w:val="00124A66"/>
    <w:rsid w:val="001260E1"/>
    <w:rsid w:val="00126418"/>
    <w:rsid w:val="00126BAD"/>
    <w:rsid w:val="001271E6"/>
    <w:rsid w:val="00127605"/>
    <w:rsid w:val="00127A69"/>
    <w:rsid w:val="00127AC7"/>
    <w:rsid w:val="00127C10"/>
    <w:rsid w:val="00127F78"/>
    <w:rsid w:val="001300E9"/>
    <w:rsid w:val="00130625"/>
    <w:rsid w:val="00130C7C"/>
    <w:rsid w:val="00131E2E"/>
    <w:rsid w:val="00132120"/>
    <w:rsid w:val="001325FB"/>
    <w:rsid w:val="00132888"/>
    <w:rsid w:val="00132AD2"/>
    <w:rsid w:val="00132C10"/>
    <w:rsid w:val="00132FE8"/>
    <w:rsid w:val="001330F4"/>
    <w:rsid w:val="0013396A"/>
    <w:rsid w:val="00135728"/>
    <w:rsid w:val="001358BB"/>
    <w:rsid w:val="001369A5"/>
    <w:rsid w:val="00136BC3"/>
    <w:rsid w:val="00140939"/>
    <w:rsid w:val="00142141"/>
    <w:rsid w:val="00144328"/>
    <w:rsid w:val="001446C7"/>
    <w:rsid w:val="00145A23"/>
    <w:rsid w:val="00145A80"/>
    <w:rsid w:val="0014602A"/>
    <w:rsid w:val="00146765"/>
    <w:rsid w:val="00146A32"/>
    <w:rsid w:val="00146E69"/>
    <w:rsid w:val="00147113"/>
    <w:rsid w:val="00147115"/>
    <w:rsid w:val="00147FEE"/>
    <w:rsid w:val="00151B3A"/>
    <w:rsid w:val="001522C9"/>
    <w:rsid w:val="001525F9"/>
    <w:rsid w:val="00152850"/>
    <w:rsid w:val="00152EFB"/>
    <w:rsid w:val="001530F3"/>
    <w:rsid w:val="00153B1F"/>
    <w:rsid w:val="00154037"/>
    <w:rsid w:val="00154040"/>
    <w:rsid w:val="00154511"/>
    <w:rsid w:val="00155AA1"/>
    <w:rsid w:val="00156582"/>
    <w:rsid w:val="001565E7"/>
    <w:rsid w:val="0015660A"/>
    <w:rsid w:val="00157B42"/>
    <w:rsid w:val="00157ECF"/>
    <w:rsid w:val="00160019"/>
    <w:rsid w:val="001601EA"/>
    <w:rsid w:val="00163362"/>
    <w:rsid w:val="0016353D"/>
    <w:rsid w:val="001638E5"/>
    <w:rsid w:val="00163BCD"/>
    <w:rsid w:val="00164270"/>
    <w:rsid w:val="00164A93"/>
    <w:rsid w:val="001650EE"/>
    <w:rsid w:val="001652F0"/>
    <w:rsid w:val="0016607E"/>
    <w:rsid w:val="00166080"/>
    <w:rsid w:val="001661B1"/>
    <w:rsid w:val="0016654E"/>
    <w:rsid w:val="001668A3"/>
    <w:rsid w:val="00166D1C"/>
    <w:rsid w:val="001672D6"/>
    <w:rsid w:val="001674B9"/>
    <w:rsid w:val="00170335"/>
    <w:rsid w:val="0017046C"/>
    <w:rsid w:val="00170BC6"/>
    <w:rsid w:val="00170DC3"/>
    <w:rsid w:val="00170F61"/>
    <w:rsid w:val="0017118B"/>
    <w:rsid w:val="001712BE"/>
    <w:rsid w:val="0017165D"/>
    <w:rsid w:val="001729A7"/>
    <w:rsid w:val="00173D4B"/>
    <w:rsid w:val="00174BB9"/>
    <w:rsid w:val="0017552D"/>
    <w:rsid w:val="001757EA"/>
    <w:rsid w:val="001766F4"/>
    <w:rsid w:val="001767A3"/>
    <w:rsid w:val="00176AFD"/>
    <w:rsid w:val="001779EB"/>
    <w:rsid w:val="00180554"/>
    <w:rsid w:val="00180AD5"/>
    <w:rsid w:val="00180E41"/>
    <w:rsid w:val="001823F3"/>
    <w:rsid w:val="00182F25"/>
    <w:rsid w:val="00182F6A"/>
    <w:rsid w:val="00182FD6"/>
    <w:rsid w:val="00184476"/>
    <w:rsid w:val="001848B7"/>
    <w:rsid w:val="001848DE"/>
    <w:rsid w:val="00185563"/>
    <w:rsid w:val="001859FE"/>
    <w:rsid w:val="001866F9"/>
    <w:rsid w:val="00187D5B"/>
    <w:rsid w:val="00190B92"/>
    <w:rsid w:val="00191189"/>
    <w:rsid w:val="001916CA"/>
    <w:rsid w:val="001916F5"/>
    <w:rsid w:val="001919E7"/>
    <w:rsid w:val="00191D17"/>
    <w:rsid w:val="001925F2"/>
    <w:rsid w:val="00192928"/>
    <w:rsid w:val="00192D50"/>
    <w:rsid w:val="001939E7"/>
    <w:rsid w:val="00195474"/>
    <w:rsid w:val="0019562F"/>
    <w:rsid w:val="00195633"/>
    <w:rsid w:val="001961BC"/>
    <w:rsid w:val="001974F5"/>
    <w:rsid w:val="0019774E"/>
    <w:rsid w:val="001A07FE"/>
    <w:rsid w:val="001A0C14"/>
    <w:rsid w:val="001A0FAE"/>
    <w:rsid w:val="001A10F1"/>
    <w:rsid w:val="001A2183"/>
    <w:rsid w:val="001A2286"/>
    <w:rsid w:val="001A2D5A"/>
    <w:rsid w:val="001A3270"/>
    <w:rsid w:val="001A3C99"/>
    <w:rsid w:val="001A46E9"/>
    <w:rsid w:val="001A49ED"/>
    <w:rsid w:val="001A4C17"/>
    <w:rsid w:val="001A4CEC"/>
    <w:rsid w:val="001A4DC3"/>
    <w:rsid w:val="001A5957"/>
    <w:rsid w:val="001A65D0"/>
    <w:rsid w:val="001A6A20"/>
    <w:rsid w:val="001A6FFB"/>
    <w:rsid w:val="001A77FD"/>
    <w:rsid w:val="001A781D"/>
    <w:rsid w:val="001A7AB5"/>
    <w:rsid w:val="001B167A"/>
    <w:rsid w:val="001B2028"/>
    <w:rsid w:val="001B2AEB"/>
    <w:rsid w:val="001B2E6F"/>
    <w:rsid w:val="001B3661"/>
    <w:rsid w:val="001B3C4C"/>
    <w:rsid w:val="001B3DC7"/>
    <w:rsid w:val="001B4227"/>
    <w:rsid w:val="001B4970"/>
    <w:rsid w:val="001B4B57"/>
    <w:rsid w:val="001B4DCF"/>
    <w:rsid w:val="001B5A84"/>
    <w:rsid w:val="001B5B77"/>
    <w:rsid w:val="001B6437"/>
    <w:rsid w:val="001B6590"/>
    <w:rsid w:val="001B6E1D"/>
    <w:rsid w:val="001B6EC9"/>
    <w:rsid w:val="001B7139"/>
    <w:rsid w:val="001B713E"/>
    <w:rsid w:val="001B73D0"/>
    <w:rsid w:val="001B7867"/>
    <w:rsid w:val="001B78A9"/>
    <w:rsid w:val="001B7B11"/>
    <w:rsid w:val="001C03ED"/>
    <w:rsid w:val="001C0878"/>
    <w:rsid w:val="001C11A9"/>
    <w:rsid w:val="001C17A0"/>
    <w:rsid w:val="001C1BCF"/>
    <w:rsid w:val="001C2590"/>
    <w:rsid w:val="001C260A"/>
    <w:rsid w:val="001C3161"/>
    <w:rsid w:val="001C32E6"/>
    <w:rsid w:val="001C38D8"/>
    <w:rsid w:val="001C3905"/>
    <w:rsid w:val="001C4DCD"/>
    <w:rsid w:val="001C515F"/>
    <w:rsid w:val="001C52FD"/>
    <w:rsid w:val="001C5524"/>
    <w:rsid w:val="001C5A85"/>
    <w:rsid w:val="001C65AD"/>
    <w:rsid w:val="001C6F98"/>
    <w:rsid w:val="001C79C5"/>
    <w:rsid w:val="001D083B"/>
    <w:rsid w:val="001D0BCC"/>
    <w:rsid w:val="001D0CBD"/>
    <w:rsid w:val="001D1ECD"/>
    <w:rsid w:val="001D2270"/>
    <w:rsid w:val="001D236B"/>
    <w:rsid w:val="001D2377"/>
    <w:rsid w:val="001D2833"/>
    <w:rsid w:val="001D2F6C"/>
    <w:rsid w:val="001D39E6"/>
    <w:rsid w:val="001D3CCB"/>
    <w:rsid w:val="001D3F21"/>
    <w:rsid w:val="001D4236"/>
    <w:rsid w:val="001D437E"/>
    <w:rsid w:val="001D53A9"/>
    <w:rsid w:val="001D55AC"/>
    <w:rsid w:val="001D5BFF"/>
    <w:rsid w:val="001D6CBF"/>
    <w:rsid w:val="001D7276"/>
    <w:rsid w:val="001D73AE"/>
    <w:rsid w:val="001D7633"/>
    <w:rsid w:val="001D7E83"/>
    <w:rsid w:val="001E0A79"/>
    <w:rsid w:val="001E0B5E"/>
    <w:rsid w:val="001E0C2B"/>
    <w:rsid w:val="001E0C31"/>
    <w:rsid w:val="001E0E68"/>
    <w:rsid w:val="001E0E7D"/>
    <w:rsid w:val="001E1A36"/>
    <w:rsid w:val="001E1D44"/>
    <w:rsid w:val="001E1DDC"/>
    <w:rsid w:val="001E216B"/>
    <w:rsid w:val="001E2E1C"/>
    <w:rsid w:val="001E4283"/>
    <w:rsid w:val="001E488A"/>
    <w:rsid w:val="001E4A91"/>
    <w:rsid w:val="001E5654"/>
    <w:rsid w:val="001E6277"/>
    <w:rsid w:val="001E649B"/>
    <w:rsid w:val="001E720A"/>
    <w:rsid w:val="001E7949"/>
    <w:rsid w:val="001E7986"/>
    <w:rsid w:val="001F07A2"/>
    <w:rsid w:val="001F1D4E"/>
    <w:rsid w:val="001F289D"/>
    <w:rsid w:val="001F31BA"/>
    <w:rsid w:val="001F3357"/>
    <w:rsid w:val="001F3574"/>
    <w:rsid w:val="001F35F8"/>
    <w:rsid w:val="001F3A89"/>
    <w:rsid w:val="001F3EE3"/>
    <w:rsid w:val="001F607B"/>
    <w:rsid w:val="001F63AF"/>
    <w:rsid w:val="001F695E"/>
    <w:rsid w:val="001F6B95"/>
    <w:rsid w:val="001F6C46"/>
    <w:rsid w:val="001F6E28"/>
    <w:rsid w:val="001F741A"/>
    <w:rsid w:val="001F7C43"/>
    <w:rsid w:val="0020013B"/>
    <w:rsid w:val="00200170"/>
    <w:rsid w:val="00200330"/>
    <w:rsid w:val="002004E6"/>
    <w:rsid w:val="0020094B"/>
    <w:rsid w:val="00201D03"/>
    <w:rsid w:val="0020235C"/>
    <w:rsid w:val="00203A59"/>
    <w:rsid w:val="00203BF3"/>
    <w:rsid w:val="0020430E"/>
    <w:rsid w:val="00204640"/>
    <w:rsid w:val="00204D58"/>
    <w:rsid w:val="00204ED2"/>
    <w:rsid w:val="00205539"/>
    <w:rsid w:val="002057B6"/>
    <w:rsid w:val="00206029"/>
    <w:rsid w:val="00206214"/>
    <w:rsid w:val="00206437"/>
    <w:rsid w:val="00206DCF"/>
    <w:rsid w:val="00206FA5"/>
    <w:rsid w:val="002072D9"/>
    <w:rsid w:val="0021018C"/>
    <w:rsid w:val="00210209"/>
    <w:rsid w:val="00210232"/>
    <w:rsid w:val="00210600"/>
    <w:rsid w:val="00210B18"/>
    <w:rsid w:val="00210C1A"/>
    <w:rsid w:val="002112F6"/>
    <w:rsid w:val="00211475"/>
    <w:rsid w:val="00211B83"/>
    <w:rsid w:val="00211DCF"/>
    <w:rsid w:val="00212495"/>
    <w:rsid w:val="00212E2A"/>
    <w:rsid w:val="00213C0F"/>
    <w:rsid w:val="00213DC7"/>
    <w:rsid w:val="002147C0"/>
    <w:rsid w:val="0021482B"/>
    <w:rsid w:val="00214E61"/>
    <w:rsid w:val="00215173"/>
    <w:rsid w:val="00215BCA"/>
    <w:rsid w:val="00215F1F"/>
    <w:rsid w:val="002161A5"/>
    <w:rsid w:val="002167D5"/>
    <w:rsid w:val="00217502"/>
    <w:rsid w:val="00217B41"/>
    <w:rsid w:val="00220140"/>
    <w:rsid w:val="00220C1B"/>
    <w:rsid w:val="00221275"/>
    <w:rsid w:val="002219CA"/>
    <w:rsid w:val="00221FE1"/>
    <w:rsid w:val="00222089"/>
    <w:rsid w:val="00222ADB"/>
    <w:rsid w:val="00223208"/>
    <w:rsid w:val="0022460D"/>
    <w:rsid w:val="0022496D"/>
    <w:rsid w:val="00224D22"/>
    <w:rsid w:val="00224D25"/>
    <w:rsid w:val="00225766"/>
    <w:rsid w:val="002257AA"/>
    <w:rsid w:val="00226030"/>
    <w:rsid w:val="002261C3"/>
    <w:rsid w:val="0022624F"/>
    <w:rsid w:val="0022638A"/>
    <w:rsid w:val="0022648D"/>
    <w:rsid w:val="00226B92"/>
    <w:rsid w:val="00226D27"/>
    <w:rsid w:val="00227334"/>
    <w:rsid w:val="0022734D"/>
    <w:rsid w:val="002277E9"/>
    <w:rsid w:val="002319C9"/>
    <w:rsid w:val="002320A3"/>
    <w:rsid w:val="00232EBD"/>
    <w:rsid w:val="0023312E"/>
    <w:rsid w:val="00233188"/>
    <w:rsid w:val="00233481"/>
    <w:rsid w:val="00233954"/>
    <w:rsid w:val="00233B16"/>
    <w:rsid w:val="00234163"/>
    <w:rsid w:val="002348A4"/>
    <w:rsid w:val="00235B50"/>
    <w:rsid w:val="00236307"/>
    <w:rsid w:val="00236DB6"/>
    <w:rsid w:val="002372C1"/>
    <w:rsid w:val="00237A5C"/>
    <w:rsid w:val="00240102"/>
    <w:rsid w:val="0024019A"/>
    <w:rsid w:val="002408E4"/>
    <w:rsid w:val="0024168A"/>
    <w:rsid w:val="00241D7C"/>
    <w:rsid w:val="00242073"/>
    <w:rsid w:val="002421A5"/>
    <w:rsid w:val="00242621"/>
    <w:rsid w:val="002429D9"/>
    <w:rsid w:val="002437C8"/>
    <w:rsid w:val="00244F51"/>
    <w:rsid w:val="0024637D"/>
    <w:rsid w:val="002468C5"/>
    <w:rsid w:val="00246A5C"/>
    <w:rsid w:val="00246B21"/>
    <w:rsid w:val="00247CCB"/>
    <w:rsid w:val="00247E4F"/>
    <w:rsid w:val="00247F80"/>
    <w:rsid w:val="00250C66"/>
    <w:rsid w:val="00251AB6"/>
    <w:rsid w:val="00251D4E"/>
    <w:rsid w:val="00252607"/>
    <w:rsid w:val="00252F12"/>
    <w:rsid w:val="002530D3"/>
    <w:rsid w:val="00253639"/>
    <w:rsid w:val="00254297"/>
    <w:rsid w:val="002546B1"/>
    <w:rsid w:val="002547D0"/>
    <w:rsid w:val="0025497A"/>
    <w:rsid w:val="00255BB6"/>
    <w:rsid w:val="00255C02"/>
    <w:rsid w:val="00256691"/>
    <w:rsid w:val="00256F85"/>
    <w:rsid w:val="0025717F"/>
    <w:rsid w:val="002572B1"/>
    <w:rsid w:val="0026027D"/>
    <w:rsid w:val="00260952"/>
    <w:rsid w:val="00260E80"/>
    <w:rsid w:val="00260E97"/>
    <w:rsid w:val="002613A4"/>
    <w:rsid w:val="00261502"/>
    <w:rsid w:val="00261C0E"/>
    <w:rsid w:val="002626EB"/>
    <w:rsid w:val="00262AF0"/>
    <w:rsid w:val="00263709"/>
    <w:rsid w:val="0026396C"/>
    <w:rsid w:val="00264489"/>
    <w:rsid w:val="00264742"/>
    <w:rsid w:val="0026515B"/>
    <w:rsid w:val="00265745"/>
    <w:rsid w:val="00265FD2"/>
    <w:rsid w:val="00266453"/>
    <w:rsid w:val="00266AA3"/>
    <w:rsid w:val="00266C61"/>
    <w:rsid w:val="00266C6C"/>
    <w:rsid w:val="0026744C"/>
    <w:rsid w:val="0026757C"/>
    <w:rsid w:val="00267BA1"/>
    <w:rsid w:val="002700EA"/>
    <w:rsid w:val="0027082F"/>
    <w:rsid w:val="002709CE"/>
    <w:rsid w:val="00271637"/>
    <w:rsid w:val="00271F8A"/>
    <w:rsid w:val="00273822"/>
    <w:rsid w:val="00273FD9"/>
    <w:rsid w:val="00274BF4"/>
    <w:rsid w:val="00275550"/>
    <w:rsid w:val="002757BC"/>
    <w:rsid w:val="002757EE"/>
    <w:rsid w:val="002759E0"/>
    <w:rsid w:val="00275C4E"/>
    <w:rsid w:val="00276F4A"/>
    <w:rsid w:val="0027774D"/>
    <w:rsid w:val="00277A47"/>
    <w:rsid w:val="00277DC4"/>
    <w:rsid w:val="002803DA"/>
    <w:rsid w:val="00280B47"/>
    <w:rsid w:val="0028125F"/>
    <w:rsid w:val="002823B9"/>
    <w:rsid w:val="00282788"/>
    <w:rsid w:val="00282DBF"/>
    <w:rsid w:val="00283338"/>
    <w:rsid w:val="00283A22"/>
    <w:rsid w:val="00283B27"/>
    <w:rsid w:val="00283C42"/>
    <w:rsid w:val="00283DD9"/>
    <w:rsid w:val="0028437D"/>
    <w:rsid w:val="00285379"/>
    <w:rsid w:val="002855CC"/>
    <w:rsid w:val="00285A15"/>
    <w:rsid w:val="00285A1A"/>
    <w:rsid w:val="00285B9D"/>
    <w:rsid w:val="00285D8C"/>
    <w:rsid w:val="00286955"/>
    <w:rsid w:val="00286D6E"/>
    <w:rsid w:val="002871CD"/>
    <w:rsid w:val="00287A8A"/>
    <w:rsid w:val="0029036E"/>
    <w:rsid w:val="00291246"/>
    <w:rsid w:val="002912B0"/>
    <w:rsid w:val="00291FAE"/>
    <w:rsid w:val="00292112"/>
    <w:rsid w:val="00292CE1"/>
    <w:rsid w:val="00292CEE"/>
    <w:rsid w:val="00292FB7"/>
    <w:rsid w:val="00293272"/>
    <w:rsid w:val="002945B5"/>
    <w:rsid w:val="0029471E"/>
    <w:rsid w:val="00294A06"/>
    <w:rsid w:val="00294CC2"/>
    <w:rsid w:val="00295120"/>
    <w:rsid w:val="00295160"/>
    <w:rsid w:val="002951E3"/>
    <w:rsid w:val="0029530C"/>
    <w:rsid w:val="00296156"/>
    <w:rsid w:val="002975D5"/>
    <w:rsid w:val="00297BF0"/>
    <w:rsid w:val="002A0DF4"/>
    <w:rsid w:val="002A11B9"/>
    <w:rsid w:val="002A153F"/>
    <w:rsid w:val="002A1B93"/>
    <w:rsid w:val="002A1F5E"/>
    <w:rsid w:val="002A2A54"/>
    <w:rsid w:val="002A3077"/>
    <w:rsid w:val="002A3508"/>
    <w:rsid w:val="002A3796"/>
    <w:rsid w:val="002A3D8F"/>
    <w:rsid w:val="002A4112"/>
    <w:rsid w:val="002A46BF"/>
    <w:rsid w:val="002A4772"/>
    <w:rsid w:val="002A4F93"/>
    <w:rsid w:val="002A5659"/>
    <w:rsid w:val="002A769B"/>
    <w:rsid w:val="002B0534"/>
    <w:rsid w:val="002B0559"/>
    <w:rsid w:val="002B082C"/>
    <w:rsid w:val="002B19A1"/>
    <w:rsid w:val="002B1D77"/>
    <w:rsid w:val="002B1F24"/>
    <w:rsid w:val="002B231E"/>
    <w:rsid w:val="002B2B48"/>
    <w:rsid w:val="002B2F3E"/>
    <w:rsid w:val="002B38DE"/>
    <w:rsid w:val="002B3947"/>
    <w:rsid w:val="002B3E5B"/>
    <w:rsid w:val="002B473A"/>
    <w:rsid w:val="002B48B0"/>
    <w:rsid w:val="002B4A5C"/>
    <w:rsid w:val="002B4B99"/>
    <w:rsid w:val="002B549F"/>
    <w:rsid w:val="002B5DA2"/>
    <w:rsid w:val="002B5DE2"/>
    <w:rsid w:val="002B5EA8"/>
    <w:rsid w:val="002B5FAF"/>
    <w:rsid w:val="002B5FB8"/>
    <w:rsid w:val="002B6C78"/>
    <w:rsid w:val="002B71AD"/>
    <w:rsid w:val="002B7398"/>
    <w:rsid w:val="002B76BB"/>
    <w:rsid w:val="002B780A"/>
    <w:rsid w:val="002B79FF"/>
    <w:rsid w:val="002C05B5"/>
    <w:rsid w:val="002C0C3C"/>
    <w:rsid w:val="002C1A66"/>
    <w:rsid w:val="002C1ADE"/>
    <w:rsid w:val="002C1DE4"/>
    <w:rsid w:val="002C25AB"/>
    <w:rsid w:val="002C3658"/>
    <w:rsid w:val="002C36CB"/>
    <w:rsid w:val="002C4174"/>
    <w:rsid w:val="002C465A"/>
    <w:rsid w:val="002C4E2F"/>
    <w:rsid w:val="002C53B7"/>
    <w:rsid w:val="002C5C96"/>
    <w:rsid w:val="002C6261"/>
    <w:rsid w:val="002C6420"/>
    <w:rsid w:val="002C7946"/>
    <w:rsid w:val="002D030C"/>
    <w:rsid w:val="002D07D9"/>
    <w:rsid w:val="002D0962"/>
    <w:rsid w:val="002D0A01"/>
    <w:rsid w:val="002D1598"/>
    <w:rsid w:val="002D16FA"/>
    <w:rsid w:val="002D1E6A"/>
    <w:rsid w:val="002D25EB"/>
    <w:rsid w:val="002D30B1"/>
    <w:rsid w:val="002D33AB"/>
    <w:rsid w:val="002D3AFA"/>
    <w:rsid w:val="002D3E66"/>
    <w:rsid w:val="002D3EEC"/>
    <w:rsid w:val="002D426E"/>
    <w:rsid w:val="002D463D"/>
    <w:rsid w:val="002D4F4D"/>
    <w:rsid w:val="002D57A5"/>
    <w:rsid w:val="002D6359"/>
    <w:rsid w:val="002D6D97"/>
    <w:rsid w:val="002D75FA"/>
    <w:rsid w:val="002E05E0"/>
    <w:rsid w:val="002E0E5C"/>
    <w:rsid w:val="002E2299"/>
    <w:rsid w:val="002E25C2"/>
    <w:rsid w:val="002E2923"/>
    <w:rsid w:val="002E2A7F"/>
    <w:rsid w:val="002E2BEF"/>
    <w:rsid w:val="002E3187"/>
    <w:rsid w:val="002E3631"/>
    <w:rsid w:val="002E38A8"/>
    <w:rsid w:val="002E3F45"/>
    <w:rsid w:val="002E45D6"/>
    <w:rsid w:val="002E5226"/>
    <w:rsid w:val="002E5E28"/>
    <w:rsid w:val="002E6994"/>
    <w:rsid w:val="002E6C5A"/>
    <w:rsid w:val="002E7860"/>
    <w:rsid w:val="002E7D80"/>
    <w:rsid w:val="002F0289"/>
    <w:rsid w:val="002F049D"/>
    <w:rsid w:val="002F0AFE"/>
    <w:rsid w:val="002F184A"/>
    <w:rsid w:val="002F206B"/>
    <w:rsid w:val="002F25D3"/>
    <w:rsid w:val="002F280A"/>
    <w:rsid w:val="002F2B6C"/>
    <w:rsid w:val="002F377F"/>
    <w:rsid w:val="002F4054"/>
    <w:rsid w:val="002F4E85"/>
    <w:rsid w:val="002F5562"/>
    <w:rsid w:val="002F5B9E"/>
    <w:rsid w:val="002F5C14"/>
    <w:rsid w:val="002F61FD"/>
    <w:rsid w:val="002F6583"/>
    <w:rsid w:val="002F6FFF"/>
    <w:rsid w:val="002F7E81"/>
    <w:rsid w:val="0030020F"/>
    <w:rsid w:val="0030042C"/>
    <w:rsid w:val="00300BA0"/>
    <w:rsid w:val="00301420"/>
    <w:rsid w:val="00301679"/>
    <w:rsid w:val="0030195E"/>
    <w:rsid w:val="00302C99"/>
    <w:rsid w:val="00302D40"/>
    <w:rsid w:val="00303020"/>
    <w:rsid w:val="00303690"/>
    <w:rsid w:val="00303E04"/>
    <w:rsid w:val="00304C1C"/>
    <w:rsid w:val="00306D1E"/>
    <w:rsid w:val="003073B5"/>
    <w:rsid w:val="003078FD"/>
    <w:rsid w:val="00307BC9"/>
    <w:rsid w:val="00307DEC"/>
    <w:rsid w:val="00307F2F"/>
    <w:rsid w:val="00307FBA"/>
    <w:rsid w:val="00310A08"/>
    <w:rsid w:val="00311155"/>
    <w:rsid w:val="003115EF"/>
    <w:rsid w:val="003126FB"/>
    <w:rsid w:val="00313188"/>
    <w:rsid w:val="003137A5"/>
    <w:rsid w:val="00313963"/>
    <w:rsid w:val="00313CDE"/>
    <w:rsid w:val="00314964"/>
    <w:rsid w:val="0031545F"/>
    <w:rsid w:val="003155F5"/>
    <w:rsid w:val="00315908"/>
    <w:rsid w:val="00317946"/>
    <w:rsid w:val="00317995"/>
    <w:rsid w:val="00320418"/>
    <w:rsid w:val="003208E4"/>
    <w:rsid w:val="00320AA8"/>
    <w:rsid w:val="00321AFB"/>
    <w:rsid w:val="00321CAE"/>
    <w:rsid w:val="00321E13"/>
    <w:rsid w:val="00321F7A"/>
    <w:rsid w:val="003222DE"/>
    <w:rsid w:val="00322930"/>
    <w:rsid w:val="00323DBB"/>
    <w:rsid w:val="003241FB"/>
    <w:rsid w:val="00324BF3"/>
    <w:rsid w:val="003252F7"/>
    <w:rsid w:val="003256FC"/>
    <w:rsid w:val="003257B9"/>
    <w:rsid w:val="00325E7D"/>
    <w:rsid w:val="00325F27"/>
    <w:rsid w:val="00326BA0"/>
    <w:rsid w:val="00326BFF"/>
    <w:rsid w:val="003311D7"/>
    <w:rsid w:val="00331B26"/>
    <w:rsid w:val="003328ED"/>
    <w:rsid w:val="00333CAC"/>
    <w:rsid w:val="00333F2B"/>
    <w:rsid w:val="00334182"/>
    <w:rsid w:val="00334D8F"/>
    <w:rsid w:val="0033510B"/>
    <w:rsid w:val="00335338"/>
    <w:rsid w:val="00335C03"/>
    <w:rsid w:val="003366F8"/>
    <w:rsid w:val="00336816"/>
    <w:rsid w:val="0033763D"/>
    <w:rsid w:val="00337EB3"/>
    <w:rsid w:val="003401B0"/>
    <w:rsid w:val="0034061E"/>
    <w:rsid w:val="0034084F"/>
    <w:rsid w:val="00340DA2"/>
    <w:rsid w:val="00341086"/>
    <w:rsid w:val="0034221F"/>
    <w:rsid w:val="00342746"/>
    <w:rsid w:val="00343863"/>
    <w:rsid w:val="003442D6"/>
    <w:rsid w:val="0034432A"/>
    <w:rsid w:val="003449A3"/>
    <w:rsid w:val="00344B15"/>
    <w:rsid w:val="003457F0"/>
    <w:rsid w:val="00346067"/>
    <w:rsid w:val="0034650A"/>
    <w:rsid w:val="00347080"/>
    <w:rsid w:val="003472A1"/>
    <w:rsid w:val="003478D0"/>
    <w:rsid w:val="003479A7"/>
    <w:rsid w:val="00350451"/>
    <w:rsid w:val="00350EBE"/>
    <w:rsid w:val="00351BA3"/>
    <w:rsid w:val="00352038"/>
    <w:rsid w:val="00352045"/>
    <w:rsid w:val="00352FC8"/>
    <w:rsid w:val="0035305B"/>
    <w:rsid w:val="00354476"/>
    <w:rsid w:val="00354BB2"/>
    <w:rsid w:val="00356044"/>
    <w:rsid w:val="00356621"/>
    <w:rsid w:val="00356B32"/>
    <w:rsid w:val="00357052"/>
    <w:rsid w:val="003573E5"/>
    <w:rsid w:val="00357426"/>
    <w:rsid w:val="003608D8"/>
    <w:rsid w:val="00360AB0"/>
    <w:rsid w:val="003617E8"/>
    <w:rsid w:val="00361DCA"/>
    <w:rsid w:val="00361F6D"/>
    <w:rsid w:val="003626BF"/>
    <w:rsid w:val="00362D85"/>
    <w:rsid w:val="00363CDB"/>
    <w:rsid w:val="00363FB7"/>
    <w:rsid w:val="003641C4"/>
    <w:rsid w:val="00364278"/>
    <w:rsid w:val="00364A75"/>
    <w:rsid w:val="00365F73"/>
    <w:rsid w:val="00366C7A"/>
    <w:rsid w:val="00367335"/>
    <w:rsid w:val="0036799A"/>
    <w:rsid w:val="0037007D"/>
    <w:rsid w:val="00370295"/>
    <w:rsid w:val="00370377"/>
    <w:rsid w:val="003709E5"/>
    <w:rsid w:val="00370D81"/>
    <w:rsid w:val="00371505"/>
    <w:rsid w:val="00371893"/>
    <w:rsid w:val="00371C50"/>
    <w:rsid w:val="00371E07"/>
    <w:rsid w:val="00372A02"/>
    <w:rsid w:val="00372A95"/>
    <w:rsid w:val="00372B10"/>
    <w:rsid w:val="0037416E"/>
    <w:rsid w:val="00374478"/>
    <w:rsid w:val="00374914"/>
    <w:rsid w:val="00374915"/>
    <w:rsid w:val="00374931"/>
    <w:rsid w:val="00375991"/>
    <w:rsid w:val="00375DEF"/>
    <w:rsid w:val="00376278"/>
    <w:rsid w:val="00376E59"/>
    <w:rsid w:val="00377BDF"/>
    <w:rsid w:val="003802CC"/>
    <w:rsid w:val="003815FD"/>
    <w:rsid w:val="00381852"/>
    <w:rsid w:val="0038230C"/>
    <w:rsid w:val="003828CC"/>
    <w:rsid w:val="00382B38"/>
    <w:rsid w:val="003834C5"/>
    <w:rsid w:val="003836AF"/>
    <w:rsid w:val="00385355"/>
    <w:rsid w:val="003853C8"/>
    <w:rsid w:val="003859FA"/>
    <w:rsid w:val="00387310"/>
    <w:rsid w:val="0038785E"/>
    <w:rsid w:val="00387FFD"/>
    <w:rsid w:val="003908EC"/>
    <w:rsid w:val="0039106E"/>
    <w:rsid w:val="003913B4"/>
    <w:rsid w:val="00391E66"/>
    <w:rsid w:val="003930FC"/>
    <w:rsid w:val="00393E7B"/>
    <w:rsid w:val="0039414C"/>
    <w:rsid w:val="0039442A"/>
    <w:rsid w:val="00395B3D"/>
    <w:rsid w:val="00395FBE"/>
    <w:rsid w:val="0039749D"/>
    <w:rsid w:val="003A0738"/>
    <w:rsid w:val="003A14E9"/>
    <w:rsid w:val="003A1F70"/>
    <w:rsid w:val="003A2745"/>
    <w:rsid w:val="003A3632"/>
    <w:rsid w:val="003A36D9"/>
    <w:rsid w:val="003A3D76"/>
    <w:rsid w:val="003A3DE1"/>
    <w:rsid w:val="003A439B"/>
    <w:rsid w:val="003A4A26"/>
    <w:rsid w:val="003A534E"/>
    <w:rsid w:val="003A5817"/>
    <w:rsid w:val="003A6183"/>
    <w:rsid w:val="003A6349"/>
    <w:rsid w:val="003A645B"/>
    <w:rsid w:val="003A6CC2"/>
    <w:rsid w:val="003B1052"/>
    <w:rsid w:val="003B19B5"/>
    <w:rsid w:val="003B1D67"/>
    <w:rsid w:val="003B1FB5"/>
    <w:rsid w:val="003B215F"/>
    <w:rsid w:val="003B27E8"/>
    <w:rsid w:val="003B2A0C"/>
    <w:rsid w:val="003B37AF"/>
    <w:rsid w:val="003B428B"/>
    <w:rsid w:val="003B46C8"/>
    <w:rsid w:val="003B5010"/>
    <w:rsid w:val="003B5BEF"/>
    <w:rsid w:val="003B5C14"/>
    <w:rsid w:val="003B5D41"/>
    <w:rsid w:val="003B62DF"/>
    <w:rsid w:val="003B7096"/>
    <w:rsid w:val="003B76D7"/>
    <w:rsid w:val="003B7961"/>
    <w:rsid w:val="003C0752"/>
    <w:rsid w:val="003C0DBD"/>
    <w:rsid w:val="003C0E9F"/>
    <w:rsid w:val="003C1244"/>
    <w:rsid w:val="003C1985"/>
    <w:rsid w:val="003C2108"/>
    <w:rsid w:val="003C227C"/>
    <w:rsid w:val="003C2BEC"/>
    <w:rsid w:val="003C2C8D"/>
    <w:rsid w:val="003C33FF"/>
    <w:rsid w:val="003C3ACB"/>
    <w:rsid w:val="003C3B44"/>
    <w:rsid w:val="003C41ED"/>
    <w:rsid w:val="003C4C5B"/>
    <w:rsid w:val="003C55FD"/>
    <w:rsid w:val="003C5631"/>
    <w:rsid w:val="003C5E1A"/>
    <w:rsid w:val="003C6376"/>
    <w:rsid w:val="003C6CB4"/>
    <w:rsid w:val="003C6F98"/>
    <w:rsid w:val="003C7658"/>
    <w:rsid w:val="003C7B1D"/>
    <w:rsid w:val="003C7DAA"/>
    <w:rsid w:val="003C7DFA"/>
    <w:rsid w:val="003D0CF2"/>
    <w:rsid w:val="003D1028"/>
    <w:rsid w:val="003D1539"/>
    <w:rsid w:val="003D1723"/>
    <w:rsid w:val="003D2188"/>
    <w:rsid w:val="003D227B"/>
    <w:rsid w:val="003D257A"/>
    <w:rsid w:val="003D3253"/>
    <w:rsid w:val="003D416B"/>
    <w:rsid w:val="003D4288"/>
    <w:rsid w:val="003D511A"/>
    <w:rsid w:val="003D5EB1"/>
    <w:rsid w:val="003D606B"/>
    <w:rsid w:val="003D638F"/>
    <w:rsid w:val="003D7484"/>
    <w:rsid w:val="003D74E6"/>
    <w:rsid w:val="003D7CFE"/>
    <w:rsid w:val="003D7DC0"/>
    <w:rsid w:val="003E0B0A"/>
    <w:rsid w:val="003E121C"/>
    <w:rsid w:val="003E18E0"/>
    <w:rsid w:val="003E1E0A"/>
    <w:rsid w:val="003E1ED3"/>
    <w:rsid w:val="003E2202"/>
    <w:rsid w:val="003E2A41"/>
    <w:rsid w:val="003E2D61"/>
    <w:rsid w:val="003E3811"/>
    <w:rsid w:val="003E3889"/>
    <w:rsid w:val="003E3EE5"/>
    <w:rsid w:val="003E4910"/>
    <w:rsid w:val="003E4FB9"/>
    <w:rsid w:val="003E58BD"/>
    <w:rsid w:val="003E58C2"/>
    <w:rsid w:val="003E7884"/>
    <w:rsid w:val="003F021D"/>
    <w:rsid w:val="003F0671"/>
    <w:rsid w:val="003F0960"/>
    <w:rsid w:val="003F0CD5"/>
    <w:rsid w:val="003F1653"/>
    <w:rsid w:val="003F175E"/>
    <w:rsid w:val="003F2624"/>
    <w:rsid w:val="003F29BC"/>
    <w:rsid w:val="003F2BD9"/>
    <w:rsid w:val="003F400A"/>
    <w:rsid w:val="003F4032"/>
    <w:rsid w:val="003F47C3"/>
    <w:rsid w:val="003F518B"/>
    <w:rsid w:val="003F51FF"/>
    <w:rsid w:val="003F5417"/>
    <w:rsid w:val="003F568D"/>
    <w:rsid w:val="003F5921"/>
    <w:rsid w:val="003F65F9"/>
    <w:rsid w:val="003F688B"/>
    <w:rsid w:val="003F6CBF"/>
    <w:rsid w:val="003F7925"/>
    <w:rsid w:val="003F79EF"/>
    <w:rsid w:val="004006EE"/>
    <w:rsid w:val="00401690"/>
    <w:rsid w:val="004022FE"/>
    <w:rsid w:val="004023D5"/>
    <w:rsid w:val="004023E2"/>
    <w:rsid w:val="00402932"/>
    <w:rsid w:val="00402FD4"/>
    <w:rsid w:val="0040371C"/>
    <w:rsid w:val="004037F4"/>
    <w:rsid w:val="00403C58"/>
    <w:rsid w:val="00404ADA"/>
    <w:rsid w:val="004063CE"/>
    <w:rsid w:val="00411639"/>
    <w:rsid w:val="0041258C"/>
    <w:rsid w:val="0041352C"/>
    <w:rsid w:val="004144F7"/>
    <w:rsid w:val="00415001"/>
    <w:rsid w:val="00415DC5"/>
    <w:rsid w:val="00415F5A"/>
    <w:rsid w:val="00416357"/>
    <w:rsid w:val="0042003B"/>
    <w:rsid w:val="0042040E"/>
    <w:rsid w:val="0042060A"/>
    <w:rsid w:val="00420CA4"/>
    <w:rsid w:val="00420EE2"/>
    <w:rsid w:val="0042109C"/>
    <w:rsid w:val="0042134D"/>
    <w:rsid w:val="00421623"/>
    <w:rsid w:val="004221CF"/>
    <w:rsid w:val="004234E6"/>
    <w:rsid w:val="00423E0D"/>
    <w:rsid w:val="00424432"/>
    <w:rsid w:val="00424F87"/>
    <w:rsid w:val="00425100"/>
    <w:rsid w:val="00425907"/>
    <w:rsid w:val="00425980"/>
    <w:rsid w:val="00425F7E"/>
    <w:rsid w:val="00426495"/>
    <w:rsid w:val="00427107"/>
    <w:rsid w:val="00430F88"/>
    <w:rsid w:val="004310A6"/>
    <w:rsid w:val="004313C8"/>
    <w:rsid w:val="00431EE1"/>
    <w:rsid w:val="00432544"/>
    <w:rsid w:val="0043301F"/>
    <w:rsid w:val="0043309B"/>
    <w:rsid w:val="004331B5"/>
    <w:rsid w:val="00433613"/>
    <w:rsid w:val="004346F0"/>
    <w:rsid w:val="00434EFE"/>
    <w:rsid w:val="004352E3"/>
    <w:rsid w:val="004352E6"/>
    <w:rsid w:val="0043551D"/>
    <w:rsid w:val="0043566E"/>
    <w:rsid w:val="00436A8C"/>
    <w:rsid w:val="00436F73"/>
    <w:rsid w:val="0043703C"/>
    <w:rsid w:val="00437AB7"/>
    <w:rsid w:val="004415AF"/>
    <w:rsid w:val="004419CE"/>
    <w:rsid w:val="004424CB"/>
    <w:rsid w:val="00442841"/>
    <w:rsid w:val="0044286F"/>
    <w:rsid w:val="00442E97"/>
    <w:rsid w:val="00443394"/>
    <w:rsid w:val="004433F2"/>
    <w:rsid w:val="00443ADF"/>
    <w:rsid w:val="004444F8"/>
    <w:rsid w:val="00445CAA"/>
    <w:rsid w:val="00446581"/>
    <w:rsid w:val="0044675C"/>
    <w:rsid w:val="00447537"/>
    <w:rsid w:val="0044762A"/>
    <w:rsid w:val="004479E0"/>
    <w:rsid w:val="00447FB7"/>
    <w:rsid w:val="0045012A"/>
    <w:rsid w:val="00450215"/>
    <w:rsid w:val="004502C2"/>
    <w:rsid w:val="0045177A"/>
    <w:rsid w:val="00451F9C"/>
    <w:rsid w:val="00452172"/>
    <w:rsid w:val="004521CD"/>
    <w:rsid w:val="004524A4"/>
    <w:rsid w:val="004525F9"/>
    <w:rsid w:val="00452673"/>
    <w:rsid w:val="00452BD6"/>
    <w:rsid w:val="00453663"/>
    <w:rsid w:val="0045389E"/>
    <w:rsid w:val="004540A2"/>
    <w:rsid w:val="004540C3"/>
    <w:rsid w:val="00454CDD"/>
    <w:rsid w:val="00454FAF"/>
    <w:rsid w:val="004564FA"/>
    <w:rsid w:val="00456A99"/>
    <w:rsid w:val="00457576"/>
    <w:rsid w:val="00460577"/>
    <w:rsid w:val="00460FB7"/>
    <w:rsid w:val="00461620"/>
    <w:rsid w:val="004617AC"/>
    <w:rsid w:val="0046289C"/>
    <w:rsid w:val="00462B1F"/>
    <w:rsid w:val="00462C04"/>
    <w:rsid w:val="00462E88"/>
    <w:rsid w:val="00463001"/>
    <w:rsid w:val="004637B1"/>
    <w:rsid w:val="0046462D"/>
    <w:rsid w:val="004648C6"/>
    <w:rsid w:val="00464C69"/>
    <w:rsid w:val="004653F8"/>
    <w:rsid w:val="00465FA8"/>
    <w:rsid w:val="00467249"/>
    <w:rsid w:val="00467572"/>
    <w:rsid w:val="00467B83"/>
    <w:rsid w:val="00471113"/>
    <w:rsid w:val="00471328"/>
    <w:rsid w:val="004721BF"/>
    <w:rsid w:val="0047243C"/>
    <w:rsid w:val="004733E7"/>
    <w:rsid w:val="004734ED"/>
    <w:rsid w:val="00473506"/>
    <w:rsid w:val="00474072"/>
    <w:rsid w:val="00474C83"/>
    <w:rsid w:val="00475D03"/>
    <w:rsid w:val="00475FC3"/>
    <w:rsid w:val="004766D2"/>
    <w:rsid w:val="00476B37"/>
    <w:rsid w:val="0047724F"/>
    <w:rsid w:val="00477F24"/>
    <w:rsid w:val="0048014C"/>
    <w:rsid w:val="004806B3"/>
    <w:rsid w:val="00480CAD"/>
    <w:rsid w:val="00480D39"/>
    <w:rsid w:val="00481E9D"/>
    <w:rsid w:val="00482065"/>
    <w:rsid w:val="00482420"/>
    <w:rsid w:val="00482582"/>
    <w:rsid w:val="004829A6"/>
    <w:rsid w:val="0048311B"/>
    <w:rsid w:val="00483AEE"/>
    <w:rsid w:val="00483F5A"/>
    <w:rsid w:val="00483F79"/>
    <w:rsid w:val="004843A6"/>
    <w:rsid w:val="00484680"/>
    <w:rsid w:val="004846D6"/>
    <w:rsid w:val="00484CB0"/>
    <w:rsid w:val="00485804"/>
    <w:rsid w:val="00485F89"/>
    <w:rsid w:val="00486358"/>
    <w:rsid w:val="004864ED"/>
    <w:rsid w:val="0048687F"/>
    <w:rsid w:val="00486F15"/>
    <w:rsid w:val="004873DB"/>
    <w:rsid w:val="00487FC5"/>
    <w:rsid w:val="0049039F"/>
    <w:rsid w:val="00490451"/>
    <w:rsid w:val="004906AF"/>
    <w:rsid w:val="00490D68"/>
    <w:rsid w:val="0049131A"/>
    <w:rsid w:val="00491BEF"/>
    <w:rsid w:val="00491CF7"/>
    <w:rsid w:val="00492068"/>
    <w:rsid w:val="004926E4"/>
    <w:rsid w:val="004937B6"/>
    <w:rsid w:val="00493901"/>
    <w:rsid w:val="00494755"/>
    <w:rsid w:val="00494B70"/>
    <w:rsid w:val="0049541D"/>
    <w:rsid w:val="004959D4"/>
    <w:rsid w:val="00497136"/>
    <w:rsid w:val="00497270"/>
    <w:rsid w:val="004A0977"/>
    <w:rsid w:val="004A1143"/>
    <w:rsid w:val="004A16F6"/>
    <w:rsid w:val="004A1DDD"/>
    <w:rsid w:val="004A2FEF"/>
    <w:rsid w:val="004A3CA4"/>
    <w:rsid w:val="004A44D1"/>
    <w:rsid w:val="004A4806"/>
    <w:rsid w:val="004A4D39"/>
    <w:rsid w:val="004A5803"/>
    <w:rsid w:val="004A5905"/>
    <w:rsid w:val="004A620F"/>
    <w:rsid w:val="004A669C"/>
    <w:rsid w:val="004A71E3"/>
    <w:rsid w:val="004A7C83"/>
    <w:rsid w:val="004A7FD2"/>
    <w:rsid w:val="004B1AB8"/>
    <w:rsid w:val="004B1B3C"/>
    <w:rsid w:val="004B1FA2"/>
    <w:rsid w:val="004B390C"/>
    <w:rsid w:val="004B3F1B"/>
    <w:rsid w:val="004B51AA"/>
    <w:rsid w:val="004B557E"/>
    <w:rsid w:val="004B59FC"/>
    <w:rsid w:val="004C0183"/>
    <w:rsid w:val="004C02FD"/>
    <w:rsid w:val="004C06F9"/>
    <w:rsid w:val="004C070B"/>
    <w:rsid w:val="004C19E8"/>
    <w:rsid w:val="004C2523"/>
    <w:rsid w:val="004C2684"/>
    <w:rsid w:val="004C29CA"/>
    <w:rsid w:val="004C2A7E"/>
    <w:rsid w:val="004C2B0A"/>
    <w:rsid w:val="004C348C"/>
    <w:rsid w:val="004C3603"/>
    <w:rsid w:val="004C3C4E"/>
    <w:rsid w:val="004C48CD"/>
    <w:rsid w:val="004C4C03"/>
    <w:rsid w:val="004C5676"/>
    <w:rsid w:val="004C5FE1"/>
    <w:rsid w:val="004C688D"/>
    <w:rsid w:val="004C6AB5"/>
    <w:rsid w:val="004C6B07"/>
    <w:rsid w:val="004C7432"/>
    <w:rsid w:val="004C7517"/>
    <w:rsid w:val="004C78AF"/>
    <w:rsid w:val="004C7F24"/>
    <w:rsid w:val="004D06D7"/>
    <w:rsid w:val="004D12AD"/>
    <w:rsid w:val="004D167B"/>
    <w:rsid w:val="004D2A5C"/>
    <w:rsid w:val="004D3D1F"/>
    <w:rsid w:val="004D3D2E"/>
    <w:rsid w:val="004D403E"/>
    <w:rsid w:val="004D4979"/>
    <w:rsid w:val="004D4BAB"/>
    <w:rsid w:val="004D5776"/>
    <w:rsid w:val="004D5C09"/>
    <w:rsid w:val="004D5CE1"/>
    <w:rsid w:val="004D699D"/>
    <w:rsid w:val="004D69FA"/>
    <w:rsid w:val="004D7120"/>
    <w:rsid w:val="004E0DBC"/>
    <w:rsid w:val="004E14E3"/>
    <w:rsid w:val="004E1A5A"/>
    <w:rsid w:val="004E20CC"/>
    <w:rsid w:val="004E2707"/>
    <w:rsid w:val="004E2FEA"/>
    <w:rsid w:val="004E311E"/>
    <w:rsid w:val="004E3A14"/>
    <w:rsid w:val="004E3A8B"/>
    <w:rsid w:val="004E430B"/>
    <w:rsid w:val="004E47D8"/>
    <w:rsid w:val="004E52D5"/>
    <w:rsid w:val="004E5338"/>
    <w:rsid w:val="004E5835"/>
    <w:rsid w:val="004E59C9"/>
    <w:rsid w:val="004E60C7"/>
    <w:rsid w:val="004E67C2"/>
    <w:rsid w:val="004E6851"/>
    <w:rsid w:val="004E758A"/>
    <w:rsid w:val="004E774D"/>
    <w:rsid w:val="004E7EEC"/>
    <w:rsid w:val="004E7F48"/>
    <w:rsid w:val="004F0E72"/>
    <w:rsid w:val="004F10F3"/>
    <w:rsid w:val="004F1153"/>
    <w:rsid w:val="004F1CCE"/>
    <w:rsid w:val="004F216A"/>
    <w:rsid w:val="004F280A"/>
    <w:rsid w:val="004F2FFF"/>
    <w:rsid w:val="004F341E"/>
    <w:rsid w:val="004F5329"/>
    <w:rsid w:val="004F579C"/>
    <w:rsid w:val="004F5923"/>
    <w:rsid w:val="004F5CBB"/>
    <w:rsid w:val="00500CF3"/>
    <w:rsid w:val="005017C3"/>
    <w:rsid w:val="005027CC"/>
    <w:rsid w:val="00502867"/>
    <w:rsid w:val="00502A74"/>
    <w:rsid w:val="00502E99"/>
    <w:rsid w:val="00502F5D"/>
    <w:rsid w:val="005030B1"/>
    <w:rsid w:val="005031B5"/>
    <w:rsid w:val="0050328F"/>
    <w:rsid w:val="00504183"/>
    <w:rsid w:val="00504E82"/>
    <w:rsid w:val="00505B1D"/>
    <w:rsid w:val="00505CE2"/>
    <w:rsid w:val="00510016"/>
    <w:rsid w:val="00510AD0"/>
    <w:rsid w:val="005121E3"/>
    <w:rsid w:val="00512A48"/>
    <w:rsid w:val="00512B91"/>
    <w:rsid w:val="00512DB4"/>
    <w:rsid w:val="00512FEA"/>
    <w:rsid w:val="00512FEE"/>
    <w:rsid w:val="005131BC"/>
    <w:rsid w:val="00513DED"/>
    <w:rsid w:val="005141BE"/>
    <w:rsid w:val="00515DEC"/>
    <w:rsid w:val="005161FD"/>
    <w:rsid w:val="005167C6"/>
    <w:rsid w:val="00517076"/>
    <w:rsid w:val="00517803"/>
    <w:rsid w:val="00520386"/>
    <w:rsid w:val="00520447"/>
    <w:rsid w:val="00521351"/>
    <w:rsid w:val="00521519"/>
    <w:rsid w:val="00521592"/>
    <w:rsid w:val="00521961"/>
    <w:rsid w:val="00522461"/>
    <w:rsid w:val="00522864"/>
    <w:rsid w:val="00522A59"/>
    <w:rsid w:val="00522BE8"/>
    <w:rsid w:val="005230AA"/>
    <w:rsid w:val="005234FB"/>
    <w:rsid w:val="00523623"/>
    <w:rsid w:val="0052478B"/>
    <w:rsid w:val="00525870"/>
    <w:rsid w:val="00525C14"/>
    <w:rsid w:val="00526D44"/>
    <w:rsid w:val="00527470"/>
    <w:rsid w:val="00527F78"/>
    <w:rsid w:val="005300DF"/>
    <w:rsid w:val="00530494"/>
    <w:rsid w:val="005314E0"/>
    <w:rsid w:val="00531A6E"/>
    <w:rsid w:val="00531D65"/>
    <w:rsid w:val="005321AA"/>
    <w:rsid w:val="00532549"/>
    <w:rsid w:val="00532C68"/>
    <w:rsid w:val="0053320A"/>
    <w:rsid w:val="0053347E"/>
    <w:rsid w:val="005343BC"/>
    <w:rsid w:val="00534730"/>
    <w:rsid w:val="00535BA8"/>
    <w:rsid w:val="00535EB2"/>
    <w:rsid w:val="00536ECE"/>
    <w:rsid w:val="0053738A"/>
    <w:rsid w:val="005374C5"/>
    <w:rsid w:val="00537868"/>
    <w:rsid w:val="00537C2F"/>
    <w:rsid w:val="0054007D"/>
    <w:rsid w:val="0054157D"/>
    <w:rsid w:val="0054184B"/>
    <w:rsid w:val="00541B16"/>
    <w:rsid w:val="00541B4A"/>
    <w:rsid w:val="00541C9F"/>
    <w:rsid w:val="005420C5"/>
    <w:rsid w:val="005426EB"/>
    <w:rsid w:val="00542759"/>
    <w:rsid w:val="00542A1E"/>
    <w:rsid w:val="00542AB0"/>
    <w:rsid w:val="00542C99"/>
    <w:rsid w:val="00543171"/>
    <w:rsid w:val="00543F0D"/>
    <w:rsid w:val="005441F0"/>
    <w:rsid w:val="0054428F"/>
    <w:rsid w:val="005444F2"/>
    <w:rsid w:val="00544879"/>
    <w:rsid w:val="005449F7"/>
    <w:rsid w:val="00544C88"/>
    <w:rsid w:val="00544D07"/>
    <w:rsid w:val="00545445"/>
    <w:rsid w:val="00545D3E"/>
    <w:rsid w:val="00545EDB"/>
    <w:rsid w:val="00546275"/>
    <w:rsid w:val="00546500"/>
    <w:rsid w:val="00546726"/>
    <w:rsid w:val="0054699C"/>
    <w:rsid w:val="005469A7"/>
    <w:rsid w:val="0054767C"/>
    <w:rsid w:val="005508B8"/>
    <w:rsid w:val="00550BFE"/>
    <w:rsid w:val="00550D65"/>
    <w:rsid w:val="005522D1"/>
    <w:rsid w:val="005524FC"/>
    <w:rsid w:val="00553758"/>
    <w:rsid w:val="0055375D"/>
    <w:rsid w:val="0055486D"/>
    <w:rsid w:val="005562D7"/>
    <w:rsid w:val="0056064C"/>
    <w:rsid w:val="005608BF"/>
    <w:rsid w:val="00561056"/>
    <w:rsid w:val="0056126C"/>
    <w:rsid w:val="005613DA"/>
    <w:rsid w:val="00561802"/>
    <w:rsid w:val="00561A87"/>
    <w:rsid w:val="0056215B"/>
    <w:rsid w:val="0056251A"/>
    <w:rsid w:val="0056323B"/>
    <w:rsid w:val="00563855"/>
    <w:rsid w:val="005638F5"/>
    <w:rsid w:val="00563B5E"/>
    <w:rsid w:val="005642CD"/>
    <w:rsid w:val="005648CD"/>
    <w:rsid w:val="00564FAD"/>
    <w:rsid w:val="005653E0"/>
    <w:rsid w:val="005654E5"/>
    <w:rsid w:val="0056638B"/>
    <w:rsid w:val="00567C55"/>
    <w:rsid w:val="00567E1A"/>
    <w:rsid w:val="00570C1D"/>
    <w:rsid w:val="005712C4"/>
    <w:rsid w:val="005724A0"/>
    <w:rsid w:val="005728FA"/>
    <w:rsid w:val="0057307A"/>
    <w:rsid w:val="005736FB"/>
    <w:rsid w:val="005737EA"/>
    <w:rsid w:val="00573FC6"/>
    <w:rsid w:val="00574052"/>
    <w:rsid w:val="0057427A"/>
    <w:rsid w:val="00574371"/>
    <w:rsid w:val="00574B6B"/>
    <w:rsid w:val="00575243"/>
    <w:rsid w:val="00575375"/>
    <w:rsid w:val="00575994"/>
    <w:rsid w:val="00575BA9"/>
    <w:rsid w:val="00575C7A"/>
    <w:rsid w:val="00575E83"/>
    <w:rsid w:val="00576163"/>
    <w:rsid w:val="00576A7A"/>
    <w:rsid w:val="00577CFC"/>
    <w:rsid w:val="00577EDD"/>
    <w:rsid w:val="00577FAC"/>
    <w:rsid w:val="0058064E"/>
    <w:rsid w:val="00580E44"/>
    <w:rsid w:val="005810C6"/>
    <w:rsid w:val="00582357"/>
    <w:rsid w:val="00583186"/>
    <w:rsid w:val="00583D9E"/>
    <w:rsid w:val="00584226"/>
    <w:rsid w:val="00584F9D"/>
    <w:rsid w:val="00585655"/>
    <w:rsid w:val="00586C1C"/>
    <w:rsid w:val="00586FEC"/>
    <w:rsid w:val="005879F1"/>
    <w:rsid w:val="0059050D"/>
    <w:rsid w:val="00590B46"/>
    <w:rsid w:val="00590C3E"/>
    <w:rsid w:val="00590EE5"/>
    <w:rsid w:val="005910C6"/>
    <w:rsid w:val="00591385"/>
    <w:rsid w:val="00591A22"/>
    <w:rsid w:val="00592493"/>
    <w:rsid w:val="005925BF"/>
    <w:rsid w:val="00592645"/>
    <w:rsid w:val="00592743"/>
    <w:rsid w:val="005928A7"/>
    <w:rsid w:val="005929E1"/>
    <w:rsid w:val="005929F0"/>
    <w:rsid w:val="00592F90"/>
    <w:rsid w:val="00593054"/>
    <w:rsid w:val="00593ED6"/>
    <w:rsid w:val="0059405E"/>
    <w:rsid w:val="00595657"/>
    <w:rsid w:val="0059617E"/>
    <w:rsid w:val="005969E8"/>
    <w:rsid w:val="00597CB5"/>
    <w:rsid w:val="005A00E9"/>
    <w:rsid w:val="005A0317"/>
    <w:rsid w:val="005A0E5C"/>
    <w:rsid w:val="005A112D"/>
    <w:rsid w:val="005A1B28"/>
    <w:rsid w:val="005A1E6F"/>
    <w:rsid w:val="005A208D"/>
    <w:rsid w:val="005A2314"/>
    <w:rsid w:val="005A2530"/>
    <w:rsid w:val="005A2B78"/>
    <w:rsid w:val="005A2ED0"/>
    <w:rsid w:val="005A3173"/>
    <w:rsid w:val="005A360C"/>
    <w:rsid w:val="005A3689"/>
    <w:rsid w:val="005A3BC8"/>
    <w:rsid w:val="005A43CA"/>
    <w:rsid w:val="005A495F"/>
    <w:rsid w:val="005A4DA1"/>
    <w:rsid w:val="005A59DC"/>
    <w:rsid w:val="005A6151"/>
    <w:rsid w:val="005A6C4B"/>
    <w:rsid w:val="005A747B"/>
    <w:rsid w:val="005B019E"/>
    <w:rsid w:val="005B1700"/>
    <w:rsid w:val="005B173D"/>
    <w:rsid w:val="005B1B2F"/>
    <w:rsid w:val="005B1FCD"/>
    <w:rsid w:val="005B23B1"/>
    <w:rsid w:val="005B324A"/>
    <w:rsid w:val="005B34BB"/>
    <w:rsid w:val="005B3687"/>
    <w:rsid w:val="005B3D05"/>
    <w:rsid w:val="005B3E53"/>
    <w:rsid w:val="005B404F"/>
    <w:rsid w:val="005B4627"/>
    <w:rsid w:val="005B4C21"/>
    <w:rsid w:val="005B4C92"/>
    <w:rsid w:val="005B5A32"/>
    <w:rsid w:val="005B5AF3"/>
    <w:rsid w:val="005B5C96"/>
    <w:rsid w:val="005B5F10"/>
    <w:rsid w:val="005B603F"/>
    <w:rsid w:val="005B63E3"/>
    <w:rsid w:val="005B6FDA"/>
    <w:rsid w:val="005B7704"/>
    <w:rsid w:val="005B7AC3"/>
    <w:rsid w:val="005B7CB8"/>
    <w:rsid w:val="005C0C26"/>
    <w:rsid w:val="005C1262"/>
    <w:rsid w:val="005C28DD"/>
    <w:rsid w:val="005C28E3"/>
    <w:rsid w:val="005C33AF"/>
    <w:rsid w:val="005C3815"/>
    <w:rsid w:val="005C386A"/>
    <w:rsid w:val="005C3D82"/>
    <w:rsid w:val="005C4556"/>
    <w:rsid w:val="005C476C"/>
    <w:rsid w:val="005C480E"/>
    <w:rsid w:val="005C4A61"/>
    <w:rsid w:val="005C4E09"/>
    <w:rsid w:val="005C4E49"/>
    <w:rsid w:val="005C5FCE"/>
    <w:rsid w:val="005C615D"/>
    <w:rsid w:val="005C624F"/>
    <w:rsid w:val="005C66C2"/>
    <w:rsid w:val="005C6AED"/>
    <w:rsid w:val="005C6FC3"/>
    <w:rsid w:val="005C7085"/>
    <w:rsid w:val="005C719F"/>
    <w:rsid w:val="005C7DF9"/>
    <w:rsid w:val="005C7EA8"/>
    <w:rsid w:val="005D1E0A"/>
    <w:rsid w:val="005D1E73"/>
    <w:rsid w:val="005D2AF3"/>
    <w:rsid w:val="005D2B3A"/>
    <w:rsid w:val="005D2C46"/>
    <w:rsid w:val="005D2DD8"/>
    <w:rsid w:val="005D31C4"/>
    <w:rsid w:val="005D3991"/>
    <w:rsid w:val="005D416D"/>
    <w:rsid w:val="005D452A"/>
    <w:rsid w:val="005D5083"/>
    <w:rsid w:val="005D537A"/>
    <w:rsid w:val="005D594C"/>
    <w:rsid w:val="005D598A"/>
    <w:rsid w:val="005D601C"/>
    <w:rsid w:val="005D64CD"/>
    <w:rsid w:val="005D6C24"/>
    <w:rsid w:val="005D7A1E"/>
    <w:rsid w:val="005D7B00"/>
    <w:rsid w:val="005E0FB9"/>
    <w:rsid w:val="005E1654"/>
    <w:rsid w:val="005E1D12"/>
    <w:rsid w:val="005E1D96"/>
    <w:rsid w:val="005E23E7"/>
    <w:rsid w:val="005E25DE"/>
    <w:rsid w:val="005E2CB3"/>
    <w:rsid w:val="005E2F77"/>
    <w:rsid w:val="005E3106"/>
    <w:rsid w:val="005E40DB"/>
    <w:rsid w:val="005E48AD"/>
    <w:rsid w:val="005E4ADB"/>
    <w:rsid w:val="005E5AA9"/>
    <w:rsid w:val="005E5FA5"/>
    <w:rsid w:val="005E60D9"/>
    <w:rsid w:val="005E663E"/>
    <w:rsid w:val="005E6F77"/>
    <w:rsid w:val="005E7289"/>
    <w:rsid w:val="005E73C9"/>
    <w:rsid w:val="005E740D"/>
    <w:rsid w:val="005F1B8B"/>
    <w:rsid w:val="005F20C8"/>
    <w:rsid w:val="005F249B"/>
    <w:rsid w:val="005F27A4"/>
    <w:rsid w:val="005F2A48"/>
    <w:rsid w:val="005F3543"/>
    <w:rsid w:val="005F415C"/>
    <w:rsid w:val="005F5E63"/>
    <w:rsid w:val="005F60D7"/>
    <w:rsid w:val="005F66C3"/>
    <w:rsid w:val="005F6B03"/>
    <w:rsid w:val="005F715D"/>
    <w:rsid w:val="005F7270"/>
    <w:rsid w:val="005F7320"/>
    <w:rsid w:val="005F7C36"/>
    <w:rsid w:val="005F7D1C"/>
    <w:rsid w:val="006001DB"/>
    <w:rsid w:val="006009EF"/>
    <w:rsid w:val="00600E65"/>
    <w:rsid w:val="0060177B"/>
    <w:rsid w:val="00601C99"/>
    <w:rsid w:val="00602B2F"/>
    <w:rsid w:val="00602BCB"/>
    <w:rsid w:val="0060328F"/>
    <w:rsid w:val="006034BB"/>
    <w:rsid w:val="006042A8"/>
    <w:rsid w:val="00604323"/>
    <w:rsid w:val="00604661"/>
    <w:rsid w:val="00604D68"/>
    <w:rsid w:val="00604F47"/>
    <w:rsid w:val="00604F5B"/>
    <w:rsid w:val="006056B5"/>
    <w:rsid w:val="0060686B"/>
    <w:rsid w:val="00607CF3"/>
    <w:rsid w:val="00607F4E"/>
    <w:rsid w:val="006105FE"/>
    <w:rsid w:val="006107AF"/>
    <w:rsid w:val="006116FC"/>
    <w:rsid w:val="00611988"/>
    <w:rsid w:val="00611D8B"/>
    <w:rsid w:val="006129C9"/>
    <w:rsid w:val="0061302C"/>
    <w:rsid w:val="00613344"/>
    <w:rsid w:val="00613635"/>
    <w:rsid w:val="006136C6"/>
    <w:rsid w:val="0061467B"/>
    <w:rsid w:val="00614941"/>
    <w:rsid w:val="006149C9"/>
    <w:rsid w:val="00614CC0"/>
    <w:rsid w:val="00614DC4"/>
    <w:rsid w:val="0061518F"/>
    <w:rsid w:val="006154F4"/>
    <w:rsid w:val="00615609"/>
    <w:rsid w:val="0061607D"/>
    <w:rsid w:val="0061624B"/>
    <w:rsid w:val="00616724"/>
    <w:rsid w:val="00616FA4"/>
    <w:rsid w:val="006170AF"/>
    <w:rsid w:val="00617164"/>
    <w:rsid w:val="006179D1"/>
    <w:rsid w:val="006202DD"/>
    <w:rsid w:val="006202EA"/>
    <w:rsid w:val="00620B44"/>
    <w:rsid w:val="0062159F"/>
    <w:rsid w:val="00621772"/>
    <w:rsid w:val="006219F8"/>
    <w:rsid w:val="00621BA9"/>
    <w:rsid w:val="00621D9A"/>
    <w:rsid w:val="0062254A"/>
    <w:rsid w:val="0062266D"/>
    <w:rsid w:val="00623012"/>
    <w:rsid w:val="00623C09"/>
    <w:rsid w:val="006247BD"/>
    <w:rsid w:val="00624C7F"/>
    <w:rsid w:val="00624E61"/>
    <w:rsid w:val="006269BF"/>
    <w:rsid w:val="00626F4A"/>
    <w:rsid w:val="00627EA7"/>
    <w:rsid w:val="006300C9"/>
    <w:rsid w:val="00630A63"/>
    <w:rsid w:val="00630F46"/>
    <w:rsid w:val="006318EA"/>
    <w:rsid w:val="0063196F"/>
    <w:rsid w:val="00631EEA"/>
    <w:rsid w:val="006336D4"/>
    <w:rsid w:val="0063380D"/>
    <w:rsid w:val="00633903"/>
    <w:rsid w:val="0063437D"/>
    <w:rsid w:val="0063593F"/>
    <w:rsid w:val="00636054"/>
    <w:rsid w:val="00636213"/>
    <w:rsid w:val="00636352"/>
    <w:rsid w:val="00637D5A"/>
    <w:rsid w:val="00641907"/>
    <w:rsid w:val="00641C99"/>
    <w:rsid w:val="00641E4A"/>
    <w:rsid w:val="00642895"/>
    <w:rsid w:val="006432E0"/>
    <w:rsid w:val="00643870"/>
    <w:rsid w:val="00643E45"/>
    <w:rsid w:val="00643F00"/>
    <w:rsid w:val="0064581A"/>
    <w:rsid w:val="006458ED"/>
    <w:rsid w:val="00645CCC"/>
    <w:rsid w:val="006465A3"/>
    <w:rsid w:val="006465F3"/>
    <w:rsid w:val="00646DA8"/>
    <w:rsid w:val="006472C6"/>
    <w:rsid w:val="006473E2"/>
    <w:rsid w:val="0064766C"/>
    <w:rsid w:val="00647695"/>
    <w:rsid w:val="0064777B"/>
    <w:rsid w:val="00647927"/>
    <w:rsid w:val="00647B86"/>
    <w:rsid w:val="0065014C"/>
    <w:rsid w:val="006504CB"/>
    <w:rsid w:val="00650660"/>
    <w:rsid w:val="00650D81"/>
    <w:rsid w:val="006513C7"/>
    <w:rsid w:val="0065152A"/>
    <w:rsid w:val="00651558"/>
    <w:rsid w:val="006519C5"/>
    <w:rsid w:val="00651E0E"/>
    <w:rsid w:val="00652106"/>
    <w:rsid w:val="006522BD"/>
    <w:rsid w:val="006529BD"/>
    <w:rsid w:val="0065362B"/>
    <w:rsid w:val="0065392A"/>
    <w:rsid w:val="00653BF1"/>
    <w:rsid w:val="00654154"/>
    <w:rsid w:val="006547A3"/>
    <w:rsid w:val="0065562B"/>
    <w:rsid w:val="00655874"/>
    <w:rsid w:val="00656537"/>
    <w:rsid w:val="00656557"/>
    <w:rsid w:val="00656E71"/>
    <w:rsid w:val="00657277"/>
    <w:rsid w:val="00657602"/>
    <w:rsid w:val="006576D7"/>
    <w:rsid w:val="00657ACA"/>
    <w:rsid w:val="00657D57"/>
    <w:rsid w:val="0066010A"/>
    <w:rsid w:val="0066072B"/>
    <w:rsid w:val="00660933"/>
    <w:rsid w:val="006609D9"/>
    <w:rsid w:val="0066147F"/>
    <w:rsid w:val="006615A4"/>
    <w:rsid w:val="00661AF2"/>
    <w:rsid w:val="00661DF3"/>
    <w:rsid w:val="006626EC"/>
    <w:rsid w:val="00662E2A"/>
    <w:rsid w:val="00662E2D"/>
    <w:rsid w:val="006631E7"/>
    <w:rsid w:val="0066388B"/>
    <w:rsid w:val="0066401E"/>
    <w:rsid w:val="00664502"/>
    <w:rsid w:val="00664BF8"/>
    <w:rsid w:val="00664CF5"/>
    <w:rsid w:val="00665CC3"/>
    <w:rsid w:val="00666184"/>
    <w:rsid w:val="00666CED"/>
    <w:rsid w:val="00670473"/>
    <w:rsid w:val="006708A5"/>
    <w:rsid w:val="00670E5B"/>
    <w:rsid w:val="00670FEC"/>
    <w:rsid w:val="00671F7A"/>
    <w:rsid w:val="006733C5"/>
    <w:rsid w:val="006735D8"/>
    <w:rsid w:val="00673760"/>
    <w:rsid w:val="00673C4F"/>
    <w:rsid w:val="00673E14"/>
    <w:rsid w:val="0067445B"/>
    <w:rsid w:val="0067445F"/>
    <w:rsid w:val="0067478B"/>
    <w:rsid w:val="0067479F"/>
    <w:rsid w:val="0067566D"/>
    <w:rsid w:val="00675BC7"/>
    <w:rsid w:val="00675C62"/>
    <w:rsid w:val="00675D55"/>
    <w:rsid w:val="00675FB9"/>
    <w:rsid w:val="00676307"/>
    <w:rsid w:val="006763C2"/>
    <w:rsid w:val="00676DFC"/>
    <w:rsid w:val="006778C2"/>
    <w:rsid w:val="00677F8A"/>
    <w:rsid w:val="0068119C"/>
    <w:rsid w:val="006812CA"/>
    <w:rsid w:val="006814AA"/>
    <w:rsid w:val="0068158E"/>
    <w:rsid w:val="006830EE"/>
    <w:rsid w:val="00683852"/>
    <w:rsid w:val="00683AF5"/>
    <w:rsid w:val="00684AFF"/>
    <w:rsid w:val="0068510C"/>
    <w:rsid w:val="00685611"/>
    <w:rsid w:val="00685FCC"/>
    <w:rsid w:val="00686307"/>
    <w:rsid w:val="0068715B"/>
    <w:rsid w:val="00687382"/>
    <w:rsid w:val="0068792A"/>
    <w:rsid w:val="0069025E"/>
    <w:rsid w:val="006903F2"/>
    <w:rsid w:val="00690AFB"/>
    <w:rsid w:val="00691134"/>
    <w:rsid w:val="006915A5"/>
    <w:rsid w:val="006916D9"/>
    <w:rsid w:val="00691E1B"/>
    <w:rsid w:val="006928F4"/>
    <w:rsid w:val="006931B4"/>
    <w:rsid w:val="006937E2"/>
    <w:rsid w:val="006938E9"/>
    <w:rsid w:val="00693BE3"/>
    <w:rsid w:val="0069444B"/>
    <w:rsid w:val="006945D6"/>
    <w:rsid w:val="006948CF"/>
    <w:rsid w:val="00696C2D"/>
    <w:rsid w:val="006970A1"/>
    <w:rsid w:val="00697D22"/>
    <w:rsid w:val="006A03DC"/>
    <w:rsid w:val="006A0659"/>
    <w:rsid w:val="006A0BA5"/>
    <w:rsid w:val="006A0E17"/>
    <w:rsid w:val="006A1399"/>
    <w:rsid w:val="006A2273"/>
    <w:rsid w:val="006A237C"/>
    <w:rsid w:val="006A2729"/>
    <w:rsid w:val="006A3081"/>
    <w:rsid w:val="006A3374"/>
    <w:rsid w:val="006A46F9"/>
    <w:rsid w:val="006A4A55"/>
    <w:rsid w:val="006A561B"/>
    <w:rsid w:val="006A6167"/>
    <w:rsid w:val="006A7135"/>
    <w:rsid w:val="006A74BF"/>
    <w:rsid w:val="006B00AC"/>
    <w:rsid w:val="006B0423"/>
    <w:rsid w:val="006B05FD"/>
    <w:rsid w:val="006B091E"/>
    <w:rsid w:val="006B1073"/>
    <w:rsid w:val="006B2829"/>
    <w:rsid w:val="006B2E2C"/>
    <w:rsid w:val="006B314C"/>
    <w:rsid w:val="006B3496"/>
    <w:rsid w:val="006B39CA"/>
    <w:rsid w:val="006B3F52"/>
    <w:rsid w:val="006B4A3D"/>
    <w:rsid w:val="006B5183"/>
    <w:rsid w:val="006B5715"/>
    <w:rsid w:val="006B58BC"/>
    <w:rsid w:val="006B5B5B"/>
    <w:rsid w:val="006B5BCD"/>
    <w:rsid w:val="006B5F88"/>
    <w:rsid w:val="006B641C"/>
    <w:rsid w:val="006B6BD1"/>
    <w:rsid w:val="006B7C9B"/>
    <w:rsid w:val="006C0308"/>
    <w:rsid w:val="006C04C7"/>
    <w:rsid w:val="006C05AB"/>
    <w:rsid w:val="006C06C6"/>
    <w:rsid w:val="006C0A8E"/>
    <w:rsid w:val="006C1275"/>
    <w:rsid w:val="006C1B60"/>
    <w:rsid w:val="006C1CA8"/>
    <w:rsid w:val="006C1FEC"/>
    <w:rsid w:val="006C2249"/>
    <w:rsid w:val="006C28C8"/>
    <w:rsid w:val="006C29D2"/>
    <w:rsid w:val="006C2E8F"/>
    <w:rsid w:val="006C331C"/>
    <w:rsid w:val="006C3D18"/>
    <w:rsid w:val="006C41DE"/>
    <w:rsid w:val="006C4315"/>
    <w:rsid w:val="006C479D"/>
    <w:rsid w:val="006C48E8"/>
    <w:rsid w:val="006C4D6A"/>
    <w:rsid w:val="006C65CC"/>
    <w:rsid w:val="006C6DEA"/>
    <w:rsid w:val="006C70EC"/>
    <w:rsid w:val="006C76B5"/>
    <w:rsid w:val="006C7A79"/>
    <w:rsid w:val="006C7AC9"/>
    <w:rsid w:val="006C7BB0"/>
    <w:rsid w:val="006D05E6"/>
    <w:rsid w:val="006D0800"/>
    <w:rsid w:val="006D0E38"/>
    <w:rsid w:val="006D0FF6"/>
    <w:rsid w:val="006D16F0"/>
    <w:rsid w:val="006D1971"/>
    <w:rsid w:val="006D2336"/>
    <w:rsid w:val="006D292C"/>
    <w:rsid w:val="006D2B51"/>
    <w:rsid w:val="006D2F1D"/>
    <w:rsid w:val="006D3BDD"/>
    <w:rsid w:val="006D49C9"/>
    <w:rsid w:val="006D4EDF"/>
    <w:rsid w:val="006D5768"/>
    <w:rsid w:val="006D5936"/>
    <w:rsid w:val="006D5BF7"/>
    <w:rsid w:val="006D644C"/>
    <w:rsid w:val="006D79AC"/>
    <w:rsid w:val="006E2B0F"/>
    <w:rsid w:val="006E2C58"/>
    <w:rsid w:val="006E382C"/>
    <w:rsid w:val="006E3EE5"/>
    <w:rsid w:val="006E61F7"/>
    <w:rsid w:val="006E6A56"/>
    <w:rsid w:val="006E7783"/>
    <w:rsid w:val="006F063A"/>
    <w:rsid w:val="006F0797"/>
    <w:rsid w:val="006F0A55"/>
    <w:rsid w:val="006F1636"/>
    <w:rsid w:val="006F1682"/>
    <w:rsid w:val="006F18B5"/>
    <w:rsid w:val="006F23B4"/>
    <w:rsid w:val="006F25C4"/>
    <w:rsid w:val="006F289F"/>
    <w:rsid w:val="006F3924"/>
    <w:rsid w:val="006F3DF1"/>
    <w:rsid w:val="006F403D"/>
    <w:rsid w:val="006F43C5"/>
    <w:rsid w:val="006F4832"/>
    <w:rsid w:val="006F4920"/>
    <w:rsid w:val="006F5A08"/>
    <w:rsid w:val="006F6E7E"/>
    <w:rsid w:val="006F70BE"/>
    <w:rsid w:val="006F788B"/>
    <w:rsid w:val="006F7EFB"/>
    <w:rsid w:val="007001E9"/>
    <w:rsid w:val="00700459"/>
    <w:rsid w:val="00701B37"/>
    <w:rsid w:val="00701FDB"/>
    <w:rsid w:val="0070286B"/>
    <w:rsid w:val="007029A5"/>
    <w:rsid w:val="00702CCD"/>
    <w:rsid w:val="00703509"/>
    <w:rsid w:val="007038D4"/>
    <w:rsid w:val="00703EBD"/>
    <w:rsid w:val="00704C90"/>
    <w:rsid w:val="00705346"/>
    <w:rsid w:val="00706313"/>
    <w:rsid w:val="00706C9E"/>
    <w:rsid w:val="00706D33"/>
    <w:rsid w:val="00707BFE"/>
    <w:rsid w:val="00707F7C"/>
    <w:rsid w:val="00710374"/>
    <w:rsid w:val="007107E7"/>
    <w:rsid w:val="0071161D"/>
    <w:rsid w:val="007119F4"/>
    <w:rsid w:val="00711C00"/>
    <w:rsid w:val="00711DAC"/>
    <w:rsid w:val="007121BF"/>
    <w:rsid w:val="007122A5"/>
    <w:rsid w:val="00712856"/>
    <w:rsid w:val="00712CA4"/>
    <w:rsid w:val="00712DEC"/>
    <w:rsid w:val="00712EB5"/>
    <w:rsid w:val="00714AFE"/>
    <w:rsid w:val="00715366"/>
    <w:rsid w:val="00715823"/>
    <w:rsid w:val="007162C1"/>
    <w:rsid w:val="00716515"/>
    <w:rsid w:val="00717306"/>
    <w:rsid w:val="007174B1"/>
    <w:rsid w:val="00717798"/>
    <w:rsid w:val="0071785C"/>
    <w:rsid w:val="00717F90"/>
    <w:rsid w:val="0072033D"/>
    <w:rsid w:val="00720B30"/>
    <w:rsid w:val="00720F43"/>
    <w:rsid w:val="007211AA"/>
    <w:rsid w:val="007211D5"/>
    <w:rsid w:val="00721788"/>
    <w:rsid w:val="007217B2"/>
    <w:rsid w:val="007217E5"/>
    <w:rsid w:val="00721828"/>
    <w:rsid w:val="00722B6F"/>
    <w:rsid w:val="00723222"/>
    <w:rsid w:val="007239D3"/>
    <w:rsid w:val="00723FBA"/>
    <w:rsid w:val="007241D8"/>
    <w:rsid w:val="00724895"/>
    <w:rsid w:val="00724BE7"/>
    <w:rsid w:val="00726724"/>
    <w:rsid w:val="00726E45"/>
    <w:rsid w:val="007271B6"/>
    <w:rsid w:val="00727967"/>
    <w:rsid w:val="007309E1"/>
    <w:rsid w:val="00731909"/>
    <w:rsid w:val="00732280"/>
    <w:rsid w:val="007323F1"/>
    <w:rsid w:val="0073255C"/>
    <w:rsid w:val="007326F1"/>
    <w:rsid w:val="00732A06"/>
    <w:rsid w:val="00732D50"/>
    <w:rsid w:val="00733A07"/>
    <w:rsid w:val="007343AC"/>
    <w:rsid w:val="00734C75"/>
    <w:rsid w:val="00735384"/>
    <w:rsid w:val="007354C0"/>
    <w:rsid w:val="0073623E"/>
    <w:rsid w:val="00737001"/>
    <w:rsid w:val="0073735C"/>
    <w:rsid w:val="007401F1"/>
    <w:rsid w:val="00741278"/>
    <w:rsid w:val="0074129A"/>
    <w:rsid w:val="0074161B"/>
    <w:rsid w:val="007435F3"/>
    <w:rsid w:val="00743BAE"/>
    <w:rsid w:val="00743E89"/>
    <w:rsid w:val="0074489F"/>
    <w:rsid w:val="00744CC7"/>
    <w:rsid w:val="00744DE9"/>
    <w:rsid w:val="00745BC0"/>
    <w:rsid w:val="00746331"/>
    <w:rsid w:val="0074644F"/>
    <w:rsid w:val="00746792"/>
    <w:rsid w:val="00747078"/>
    <w:rsid w:val="00747B75"/>
    <w:rsid w:val="0075055D"/>
    <w:rsid w:val="00750751"/>
    <w:rsid w:val="00751DA0"/>
    <w:rsid w:val="0075349B"/>
    <w:rsid w:val="00753847"/>
    <w:rsid w:val="0075637E"/>
    <w:rsid w:val="007569BF"/>
    <w:rsid w:val="00756A9D"/>
    <w:rsid w:val="00756B1E"/>
    <w:rsid w:val="00756FE7"/>
    <w:rsid w:val="0076062C"/>
    <w:rsid w:val="007608BC"/>
    <w:rsid w:val="007609B5"/>
    <w:rsid w:val="007610F4"/>
    <w:rsid w:val="00761C5C"/>
    <w:rsid w:val="0076350D"/>
    <w:rsid w:val="0076351F"/>
    <w:rsid w:val="00763A50"/>
    <w:rsid w:val="007647EB"/>
    <w:rsid w:val="0076598A"/>
    <w:rsid w:val="00766E82"/>
    <w:rsid w:val="007670F4"/>
    <w:rsid w:val="007671B2"/>
    <w:rsid w:val="00767A8F"/>
    <w:rsid w:val="007700C2"/>
    <w:rsid w:val="0077044C"/>
    <w:rsid w:val="0077090E"/>
    <w:rsid w:val="007709CA"/>
    <w:rsid w:val="00770A6F"/>
    <w:rsid w:val="0077180F"/>
    <w:rsid w:val="0077186F"/>
    <w:rsid w:val="00772350"/>
    <w:rsid w:val="0077388D"/>
    <w:rsid w:val="00773DB4"/>
    <w:rsid w:val="00773FE7"/>
    <w:rsid w:val="007740F7"/>
    <w:rsid w:val="00774FCD"/>
    <w:rsid w:val="00775DCC"/>
    <w:rsid w:val="00775ED5"/>
    <w:rsid w:val="007760B4"/>
    <w:rsid w:val="00776445"/>
    <w:rsid w:val="00776681"/>
    <w:rsid w:val="00777143"/>
    <w:rsid w:val="007772E0"/>
    <w:rsid w:val="0078055F"/>
    <w:rsid w:val="00780B3B"/>
    <w:rsid w:val="00781463"/>
    <w:rsid w:val="00782AF3"/>
    <w:rsid w:val="00782E3D"/>
    <w:rsid w:val="007834BA"/>
    <w:rsid w:val="0078352C"/>
    <w:rsid w:val="0078427E"/>
    <w:rsid w:val="00784C1B"/>
    <w:rsid w:val="00785CA6"/>
    <w:rsid w:val="00786075"/>
    <w:rsid w:val="00786211"/>
    <w:rsid w:val="007863FF"/>
    <w:rsid w:val="00786931"/>
    <w:rsid w:val="00786BBF"/>
    <w:rsid w:val="00786D68"/>
    <w:rsid w:val="00787CCB"/>
    <w:rsid w:val="00790876"/>
    <w:rsid w:val="007908E5"/>
    <w:rsid w:val="00790BF1"/>
    <w:rsid w:val="007923DA"/>
    <w:rsid w:val="0079283B"/>
    <w:rsid w:val="00792A57"/>
    <w:rsid w:val="00792E2D"/>
    <w:rsid w:val="007933F4"/>
    <w:rsid w:val="007934D2"/>
    <w:rsid w:val="00794625"/>
    <w:rsid w:val="00794B40"/>
    <w:rsid w:val="00794B7D"/>
    <w:rsid w:val="007954CF"/>
    <w:rsid w:val="0079677B"/>
    <w:rsid w:val="00796C6E"/>
    <w:rsid w:val="0079719D"/>
    <w:rsid w:val="00797511"/>
    <w:rsid w:val="007A0520"/>
    <w:rsid w:val="007A06E1"/>
    <w:rsid w:val="007A0BAB"/>
    <w:rsid w:val="007A12D0"/>
    <w:rsid w:val="007A1674"/>
    <w:rsid w:val="007A2583"/>
    <w:rsid w:val="007A29BF"/>
    <w:rsid w:val="007A344B"/>
    <w:rsid w:val="007A3904"/>
    <w:rsid w:val="007A39F3"/>
    <w:rsid w:val="007A45F4"/>
    <w:rsid w:val="007A46F3"/>
    <w:rsid w:val="007A4A8A"/>
    <w:rsid w:val="007A4C57"/>
    <w:rsid w:val="007A6503"/>
    <w:rsid w:val="007A653B"/>
    <w:rsid w:val="007A70AF"/>
    <w:rsid w:val="007A7548"/>
    <w:rsid w:val="007A7E6F"/>
    <w:rsid w:val="007B02A8"/>
    <w:rsid w:val="007B0791"/>
    <w:rsid w:val="007B09CB"/>
    <w:rsid w:val="007B1CED"/>
    <w:rsid w:val="007B1D3E"/>
    <w:rsid w:val="007B34DB"/>
    <w:rsid w:val="007B3BB0"/>
    <w:rsid w:val="007B3E88"/>
    <w:rsid w:val="007B3E8E"/>
    <w:rsid w:val="007B4BCE"/>
    <w:rsid w:val="007B4F24"/>
    <w:rsid w:val="007B54F8"/>
    <w:rsid w:val="007B616C"/>
    <w:rsid w:val="007B64C2"/>
    <w:rsid w:val="007B6BE4"/>
    <w:rsid w:val="007B6CA6"/>
    <w:rsid w:val="007B6D68"/>
    <w:rsid w:val="007B6E3E"/>
    <w:rsid w:val="007B7795"/>
    <w:rsid w:val="007C00C6"/>
    <w:rsid w:val="007C1BC7"/>
    <w:rsid w:val="007C2BCB"/>
    <w:rsid w:val="007C2C05"/>
    <w:rsid w:val="007C2CCC"/>
    <w:rsid w:val="007C31A9"/>
    <w:rsid w:val="007C38B9"/>
    <w:rsid w:val="007C39A9"/>
    <w:rsid w:val="007C3D36"/>
    <w:rsid w:val="007C4457"/>
    <w:rsid w:val="007C4664"/>
    <w:rsid w:val="007C4979"/>
    <w:rsid w:val="007C5157"/>
    <w:rsid w:val="007C56CA"/>
    <w:rsid w:val="007C59C0"/>
    <w:rsid w:val="007C5A4E"/>
    <w:rsid w:val="007C5D64"/>
    <w:rsid w:val="007C61B7"/>
    <w:rsid w:val="007C640C"/>
    <w:rsid w:val="007C683E"/>
    <w:rsid w:val="007C6A76"/>
    <w:rsid w:val="007C7258"/>
    <w:rsid w:val="007C78FA"/>
    <w:rsid w:val="007C7E7E"/>
    <w:rsid w:val="007D00A5"/>
    <w:rsid w:val="007D0EE9"/>
    <w:rsid w:val="007D14E5"/>
    <w:rsid w:val="007D16F2"/>
    <w:rsid w:val="007D1D86"/>
    <w:rsid w:val="007D3509"/>
    <w:rsid w:val="007D47B8"/>
    <w:rsid w:val="007D4DD6"/>
    <w:rsid w:val="007D4E82"/>
    <w:rsid w:val="007D4EF8"/>
    <w:rsid w:val="007D53CB"/>
    <w:rsid w:val="007D5470"/>
    <w:rsid w:val="007D54AC"/>
    <w:rsid w:val="007D5527"/>
    <w:rsid w:val="007D5764"/>
    <w:rsid w:val="007D7304"/>
    <w:rsid w:val="007E1C31"/>
    <w:rsid w:val="007E26B0"/>
    <w:rsid w:val="007E27B8"/>
    <w:rsid w:val="007E29D3"/>
    <w:rsid w:val="007E2C6F"/>
    <w:rsid w:val="007E2D5B"/>
    <w:rsid w:val="007E33C7"/>
    <w:rsid w:val="007E3A48"/>
    <w:rsid w:val="007E3B08"/>
    <w:rsid w:val="007E48DF"/>
    <w:rsid w:val="007E4B97"/>
    <w:rsid w:val="007E4D71"/>
    <w:rsid w:val="007E55CF"/>
    <w:rsid w:val="007E579B"/>
    <w:rsid w:val="007E5FB2"/>
    <w:rsid w:val="007E6089"/>
    <w:rsid w:val="007E65E5"/>
    <w:rsid w:val="007E6D96"/>
    <w:rsid w:val="007E7094"/>
    <w:rsid w:val="007E76BF"/>
    <w:rsid w:val="007E79CB"/>
    <w:rsid w:val="007E7A55"/>
    <w:rsid w:val="007F0641"/>
    <w:rsid w:val="007F094B"/>
    <w:rsid w:val="007F199D"/>
    <w:rsid w:val="007F1C2B"/>
    <w:rsid w:val="007F1D1F"/>
    <w:rsid w:val="007F1DA3"/>
    <w:rsid w:val="007F1F7A"/>
    <w:rsid w:val="007F2327"/>
    <w:rsid w:val="007F2B96"/>
    <w:rsid w:val="007F2D24"/>
    <w:rsid w:val="007F31E6"/>
    <w:rsid w:val="007F3BA8"/>
    <w:rsid w:val="007F6B45"/>
    <w:rsid w:val="007F7762"/>
    <w:rsid w:val="007F7BE3"/>
    <w:rsid w:val="007F7DD3"/>
    <w:rsid w:val="00800605"/>
    <w:rsid w:val="008008E1"/>
    <w:rsid w:val="00800D96"/>
    <w:rsid w:val="00803399"/>
    <w:rsid w:val="008034DE"/>
    <w:rsid w:val="00803856"/>
    <w:rsid w:val="0080441C"/>
    <w:rsid w:val="00804CFB"/>
    <w:rsid w:val="00805381"/>
    <w:rsid w:val="00805720"/>
    <w:rsid w:val="0080582E"/>
    <w:rsid w:val="00805DBD"/>
    <w:rsid w:val="00806651"/>
    <w:rsid w:val="00807D90"/>
    <w:rsid w:val="00810615"/>
    <w:rsid w:val="00810656"/>
    <w:rsid w:val="008118A5"/>
    <w:rsid w:val="00811A3D"/>
    <w:rsid w:val="008128F6"/>
    <w:rsid w:val="00812D72"/>
    <w:rsid w:val="0081434B"/>
    <w:rsid w:val="008147E7"/>
    <w:rsid w:val="00814A7E"/>
    <w:rsid w:val="00814B16"/>
    <w:rsid w:val="008150AE"/>
    <w:rsid w:val="00815E1E"/>
    <w:rsid w:val="00816556"/>
    <w:rsid w:val="00816B28"/>
    <w:rsid w:val="00816B4C"/>
    <w:rsid w:val="00817390"/>
    <w:rsid w:val="00817980"/>
    <w:rsid w:val="00817BAB"/>
    <w:rsid w:val="00820295"/>
    <w:rsid w:val="0082108A"/>
    <w:rsid w:val="00821415"/>
    <w:rsid w:val="0082255E"/>
    <w:rsid w:val="00822578"/>
    <w:rsid w:val="008226BA"/>
    <w:rsid w:val="00822BE2"/>
    <w:rsid w:val="008245D1"/>
    <w:rsid w:val="0082497E"/>
    <w:rsid w:val="00824B61"/>
    <w:rsid w:val="0082612E"/>
    <w:rsid w:val="008265D1"/>
    <w:rsid w:val="0082675F"/>
    <w:rsid w:val="008272FB"/>
    <w:rsid w:val="00830F81"/>
    <w:rsid w:val="00831806"/>
    <w:rsid w:val="008325CC"/>
    <w:rsid w:val="00832950"/>
    <w:rsid w:val="0083350D"/>
    <w:rsid w:val="0083377C"/>
    <w:rsid w:val="00833A42"/>
    <w:rsid w:val="00833DC7"/>
    <w:rsid w:val="00834375"/>
    <w:rsid w:val="0083548E"/>
    <w:rsid w:val="00835600"/>
    <w:rsid w:val="00835767"/>
    <w:rsid w:val="00835A05"/>
    <w:rsid w:val="00837364"/>
    <w:rsid w:val="00840002"/>
    <w:rsid w:val="0084014F"/>
    <w:rsid w:val="008408B2"/>
    <w:rsid w:val="00841816"/>
    <w:rsid w:val="00841F28"/>
    <w:rsid w:val="0084206C"/>
    <w:rsid w:val="00842F8E"/>
    <w:rsid w:val="00843890"/>
    <w:rsid w:val="0084416D"/>
    <w:rsid w:val="0084425B"/>
    <w:rsid w:val="00844770"/>
    <w:rsid w:val="008447C0"/>
    <w:rsid w:val="00844DBE"/>
    <w:rsid w:val="0084512C"/>
    <w:rsid w:val="008456D2"/>
    <w:rsid w:val="00845EE0"/>
    <w:rsid w:val="00845F29"/>
    <w:rsid w:val="00846230"/>
    <w:rsid w:val="008467BA"/>
    <w:rsid w:val="008468CC"/>
    <w:rsid w:val="00846A56"/>
    <w:rsid w:val="00846C34"/>
    <w:rsid w:val="0084713D"/>
    <w:rsid w:val="00847F91"/>
    <w:rsid w:val="00850927"/>
    <w:rsid w:val="00850BE4"/>
    <w:rsid w:val="008510EF"/>
    <w:rsid w:val="00851F87"/>
    <w:rsid w:val="00853700"/>
    <w:rsid w:val="00853D1B"/>
    <w:rsid w:val="00855783"/>
    <w:rsid w:val="008557A0"/>
    <w:rsid w:val="0085639E"/>
    <w:rsid w:val="00856786"/>
    <w:rsid w:val="00856DFC"/>
    <w:rsid w:val="00860808"/>
    <w:rsid w:val="00860A1A"/>
    <w:rsid w:val="00860DDF"/>
    <w:rsid w:val="00860E4B"/>
    <w:rsid w:val="00861E95"/>
    <w:rsid w:val="00862040"/>
    <w:rsid w:val="00862987"/>
    <w:rsid w:val="008634DA"/>
    <w:rsid w:val="00863C79"/>
    <w:rsid w:val="00863FA6"/>
    <w:rsid w:val="008645BA"/>
    <w:rsid w:val="008650F9"/>
    <w:rsid w:val="008657F4"/>
    <w:rsid w:val="0086580E"/>
    <w:rsid w:val="00865891"/>
    <w:rsid w:val="00865AA4"/>
    <w:rsid w:val="00866BDE"/>
    <w:rsid w:val="00866D90"/>
    <w:rsid w:val="00866DC3"/>
    <w:rsid w:val="00866E98"/>
    <w:rsid w:val="00866EA4"/>
    <w:rsid w:val="00867164"/>
    <w:rsid w:val="008671ED"/>
    <w:rsid w:val="00867849"/>
    <w:rsid w:val="00867EA9"/>
    <w:rsid w:val="00870079"/>
    <w:rsid w:val="00870985"/>
    <w:rsid w:val="00870D6A"/>
    <w:rsid w:val="00870EBF"/>
    <w:rsid w:val="00870F12"/>
    <w:rsid w:val="00871104"/>
    <w:rsid w:val="00871E54"/>
    <w:rsid w:val="00872045"/>
    <w:rsid w:val="008728C7"/>
    <w:rsid w:val="00872F3D"/>
    <w:rsid w:val="008743A7"/>
    <w:rsid w:val="0087447A"/>
    <w:rsid w:val="0087484C"/>
    <w:rsid w:val="00874852"/>
    <w:rsid w:val="00874D64"/>
    <w:rsid w:val="00875E32"/>
    <w:rsid w:val="0087688A"/>
    <w:rsid w:val="00877C50"/>
    <w:rsid w:val="00877C7D"/>
    <w:rsid w:val="00880120"/>
    <w:rsid w:val="00880B80"/>
    <w:rsid w:val="00880E8C"/>
    <w:rsid w:val="00880EFB"/>
    <w:rsid w:val="00880F42"/>
    <w:rsid w:val="0088132A"/>
    <w:rsid w:val="0088229B"/>
    <w:rsid w:val="0088304A"/>
    <w:rsid w:val="008836E4"/>
    <w:rsid w:val="008847DC"/>
    <w:rsid w:val="008849E7"/>
    <w:rsid w:val="008849EC"/>
    <w:rsid w:val="00884B10"/>
    <w:rsid w:val="00884C0A"/>
    <w:rsid w:val="00884C68"/>
    <w:rsid w:val="0088595A"/>
    <w:rsid w:val="0088626B"/>
    <w:rsid w:val="0088662A"/>
    <w:rsid w:val="00886DD6"/>
    <w:rsid w:val="00886EE3"/>
    <w:rsid w:val="00887EC0"/>
    <w:rsid w:val="00890340"/>
    <w:rsid w:val="0089047B"/>
    <w:rsid w:val="008904B1"/>
    <w:rsid w:val="00890617"/>
    <w:rsid w:val="00891216"/>
    <w:rsid w:val="00891BF9"/>
    <w:rsid w:val="00891F41"/>
    <w:rsid w:val="008926CA"/>
    <w:rsid w:val="0089280E"/>
    <w:rsid w:val="00892839"/>
    <w:rsid w:val="00892A7E"/>
    <w:rsid w:val="008937DD"/>
    <w:rsid w:val="00893B35"/>
    <w:rsid w:val="00893C12"/>
    <w:rsid w:val="008943D3"/>
    <w:rsid w:val="00894530"/>
    <w:rsid w:val="00894F84"/>
    <w:rsid w:val="00895A59"/>
    <w:rsid w:val="0089688C"/>
    <w:rsid w:val="00896B8C"/>
    <w:rsid w:val="00896E12"/>
    <w:rsid w:val="00896E43"/>
    <w:rsid w:val="00897765"/>
    <w:rsid w:val="00897E11"/>
    <w:rsid w:val="008A02F4"/>
    <w:rsid w:val="008A0343"/>
    <w:rsid w:val="008A0746"/>
    <w:rsid w:val="008A0C7F"/>
    <w:rsid w:val="008A1849"/>
    <w:rsid w:val="008A1A40"/>
    <w:rsid w:val="008A1F39"/>
    <w:rsid w:val="008A266E"/>
    <w:rsid w:val="008A2A69"/>
    <w:rsid w:val="008A2C9A"/>
    <w:rsid w:val="008A38A3"/>
    <w:rsid w:val="008A3F68"/>
    <w:rsid w:val="008A43B7"/>
    <w:rsid w:val="008A5201"/>
    <w:rsid w:val="008A531C"/>
    <w:rsid w:val="008A5324"/>
    <w:rsid w:val="008A578A"/>
    <w:rsid w:val="008A63A5"/>
    <w:rsid w:val="008A68D1"/>
    <w:rsid w:val="008A696F"/>
    <w:rsid w:val="008A6A8C"/>
    <w:rsid w:val="008A6B60"/>
    <w:rsid w:val="008A73D2"/>
    <w:rsid w:val="008A760A"/>
    <w:rsid w:val="008B18DD"/>
    <w:rsid w:val="008B2197"/>
    <w:rsid w:val="008B2F74"/>
    <w:rsid w:val="008B3AD4"/>
    <w:rsid w:val="008B4727"/>
    <w:rsid w:val="008B4BE9"/>
    <w:rsid w:val="008B4D35"/>
    <w:rsid w:val="008B5046"/>
    <w:rsid w:val="008B5127"/>
    <w:rsid w:val="008B51A5"/>
    <w:rsid w:val="008B547C"/>
    <w:rsid w:val="008B54AD"/>
    <w:rsid w:val="008B59A7"/>
    <w:rsid w:val="008B621C"/>
    <w:rsid w:val="008B6A72"/>
    <w:rsid w:val="008B702C"/>
    <w:rsid w:val="008B7499"/>
    <w:rsid w:val="008B77B1"/>
    <w:rsid w:val="008B78C8"/>
    <w:rsid w:val="008B7BEA"/>
    <w:rsid w:val="008C0073"/>
    <w:rsid w:val="008C0147"/>
    <w:rsid w:val="008C04E6"/>
    <w:rsid w:val="008C0860"/>
    <w:rsid w:val="008C12D0"/>
    <w:rsid w:val="008C1668"/>
    <w:rsid w:val="008C16DD"/>
    <w:rsid w:val="008C1B27"/>
    <w:rsid w:val="008C4176"/>
    <w:rsid w:val="008C43CF"/>
    <w:rsid w:val="008C48E9"/>
    <w:rsid w:val="008C4B5E"/>
    <w:rsid w:val="008C5A43"/>
    <w:rsid w:val="008C5A6C"/>
    <w:rsid w:val="008C6C58"/>
    <w:rsid w:val="008C7149"/>
    <w:rsid w:val="008C7164"/>
    <w:rsid w:val="008C7174"/>
    <w:rsid w:val="008D0131"/>
    <w:rsid w:val="008D03ED"/>
    <w:rsid w:val="008D1D03"/>
    <w:rsid w:val="008D2503"/>
    <w:rsid w:val="008D2BDE"/>
    <w:rsid w:val="008D2C64"/>
    <w:rsid w:val="008D3239"/>
    <w:rsid w:val="008D330C"/>
    <w:rsid w:val="008D34A7"/>
    <w:rsid w:val="008D363E"/>
    <w:rsid w:val="008D3F41"/>
    <w:rsid w:val="008D3FF6"/>
    <w:rsid w:val="008D548D"/>
    <w:rsid w:val="008D5686"/>
    <w:rsid w:val="008D6348"/>
    <w:rsid w:val="008D670E"/>
    <w:rsid w:val="008D6CC3"/>
    <w:rsid w:val="008D79A7"/>
    <w:rsid w:val="008E04EF"/>
    <w:rsid w:val="008E0619"/>
    <w:rsid w:val="008E0E30"/>
    <w:rsid w:val="008E15AB"/>
    <w:rsid w:val="008E19E8"/>
    <w:rsid w:val="008E3B92"/>
    <w:rsid w:val="008E5D90"/>
    <w:rsid w:val="008E5EDE"/>
    <w:rsid w:val="008E61AC"/>
    <w:rsid w:val="008E669A"/>
    <w:rsid w:val="008E6D62"/>
    <w:rsid w:val="008E761C"/>
    <w:rsid w:val="008E7E99"/>
    <w:rsid w:val="008F0C9D"/>
    <w:rsid w:val="008F0FC5"/>
    <w:rsid w:val="008F1A35"/>
    <w:rsid w:val="008F1A63"/>
    <w:rsid w:val="008F23D2"/>
    <w:rsid w:val="008F246F"/>
    <w:rsid w:val="008F2795"/>
    <w:rsid w:val="008F28E0"/>
    <w:rsid w:val="008F2998"/>
    <w:rsid w:val="008F3A8A"/>
    <w:rsid w:val="008F3D94"/>
    <w:rsid w:val="008F3FA1"/>
    <w:rsid w:val="008F4972"/>
    <w:rsid w:val="008F4C5E"/>
    <w:rsid w:val="008F5685"/>
    <w:rsid w:val="008F5948"/>
    <w:rsid w:val="008F7ADD"/>
    <w:rsid w:val="009002DB"/>
    <w:rsid w:val="00900810"/>
    <w:rsid w:val="00901A0B"/>
    <w:rsid w:val="00901F8F"/>
    <w:rsid w:val="009023B4"/>
    <w:rsid w:val="00902ED9"/>
    <w:rsid w:val="009032D2"/>
    <w:rsid w:val="00903AE2"/>
    <w:rsid w:val="00903E35"/>
    <w:rsid w:val="00904193"/>
    <w:rsid w:val="009043D1"/>
    <w:rsid w:val="009051CF"/>
    <w:rsid w:val="00905E4C"/>
    <w:rsid w:val="0090611E"/>
    <w:rsid w:val="00906328"/>
    <w:rsid w:val="00906CA9"/>
    <w:rsid w:val="00906D90"/>
    <w:rsid w:val="00907A71"/>
    <w:rsid w:val="00907E46"/>
    <w:rsid w:val="00910035"/>
    <w:rsid w:val="0091071B"/>
    <w:rsid w:val="0091072C"/>
    <w:rsid w:val="00910C9D"/>
    <w:rsid w:val="00910D2D"/>
    <w:rsid w:val="00910DEE"/>
    <w:rsid w:val="009117D6"/>
    <w:rsid w:val="00911DCE"/>
    <w:rsid w:val="00912101"/>
    <w:rsid w:val="00912B97"/>
    <w:rsid w:val="00912FA6"/>
    <w:rsid w:val="0091392B"/>
    <w:rsid w:val="00913973"/>
    <w:rsid w:val="009143F2"/>
    <w:rsid w:val="00914580"/>
    <w:rsid w:val="0091470A"/>
    <w:rsid w:val="0091611B"/>
    <w:rsid w:val="0091662F"/>
    <w:rsid w:val="009167BF"/>
    <w:rsid w:val="00916839"/>
    <w:rsid w:val="0091711C"/>
    <w:rsid w:val="009171AE"/>
    <w:rsid w:val="0091737D"/>
    <w:rsid w:val="009173DA"/>
    <w:rsid w:val="00917A03"/>
    <w:rsid w:val="00917A72"/>
    <w:rsid w:val="009203CF"/>
    <w:rsid w:val="00920801"/>
    <w:rsid w:val="00920A54"/>
    <w:rsid w:val="00920D59"/>
    <w:rsid w:val="00921122"/>
    <w:rsid w:val="009211B4"/>
    <w:rsid w:val="009211C7"/>
    <w:rsid w:val="0092190E"/>
    <w:rsid w:val="00922047"/>
    <w:rsid w:val="00922256"/>
    <w:rsid w:val="00922335"/>
    <w:rsid w:val="00922A4A"/>
    <w:rsid w:val="00922AE6"/>
    <w:rsid w:val="0092308C"/>
    <w:rsid w:val="00924C60"/>
    <w:rsid w:val="009250A2"/>
    <w:rsid w:val="009258EB"/>
    <w:rsid w:val="00925948"/>
    <w:rsid w:val="00925970"/>
    <w:rsid w:val="00925CFA"/>
    <w:rsid w:val="00926461"/>
    <w:rsid w:val="00926A0D"/>
    <w:rsid w:val="00926C4C"/>
    <w:rsid w:val="00927013"/>
    <w:rsid w:val="0092702C"/>
    <w:rsid w:val="0092749F"/>
    <w:rsid w:val="00927D7D"/>
    <w:rsid w:val="00927E02"/>
    <w:rsid w:val="00930081"/>
    <w:rsid w:val="009300DD"/>
    <w:rsid w:val="00931EF9"/>
    <w:rsid w:val="0093250E"/>
    <w:rsid w:val="009331FC"/>
    <w:rsid w:val="00933A2E"/>
    <w:rsid w:val="009349E2"/>
    <w:rsid w:val="00935553"/>
    <w:rsid w:val="009356F0"/>
    <w:rsid w:val="009363E7"/>
    <w:rsid w:val="00937288"/>
    <w:rsid w:val="00937462"/>
    <w:rsid w:val="00937E82"/>
    <w:rsid w:val="00940979"/>
    <w:rsid w:val="00940A92"/>
    <w:rsid w:val="00940C85"/>
    <w:rsid w:val="00940CF4"/>
    <w:rsid w:val="009410B2"/>
    <w:rsid w:val="00941134"/>
    <w:rsid w:val="009417EC"/>
    <w:rsid w:val="00942026"/>
    <w:rsid w:val="009426BF"/>
    <w:rsid w:val="009426CA"/>
    <w:rsid w:val="00942869"/>
    <w:rsid w:val="00942E03"/>
    <w:rsid w:val="00942F64"/>
    <w:rsid w:val="00943412"/>
    <w:rsid w:val="009439F8"/>
    <w:rsid w:val="00943A1B"/>
    <w:rsid w:val="00943D43"/>
    <w:rsid w:val="00943E69"/>
    <w:rsid w:val="00944309"/>
    <w:rsid w:val="0094598D"/>
    <w:rsid w:val="009460CF"/>
    <w:rsid w:val="009469AE"/>
    <w:rsid w:val="00946D22"/>
    <w:rsid w:val="00947E7F"/>
    <w:rsid w:val="0095075B"/>
    <w:rsid w:val="00950922"/>
    <w:rsid w:val="00950DF4"/>
    <w:rsid w:val="00950E74"/>
    <w:rsid w:val="00951563"/>
    <w:rsid w:val="00951D98"/>
    <w:rsid w:val="00952A10"/>
    <w:rsid w:val="009569AC"/>
    <w:rsid w:val="00956D79"/>
    <w:rsid w:val="00956FF7"/>
    <w:rsid w:val="0096023F"/>
    <w:rsid w:val="00960271"/>
    <w:rsid w:val="00960436"/>
    <w:rsid w:val="00960472"/>
    <w:rsid w:val="009610A1"/>
    <w:rsid w:val="009618B0"/>
    <w:rsid w:val="009623AA"/>
    <w:rsid w:val="00962F74"/>
    <w:rsid w:val="00963A16"/>
    <w:rsid w:val="00963A3D"/>
    <w:rsid w:val="00964767"/>
    <w:rsid w:val="009649CA"/>
    <w:rsid w:val="00964D9A"/>
    <w:rsid w:val="009660AF"/>
    <w:rsid w:val="009677CD"/>
    <w:rsid w:val="00967DB2"/>
    <w:rsid w:val="00970813"/>
    <w:rsid w:val="00970AE2"/>
    <w:rsid w:val="00970C37"/>
    <w:rsid w:val="00971078"/>
    <w:rsid w:val="009712F0"/>
    <w:rsid w:val="0097152A"/>
    <w:rsid w:val="00973138"/>
    <w:rsid w:val="00974E73"/>
    <w:rsid w:val="009759E2"/>
    <w:rsid w:val="00976346"/>
    <w:rsid w:val="009769F0"/>
    <w:rsid w:val="00977100"/>
    <w:rsid w:val="00981649"/>
    <w:rsid w:val="00981841"/>
    <w:rsid w:val="009818EC"/>
    <w:rsid w:val="0098314F"/>
    <w:rsid w:val="009836E9"/>
    <w:rsid w:val="00983F77"/>
    <w:rsid w:val="009849A8"/>
    <w:rsid w:val="00984B7E"/>
    <w:rsid w:val="009854DE"/>
    <w:rsid w:val="00986F39"/>
    <w:rsid w:val="00986FE5"/>
    <w:rsid w:val="0098718A"/>
    <w:rsid w:val="009871B2"/>
    <w:rsid w:val="009903AA"/>
    <w:rsid w:val="00991AA9"/>
    <w:rsid w:val="009927FE"/>
    <w:rsid w:val="00993367"/>
    <w:rsid w:val="009935D2"/>
    <w:rsid w:val="009939B7"/>
    <w:rsid w:val="00993E60"/>
    <w:rsid w:val="00993E66"/>
    <w:rsid w:val="009945D5"/>
    <w:rsid w:val="00994C53"/>
    <w:rsid w:val="00995A34"/>
    <w:rsid w:val="00995AA4"/>
    <w:rsid w:val="00995B17"/>
    <w:rsid w:val="009A06F5"/>
    <w:rsid w:val="009A0EE9"/>
    <w:rsid w:val="009A1CFA"/>
    <w:rsid w:val="009A20B5"/>
    <w:rsid w:val="009A20D4"/>
    <w:rsid w:val="009A2F8C"/>
    <w:rsid w:val="009A366B"/>
    <w:rsid w:val="009A3D34"/>
    <w:rsid w:val="009A406A"/>
    <w:rsid w:val="009A4367"/>
    <w:rsid w:val="009A49B1"/>
    <w:rsid w:val="009A5B9F"/>
    <w:rsid w:val="009A6280"/>
    <w:rsid w:val="009A697E"/>
    <w:rsid w:val="009A78F2"/>
    <w:rsid w:val="009B0702"/>
    <w:rsid w:val="009B0848"/>
    <w:rsid w:val="009B0FE0"/>
    <w:rsid w:val="009B1328"/>
    <w:rsid w:val="009B215F"/>
    <w:rsid w:val="009B2317"/>
    <w:rsid w:val="009B2693"/>
    <w:rsid w:val="009B28A4"/>
    <w:rsid w:val="009B29C2"/>
    <w:rsid w:val="009B4132"/>
    <w:rsid w:val="009B50C3"/>
    <w:rsid w:val="009B537E"/>
    <w:rsid w:val="009B5744"/>
    <w:rsid w:val="009B5A57"/>
    <w:rsid w:val="009B5FA8"/>
    <w:rsid w:val="009B6340"/>
    <w:rsid w:val="009B6E2C"/>
    <w:rsid w:val="009B6EB0"/>
    <w:rsid w:val="009B6F4E"/>
    <w:rsid w:val="009B72A4"/>
    <w:rsid w:val="009C0385"/>
    <w:rsid w:val="009C0EED"/>
    <w:rsid w:val="009C1066"/>
    <w:rsid w:val="009C26AE"/>
    <w:rsid w:val="009C274E"/>
    <w:rsid w:val="009C2861"/>
    <w:rsid w:val="009C3695"/>
    <w:rsid w:val="009C3A6F"/>
    <w:rsid w:val="009C3AFC"/>
    <w:rsid w:val="009C411D"/>
    <w:rsid w:val="009C4154"/>
    <w:rsid w:val="009C43CB"/>
    <w:rsid w:val="009C46D1"/>
    <w:rsid w:val="009C4C84"/>
    <w:rsid w:val="009C5787"/>
    <w:rsid w:val="009C5B58"/>
    <w:rsid w:val="009C5F23"/>
    <w:rsid w:val="009C7834"/>
    <w:rsid w:val="009C7884"/>
    <w:rsid w:val="009C7B82"/>
    <w:rsid w:val="009D0EFC"/>
    <w:rsid w:val="009D10BB"/>
    <w:rsid w:val="009D117F"/>
    <w:rsid w:val="009D12CE"/>
    <w:rsid w:val="009D145E"/>
    <w:rsid w:val="009D17CD"/>
    <w:rsid w:val="009D26CD"/>
    <w:rsid w:val="009D2F92"/>
    <w:rsid w:val="009D3FC3"/>
    <w:rsid w:val="009D40E2"/>
    <w:rsid w:val="009D43D0"/>
    <w:rsid w:val="009D4EF6"/>
    <w:rsid w:val="009D6276"/>
    <w:rsid w:val="009D6BC8"/>
    <w:rsid w:val="009D703A"/>
    <w:rsid w:val="009E0081"/>
    <w:rsid w:val="009E0706"/>
    <w:rsid w:val="009E0FED"/>
    <w:rsid w:val="009E1316"/>
    <w:rsid w:val="009E1FED"/>
    <w:rsid w:val="009E2CB1"/>
    <w:rsid w:val="009E3C1B"/>
    <w:rsid w:val="009E3DF5"/>
    <w:rsid w:val="009E42B1"/>
    <w:rsid w:val="009E51A8"/>
    <w:rsid w:val="009E5B23"/>
    <w:rsid w:val="009E7555"/>
    <w:rsid w:val="009E7C5D"/>
    <w:rsid w:val="009F04AE"/>
    <w:rsid w:val="009F088C"/>
    <w:rsid w:val="009F0D5B"/>
    <w:rsid w:val="009F105A"/>
    <w:rsid w:val="009F1EA6"/>
    <w:rsid w:val="009F2781"/>
    <w:rsid w:val="009F4959"/>
    <w:rsid w:val="009F535D"/>
    <w:rsid w:val="009F5737"/>
    <w:rsid w:val="009F59A6"/>
    <w:rsid w:val="009F5E46"/>
    <w:rsid w:val="009F5E88"/>
    <w:rsid w:val="009F7FEA"/>
    <w:rsid w:val="00A0129F"/>
    <w:rsid w:val="00A01999"/>
    <w:rsid w:val="00A03628"/>
    <w:rsid w:val="00A036D9"/>
    <w:rsid w:val="00A04466"/>
    <w:rsid w:val="00A044AD"/>
    <w:rsid w:val="00A05016"/>
    <w:rsid w:val="00A05332"/>
    <w:rsid w:val="00A05799"/>
    <w:rsid w:val="00A05A66"/>
    <w:rsid w:val="00A05C11"/>
    <w:rsid w:val="00A05F36"/>
    <w:rsid w:val="00A06367"/>
    <w:rsid w:val="00A0692C"/>
    <w:rsid w:val="00A06CE8"/>
    <w:rsid w:val="00A071A0"/>
    <w:rsid w:val="00A073BD"/>
    <w:rsid w:val="00A07C7E"/>
    <w:rsid w:val="00A11977"/>
    <w:rsid w:val="00A1199B"/>
    <w:rsid w:val="00A124F0"/>
    <w:rsid w:val="00A12885"/>
    <w:rsid w:val="00A1370C"/>
    <w:rsid w:val="00A1394F"/>
    <w:rsid w:val="00A13D82"/>
    <w:rsid w:val="00A1459B"/>
    <w:rsid w:val="00A14CDD"/>
    <w:rsid w:val="00A14F7B"/>
    <w:rsid w:val="00A1533B"/>
    <w:rsid w:val="00A156D2"/>
    <w:rsid w:val="00A15C6A"/>
    <w:rsid w:val="00A15FB7"/>
    <w:rsid w:val="00A160D1"/>
    <w:rsid w:val="00A16336"/>
    <w:rsid w:val="00A1650B"/>
    <w:rsid w:val="00A179F9"/>
    <w:rsid w:val="00A17A7F"/>
    <w:rsid w:val="00A17CB2"/>
    <w:rsid w:val="00A20907"/>
    <w:rsid w:val="00A20A52"/>
    <w:rsid w:val="00A20EA2"/>
    <w:rsid w:val="00A21489"/>
    <w:rsid w:val="00A21696"/>
    <w:rsid w:val="00A21AC0"/>
    <w:rsid w:val="00A223C0"/>
    <w:rsid w:val="00A22474"/>
    <w:rsid w:val="00A229B6"/>
    <w:rsid w:val="00A22E7A"/>
    <w:rsid w:val="00A23117"/>
    <w:rsid w:val="00A2317E"/>
    <w:rsid w:val="00A2462B"/>
    <w:rsid w:val="00A249FA"/>
    <w:rsid w:val="00A24E1D"/>
    <w:rsid w:val="00A262A3"/>
    <w:rsid w:val="00A2645B"/>
    <w:rsid w:val="00A269A7"/>
    <w:rsid w:val="00A26B77"/>
    <w:rsid w:val="00A274D4"/>
    <w:rsid w:val="00A276BC"/>
    <w:rsid w:val="00A27B25"/>
    <w:rsid w:val="00A27BAD"/>
    <w:rsid w:val="00A311D3"/>
    <w:rsid w:val="00A3221B"/>
    <w:rsid w:val="00A3247E"/>
    <w:rsid w:val="00A3291E"/>
    <w:rsid w:val="00A329ED"/>
    <w:rsid w:val="00A32B69"/>
    <w:rsid w:val="00A331AD"/>
    <w:rsid w:val="00A33CC0"/>
    <w:rsid w:val="00A34D96"/>
    <w:rsid w:val="00A35436"/>
    <w:rsid w:val="00A35EB5"/>
    <w:rsid w:val="00A369E3"/>
    <w:rsid w:val="00A37530"/>
    <w:rsid w:val="00A407BF"/>
    <w:rsid w:val="00A407D1"/>
    <w:rsid w:val="00A40E08"/>
    <w:rsid w:val="00A40E12"/>
    <w:rsid w:val="00A410DD"/>
    <w:rsid w:val="00A4282E"/>
    <w:rsid w:val="00A4289C"/>
    <w:rsid w:val="00A42B9D"/>
    <w:rsid w:val="00A42EE9"/>
    <w:rsid w:val="00A45DAD"/>
    <w:rsid w:val="00A45F93"/>
    <w:rsid w:val="00A47A3C"/>
    <w:rsid w:val="00A47B56"/>
    <w:rsid w:val="00A50E5C"/>
    <w:rsid w:val="00A5105F"/>
    <w:rsid w:val="00A5123B"/>
    <w:rsid w:val="00A51552"/>
    <w:rsid w:val="00A522DF"/>
    <w:rsid w:val="00A524F8"/>
    <w:rsid w:val="00A53458"/>
    <w:rsid w:val="00A5483D"/>
    <w:rsid w:val="00A54A5F"/>
    <w:rsid w:val="00A54BEA"/>
    <w:rsid w:val="00A54C05"/>
    <w:rsid w:val="00A54F96"/>
    <w:rsid w:val="00A5500F"/>
    <w:rsid w:val="00A5533B"/>
    <w:rsid w:val="00A55A69"/>
    <w:rsid w:val="00A56D21"/>
    <w:rsid w:val="00A56D50"/>
    <w:rsid w:val="00A579A1"/>
    <w:rsid w:val="00A57B62"/>
    <w:rsid w:val="00A57F90"/>
    <w:rsid w:val="00A6148F"/>
    <w:rsid w:val="00A615E9"/>
    <w:rsid w:val="00A61B1E"/>
    <w:rsid w:val="00A61B36"/>
    <w:rsid w:val="00A61C9E"/>
    <w:rsid w:val="00A62946"/>
    <w:rsid w:val="00A62DBE"/>
    <w:rsid w:val="00A632D4"/>
    <w:rsid w:val="00A63738"/>
    <w:rsid w:val="00A63CD5"/>
    <w:rsid w:val="00A642C5"/>
    <w:rsid w:val="00A648D5"/>
    <w:rsid w:val="00A6507F"/>
    <w:rsid w:val="00A66000"/>
    <w:rsid w:val="00A662C3"/>
    <w:rsid w:val="00A66579"/>
    <w:rsid w:val="00A67CF8"/>
    <w:rsid w:val="00A706F9"/>
    <w:rsid w:val="00A70889"/>
    <w:rsid w:val="00A720D1"/>
    <w:rsid w:val="00A72A25"/>
    <w:rsid w:val="00A72C8D"/>
    <w:rsid w:val="00A73221"/>
    <w:rsid w:val="00A74816"/>
    <w:rsid w:val="00A750DB"/>
    <w:rsid w:val="00A7573A"/>
    <w:rsid w:val="00A76088"/>
    <w:rsid w:val="00A76183"/>
    <w:rsid w:val="00A761EB"/>
    <w:rsid w:val="00A763B8"/>
    <w:rsid w:val="00A76855"/>
    <w:rsid w:val="00A77050"/>
    <w:rsid w:val="00A7743E"/>
    <w:rsid w:val="00A7779D"/>
    <w:rsid w:val="00A80134"/>
    <w:rsid w:val="00A802ED"/>
    <w:rsid w:val="00A80E83"/>
    <w:rsid w:val="00A81284"/>
    <w:rsid w:val="00A81574"/>
    <w:rsid w:val="00A821EF"/>
    <w:rsid w:val="00A82439"/>
    <w:rsid w:val="00A82742"/>
    <w:rsid w:val="00A82C03"/>
    <w:rsid w:val="00A82EB2"/>
    <w:rsid w:val="00A82FED"/>
    <w:rsid w:val="00A831FA"/>
    <w:rsid w:val="00A83452"/>
    <w:rsid w:val="00A834BC"/>
    <w:rsid w:val="00A83BF8"/>
    <w:rsid w:val="00A83E8C"/>
    <w:rsid w:val="00A8475A"/>
    <w:rsid w:val="00A848AA"/>
    <w:rsid w:val="00A8557D"/>
    <w:rsid w:val="00A85E67"/>
    <w:rsid w:val="00A86220"/>
    <w:rsid w:val="00A86599"/>
    <w:rsid w:val="00A86A7E"/>
    <w:rsid w:val="00A87F2E"/>
    <w:rsid w:val="00A900A2"/>
    <w:rsid w:val="00A907DC"/>
    <w:rsid w:val="00A91170"/>
    <w:rsid w:val="00A92736"/>
    <w:rsid w:val="00A929BC"/>
    <w:rsid w:val="00A92B16"/>
    <w:rsid w:val="00A92F5B"/>
    <w:rsid w:val="00A93A03"/>
    <w:rsid w:val="00A94351"/>
    <w:rsid w:val="00A947B3"/>
    <w:rsid w:val="00A94C80"/>
    <w:rsid w:val="00A94F28"/>
    <w:rsid w:val="00A957DD"/>
    <w:rsid w:val="00A95F18"/>
    <w:rsid w:val="00A962BE"/>
    <w:rsid w:val="00AA066B"/>
    <w:rsid w:val="00AA08AE"/>
    <w:rsid w:val="00AA0AAE"/>
    <w:rsid w:val="00AA1571"/>
    <w:rsid w:val="00AA1BFF"/>
    <w:rsid w:val="00AA1EC0"/>
    <w:rsid w:val="00AA2A14"/>
    <w:rsid w:val="00AA3D8B"/>
    <w:rsid w:val="00AA54B0"/>
    <w:rsid w:val="00AA6E32"/>
    <w:rsid w:val="00AA785C"/>
    <w:rsid w:val="00AA7F07"/>
    <w:rsid w:val="00AB249B"/>
    <w:rsid w:val="00AB3F35"/>
    <w:rsid w:val="00AB4A5D"/>
    <w:rsid w:val="00AB4E53"/>
    <w:rsid w:val="00AB6453"/>
    <w:rsid w:val="00AB684D"/>
    <w:rsid w:val="00AB6CE9"/>
    <w:rsid w:val="00AB6D70"/>
    <w:rsid w:val="00AB6F5A"/>
    <w:rsid w:val="00AB71C6"/>
    <w:rsid w:val="00AB7337"/>
    <w:rsid w:val="00AC0120"/>
    <w:rsid w:val="00AC0206"/>
    <w:rsid w:val="00AC09A5"/>
    <w:rsid w:val="00AC2262"/>
    <w:rsid w:val="00AC26E5"/>
    <w:rsid w:val="00AC285F"/>
    <w:rsid w:val="00AC2F4A"/>
    <w:rsid w:val="00AC3CDD"/>
    <w:rsid w:val="00AC4B28"/>
    <w:rsid w:val="00AC5438"/>
    <w:rsid w:val="00AC5565"/>
    <w:rsid w:val="00AC55F7"/>
    <w:rsid w:val="00AC63FE"/>
    <w:rsid w:val="00AC67FC"/>
    <w:rsid w:val="00AC753B"/>
    <w:rsid w:val="00AC798D"/>
    <w:rsid w:val="00AD0CBF"/>
    <w:rsid w:val="00AD0CC5"/>
    <w:rsid w:val="00AD0D0D"/>
    <w:rsid w:val="00AD0F8F"/>
    <w:rsid w:val="00AD1378"/>
    <w:rsid w:val="00AD19DF"/>
    <w:rsid w:val="00AD1AEF"/>
    <w:rsid w:val="00AD2191"/>
    <w:rsid w:val="00AD2B4F"/>
    <w:rsid w:val="00AD2E10"/>
    <w:rsid w:val="00AD2E8A"/>
    <w:rsid w:val="00AD3110"/>
    <w:rsid w:val="00AD36F1"/>
    <w:rsid w:val="00AD41AF"/>
    <w:rsid w:val="00AD41C9"/>
    <w:rsid w:val="00AD41FB"/>
    <w:rsid w:val="00AD4725"/>
    <w:rsid w:val="00AD4CB6"/>
    <w:rsid w:val="00AD51A3"/>
    <w:rsid w:val="00AD52AA"/>
    <w:rsid w:val="00AD59D0"/>
    <w:rsid w:val="00AD5FD5"/>
    <w:rsid w:val="00AD62CE"/>
    <w:rsid w:val="00AD6875"/>
    <w:rsid w:val="00AD6BC5"/>
    <w:rsid w:val="00AD713F"/>
    <w:rsid w:val="00AD72A9"/>
    <w:rsid w:val="00AD7A9F"/>
    <w:rsid w:val="00AD7C05"/>
    <w:rsid w:val="00AE0B8B"/>
    <w:rsid w:val="00AE1C1C"/>
    <w:rsid w:val="00AE1CA4"/>
    <w:rsid w:val="00AE1ED9"/>
    <w:rsid w:val="00AE1F22"/>
    <w:rsid w:val="00AE20ED"/>
    <w:rsid w:val="00AE23F1"/>
    <w:rsid w:val="00AE26FE"/>
    <w:rsid w:val="00AE27A7"/>
    <w:rsid w:val="00AE3081"/>
    <w:rsid w:val="00AE3247"/>
    <w:rsid w:val="00AE3F33"/>
    <w:rsid w:val="00AE4EC7"/>
    <w:rsid w:val="00AE4FB4"/>
    <w:rsid w:val="00AE5478"/>
    <w:rsid w:val="00AE54DB"/>
    <w:rsid w:val="00AE5992"/>
    <w:rsid w:val="00AE5FA5"/>
    <w:rsid w:val="00AE7C1A"/>
    <w:rsid w:val="00AF0067"/>
    <w:rsid w:val="00AF05AA"/>
    <w:rsid w:val="00AF089C"/>
    <w:rsid w:val="00AF1630"/>
    <w:rsid w:val="00AF24A4"/>
    <w:rsid w:val="00AF34A9"/>
    <w:rsid w:val="00AF441E"/>
    <w:rsid w:val="00AF5012"/>
    <w:rsid w:val="00AF503D"/>
    <w:rsid w:val="00AF519D"/>
    <w:rsid w:val="00AF566E"/>
    <w:rsid w:val="00AF5A5E"/>
    <w:rsid w:val="00AF6A84"/>
    <w:rsid w:val="00AF6D17"/>
    <w:rsid w:val="00AF70CA"/>
    <w:rsid w:val="00AF775D"/>
    <w:rsid w:val="00AF776B"/>
    <w:rsid w:val="00B00C7E"/>
    <w:rsid w:val="00B00CA3"/>
    <w:rsid w:val="00B014A1"/>
    <w:rsid w:val="00B0170C"/>
    <w:rsid w:val="00B02131"/>
    <w:rsid w:val="00B03360"/>
    <w:rsid w:val="00B03640"/>
    <w:rsid w:val="00B044E9"/>
    <w:rsid w:val="00B04D20"/>
    <w:rsid w:val="00B05694"/>
    <w:rsid w:val="00B05AB1"/>
    <w:rsid w:val="00B061B3"/>
    <w:rsid w:val="00B064A3"/>
    <w:rsid w:val="00B07731"/>
    <w:rsid w:val="00B07AED"/>
    <w:rsid w:val="00B07C0F"/>
    <w:rsid w:val="00B10190"/>
    <w:rsid w:val="00B105DA"/>
    <w:rsid w:val="00B10D97"/>
    <w:rsid w:val="00B11137"/>
    <w:rsid w:val="00B112D3"/>
    <w:rsid w:val="00B11669"/>
    <w:rsid w:val="00B11DD7"/>
    <w:rsid w:val="00B1272B"/>
    <w:rsid w:val="00B130D8"/>
    <w:rsid w:val="00B150C3"/>
    <w:rsid w:val="00B1516A"/>
    <w:rsid w:val="00B15E08"/>
    <w:rsid w:val="00B15E8C"/>
    <w:rsid w:val="00B160E1"/>
    <w:rsid w:val="00B16E08"/>
    <w:rsid w:val="00B16FD3"/>
    <w:rsid w:val="00B173BA"/>
    <w:rsid w:val="00B176D2"/>
    <w:rsid w:val="00B17BC7"/>
    <w:rsid w:val="00B205C6"/>
    <w:rsid w:val="00B20CA2"/>
    <w:rsid w:val="00B21577"/>
    <w:rsid w:val="00B21E9E"/>
    <w:rsid w:val="00B2286F"/>
    <w:rsid w:val="00B228F2"/>
    <w:rsid w:val="00B2481D"/>
    <w:rsid w:val="00B24B87"/>
    <w:rsid w:val="00B2509E"/>
    <w:rsid w:val="00B256F8"/>
    <w:rsid w:val="00B25D8D"/>
    <w:rsid w:val="00B2604C"/>
    <w:rsid w:val="00B26246"/>
    <w:rsid w:val="00B27954"/>
    <w:rsid w:val="00B27F7E"/>
    <w:rsid w:val="00B30364"/>
    <w:rsid w:val="00B310B7"/>
    <w:rsid w:val="00B31FC0"/>
    <w:rsid w:val="00B33D87"/>
    <w:rsid w:val="00B341E1"/>
    <w:rsid w:val="00B3427F"/>
    <w:rsid w:val="00B34484"/>
    <w:rsid w:val="00B34E50"/>
    <w:rsid w:val="00B34E98"/>
    <w:rsid w:val="00B35A6C"/>
    <w:rsid w:val="00B35E87"/>
    <w:rsid w:val="00B35F09"/>
    <w:rsid w:val="00B35FE7"/>
    <w:rsid w:val="00B36483"/>
    <w:rsid w:val="00B369B3"/>
    <w:rsid w:val="00B36C45"/>
    <w:rsid w:val="00B37AB6"/>
    <w:rsid w:val="00B418BB"/>
    <w:rsid w:val="00B41FD3"/>
    <w:rsid w:val="00B43921"/>
    <w:rsid w:val="00B43E71"/>
    <w:rsid w:val="00B44030"/>
    <w:rsid w:val="00B44295"/>
    <w:rsid w:val="00B442E0"/>
    <w:rsid w:val="00B44EFD"/>
    <w:rsid w:val="00B44F9C"/>
    <w:rsid w:val="00B450E2"/>
    <w:rsid w:val="00B46C0B"/>
    <w:rsid w:val="00B47AA9"/>
    <w:rsid w:val="00B47E45"/>
    <w:rsid w:val="00B47FA8"/>
    <w:rsid w:val="00B51140"/>
    <w:rsid w:val="00B51667"/>
    <w:rsid w:val="00B516C3"/>
    <w:rsid w:val="00B51CB4"/>
    <w:rsid w:val="00B51E5E"/>
    <w:rsid w:val="00B52037"/>
    <w:rsid w:val="00B52BBE"/>
    <w:rsid w:val="00B5329C"/>
    <w:rsid w:val="00B54195"/>
    <w:rsid w:val="00B54572"/>
    <w:rsid w:val="00B55455"/>
    <w:rsid w:val="00B55BD4"/>
    <w:rsid w:val="00B55D95"/>
    <w:rsid w:val="00B55EC1"/>
    <w:rsid w:val="00B568B8"/>
    <w:rsid w:val="00B5693A"/>
    <w:rsid w:val="00B56B3C"/>
    <w:rsid w:val="00B573FF"/>
    <w:rsid w:val="00B6042D"/>
    <w:rsid w:val="00B60E41"/>
    <w:rsid w:val="00B61F0E"/>
    <w:rsid w:val="00B62062"/>
    <w:rsid w:val="00B62225"/>
    <w:rsid w:val="00B623E4"/>
    <w:rsid w:val="00B63462"/>
    <w:rsid w:val="00B637EA"/>
    <w:rsid w:val="00B6381A"/>
    <w:rsid w:val="00B63E23"/>
    <w:rsid w:val="00B64055"/>
    <w:rsid w:val="00B6484F"/>
    <w:rsid w:val="00B6527D"/>
    <w:rsid w:val="00B655DE"/>
    <w:rsid w:val="00B65AB0"/>
    <w:rsid w:val="00B65E99"/>
    <w:rsid w:val="00B65F5D"/>
    <w:rsid w:val="00B669D7"/>
    <w:rsid w:val="00B66B21"/>
    <w:rsid w:val="00B66E95"/>
    <w:rsid w:val="00B67204"/>
    <w:rsid w:val="00B67500"/>
    <w:rsid w:val="00B705CA"/>
    <w:rsid w:val="00B70FF7"/>
    <w:rsid w:val="00B7163D"/>
    <w:rsid w:val="00B717B2"/>
    <w:rsid w:val="00B71AD0"/>
    <w:rsid w:val="00B71C26"/>
    <w:rsid w:val="00B72304"/>
    <w:rsid w:val="00B73A85"/>
    <w:rsid w:val="00B73BCC"/>
    <w:rsid w:val="00B73C21"/>
    <w:rsid w:val="00B742CA"/>
    <w:rsid w:val="00B745DF"/>
    <w:rsid w:val="00B74622"/>
    <w:rsid w:val="00B747C7"/>
    <w:rsid w:val="00B748EB"/>
    <w:rsid w:val="00B74936"/>
    <w:rsid w:val="00B74DB5"/>
    <w:rsid w:val="00B76EA9"/>
    <w:rsid w:val="00B77301"/>
    <w:rsid w:val="00B7738B"/>
    <w:rsid w:val="00B7799E"/>
    <w:rsid w:val="00B80369"/>
    <w:rsid w:val="00B814EB"/>
    <w:rsid w:val="00B81572"/>
    <w:rsid w:val="00B81989"/>
    <w:rsid w:val="00B81DC7"/>
    <w:rsid w:val="00B8213E"/>
    <w:rsid w:val="00B825EB"/>
    <w:rsid w:val="00B82605"/>
    <w:rsid w:val="00B82927"/>
    <w:rsid w:val="00B82E7D"/>
    <w:rsid w:val="00B8346C"/>
    <w:rsid w:val="00B85556"/>
    <w:rsid w:val="00B8565B"/>
    <w:rsid w:val="00B85BDF"/>
    <w:rsid w:val="00B86600"/>
    <w:rsid w:val="00B8767E"/>
    <w:rsid w:val="00B90A69"/>
    <w:rsid w:val="00B90FA4"/>
    <w:rsid w:val="00B91165"/>
    <w:rsid w:val="00B91371"/>
    <w:rsid w:val="00B9215E"/>
    <w:rsid w:val="00B92F97"/>
    <w:rsid w:val="00B93A82"/>
    <w:rsid w:val="00B93B6B"/>
    <w:rsid w:val="00B93F69"/>
    <w:rsid w:val="00B945E2"/>
    <w:rsid w:val="00B9533C"/>
    <w:rsid w:val="00B957E1"/>
    <w:rsid w:val="00B959D9"/>
    <w:rsid w:val="00B95B3A"/>
    <w:rsid w:val="00B95CF2"/>
    <w:rsid w:val="00B96031"/>
    <w:rsid w:val="00B96617"/>
    <w:rsid w:val="00B9673C"/>
    <w:rsid w:val="00B96979"/>
    <w:rsid w:val="00B96DB2"/>
    <w:rsid w:val="00B972F0"/>
    <w:rsid w:val="00B977B5"/>
    <w:rsid w:val="00B97834"/>
    <w:rsid w:val="00B97E8B"/>
    <w:rsid w:val="00B97FD0"/>
    <w:rsid w:val="00BA0279"/>
    <w:rsid w:val="00BA1F45"/>
    <w:rsid w:val="00BA22E8"/>
    <w:rsid w:val="00BA27D4"/>
    <w:rsid w:val="00BA2956"/>
    <w:rsid w:val="00BA2D2B"/>
    <w:rsid w:val="00BA309E"/>
    <w:rsid w:val="00BA3AFD"/>
    <w:rsid w:val="00BA453B"/>
    <w:rsid w:val="00BA46C3"/>
    <w:rsid w:val="00BA55F8"/>
    <w:rsid w:val="00BA5FEC"/>
    <w:rsid w:val="00BA6265"/>
    <w:rsid w:val="00BA6CE2"/>
    <w:rsid w:val="00BA6D58"/>
    <w:rsid w:val="00BA7A07"/>
    <w:rsid w:val="00BB1BED"/>
    <w:rsid w:val="00BB1F61"/>
    <w:rsid w:val="00BB25DE"/>
    <w:rsid w:val="00BB3093"/>
    <w:rsid w:val="00BB329B"/>
    <w:rsid w:val="00BB37A9"/>
    <w:rsid w:val="00BB37D6"/>
    <w:rsid w:val="00BB3DE9"/>
    <w:rsid w:val="00BB4685"/>
    <w:rsid w:val="00BB5006"/>
    <w:rsid w:val="00BB563E"/>
    <w:rsid w:val="00BB5753"/>
    <w:rsid w:val="00BB5A23"/>
    <w:rsid w:val="00BB5F80"/>
    <w:rsid w:val="00BB68C7"/>
    <w:rsid w:val="00BB7314"/>
    <w:rsid w:val="00BB75BF"/>
    <w:rsid w:val="00BB7673"/>
    <w:rsid w:val="00BC015C"/>
    <w:rsid w:val="00BC033D"/>
    <w:rsid w:val="00BC07C9"/>
    <w:rsid w:val="00BC17BE"/>
    <w:rsid w:val="00BC1C57"/>
    <w:rsid w:val="00BC1DAE"/>
    <w:rsid w:val="00BC2619"/>
    <w:rsid w:val="00BC28B6"/>
    <w:rsid w:val="00BC30DB"/>
    <w:rsid w:val="00BC36C4"/>
    <w:rsid w:val="00BC36D5"/>
    <w:rsid w:val="00BC3E51"/>
    <w:rsid w:val="00BC45BD"/>
    <w:rsid w:val="00BC47B7"/>
    <w:rsid w:val="00BC4F54"/>
    <w:rsid w:val="00BC5DF1"/>
    <w:rsid w:val="00BC69F0"/>
    <w:rsid w:val="00BC6CF6"/>
    <w:rsid w:val="00BC7AFB"/>
    <w:rsid w:val="00BC7BDB"/>
    <w:rsid w:val="00BD073C"/>
    <w:rsid w:val="00BD1FA3"/>
    <w:rsid w:val="00BD1FC0"/>
    <w:rsid w:val="00BD27D8"/>
    <w:rsid w:val="00BD3779"/>
    <w:rsid w:val="00BD3AC1"/>
    <w:rsid w:val="00BD3E84"/>
    <w:rsid w:val="00BD4450"/>
    <w:rsid w:val="00BD4717"/>
    <w:rsid w:val="00BD55A6"/>
    <w:rsid w:val="00BD567F"/>
    <w:rsid w:val="00BD5BA8"/>
    <w:rsid w:val="00BD7F87"/>
    <w:rsid w:val="00BE12AC"/>
    <w:rsid w:val="00BE1585"/>
    <w:rsid w:val="00BE1629"/>
    <w:rsid w:val="00BE1813"/>
    <w:rsid w:val="00BE19B6"/>
    <w:rsid w:val="00BE3392"/>
    <w:rsid w:val="00BE37A9"/>
    <w:rsid w:val="00BE4D1A"/>
    <w:rsid w:val="00BE4F4C"/>
    <w:rsid w:val="00BE6CBA"/>
    <w:rsid w:val="00BE728B"/>
    <w:rsid w:val="00BE7D44"/>
    <w:rsid w:val="00BF0283"/>
    <w:rsid w:val="00BF0A9A"/>
    <w:rsid w:val="00BF0D3D"/>
    <w:rsid w:val="00BF0F06"/>
    <w:rsid w:val="00BF1466"/>
    <w:rsid w:val="00BF15F2"/>
    <w:rsid w:val="00BF20D9"/>
    <w:rsid w:val="00BF2205"/>
    <w:rsid w:val="00BF25FC"/>
    <w:rsid w:val="00BF2C69"/>
    <w:rsid w:val="00BF30FC"/>
    <w:rsid w:val="00BF33A3"/>
    <w:rsid w:val="00BF344B"/>
    <w:rsid w:val="00BF3B27"/>
    <w:rsid w:val="00BF3D5A"/>
    <w:rsid w:val="00BF3FF1"/>
    <w:rsid w:val="00BF445E"/>
    <w:rsid w:val="00BF4534"/>
    <w:rsid w:val="00BF48DE"/>
    <w:rsid w:val="00BF4CD6"/>
    <w:rsid w:val="00BF4F92"/>
    <w:rsid w:val="00BF5CA4"/>
    <w:rsid w:val="00BF7295"/>
    <w:rsid w:val="00BF736D"/>
    <w:rsid w:val="00BF781A"/>
    <w:rsid w:val="00BF7A18"/>
    <w:rsid w:val="00C0134D"/>
    <w:rsid w:val="00C020A9"/>
    <w:rsid w:val="00C0219E"/>
    <w:rsid w:val="00C02238"/>
    <w:rsid w:val="00C02A45"/>
    <w:rsid w:val="00C036D7"/>
    <w:rsid w:val="00C03B52"/>
    <w:rsid w:val="00C03C33"/>
    <w:rsid w:val="00C03D15"/>
    <w:rsid w:val="00C042CA"/>
    <w:rsid w:val="00C04762"/>
    <w:rsid w:val="00C0478F"/>
    <w:rsid w:val="00C05455"/>
    <w:rsid w:val="00C05BE7"/>
    <w:rsid w:val="00C07BBD"/>
    <w:rsid w:val="00C07D0D"/>
    <w:rsid w:val="00C07E24"/>
    <w:rsid w:val="00C105E4"/>
    <w:rsid w:val="00C10939"/>
    <w:rsid w:val="00C1098F"/>
    <w:rsid w:val="00C10F1C"/>
    <w:rsid w:val="00C1168A"/>
    <w:rsid w:val="00C11A01"/>
    <w:rsid w:val="00C11D07"/>
    <w:rsid w:val="00C12480"/>
    <w:rsid w:val="00C126D7"/>
    <w:rsid w:val="00C126D8"/>
    <w:rsid w:val="00C12B4B"/>
    <w:rsid w:val="00C12C9D"/>
    <w:rsid w:val="00C12FCA"/>
    <w:rsid w:val="00C13754"/>
    <w:rsid w:val="00C14997"/>
    <w:rsid w:val="00C15C81"/>
    <w:rsid w:val="00C1685B"/>
    <w:rsid w:val="00C17137"/>
    <w:rsid w:val="00C17303"/>
    <w:rsid w:val="00C17599"/>
    <w:rsid w:val="00C178C5"/>
    <w:rsid w:val="00C17902"/>
    <w:rsid w:val="00C179D6"/>
    <w:rsid w:val="00C17D6F"/>
    <w:rsid w:val="00C20051"/>
    <w:rsid w:val="00C210BF"/>
    <w:rsid w:val="00C22A74"/>
    <w:rsid w:val="00C22D1D"/>
    <w:rsid w:val="00C22F42"/>
    <w:rsid w:val="00C23642"/>
    <w:rsid w:val="00C238A0"/>
    <w:rsid w:val="00C23CCB"/>
    <w:rsid w:val="00C24699"/>
    <w:rsid w:val="00C2486F"/>
    <w:rsid w:val="00C25451"/>
    <w:rsid w:val="00C25B39"/>
    <w:rsid w:val="00C25CAD"/>
    <w:rsid w:val="00C26874"/>
    <w:rsid w:val="00C26A18"/>
    <w:rsid w:val="00C26C2E"/>
    <w:rsid w:val="00C26CE9"/>
    <w:rsid w:val="00C2757D"/>
    <w:rsid w:val="00C3040E"/>
    <w:rsid w:val="00C30E24"/>
    <w:rsid w:val="00C312F8"/>
    <w:rsid w:val="00C319CB"/>
    <w:rsid w:val="00C31A15"/>
    <w:rsid w:val="00C31CC1"/>
    <w:rsid w:val="00C321F0"/>
    <w:rsid w:val="00C32B13"/>
    <w:rsid w:val="00C33EA4"/>
    <w:rsid w:val="00C344E9"/>
    <w:rsid w:val="00C34561"/>
    <w:rsid w:val="00C34901"/>
    <w:rsid w:val="00C34CBB"/>
    <w:rsid w:val="00C34FFD"/>
    <w:rsid w:val="00C354FF"/>
    <w:rsid w:val="00C35521"/>
    <w:rsid w:val="00C356DF"/>
    <w:rsid w:val="00C35877"/>
    <w:rsid w:val="00C35D45"/>
    <w:rsid w:val="00C3646B"/>
    <w:rsid w:val="00C36E65"/>
    <w:rsid w:val="00C374C0"/>
    <w:rsid w:val="00C37A6B"/>
    <w:rsid w:val="00C40060"/>
    <w:rsid w:val="00C402F7"/>
    <w:rsid w:val="00C40458"/>
    <w:rsid w:val="00C40870"/>
    <w:rsid w:val="00C40B9C"/>
    <w:rsid w:val="00C40F17"/>
    <w:rsid w:val="00C42AFB"/>
    <w:rsid w:val="00C42B67"/>
    <w:rsid w:val="00C43A6E"/>
    <w:rsid w:val="00C43F41"/>
    <w:rsid w:val="00C443E8"/>
    <w:rsid w:val="00C44DC7"/>
    <w:rsid w:val="00C44EFC"/>
    <w:rsid w:val="00C45312"/>
    <w:rsid w:val="00C4566D"/>
    <w:rsid w:val="00C45E09"/>
    <w:rsid w:val="00C45FB2"/>
    <w:rsid w:val="00C4621A"/>
    <w:rsid w:val="00C46891"/>
    <w:rsid w:val="00C469B4"/>
    <w:rsid w:val="00C46BEC"/>
    <w:rsid w:val="00C46DA5"/>
    <w:rsid w:val="00C46E8A"/>
    <w:rsid w:val="00C47C4F"/>
    <w:rsid w:val="00C47E1F"/>
    <w:rsid w:val="00C47E8A"/>
    <w:rsid w:val="00C506F6"/>
    <w:rsid w:val="00C50832"/>
    <w:rsid w:val="00C50AFD"/>
    <w:rsid w:val="00C50E8C"/>
    <w:rsid w:val="00C50F07"/>
    <w:rsid w:val="00C51353"/>
    <w:rsid w:val="00C51680"/>
    <w:rsid w:val="00C51E3D"/>
    <w:rsid w:val="00C5204D"/>
    <w:rsid w:val="00C52292"/>
    <w:rsid w:val="00C52FD7"/>
    <w:rsid w:val="00C53461"/>
    <w:rsid w:val="00C53E19"/>
    <w:rsid w:val="00C548D3"/>
    <w:rsid w:val="00C54A7B"/>
    <w:rsid w:val="00C54CD9"/>
    <w:rsid w:val="00C55144"/>
    <w:rsid w:val="00C55BD9"/>
    <w:rsid w:val="00C5625E"/>
    <w:rsid w:val="00C5647E"/>
    <w:rsid w:val="00C56802"/>
    <w:rsid w:val="00C56A59"/>
    <w:rsid w:val="00C56CD2"/>
    <w:rsid w:val="00C57ACA"/>
    <w:rsid w:val="00C60332"/>
    <w:rsid w:val="00C618FB"/>
    <w:rsid w:val="00C629F1"/>
    <w:rsid w:val="00C62C1B"/>
    <w:rsid w:val="00C63069"/>
    <w:rsid w:val="00C64A11"/>
    <w:rsid w:val="00C65179"/>
    <w:rsid w:val="00C6593F"/>
    <w:rsid w:val="00C65B2B"/>
    <w:rsid w:val="00C65D32"/>
    <w:rsid w:val="00C66109"/>
    <w:rsid w:val="00C6662D"/>
    <w:rsid w:val="00C6750E"/>
    <w:rsid w:val="00C67B2D"/>
    <w:rsid w:val="00C708EF"/>
    <w:rsid w:val="00C71836"/>
    <w:rsid w:val="00C72446"/>
    <w:rsid w:val="00C730E1"/>
    <w:rsid w:val="00C7360E"/>
    <w:rsid w:val="00C73746"/>
    <w:rsid w:val="00C738EF"/>
    <w:rsid w:val="00C73C9B"/>
    <w:rsid w:val="00C74495"/>
    <w:rsid w:val="00C74712"/>
    <w:rsid w:val="00C75283"/>
    <w:rsid w:val="00C7580E"/>
    <w:rsid w:val="00C760E3"/>
    <w:rsid w:val="00C761F9"/>
    <w:rsid w:val="00C764EF"/>
    <w:rsid w:val="00C768BC"/>
    <w:rsid w:val="00C76D8C"/>
    <w:rsid w:val="00C80021"/>
    <w:rsid w:val="00C80139"/>
    <w:rsid w:val="00C8032A"/>
    <w:rsid w:val="00C804D9"/>
    <w:rsid w:val="00C80612"/>
    <w:rsid w:val="00C8114B"/>
    <w:rsid w:val="00C81378"/>
    <w:rsid w:val="00C8149D"/>
    <w:rsid w:val="00C823F7"/>
    <w:rsid w:val="00C84739"/>
    <w:rsid w:val="00C86462"/>
    <w:rsid w:val="00C86D34"/>
    <w:rsid w:val="00C875A3"/>
    <w:rsid w:val="00C90069"/>
    <w:rsid w:val="00C90B45"/>
    <w:rsid w:val="00C90F60"/>
    <w:rsid w:val="00C90FA5"/>
    <w:rsid w:val="00C90FCA"/>
    <w:rsid w:val="00C92547"/>
    <w:rsid w:val="00C92672"/>
    <w:rsid w:val="00C92AD5"/>
    <w:rsid w:val="00C92D78"/>
    <w:rsid w:val="00C94574"/>
    <w:rsid w:val="00C947DC"/>
    <w:rsid w:val="00C94BB0"/>
    <w:rsid w:val="00C953E6"/>
    <w:rsid w:val="00C9596D"/>
    <w:rsid w:val="00C95F64"/>
    <w:rsid w:val="00C96D28"/>
    <w:rsid w:val="00C976CC"/>
    <w:rsid w:val="00C97C71"/>
    <w:rsid w:val="00CA0408"/>
    <w:rsid w:val="00CA0DE6"/>
    <w:rsid w:val="00CA1261"/>
    <w:rsid w:val="00CA1676"/>
    <w:rsid w:val="00CA22F4"/>
    <w:rsid w:val="00CA2546"/>
    <w:rsid w:val="00CA2FF9"/>
    <w:rsid w:val="00CA355A"/>
    <w:rsid w:val="00CA3713"/>
    <w:rsid w:val="00CA41A6"/>
    <w:rsid w:val="00CA48B9"/>
    <w:rsid w:val="00CA5061"/>
    <w:rsid w:val="00CA541C"/>
    <w:rsid w:val="00CA54D9"/>
    <w:rsid w:val="00CA5EFC"/>
    <w:rsid w:val="00CA6C31"/>
    <w:rsid w:val="00CA6D01"/>
    <w:rsid w:val="00CA74CA"/>
    <w:rsid w:val="00CA7BB9"/>
    <w:rsid w:val="00CB073F"/>
    <w:rsid w:val="00CB0ED1"/>
    <w:rsid w:val="00CB1344"/>
    <w:rsid w:val="00CB1A57"/>
    <w:rsid w:val="00CB1A58"/>
    <w:rsid w:val="00CB27AC"/>
    <w:rsid w:val="00CB3A15"/>
    <w:rsid w:val="00CB3B2A"/>
    <w:rsid w:val="00CB3BEC"/>
    <w:rsid w:val="00CB5224"/>
    <w:rsid w:val="00CB55E0"/>
    <w:rsid w:val="00CB63E9"/>
    <w:rsid w:val="00CB67B3"/>
    <w:rsid w:val="00CB6BF6"/>
    <w:rsid w:val="00CB71E8"/>
    <w:rsid w:val="00CB73E2"/>
    <w:rsid w:val="00CB755F"/>
    <w:rsid w:val="00CB7EE5"/>
    <w:rsid w:val="00CC0244"/>
    <w:rsid w:val="00CC0C00"/>
    <w:rsid w:val="00CC0E77"/>
    <w:rsid w:val="00CC1626"/>
    <w:rsid w:val="00CC1975"/>
    <w:rsid w:val="00CC274B"/>
    <w:rsid w:val="00CC296A"/>
    <w:rsid w:val="00CC2DC5"/>
    <w:rsid w:val="00CC36EE"/>
    <w:rsid w:val="00CC3731"/>
    <w:rsid w:val="00CC44B0"/>
    <w:rsid w:val="00CC579E"/>
    <w:rsid w:val="00CC5B3C"/>
    <w:rsid w:val="00CC5C96"/>
    <w:rsid w:val="00CC6B8A"/>
    <w:rsid w:val="00CC7312"/>
    <w:rsid w:val="00CC73CE"/>
    <w:rsid w:val="00CC7C46"/>
    <w:rsid w:val="00CC7DFC"/>
    <w:rsid w:val="00CC7ECA"/>
    <w:rsid w:val="00CC7F03"/>
    <w:rsid w:val="00CD0ECB"/>
    <w:rsid w:val="00CD0F26"/>
    <w:rsid w:val="00CD10E3"/>
    <w:rsid w:val="00CD11EA"/>
    <w:rsid w:val="00CD124D"/>
    <w:rsid w:val="00CD1913"/>
    <w:rsid w:val="00CD1B6D"/>
    <w:rsid w:val="00CD209F"/>
    <w:rsid w:val="00CD2A9A"/>
    <w:rsid w:val="00CD2B3F"/>
    <w:rsid w:val="00CD3337"/>
    <w:rsid w:val="00CD33AD"/>
    <w:rsid w:val="00CD4535"/>
    <w:rsid w:val="00CD5DC8"/>
    <w:rsid w:val="00CD63EF"/>
    <w:rsid w:val="00CD6910"/>
    <w:rsid w:val="00CD6978"/>
    <w:rsid w:val="00CD6DBA"/>
    <w:rsid w:val="00CD6FC7"/>
    <w:rsid w:val="00CD7658"/>
    <w:rsid w:val="00CE0728"/>
    <w:rsid w:val="00CE0CF0"/>
    <w:rsid w:val="00CE10C0"/>
    <w:rsid w:val="00CE13D2"/>
    <w:rsid w:val="00CE18F3"/>
    <w:rsid w:val="00CE28B4"/>
    <w:rsid w:val="00CE3F07"/>
    <w:rsid w:val="00CE43C6"/>
    <w:rsid w:val="00CE458B"/>
    <w:rsid w:val="00CE49BE"/>
    <w:rsid w:val="00CE49D5"/>
    <w:rsid w:val="00CE4C97"/>
    <w:rsid w:val="00CE55AC"/>
    <w:rsid w:val="00CE579C"/>
    <w:rsid w:val="00CE58A1"/>
    <w:rsid w:val="00CE5E89"/>
    <w:rsid w:val="00CE68D4"/>
    <w:rsid w:val="00CE70F0"/>
    <w:rsid w:val="00CE7361"/>
    <w:rsid w:val="00CF0A3A"/>
    <w:rsid w:val="00CF0BF9"/>
    <w:rsid w:val="00CF0DE8"/>
    <w:rsid w:val="00CF12B3"/>
    <w:rsid w:val="00CF1C29"/>
    <w:rsid w:val="00CF224D"/>
    <w:rsid w:val="00CF2267"/>
    <w:rsid w:val="00CF24EA"/>
    <w:rsid w:val="00CF2FED"/>
    <w:rsid w:val="00CF35F3"/>
    <w:rsid w:val="00CF3EF7"/>
    <w:rsid w:val="00CF4406"/>
    <w:rsid w:val="00CF5458"/>
    <w:rsid w:val="00CF5601"/>
    <w:rsid w:val="00CF5652"/>
    <w:rsid w:val="00CF69D6"/>
    <w:rsid w:val="00CF6C72"/>
    <w:rsid w:val="00CF7386"/>
    <w:rsid w:val="00CF785E"/>
    <w:rsid w:val="00CF7863"/>
    <w:rsid w:val="00D0050B"/>
    <w:rsid w:val="00D00C3A"/>
    <w:rsid w:val="00D00FE7"/>
    <w:rsid w:val="00D01C41"/>
    <w:rsid w:val="00D01ED3"/>
    <w:rsid w:val="00D02ED7"/>
    <w:rsid w:val="00D03669"/>
    <w:rsid w:val="00D03DD8"/>
    <w:rsid w:val="00D04F85"/>
    <w:rsid w:val="00D054B1"/>
    <w:rsid w:val="00D05E26"/>
    <w:rsid w:val="00D06104"/>
    <w:rsid w:val="00D06B43"/>
    <w:rsid w:val="00D07157"/>
    <w:rsid w:val="00D07341"/>
    <w:rsid w:val="00D07A91"/>
    <w:rsid w:val="00D07F53"/>
    <w:rsid w:val="00D10598"/>
    <w:rsid w:val="00D120EE"/>
    <w:rsid w:val="00D13C37"/>
    <w:rsid w:val="00D13DE1"/>
    <w:rsid w:val="00D1468F"/>
    <w:rsid w:val="00D14693"/>
    <w:rsid w:val="00D146AD"/>
    <w:rsid w:val="00D14DDC"/>
    <w:rsid w:val="00D14E43"/>
    <w:rsid w:val="00D1608A"/>
    <w:rsid w:val="00D16C4D"/>
    <w:rsid w:val="00D16DE6"/>
    <w:rsid w:val="00D17B75"/>
    <w:rsid w:val="00D17F2F"/>
    <w:rsid w:val="00D20B59"/>
    <w:rsid w:val="00D20C24"/>
    <w:rsid w:val="00D2170D"/>
    <w:rsid w:val="00D21C57"/>
    <w:rsid w:val="00D23481"/>
    <w:rsid w:val="00D235D1"/>
    <w:rsid w:val="00D24676"/>
    <w:rsid w:val="00D24909"/>
    <w:rsid w:val="00D24A31"/>
    <w:rsid w:val="00D24EF2"/>
    <w:rsid w:val="00D254AB"/>
    <w:rsid w:val="00D259AE"/>
    <w:rsid w:val="00D259BB"/>
    <w:rsid w:val="00D259CF"/>
    <w:rsid w:val="00D26375"/>
    <w:rsid w:val="00D26966"/>
    <w:rsid w:val="00D26CD2"/>
    <w:rsid w:val="00D27134"/>
    <w:rsid w:val="00D30021"/>
    <w:rsid w:val="00D30316"/>
    <w:rsid w:val="00D304EC"/>
    <w:rsid w:val="00D30D8C"/>
    <w:rsid w:val="00D30EAB"/>
    <w:rsid w:val="00D31CE7"/>
    <w:rsid w:val="00D31D4C"/>
    <w:rsid w:val="00D33579"/>
    <w:rsid w:val="00D338D5"/>
    <w:rsid w:val="00D33C92"/>
    <w:rsid w:val="00D34381"/>
    <w:rsid w:val="00D34D4D"/>
    <w:rsid w:val="00D34E04"/>
    <w:rsid w:val="00D352AF"/>
    <w:rsid w:val="00D35720"/>
    <w:rsid w:val="00D3619E"/>
    <w:rsid w:val="00D367FC"/>
    <w:rsid w:val="00D36F90"/>
    <w:rsid w:val="00D37683"/>
    <w:rsid w:val="00D37FDB"/>
    <w:rsid w:val="00D4058F"/>
    <w:rsid w:val="00D40851"/>
    <w:rsid w:val="00D40BD7"/>
    <w:rsid w:val="00D40D02"/>
    <w:rsid w:val="00D40D62"/>
    <w:rsid w:val="00D40F50"/>
    <w:rsid w:val="00D41785"/>
    <w:rsid w:val="00D41A13"/>
    <w:rsid w:val="00D41C81"/>
    <w:rsid w:val="00D42229"/>
    <w:rsid w:val="00D4271C"/>
    <w:rsid w:val="00D42AAE"/>
    <w:rsid w:val="00D43449"/>
    <w:rsid w:val="00D43AD0"/>
    <w:rsid w:val="00D44039"/>
    <w:rsid w:val="00D4454F"/>
    <w:rsid w:val="00D449ED"/>
    <w:rsid w:val="00D4574E"/>
    <w:rsid w:val="00D46E8E"/>
    <w:rsid w:val="00D50E92"/>
    <w:rsid w:val="00D51A61"/>
    <w:rsid w:val="00D51C5F"/>
    <w:rsid w:val="00D5252A"/>
    <w:rsid w:val="00D53916"/>
    <w:rsid w:val="00D53D09"/>
    <w:rsid w:val="00D53DCF"/>
    <w:rsid w:val="00D5496C"/>
    <w:rsid w:val="00D55285"/>
    <w:rsid w:val="00D55C01"/>
    <w:rsid w:val="00D561DB"/>
    <w:rsid w:val="00D566AE"/>
    <w:rsid w:val="00D60935"/>
    <w:rsid w:val="00D61554"/>
    <w:rsid w:val="00D6242F"/>
    <w:rsid w:val="00D62763"/>
    <w:rsid w:val="00D631D9"/>
    <w:rsid w:val="00D63D1B"/>
    <w:rsid w:val="00D651DF"/>
    <w:rsid w:val="00D6527F"/>
    <w:rsid w:val="00D65F20"/>
    <w:rsid w:val="00D660E4"/>
    <w:rsid w:val="00D664F1"/>
    <w:rsid w:val="00D66E7A"/>
    <w:rsid w:val="00D67562"/>
    <w:rsid w:val="00D677EE"/>
    <w:rsid w:val="00D67E61"/>
    <w:rsid w:val="00D67F17"/>
    <w:rsid w:val="00D71447"/>
    <w:rsid w:val="00D7170B"/>
    <w:rsid w:val="00D71821"/>
    <w:rsid w:val="00D71E1C"/>
    <w:rsid w:val="00D724CC"/>
    <w:rsid w:val="00D73185"/>
    <w:rsid w:val="00D74597"/>
    <w:rsid w:val="00D749C7"/>
    <w:rsid w:val="00D74B57"/>
    <w:rsid w:val="00D755B6"/>
    <w:rsid w:val="00D7574A"/>
    <w:rsid w:val="00D75A1D"/>
    <w:rsid w:val="00D76F2A"/>
    <w:rsid w:val="00D77A40"/>
    <w:rsid w:val="00D77B55"/>
    <w:rsid w:val="00D77DA9"/>
    <w:rsid w:val="00D80139"/>
    <w:rsid w:val="00D803DB"/>
    <w:rsid w:val="00D80A77"/>
    <w:rsid w:val="00D80F8F"/>
    <w:rsid w:val="00D81FCD"/>
    <w:rsid w:val="00D82083"/>
    <w:rsid w:val="00D821EB"/>
    <w:rsid w:val="00D822BC"/>
    <w:rsid w:val="00D82BC4"/>
    <w:rsid w:val="00D82ED5"/>
    <w:rsid w:val="00D8464E"/>
    <w:rsid w:val="00D84C16"/>
    <w:rsid w:val="00D8517C"/>
    <w:rsid w:val="00D853BE"/>
    <w:rsid w:val="00D85593"/>
    <w:rsid w:val="00D85A56"/>
    <w:rsid w:val="00D85B4E"/>
    <w:rsid w:val="00D85D35"/>
    <w:rsid w:val="00D86742"/>
    <w:rsid w:val="00D8724C"/>
    <w:rsid w:val="00D87C07"/>
    <w:rsid w:val="00D902FA"/>
    <w:rsid w:val="00D90307"/>
    <w:rsid w:val="00D904AB"/>
    <w:rsid w:val="00D9109C"/>
    <w:rsid w:val="00D9188E"/>
    <w:rsid w:val="00D919D8"/>
    <w:rsid w:val="00D92698"/>
    <w:rsid w:val="00D927B8"/>
    <w:rsid w:val="00D932BC"/>
    <w:rsid w:val="00D93613"/>
    <w:rsid w:val="00D93740"/>
    <w:rsid w:val="00D93BD0"/>
    <w:rsid w:val="00D94A6A"/>
    <w:rsid w:val="00D94F11"/>
    <w:rsid w:val="00D95700"/>
    <w:rsid w:val="00D969BB"/>
    <w:rsid w:val="00D96BDB"/>
    <w:rsid w:val="00D96BFF"/>
    <w:rsid w:val="00D96CDA"/>
    <w:rsid w:val="00D976AD"/>
    <w:rsid w:val="00D978CB"/>
    <w:rsid w:val="00DA0B5C"/>
    <w:rsid w:val="00DA0F41"/>
    <w:rsid w:val="00DA1063"/>
    <w:rsid w:val="00DA1BDA"/>
    <w:rsid w:val="00DA1DCB"/>
    <w:rsid w:val="00DA3955"/>
    <w:rsid w:val="00DA3BCD"/>
    <w:rsid w:val="00DA3DD7"/>
    <w:rsid w:val="00DA407B"/>
    <w:rsid w:val="00DA4255"/>
    <w:rsid w:val="00DA4DB9"/>
    <w:rsid w:val="00DA5098"/>
    <w:rsid w:val="00DA5C9E"/>
    <w:rsid w:val="00DA7329"/>
    <w:rsid w:val="00DA7951"/>
    <w:rsid w:val="00DB0984"/>
    <w:rsid w:val="00DB0E54"/>
    <w:rsid w:val="00DB1580"/>
    <w:rsid w:val="00DB16A4"/>
    <w:rsid w:val="00DB1C8B"/>
    <w:rsid w:val="00DB2007"/>
    <w:rsid w:val="00DB23A9"/>
    <w:rsid w:val="00DB23E2"/>
    <w:rsid w:val="00DB2CDB"/>
    <w:rsid w:val="00DB3C13"/>
    <w:rsid w:val="00DB448F"/>
    <w:rsid w:val="00DB48C6"/>
    <w:rsid w:val="00DB48F3"/>
    <w:rsid w:val="00DB4E99"/>
    <w:rsid w:val="00DB59BA"/>
    <w:rsid w:val="00DB5F20"/>
    <w:rsid w:val="00DB6DA8"/>
    <w:rsid w:val="00DB7332"/>
    <w:rsid w:val="00DB764D"/>
    <w:rsid w:val="00DB797B"/>
    <w:rsid w:val="00DC02AC"/>
    <w:rsid w:val="00DC057E"/>
    <w:rsid w:val="00DC0735"/>
    <w:rsid w:val="00DC082C"/>
    <w:rsid w:val="00DC14F1"/>
    <w:rsid w:val="00DC1EA9"/>
    <w:rsid w:val="00DC256E"/>
    <w:rsid w:val="00DC2588"/>
    <w:rsid w:val="00DC2610"/>
    <w:rsid w:val="00DC2EDF"/>
    <w:rsid w:val="00DC3761"/>
    <w:rsid w:val="00DC4243"/>
    <w:rsid w:val="00DC4533"/>
    <w:rsid w:val="00DC48BE"/>
    <w:rsid w:val="00DC50B6"/>
    <w:rsid w:val="00DC54CC"/>
    <w:rsid w:val="00DC6485"/>
    <w:rsid w:val="00DC681E"/>
    <w:rsid w:val="00DC6B1A"/>
    <w:rsid w:val="00DD0392"/>
    <w:rsid w:val="00DD05B6"/>
    <w:rsid w:val="00DD103E"/>
    <w:rsid w:val="00DD17E0"/>
    <w:rsid w:val="00DD2658"/>
    <w:rsid w:val="00DD26C7"/>
    <w:rsid w:val="00DD295F"/>
    <w:rsid w:val="00DD3076"/>
    <w:rsid w:val="00DD320C"/>
    <w:rsid w:val="00DD34BF"/>
    <w:rsid w:val="00DD39DF"/>
    <w:rsid w:val="00DD3D05"/>
    <w:rsid w:val="00DD3F0A"/>
    <w:rsid w:val="00DD4322"/>
    <w:rsid w:val="00DD499C"/>
    <w:rsid w:val="00DD4E0E"/>
    <w:rsid w:val="00DD52A5"/>
    <w:rsid w:val="00DD5ADD"/>
    <w:rsid w:val="00DD5E39"/>
    <w:rsid w:val="00DD6318"/>
    <w:rsid w:val="00DD71BE"/>
    <w:rsid w:val="00DD7296"/>
    <w:rsid w:val="00DD7513"/>
    <w:rsid w:val="00DD7AD6"/>
    <w:rsid w:val="00DD7D78"/>
    <w:rsid w:val="00DD7EFF"/>
    <w:rsid w:val="00DE0139"/>
    <w:rsid w:val="00DE089D"/>
    <w:rsid w:val="00DE1A45"/>
    <w:rsid w:val="00DE1B01"/>
    <w:rsid w:val="00DE1B87"/>
    <w:rsid w:val="00DE2391"/>
    <w:rsid w:val="00DE258E"/>
    <w:rsid w:val="00DE26AF"/>
    <w:rsid w:val="00DE2A81"/>
    <w:rsid w:val="00DE2EAF"/>
    <w:rsid w:val="00DE3B20"/>
    <w:rsid w:val="00DE42D6"/>
    <w:rsid w:val="00DE4B68"/>
    <w:rsid w:val="00DE53FC"/>
    <w:rsid w:val="00DE6749"/>
    <w:rsid w:val="00DE6FF5"/>
    <w:rsid w:val="00DE7085"/>
    <w:rsid w:val="00DE70E8"/>
    <w:rsid w:val="00DE7668"/>
    <w:rsid w:val="00DE7916"/>
    <w:rsid w:val="00DF0C1E"/>
    <w:rsid w:val="00DF1142"/>
    <w:rsid w:val="00DF209E"/>
    <w:rsid w:val="00DF2458"/>
    <w:rsid w:val="00DF385F"/>
    <w:rsid w:val="00DF5A6B"/>
    <w:rsid w:val="00DF604E"/>
    <w:rsid w:val="00DF6F09"/>
    <w:rsid w:val="00DF70E5"/>
    <w:rsid w:val="00DF710B"/>
    <w:rsid w:val="00E00868"/>
    <w:rsid w:val="00E01498"/>
    <w:rsid w:val="00E0153F"/>
    <w:rsid w:val="00E0197D"/>
    <w:rsid w:val="00E02074"/>
    <w:rsid w:val="00E02C49"/>
    <w:rsid w:val="00E03304"/>
    <w:rsid w:val="00E039BB"/>
    <w:rsid w:val="00E03A89"/>
    <w:rsid w:val="00E0416A"/>
    <w:rsid w:val="00E04E79"/>
    <w:rsid w:val="00E04F09"/>
    <w:rsid w:val="00E04F8D"/>
    <w:rsid w:val="00E04FE8"/>
    <w:rsid w:val="00E0501C"/>
    <w:rsid w:val="00E05B3B"/>
    <w:rsid w:val="00E06F9B"/>
    <w:rsid w:val="00E06FDB"/>
    <w:rsid w:val="00E07DDB"/>
    <w:rsid w:val="00E07EA6"/>
    <w:rsid w:val="00E108BC"/>
    <w:rsid w:val="00E10B73"/>
    <w:rsid w:val="00E12016"/>
    <w:rsid w:val="00E1220A"/>
    <w:rsid w:val="00E1343E"/>
    <w:rsid w:val="00E13802"/>
    <w:rsid w:val="00E13C6C"/>
    <w:rsid w:val="00E1401D"/>
    <w:rsid w:val="00E146FA"/>
    <w:rsid w:val="00E159AB"/>
    <w:rsid w:val="00E15C0C"/>
    <w:rsid w:val="00E16371"/>
    <w:rsid w:val="00E16C88"/>
    <w:rsid w:val="00E170F7"/>
    <w:rsid w:val="00E17228"/>
    <w:rsid w:val="00E17CDB"/>
    <w:rsid w:val="00E205EF"/>
    <w:rsid w:val="00E21343"/>
    <w:rsid w:val="00E22DC9"/>
    <w:rsid w:val="00E22F5C"/>
    <w:rsid w:val="00E23A6D"/>
    <w:rsid w:val="00E23A84"/>
    <w:rsid w:val="00E23E73"/>
    <w:rsid w:val="00E246DB"/>
    <w:rsid w:val="00E248FC"/>
    <w:rsid w:val="00E2571E"/>
    <w:rsid w:val="00E25E0D"/>
    <w:rsid w:val="00E25EBA"/>
    <w:rsid w:val="00E26080"/>
    <w:rsid w:val="00E26DD7"/>
    <w:rsid w:val="00E30447"/>
    <w:rsid w:val="00E30CAF"/>
    <w:rsid w:val="00E30F24"/>
    <w:rsid w:val="00E33144"/>
    <w:rsid w:val="00E335C9"/>
    <w:rsid w:val="00E33651"/>
    <w:rsid w:val="00E33776"/>
    <w:rsid w:val="00E33A42"/>
    <w:rsid w:val="00E33BDE"/>
    <w:rsid w:val="00E34592"/>
    <w:rsid w:val="00E36441"/>
    <w:rsid w:val="00E36562"/>
    <w:rsid w:val="00E36656"/>
    <w:rsid w:val="00E3677A"/>
    <w:rsid w:val="00E3689A"/>
    <w:rsid w:val="00E36B10"/>
    <w:rsid w:val="00E36D84"/>
    <w:rsid w:val="00E37854"/>
    <w:rsid w:val="00E379D3"/>
    <w:rsid w:val="00E37F79"/>
    <w:rsid w:val="00E408CE"/>
    <w:rsid w:val="00E40C66"/>
    <w:rsid w:val="00E40C77"/>
    <w:rsid w:val="00E4248D"/>
    <w:rsid w:val="00E42959"/>
    <w:rsid w:val="00E4353A"/>
    <w:rsid w:val="00E43CEB"/>
    <w:rsid w:val="00E43F53"/>
    <w:rsid w:val="00E45406"/>
    <w:rsid w:val="00E45641"/>
    <w:rsid w:val="00E45DC0"/>
    <w:rsid w:val="00E460AC"/>
    <w:rsid w:val="00E46312"/>
    <w:rsid w:val="00E4724F"/>
    <w:rsid w:val="00E47F11"/>
    <w:rsid w:val="00E50303"/>
    <w:rsid w:val="00E508C2"/>
    <w:rsid w:val="00E51218"/>
    <w:rsid w:val="00E5162B"/>
    <w:rsid w:val="00E5163A"/>
    <w:rsid w:val="00E5214D"/>
    <w:rsid w:val="00E52917"/>
    <w:rsid w:val="00E52933"/>
    <w:rsid w:val="00E52AC5"/>
    <w:rsid w:val="00E5342F"/>
    <w:rsid w:val="00E53630"/>
    <w:rsid w:val="00E537F0"/>
    <w:rsid w:val="00E539B4"/>
    <w:rsid w:val="00E53A23"/>
    <w:rsid w:val="00E53A5B"/>
    <w:rsid w:val="00E53DAA"/>
    <w:rsid w:val="00E540F2"/>
    <w:rsid w:val="00E543CC"/>
    <w:rsid w:val="00E54B82"/>
    <w:rsid w:val="00E54BDA"/>
    <w:rsid w:val="00E54DF2"/>
    <w:rsid w:val="00E5523E"/>
    <w:rsid w:val="00E559E3"/>
    <w:rsid w:val="00E5754A"/>
    <w:rsid w:val="00E575D8"/>
    <w:rsid w:val="00E57A8D"/>
    <w:rsid w:val="00E57D33"/>
    <w:rsid w:val="00E57F64"/>
    <w:rsid w:val="00E600BE"/>
    <w:rsid w:val="00E60FB0"/>
    <w:rsid w:val="00E61029"/>
    <w:rsid w:val="00E61455"/>
    <w:rsid w:val="00E61ED3"/>
    <w:rsid w:val="00E620C2"/>
    <w:rsid w:val="00E62161"/>
    <w:rsid w:val="00E62C8D"/>
    <w:rsid w:val="00E62DAD"/>
    <w:rsid w:val="00E639E2"/>
    <w:rsid w:val="00E64075"/>
    <w:rsid w:val="00E6440A"/>
    <w:rsid w:val="00E6596D"/>
    <w:rsid w:val="00E65982"/>
    <w:rsid w:val="00E660CC"/>
    <w:rsid w:val="00E66330"/>
    <w:rsid w:val="00E6635D"/>
    <w:rsid w:val="00E66386"/>
    <w:rsid w:val="00E66CDC"/>
    <w:rsid w:val="00E6743F"/>
    <w:rsid w:val="00E67FC2"/>
    <w:rsid w:val="00E70151"/>
    <w:rsid w:val="00E7054B"/>
    <w:rsid w:val="00E70BEA"/>
    <w:rsid w:val="00E70D64"/>
    <w:rsid w:val="00E71C94"/>
    <w:rsid w:val="00E71E45"/>
    <w:rsid w:val="00E725B5"/>
    <w:rsid w:val="00E72766"/>
    <w:rsid w:val="00E7292A"/>
    <w:rsid w:val="00E735D6"/>
    <w:rsid w:val="00E73663"/>
    <w:rsid w:val="00E73B1F"/>
    <w:rsid w:val="00E744A8"/>
    <w:rsid w:val="00E75948"/>
    <w:rsid w:val="00E75A30"/>
    <w:rsid w:val="00E76477"/>
    <w:rsid w:val="00E769D7"/>
    <w:rsid w:val="00E77F91"/>
    <w:rsid w:val="00E80225"/>
    <w:rsid w:val="00E802AE"/>
    <w:rsid w:val="00E80D7C"/>
    <w:rsid w:val="00E80EDE"/>
    <w:rsid w:val="00E81F45"/>
    <w:rsid w:val="00E8304A"/>
    <w:rsid w:val="00E830BE"/>
    <w:rsid w:val="00E8323C"/>
    <w:rsid w:val="00E83491"/>
    <w:rsid w:val="00E838DE"/>
    <w:rsid w:val="00E83D29"/>
    <w:rsid w:val="00E8438A"/>
    <w:rsid w:val="00E84BC1"/>
    <w:rsid w:val="00E84C72"/>
    <w:rsid w:val="00E856CF"/>
    <w:rsid w:val="00E864D7"/>
    <w:rsid w:val="00E866DE"/>
    <w:rsid w:val="00E869E6"/>
    <w:rsid w:val="00E87411"/>
    <w:rsid w:val="00E87434"/>
    <w:rsid w:val="00E87FCA"/>
    <w:rsid w:val="00E90570"/>
    <w:rsid w:val="00E90A65"/>
    <w:rsid w:val="00E90A8C"/>
    <w:rsid w:val="00E90B50"/>
    <w:rsid w:val="00E91287"/>
    <w:rsid w:val="00E91648"/>
    <w:rsid w:val="00E91E2C"/>
    <w:rsid w:val="00E927FB"/>
    <w:rsid w:val="00E92AE0"/>
    <w:rsid w:val="00E92B48"/>
    <w:rsid w:val="00E92C38"/>
    <w:rsid w:val="00E92CCD"/>
    <w:rsid w:val="00E93024"/>
    <w:rsid w:val="00E93F20"/>
    <w:rsid w:val="00E94500"/>
    <w:rsid w:val="00E94554"/>
    <w:rsid w:val="00E94C6B"/>
    <w:rsid w:val="00E95941"/>
    <w:rsid w:val="00E95DCA"/>
    <w:rsid w:val="00E96064"/>
    <w:rsid w:val="00E968EA"/>
    <w:rsid w:val="00E96FA9"/>
    <w:rsid w:val="00EA0F27"/>
    <w:rsid w:val="00EA122B"/>
    <w:rsid w:val="00EA1631"/>
    <w:rsid w:val="00EA1E23"/>
    <w:rsid w:val="00EA2B8D"/>
    <w:rsid w:val="00EA3629"/>
    <w:rsid w:val="00EA3990"/>
    <w:rsid w:val="00EA3B7F"/>
    <w:rsid w:val="00EA4468"/>
    <w:rsid w:val="00EA4875"/>
    <w:rsid w:val="00EA4FD4"/>
    <w:rsid w:val="00EA605A"/>
    <w:rsid w:val="00EA60B8"/>
    <w:rsid w:val="00EA7320"/>
    <w:rsid w:val="00EA7E86"/>
    <w:rsid w:val="00EA7F25"/>
    <w:rsid w:val="00EB05BF"/>
    <w:rsid w:val="00EB149E"/>
    <w:rsid w:val="00EB265A"/>
    <w:rsid w:val="00EB334E"/>
    <w:rsid w:val="00EB3846"/>
    <w:rsid w:val="00EB4428"/>
    <w:rsid w:val="00EB450A"/>
    <w:rsid w:val="00EB50E4"/>
    <w:rsid w:val="00EB5AAF"/>
    <w:rsid w:val="00EB5AE3"/>
    <w:rsid w:val="00EB5FDF"/>
    <w:rsid w:val="00EB6B2E"/>
    <w:rsid w:val="00EB7912"/>
    <w:rsid w:val="00EB7F3B"/>
    <w:rsid w:val="00EC026F"/>
    <w:rsid w:val="00EC090F"/>
    <w:rsid w:val="00EC1645"/>
    <w:rsid w:val="00EC1704"/>
    <w:rsid w:val="00EC1AF6"/>
    <w:rsid w:val="00EC1CCC"/>
    <w:rsid w:val="00EC2765"/>
    <w:rsid w:val="00EC2AD9"/>
    <w:rsid w:val="00EC3364"/>
    <w:rsid w:val="00EC543C"/>
    <w:rsid w:val="00EC5BB2"/>
    <w:rsid w:val="00EC5D9A"/>
    <w:rsid w:val="00EC5FCB"/>
    <w:rsid w:val="00EC62DD"/>
    <w:rsid w:val="00EC6EB2"/>
    <w:rsid w:val="00EC705B"/>
    <w:rsid w:val="00EC7187"/>
    <w:rsid w:val="00EC799F"/>
    <w:rsid w:val="00ED0451"/>
    <w:rsid w:val="00ED166F"/>
    <w:rsid w:val="00ED1BB1"/>
    <w:rsid w:val="00ED1CF0"/>
    <w:rsid w:val="00ED1EA3"/>
    <w:rsid w:val="00ED27F2"/>
    <w:rsid w:val="00ED4BF5"/>
    <w:rsid w:val="00ED5301"/>
    <w:rsid w:val="00ED57A6"/>
    <w:rsid w:val="00ED58AB"/>
    <w:rsid w:val="00ED5FC7"/>
    <w:rsid w:val="00ED647F"/>
    <w:rsid w:val="00ED6B64"/>
    <w:rsid w:val="00ED6D57"/>
    <w:rsid w:val="00ED7B4B"/>
    <w:rsid w:val="00ED7CC1"/>
    <w:rsid w:val="00EE0517"/>
    <w:rsid w:val="00EE0540"/>
    <w:rsid w:val="00EE0C42"/>
    <w:rsid w:val="00EE120E"/>
    <w:rsid w:val="00EE1711"/>
    <w:rsid w:val="00EE1E01"/>
    <w:rsid w:val="00EE2809"/>
    <w:rsid w:val="00EE3042"/>
    <w:rsid w:val="00EE3A2B"/>
    <w:rsid w:val="00EE3B3C"/>
    <w:rsid w:val="00EE49D6"/>
    <w:rsid w:val="00EE4DEC"/>
    <w:rsid w:val="00EE52BC"/>
    <w:rsid w:val="00EE5399"/>
    <w:rsid w:val="00EE567D"/>
    <w:rsid w:val="00EE56C5"/>
    <w:rsid w:val="00EE6309"/>
    <w:rsid w:val="00EE63CB"/>
    <w:rsid w:val="00EE6777"/>
    <w:rsid w:val="00EE7301"/>
    <w:rsid w:val="00EF00D8"/>
    <w:rsid w:val="00EF05C3"/>
    <w:rsid w:val="00EF0669"/>
    <w:rsid w:val="00EF0983"/>
    <w:rsid w:val="00EF0D05"/>
    <w:rsid w:val="00EF175B"/>
    <w:rsid w:val="00EF1C3F"/>
    <w:rsid w:val="00EF2B5D"/>
    <w:rsid w:val="00EF42C4"/>
    <w:rsid w:val="00EF52C2"/>
    <w:rsid w:val="00EF654F"/>
    <w:rsid w:val="00EF6793"/>
    <w:rsid w:val="00EF6944"/>
    <w:rsid w:val="00EF742C"/>
    <w:rsid w:val="00EF74FC"/>
    <w:rsid w:val="00EF767C"/>
    <w:rsid w:val="00EF7B87"/>
    <w:rsid w:val="00F0012D"/>
    <w:rsid w:val="00F0030D"/>
    <w:rsid w:val="00F004C0"/>
    <w:rsid w:val="00F01631"/>
    <w:rsid w:val="00F01DFE"/>
    <w:rsid w:val="00F01EED"/>
    <w:rsid w:val="00F01F52"/>
    <w:rsid w:val="00F01F89"/>
    <w:rsid w:val="00F02078"/>
    <w:rsid w:val="00F028DC"/>
    <w:rsid w:val="00F03276"/>
    <w:rsid w:val="00F036CB"/>
    <w:rsid w:val="00F04957"/>
    <w:rsid w:val="00F04B88"/>
    <w:rsid w:val="00F04D29"/>
    <w:rsid w:val="00F04DB1"/>
    <w:rsid w:val="00F057AD"/>
    <w:rsid w:val="00F0581F"/>
    <w:rsid w:val="00F05CB7"/>
    <w:rsid w:val="00F06059"/>
    <w:rsid w:val="00F0627C"/>
    <w:rsid w:val="00F06380"/>
    <w:rsid w:val="00F064E6"/>
    <w:rsid w:val="00F06D0B"/>
    <w:rsid w:val="00F06D2D"/>
    <w:rsid w:val="00F072E1"/>
    <w:rsid w:val="00F0775C"/>
    <w:rsid w:val="00F077FB"/>
    <w:rsid w:val="00F1092B"/>
    <w:rsid w:val="00F1255B"/>
    <w:rsid w:val="00F1355F"/>
    <w:rsid w:val="00F13693"/>
    <w:rsid w:val="00F14D48"/>
    <w:rsid w:val="00F15321"/>
    <w:rsid w:val="00F158A5"/>
    <w:rsid w:val="00F15CD2"/>
    <w:rsid w:val="00F167D1"/>
    <w:rsid w:val="00F16B91"/>
    <w:rsid w:val="00F16CDA"/>
    <w:rsid w:val="00F16F0D"/>
    <w:rsid w:val="00F171E9"/>
    <w:rsid w:val="00F20A2E"/>
    <w:rsid w:val="00F21103"/>
    <w:rsid w:val="00F2134B"/>
    <w:rsid w:val="00F21868"/>
    <w:rsid w:val="00F218F0"/>
    <w:rsid w:val="00F219DB"/>
    <w:rsid w:val="00F2264B"/>
    <w:rsid w:val="00F227C8"/>
    <w:rsid w:val="00F22D6A"/>
    <w:rsid w:val="00F2508E"/>
    <w:rsid w:val="00F257FC"/>
    <w:rsid w:val="00F263F9"/>
    <w:rsid w:val="00F265E4"/>
    <w:rsid w:val="00F26899"/>
    <w:rsid w:val="00F26C89"/>
    <w:rsid w:val="00F271A1"/>
    <w:rsid w:val="00F27DDF"/>
    <w:rsid w:val="00F27FD6"/>
    <w:rsid w:val="00F306E0"/>
    <w:rsid w:val="00F30E7B"/>
    <w:rsid w:val="00F30F2A"/>
    <w:rsid w:val="00F316A4"/>
    <w:rsid w:val="00F31B40"/>
    <w:rsid w:val="00F32B55"/>
    <w:rsid w:val="00F340D2"/>
    <w:rsid w:val="00F34C2A"/>
    <w:rsid w:val="00F35610"/>
    <w:rsid w:val="00F368A0"/>
    <w:rsid w:val="00F36F10"/>
    <w:rsid w:val="00F3733F"/>
    <w:rsid w:val="00F379F2"/>
    <w:rsid w:val="00F37D14"/>
    <w:rsid w:val="00F37D9F"/>
    <w:rsid w:val="00F41221"/>
    <w:rsid w:val="00F4122A"/>
    <w:rsid w:val="00F41B5B"/>
    <w:rsid w:val="00F424B5"/>
    <w:rsid w:val="00F4325F"/>
    <w:rsid w:val="00F4340F"/>
    <w:rsid w:val="00F4357A"/>
    <w:rsid w:val="00F43CA0"/>
    <w:rsid w:val="00F43D75"/>
    <w:rsid w:val="00F446F6"/>
    <w:rsid w:val="00F449C0"/>
    <w:rsid w:val="00F44A06"/>
    <w:rsid w:val="00F45093"/>
    <w:rsid w:val="00F45A46"/>
    <w:rsid w:val="00F45EF0"/>
    <w:rsid w:val="00F46F28"/>
    <w:rsid w:val="00F46F42"/>
    <w:rsid w:val="00F47256"/>
    <w:rsid w:val="00F47375"/>
    <w:rsid w:val="00F473D1"/>
    <w:rsid w:val="00F47FF1"/>
    <w:rsid w:val="00F50090"/>
    <w:rsid w:val="00F518A4"/>
    <w:rsid w:val="00F52123"/>
    <w:rsid w:val="00F52D47"/>
    <w:rsid w:val="00F54030"/>
    <w:rsid w:val="00F54253"/>
    <w:rsid w:val="00F54B80"/>
    <w:rsid w:val="00F552D2"/>
    <w:rsid w:val="00F5582A"/>
    <w:rsid w:val="00F55EAC"/>
    <w:rsid w:val="00F56541"/>
    <w:rsid w:val="00F56620"/>
    <w:rsid w:val="00F56640"/>
    <w:rsid w:val="00F568A0"/>
    <w:rsid w:val="00F56E8B"/>
    <w:rsid w:val="00F578DA"/>
    <w:rsid w:val="00F57A06"/>
    <w:rsid w:val="00F57E4D"/>
    <w:rsid w:val="00F57E92"/>
    <w:rsid w:val="00F60153"/>
    <w:rsid w:val="00F61387"/>
    <w:rsid w:val="00F61400"/>
    <w:rsid w:val="00F618CC"/>
    <w:rsid w:val="00F6267A"/>
    <w:rsid w:val="00F62E33"/>
    <w:rsid w:val="00F642A6"/>
    <w:rsid w:val="00F64408"/>
    <w:rsid w:val="00F6493B"/>
    <w:rsid w:val="00F660F6"/>
    <w:rsid w:val="00F6638D"/>
    <w:rsid w:val="00F66DE2"/>
    <w:rsid w:val="00F67813"/>
    <w:rsid w:val="00F67927"/>
    <w:rsid w:val="00F70780"/>
    <w:rsid w:val="00F71125"/>
    <w:rsid w:val="00F718F1"/>
    <w:rsid w:val="00F7194F"/>
    <w:rsid w:val="00F72247"/>
    <w:rsid w:val="00F72452"/>
    <w:rsid w:val="00F72C36"/>
    <w:rsid w:val="00F72D54"/>
    <w:rsid w:val="00F73A65"/>
    <w:rsid w:val="00F74164"/>
    <w:rsid w:val="00F74DF7"/>
    <w:rsid w:val="00F752F1"/>
    <w:rsid w:val="00F75A79"/>
    <w:rsid w:val="00F76193"/>
    <w:rsid w:val="00F762B8"/>
    <w:rsid w:val="00F76C46"/>
    <w:rsid w:val="00F76EF5"/>
    <w:rsid w:val="00F7751E"/>
    <w:rsid w:val="00F77A6F"/>
    <w:rsid w:val="00F80136"/>
    <w:rsid w:val="00F809C7"/>
    <w:rsid w:val="00F80A5D"/>
    <w:rsid w:val="00F80B53"/>
    <w:rsid w:val="00F80CA7"/>
    <w:rsid w:val="00F80CF5"/>
    <w:rsid w:val="00F812B1"/>
    <w:rsid w:val="00F82035"/>
    <w:rsid w:val="00F8209B"/>
    <w:rsid w:val="00F82E0B"/>
    <w:rsid w:val="00F82FEF"/>
    <w:rsid w:val="00F8354D"/>
    <w:rsid w:val="00F83E28"/>
    <w:rsid w:val="00F84922"/>
    <w:rsid w:val="00F85B04"/>
    <w:rsid w:val="00F85C0C"/>
    <w:rsid w:val="00F86A20"/>
    <w:rsid w:val="00F86CEE"/>
    <w:rsid w:val="00F87649"/>
    <w:rsid w:val="00F90FFE"/>
    <w:rsid w:val="00F9261C"/>
    <w:rsid w:val="00F928AC"/>
    <w:rsid w:val="00F92ABE"/>
    <w:rsid w:val="00F93010"/>
    <w:rsid w:val="00F938EF"/>
    <w:rsid w:val="00F93ADA"/>
    <w:rsid w:val="00F93CBA"/>
    <w:rsid w:val="00F94123"/>
    <w:rsid w:val="00F94722"/>
    <w:rsid w:val="00F94F46"/>
    <w:rsid w:val="00F95093"/>
    <w:rsid w:val="00F952F2"/>
    <w:rsid w:val="00F95DDF"/>
    <w:rsid w:val="00F960F7"/>
    <w:rsid w:val="00F9627C"/>
    <w:rsid w:val="00F966EB"/>
    <w:rsid w:val="00F967EA"/>
    <w:rsid w:val="00F96BEE"/>
    <w:rsid w:val="00F97476"/>
    <w:rsid w:val="00FA0079"/>
    <w:rsid w:val="00FA0BC0"/>
    <w:rsid w:val="00FA210F"/>
    <w:rsid w:val="00FA292D"/>
    <w:rsid w:val="00FA4213"/>
    <w:rsid w:val="00FA471B"/>
    <w:rsid w:val="00FA4E87"/>
    <w:rsid w:val="00FA5A20"/>
    <w:rsid w:val="00FA64DA"/>
    <w:rsid w:val="00FA6726"/>
    <w:rsid w:val="00FA7C2A"/>
    <w:rsid w:val="00FB0E73"/>
    <w:rsid w:val="00FB0FEC"/>
    <w:rsid w:val="00FB133A"/>
    <w:rsid w:val="00FB187F"/>
    <w:rsid w:val="00FB245D"/>
    <w:rsid w:val="00FB2603"/>
    <w:rsid w:val="00FB3CF0"/>
    <w:rsid w:val="00FB4062"/>
    <w:rsid w:val="00FB4B21"/>
    <w:rsid w:val="00FB4E94"/>
    <w:rsid w:val="00FB5089"/>
    <w:rsid w:val="00FB52CF"/>
    <w:rsid w:val="00FB5E08"/>
    <w:rsid w:val="00FB5E28"/>
    <w:rsid w:val="00FB682E"/>
    <w:rsid w:val="00FB688F"/>
    <w:rsid w:val="00FB6CEC"/>
    <w:rsid w:val="00FC1286"/>
    <w:rsid w:val="00FC12C5"/>
    <w:rsid w:val="00FC23E0"/>
    <w:rsid w:val="00FC2BA6"/>
    <w:rsid w:val="00FC36D1"/>
    <w:rsid w:val="00FC3933"/>
    <w:rsid w:val="00FC3BA8"/>
    <w:rsid w:val="00FC3C19"/>
    <w:rsid w:val="00FC42B1"/>
    <w:rsid w:val="00FC43CD"/>
    <w:rsid w:val="00FC4A10"/>
    <w:rsid w:val="00FC4E33"/>
    <w:rsid w:val="00FC6D35"/>
    <w:rsid w:val="00FC78F9"/>
    <w:rsid w:val="00FC7C15"/>
    <w:rsid w:val="00FD0592"/>
    <w:rsid w:val="00FD06CA"/>
    <w:rsid w:val="00FD11B9"/>
    <w:rsid w:val="00FD14CD"/>
    <w:rsid w:val="00FD165A"/>
    <w:rsid w:val="00FD1A7C"/>
    <w:rsid w:val="00FD1B56"/>
    <w:rsid w:val="00FD2032"/>
    <w:rsid w:val="00FD20CE"/>
    <w:rsid w:val="00FD261A"/>
    <w:rsid w:val="00FD2BC6"/>
    <w:rsid w:val="00FD3173"/>
    <w:rsid w:val="00FD3998"/>
    <w:rsid w:val="00FD3CB4"/>
    <w:rsid w:val="00FD45C9"/>
    <w:rsid w:val="00FD4A8E"/>
    <w:rsid w:val="00FD5030"/>
    <w:rsid w:val="00FD52F3"/>
    <w:rsid w:val="00FD5BF1"/>
    <w:rsid w:val="00FD5D00"/>
    <w:rsid w:val="00FD5EC6"/>
    <w:rsid w:val="00FD5EDA"/>
    <w:rsid w:val="00FD6F2C"/>
    <w:rsid w:val="00FD7186"/>
    <w:rsid w:val="00FD7CAA"/>
    <w:rsid w:val="00FE00CE"/>
    <w:rsid w:val="00FE01CE"/>
    <w:rsid w:val="00FE03A2"/>
    <w:rsid w:val="00FE0668"/>
    <w:rsid w:val="00FE096C"/>
    <w:rsid w:val="00FE0F12"/>
    <w:rsid w:val="00FE0F6D"/>
    <w:rsid w:val="00FE1168"/>
    <w:rsid w:val="00FE1AEA"/>
    <w:rsid w:val="00FE1BE8"/>
    <w:rsid w:val="00FE1E6A"/>
    <w:rsid w:val="00FE20D3"/>
    <w:rsid w:val="00FE22F9"/>
    <w:rsid w:val="00FE236D"/>
    <w:rsid w:val="00FE30D2"/>
    <w:rsid w:val="00FE4163"/>
    <w:rsid w:val="00FE43A4"/>
    <w:rsid w:val="00FE4F56"/>
    <w:rsid w:val="00FE5CC3"/>
    <w:rsid w:val="00FE79D0"/>
    <w:rsid w:val="00FE7D82"/>
    <w:rsid w:val="00FF032D"/>
    <w:rsid w:val="00FF07D7"/>
    <w:rsid w:val="00FF0C55"/>
    <w:rsid w:val="00FF0E83"/>
    <w:rsid w:val="00FF1A04"/>
    <w:rsid w:val="00FF304E"/>
    <w:rsid w:val="00FF30DF"/>
    <w:rsid w:val="00FF378E"/>
    <w:rsid w:val="00FF4F86"/>
    <w:rsid w:val="00FF57F2"/>
    <w:rsid w:val="00FF68CC"/>
    <w:rsid w:val="00FF6909"/>
    <w:rsid w:val="00FF6B11"/>
    <w:rsid w:val="00FF6B62"/>
    <w:rsid w:val="00FF7680"/>
    <w:rsid w:val="00FF790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EC1FAC"/>
  <w14:defaultImageDpi w14:val="0"/>
  <w15:docId w15:val="{F9F7F442-DBB6-44B8-93C5-CEABD199D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655874"/>
    <w:pPr>
      <w:spacing w:after="0" w:line="240" w:lineRule="auto"/>
    </w:pPr>
    <w:rPr>
      <w:sz w:val="24"/>
      <w:szCs w:val="24"/>
    </w:rPr>
  </w:style>
  <w:style w:type="paragraph" w:styleId="Nadpis1">
    <w:name w:val="heading 1"/>
    <w:basedOn w:val="Normlny"/>
    <w:next w:val="Normlny"/>
    <w:link w:val="Nadpis1Char"/>
    <w:uiPriority w:val="99"/>
    <w:qFormat/>
    <w:rsid w:val="00AD36F1"/>
    <w:pPr>
      <w:keepNext/>
      <w:outlineLvl w:val="0"/>
    </w:pPr>
    <w:rPr>
      <w:rFonts w:ascii="Arial" w:hAnsi="Arial" w:cs="Arial"/>
      <w:b/>
      <w:bCs/>
      <w:sz w:val="22"/>
      <w:szCs w:val="22"/>
      <w:lang w:val="cs-CZ" w:eastAsia="cs-CZ"/>
    </w:rPr>
  </w:style>
  <w:style w:type="paragraph" w:styleId="Nadpis2">
    <w:name w:val="heading 2"/>
    <w:basedOn w:val="Normlny"/>
    <w:next w:val="Normlny"/>
    <w:link w:val="Nadpis2Char"/>
    <w:uiPriority w:val="99"/>
    <w:qFormat/>
    <w:rsid w:val="00AD36F1"/>
    <w:pPr>
      <w:keepNext/>
      <w:outlineLvl w:val="1"/>
    </w:pPr>
    <w:rPr>
      <w:rFonts w:ascii="Arial" w:hAnsi="Arial" w:cs="Arial"/>
      <w:b/>
      <w:bCs/>
      <w:sz w:val="20"/>
      <w:szCs w:val="20"/>
      <w:lang w:eastAsia="cs-CZ"/>
    </w:rPr>
  </w:style>
  <w:style w:type="paragraph" w:styleId="Nadpis3">
    <w:name w:val="heading 3"/>
    <w:basedOn w:val="Normlny"/>
    <w:next w:val="Normlny"/>
    <w:link w:val="Nadpis3Char"/>
    <w:uiPriority w:val="99"/>
    <w:qFormat/>
    <w:rsid w:val="00AD36F1"/>
    <w:pPr>
      <w:keepNext/>
      <w:jc w:val="both"/>
      <w:outlineLvl w:val="2"/>
    </w:pPr>
    <w:rPr>
      <w:rFonts w:ascii="Arial" w:hAnsi="Arial" w:cs="Arial"/>
      <w:b/>
      <w:bCs/>
      <w:sz w:val="20"/>
      <w:szCs w:val="20"/>
      <w:lang w:val="cs-CZ" w:eastAsia="cs-CZ"/>
    </w:rPr>
  </w:style>
  <w:style w:type="paragraph" w:styleId="Nadpis4">
    <w:name w:val="heading 4"/>
    <w:basedOn w:val="Normlny"/>
    <w:next w:val="Normlny"/>
    <w:link w:val="Nadpis4Char"/>
    <w:uiPriority w:val="99"/>
    <w:qFormat/>
    <w:rsid w:val="00AD36F1"/>
    <w:pPr>
      <w:keepNext/>
      <w:outlineLvl w:val="3"/>
    </w:pPr>
    <w:rPr>
      <w:rFonts w:ascii="Arial" w:hAnsi="Arial" w:cs="Arial"/>
      <w:b/>
      <w:bCs/>
      <w:color w:val="000000"/>
      <w:sz w:val="20"/>
      <w:szCs w:val="20"/>
    </w:rPr>
  </w:style>
  <w:style w:type="paragraph" w:styleId="Nadpis5">
    <w:name w:val="heading 5"/>
    <w:basedOn w:val="Normlny"/>
    <w:next w:val="Normlny"/>
    <w:link w:val="Nadpis5Char"/>
    <w:uiPriority w:val="99"/>
    <w:qFormat/>
    <w:rsid w:val="00AD36F1"/>
    <w:pPr>
      <w:keepNext/>
      <w:jc w:val="both"/>
      <w:outlineLvl w:val="4"/>
    </w:pPr>
    <w:rPr>
      <w:rFonts w:ascii="Arial" w:hAnsi="Arial" w:cs="Arial"/>
      <w:b/>
      <w:bCs/>
      <w:color w:val="FF0000"/>
      <w:sz w:val="20"/>
      <w:szCs w:val="20"/>
    </w:rPr>
  </w:style>
  <w:style w:type="paragraph" w:styleId="Nadpis6">
    <w:name w:val="heading 6"/>
    <w:basedOn w:val="Normlny"/>
    <w:next w:val="Normlny"/>
    <w:link w:val="Nadpis6Char"/>
    <w:uiPriority w:val="99"/>
    <w:qFormat/>
    <w:rsid w:val="00AD36F1"/>
    <w:pPr>
      <w:keepNext/>
      <w:jc w:val="both"/>
      <w:outlineLvl w:val="5"/>
    </w:pPr>
    <w:rPr>
      <w:rFonts w:ascii="Arial" w:hAnsi="Arial" w:cs="Arial"/>
      <w:b/>
      <w:bCs/>
      <w:color w:val="000000"/>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9"/>
    <w:locked/>
    <w:rPr>
      <w:rFonts w:ascii="Cambria" w:hAnsi="Cambria" w:cs="Times New Roman"/>
      <w:b/>
      <w:bCs/>
      <w:noProof/>
      <w:kern w:val="32"/>
      <w:sz w:val="32"/>
      <w:szCs w:val="32"/>
    </w:rPr>
  </w:style>
  <w:style w:type="character" w:customStyle="1" w:styleId="Nadpis2Char">
    <w:name w:val="Nadpis 2 Char"/>
    <w:basedOn w:val="Predvolenpsmoodseku"/>
    <w:link w:val="Nadpis2"/>
    <w:uiPriority w:val="99"/>
    <w:semiHidden/>
    <w:locked/>
    <w:rPr>
      <w:rFonts w:ascii="Cambria" w:hAnsi="Cambria" w:cs="Times New Roman"/>
      <w:b/>
      <w:bCs/>
      <w:i/>
      <w:iCs/>
      <w:noProof/>
      <w:sz w:val="28"/>
      <w:szCs w:val="28"/>
    </w:rPr>
  </w:style>
  <w:style w:type="character" w:customStyle="1" w:styleId="Nadpis3Char">
    <w:name w:val="Nadpis 3 Char"/>
    <w:basedOn w:val="Predvolenpsmoodseku"/>
    <w:link w:val="Nadpis3"/>
    <w:uiPriority w:val="99"/>
    <w:semiHidden/>
    <w:locked/>
    <w:rPr>
      <w:rFonts w:ascii="Cambria" w:hAnsi="Cambria" w:cs="Times New Roman"/>
      <w:b/>
      <w:bCs/>
      <w:noProof/>
      <w:sz w:val="26"/>
      <w:szCs w:val="26"/>
    </w:rPr>
  </w:style>
  <w:style w:type="character" w:customStyle="1" w:styleId="Nadpis4Char">
    <w:name w:val="Nadpis 4 Char"/>
    <w:basedOn w:val="Predvolenpsmoodseku"/>
    <w:link w:val="Nadpis4"/>
    <w:uiPriority w:val="99"/>
    <w:semiHidden/>
    <w:locked/>
    <w:rPr>
      <w:rFonts w:ascii="Calibri" w:hAnsi="Calibri" w:cs="Times New Roman"/>
      <w:b/>
      <w:bCs/>
      <w:noProof/>
      <w:sz w:val="28"/>
      <w:szCs w:val="28"/>
    </w:rPr>
  </w:style>
  <w:style w:type="character" w:customStyle="1" w:styleId="Nadpis5Char">
    <w:name w:val="Nadpis 5 Char"/>
    <w:basedOn w:val="Predvolenpsmoodseku"/>
    <w:link w:val="Nadpis5"/>
    <w:uiPriority w:val="99"/>
    <w:semiHidden/>
    <w:locked/>
    <w:rPr>
      <w:rFonts w:ascii="Calibri" w:hAnsi="Calibri" w:cs="Times New Roman"/>
      <w:b/>
      <w:bCs/>
      <w:i/>
      <w:iCs/>
      <w:noProof/>
      <w:sz w:val="26"/>
      <w:szCs w:val="26"/>
    </w:rPr>
  </w:style>
  <w:style w:type="character" w:customStyle="1" w:styleId="Nadpis6Char">
    <w:name w:val="Nadpis 6 Char"/>
    <w:basedOn w:val="Predvolenpsmoodseku"/>
    <w:link w:val="Nadpis6"/>
    <w:uiPriority w:val="99"/>
    <w:semiHidden/>
    <w:locked/>
    <w:rPr>
      <w:rFonts w:ascii="Calibri" w:hAnsi="Calibri" w:cs="Times New Roman"/>
      <w:b/>
      <w:bCs/>
      <w:noProof/>
    </w:rPr>
  </w:style>
  <w:style w:type="paragraph" w:styleId="Textbubliny">
    <w:name w:val="Balloon Text"/>
    <w:basedOn w:val="Normlny"/>
    <w:link w:val="TextbublinyChar"/>
    <w:uiPriority w:val="99"/>
    <w:semiHidden/>
    <w:rsid w:val="00AD36F1"/>
    <w:rPr>
      <w:rFonts w:ascii="Tahoma" w:hAnsi="Tahoma" w:cs="Tahoma"/>
      <w:sz w:val="16"/>
      <w:szCs w:val="16"/>
    </w:rPr>
  </w:style>
  <w:style w:type="character" w:customStyle="1" w:styleId="TextbublinyChar">
    <w:name w:val="Text bubliny Char"/>
    <w:basedOn w:val="Predvolenpsmoodseku"/>
    <w:link w:val="Textbubliny"/>
    <w:uiPriority w:val="99"/>
    <w:semiHidden/>
    <w:locked/>
    <w:rPr>
      <w:rFonts w:ascii="Tahoma" w:hAnsi="Tahoma" w:cs="Tahoma"/>
      <w:noProof/>
      <w:sz w:val="16"/>
      <w:szCs w:val="16"/>
    </w:rPr>
  </w:style>
  <w:style w:type="paragraph" w:styleId="Textkomentra">
    <w:name w:val="annotation text"/>
    <w:basedOn w:val="Normlny"/>
    <w:link w:val="TextkomentraChar"/>
    <w:uiPriority w:val="99"/>
    <w:semiHidden/>
    <w:rsid w:val="00AD36F1"/>
    <w:rPr>
      <w:sz w:val="20"/>
      <w:szCs w:val="20"/>
    </w:rPr>
  </w:style>
  <w:style w:type="character" w:customStyle="1" w:styleId="TextkomentraChar">
    <w:name w:val="Text komentára Char"/>
    <w:basedOn w:val="Predvolenpsmoodseku"/>
    <w:link w:val="Textkomentra"/>
    <w:uiPriority w:val="99"/>
    <w:semiHidden/>
    <w:locked/>
    <w:rPr>
      <w:rFonts w:cs="Times New Roman"/>
      <w:noProof/>
      <w:sz w:val="20"/>
      <w:szCs w:val="20"/>
    </w:rPr>
  </w:style>
  <w:style w:type="paragraph" w:styleId="Pta">
    <w:name w:val="footer"/>
    <w:basedOn w:val="Normlny"/>
    <w:link w:val="PtaChar"/>
    <w:uiPriority w:val="99"/>
    <w:rsid w:val="00AD36F1"/>
    <w:pPr>
      <w:tabs>
        <w:tab w:val="center" w:pos="4536"/>
        <w:tab w:val="right" w:pos="9072"/>
      </w:tabs>
    </w:pPr>
  </w:style>
  <w:style w:type="character" w:customStyle="1" w:styleId="PtaChar">
    <w:name w:val="Päta Char"/>
    <w:basedOn w:val="Predvolenpsmoodseku"/>
    <w:link w:val="Pta"/>
    <w:uiPriority w:val="99"/>
    <w:semiHidden/>
    <w:locked/>
    <w:rPr>
      <w:rFonts w:cs="Times New Roman"/>
      <w:noProof/>
      <w:sz w:val="24"/>
      <w:szCs w:val="24"/>
    </w:rPr>
  </w:style>
  <w:style w:type="paragraph" w:styleId="Hlavika">
    <w:name w:val="header"/>
    <w:basedOn w:val="Normlny"/>
    <w:link w:val="HlavikaChar"/>
    <w:uiPriority w:val="99"/>
    <w:rsid w:val="00AD36F1"/>
    <w:pPr>
      <w:tabs>
        <w:tab w:val="center" w:pos="4536"/>
        <w:tab w:val="right" w:pos="9072"/>
      </w:tabs>
      <w:jc w:val="both"/>
    </w:pPr>
    <w:rPr>
      <w:lang w:val="cs-CZ" w:eastAsia="cs-CZ"/>
    </w:rPr>
  </w:style>
  <w:style w:type="character" w:customStyle="1" w:styleId="HlavikaChar">
    <w:name w:val="Hlavička Char"/>
    <w:basedOn w:val="Predvolenpsmoodseku"/>
    <w:link w:val="Hlavika"/>
    <w:uiPriority w:val="99"/>
    <w:semiHidden/>
    <w:locked/>
    <w:rPr>
      <w:rFonts w:cs="Times New Roman"/>
      <w:noProof/>
      <w:sz w:val="24"/>
      <w:szCs w:val="24"/>
    </w:rPr>
  </w:style>
  <w:style w:type="paragraph" w:styleId="Zkladntext">
    <w:name w:val="Body Text"/>
    <w:basedOn w:val="Normlny"/>
    <w:link w:val="ZkladntextChar"/>
    <w:uiPriority w:val="99"/>
    <w:rsid w:val="00AD36F1"/>
    <w:rPr>
      <w:rFonts w:ascii="Arial" w:hAnsi="Arial" w:cs="Arial"/>
      <w:sz w:val="20"/>
      <w:szCs w:val="20"/>
      <w:lang w:val="cs-CZ" w:eastAsia="cs-CZ"/>
    </w:rPr>
  </w:style>
  <w:style w:type="character" w:customStyle="1" w:styleId="ZkladntextChar">
    <w:name w:val="Základný text Char"/>
    <w:basedOn w:val="Predvolenpsmoodseku"/>
    <w:link w:val="Zkladntext"/>
    <w:uiPriority w:val="99"/>
    <w:locked/>
    <w:rsid w:val="00AD36F1"/>
    <w:rPr>
      <w:rFonts w:ascii="Arial" w:hAnsi="Arial" w:cs="Arial"/>
      <w:lang w:val="cs-CZ" w:eastAsia="cs-CZ" w:bidi="ar-SA"/>
    </w:rPr>
  </w:style>
  <w:style w:type="character" w:customStyle="1" w:styleId="CharChar3">
    <w:name w:val="Char Char3"/>
    <w:basedOn w:val="Predvolenpsmoodseku"/>
    <w:uiPriority w:val="99"/>
    <w:locked/>
    <w:rsid w:val="008E6D62"/>
    <w:rPr>
      <w:rFonts w:cs="Times New Roman"/>
      <w:color w:val="000000"/>
      <w:sz w:val="24"/>
      <w:lang w:val="cs-CZ" w:eastAsia="sk-SK" w:bidi="ar-SA"/>
    </w:rPr>
  </w:style>
  <w:style w:type="paragraph" w:styleId="Zkladntext2">
    <w:name w:val="Body Text 2"/>
    <w:basedOn w:val="Normlny"/>
    <w:link w:val="Zkladntext2Char"/>
    <w:uiPriority w:val="99"/>
    <w:rsid w:val="00AD36F1"/>
    <w:pPr>
      <w:jc w:val="both"/>
    </w:pPr>
    <w:rPr>
      <w:rFonts w:ascii="Arial" w:hAnsi="Arial" w:cs="Arial"/>
      <w:sz w:val="20"/>
      <w:szCs w:val="20"/>
    </w:rPr>
  </w:style>
  <w:style w:type="character" w:customStyle="1" w:styleId="Zkladntext2Char">
    <w:name w:val="Základný text 2 Char"/>
    <w:basedOn w:val="Predvolenpsmoodseku"/>
    <w:link w:val="Zkladntext2"/>
    <w:uiPriority w:val="99"/>
    <w:locked/>
    <w:rsid w:val="00AD36F1"/>
    <w:rPr>
      <w:rFonts w:ascii="Arial" w:hAnsi="Arial" w:cs="Arial"/>
      <w:lang w:val="sk-SK" w:eastAsia="sk-SK"/>
    </w:rPr>
  </w:style>
  <w:style w:type="paragraph" w:styleId="Zarkazkladnhotextu2">
    <w:name w:val="Body Text Indent 2"/>
    <w:basedOn w:val="Normlny"/>
    <w:link w:val="Zarkazkladnhotextu2Char"/>
    <w:uiPriority w:val="99"/>
    <w:rsid w:val="00AD36F1"/>
    <w:pPr>
      <w:ind w:left="865" w:hanging="360"/>
    </w:pPr>
    <w:rPr>
      <w:rFonts w:ascii="Arial" w:hAnsi="Arial" w:cs="Arial"/>
      <w:sz w:val="20"/>
      <w:szCs w:val="20"/>
      <w:lang w:eastAsia="cs-CZ"/>
    </w:rPr>
  </w:style>
  <w:style w:type="character" w:customStyle="1" w:styleId="Zarkazkladnhotextu2Char">
    <w:name w:val="Zarážka základného textu 2 Char"/>
    <w:basedOn w:val="Predvolenpsmoodseku"/>
    <w:link w:val="Zarkazkladnhotextu2"/>
    <w:uiPriority w:val="99"/>
    <w:semiHidden/>
    <w:locked/>
    <w:rPr>
      <w:rFonts w:cs="Times New Roman"/>
      <w:noProof/>
      <w:sz w:val="24"/>
      <w:szCs w:val="24"/>
    </w:rPr>
  </w:style>
  <w:style w:type="paragraph" w:styleId="Zkladntext3">
    <w:name w:val="Body Text 3"/>
    <w:basedOn w:val="Normlny"/>
    <w:link w:val="Zkladntext3Char"/>
    <w:uiPriority w:val="99"/>
    <w:rsid w:val="00AD36F1"/>
    <w:pPr>
      <w:spacing w:after="120"/>
      <w:jc w:val="both"/>
    </w:pPr>
    <w:rPr>
      <w:sz w:val="16"/>
      <w:szCs w:val="16"/>
      <w:lang w:val="cs-CZ" w:eastAsia="cs-CZ"/>
    </w:rPr>
  </w:style>
  <w:style w:type="character" w:customStyle="1" w:styleId="Zkladntext3Char">
    <w:name w:val="Základný text 3 Char"/>
    <w:basedOn w:val="Predvolenpsmoodseku"/>
    <w:link w:val="Zkladntext3"/>
    <w:uiPriority w:val="99"/>
    <w:semiHidden/>
    <w:locked/>
    <w:rPr>
      <w:rFonts w:cs="Times New Roman"/>
      <w:noProof/>
      <w:sz w:val="16"/>
      <w:szCs w:val="16"/>
    </w:rPr>
  </w:style>
  <w:style w:type="paragraph" w:styleId="Zarkazkladnhotextu3">
    <w:name w:val="Body Text Indent 3"/>
    <w:basedOn w:val="Normlny"/>
    <w:link w:val="Zarkazkladnhotextu3Char"/>
    <w:uiPriority w:val="99"/>
    <w:rsid w:val="00AD36F1"/>
    <w:pPr>
      <w:ind w:left="360"/>
      <w:jc w:val="both"/>
    </w:pPr>
    <w:rPr>
      <w:rFonts w:ascii="Arial" w:hAnsi="Arial" w:cs="Arial"/>
      <w:sz w:val="20"/>
      <w:szCs w:val="20"/>
    </w:rPr>
  </w:style>
  <w:style w:type="character" w:customStyle="1" w:styleId="Zarkazkladnhotextu3Char">
    <w:name w:val="Zarážka základného textu 3 Char"/>
    <w:basedOn w:val="Predvolenpsmoodseku"/>
    <w:link w:val="Zarkazkladnhotextu3"/>
    <w:uiPriority w:val="99"/>
    <w:semiHidden/>
    <w:locked/>
    <w:rPr>
      <w:rFonts w:cs="Times New Roman"/>
      <w:noProof/>
      <w:sz w:val="16"/>
      <w:szCs w:val="16"/>
    </w:rPr>
  </w:style>
  <w:style w:type="paragraph" w:styleId="Obyajntext">
    <w:name w:val="Plain Text"/>
    <w:basedOn w:val="Normlny"/>
    <w:link w:val="ObyajntextChar"/>
    <w:uiPriority w:val="99"/>
    <w:rsid w:val="00AD36F1"/>
    <w:rPr>
      <w:rFonts w:ascii="Courier New" w:hAnsi="Courier New" w:cs="Courier New"/>
      <w:sz w:val="20"/>
      <w:szCs w:val="20"/>
    </w:rPr>
  </w:style>
  <w:style w:type="character" w:customStyle="1" w:styleId="ObyajntextChar">
    <w:name w:val="Obyčajný text Char"/>
    <w:basedOn w:val="Predvolenpsmoodseku"/>
    <w:link w:val="Obyajntext"/>
    <w:uiPriority w:val="99"/>
    <w:semiHidden/>
    <w:locked/>
    <w:rPr>
      <w:rFonts w:ascii="Courier New" w:hAnsi="Courier New" w:cs="Courier New"/>
      <w:noProof/>
      <w:sz w:val="20"/>
      <w:szCs w:val="20"/>
    </w:rPr>
  </w:style>
  <w:style w:type="paragraph" w:styleId="Predmetkomentra">
    <w:name w:val="annotation subject"/>
    <w:basedOn w:val="Textkomentra"/>
    <w:next w:val="Textkomentra"/>
    <w:link w:val="PredmetkomentraChar"/>
    <w:uiPriority w:val="99"/>
    <w:semiHidden/>
    <w:rsid w:val="00AD36F1"/>
    <w:rPr>
      <w:b/>
      <w:bCs/>
    </w:rPr>
  </w:style>
  <w:style w:type="character" w:customStyle="1" w:styleId="PredmetkomentraChar">
    <w:name w:val="Predmet komentára Char"/>
    <w:basedOn w:val="TextkomentraChar"/>
    <w:link w:val="Predmetkomentra"/>
    <w:uiPriority w:val="99"/>
    <w:semiHidden/>
    <w:locked/>
    <w:rPr>
      <w:rFonts w:cs="Times New Roman"/>
      <w:b/>
      <w:bCs/>
      <w:noProof/>
      <w:sz w:val="20"/>
      <w:szCs w:val="20"/>
    </w:rPr>
  </w:style>
  <w:style w:type="paragraph" w:styleId="Zarkazkladnhotextu">
    <w:name w:val="Body Text Indent"/>
    <w:basedOn w:val="Normlny"/>
    <w:link w:val="ZarkazkladnhotextuChar"/>
    <w:uiPriority w:val="99"/>
    <w:rsid w:val="00AD36F1"/>
    <w:pPr>
      <w:ind w:left="685" w:hanging="180"/>
    </w:pPr>
    <w:rPr>
      <w:rFonts w:ascii="Arial" w:hAnsi="Arial" w:cs="Arial"/>
      <w:sz w:val="20"/>
      <w:szCs w:val="20"/>
      <w:lang w:eastAsia="cs-CZ"/>
    </w:rPr>
  </w:style>
  <w:style w:type="character" w:customStyle="1" w:styleId="ZarkazkladnhotextuChar">
    <w:name w:val="Zarážka základného textu Char"/>
    <w:basedOn w:val="Predvolenpsmoodseku"/>
    <w:link w:val="Zarkazkladnhotextu"/>
    <w:uiPriority w:val="99"/>
    <w:semiHidden/>
    <w:locked/>
    <w:rPr>
      <w:rFonts w:cs="Times New Roman"/>
      <w:noProof/>
      <w:sz w:val="24"/>
      <w:szCs w:val="24"/>
    </w:rPr>
  </w:style>
  <w:style w:type="paragraph" w:customStyle="1" w:styleId="BodyTextIndent1">
    <w:name w:val="Body Text Indent1"/>
    <w:basedOn w:val="Normlny"/>
    <w:uiPriority w:val="99"/>
    <w:rsid w:val="00AD36F1"/>
    <w:pPr>
      <w:ind w:left="685" w:hanging="180"/>
    </w:pPr>
    <w:rPr>
      <w:rFonts w:ascii="Arial" w:hAnsi="Arial" w:cs="Arial"/>
      <w:sz w:val="20"/>
      <w:szCs w:val="20"/>
      <w:lang w:eastAsia="cs-CZ"/>
    </w:rPr>
  </w:style>
  <w:style w:type="character" w:styleId="Odkaznakomentr">
    <w:name w:val="annotation reference"/>
    <w:basedOn w:val="Predvolenpsmoodseku"/>
    <w:uiPriority w:val="99"/>
    <w:semiHidden/>
    <w:rsid w:val="00AD36F1"/>
    <w:rPr>
      <w:rFonts w:cs="Times New Roman"/>
      <w:sz w:val="16"/>
      <w:szCs w:val="16"/>
    </w:rPr>
  </w:style>
  <w:style w:type="character" w:styleId="slostrany">
    <w:name w:val="page number"/>
    <w:basedOn w:val="Predvolenpsmoodseku"/>
    <w:uiPriority w:val="99"/>
    <w:rsid w:val="00AD36F1"/>
    <w:rPr>
      <w:rFonts w:cs="Times New Roman"/>
    </w:rPr>
  </w:style>
  <w:style w:type="paragraph" w:customStyle="1" w:styleId="Body">
    <w:name w:val="Body"/>
    <w:uiPriority w:val="99"/>
    <w:rsid w:val="00AD36F1"/>
    <w:pPr>
      <w:suppressAutoHyphens/>
      <w:spacing w:after="0" w:line="300" w:lineRule="exact"/>
    </w:pPr>
    <w:rPr>
      <w:sz w:val="24"/>
      <w:szCs w:val="24"/>
      <w:lang w:val="en-US" w:eastAsia="en-US"/>
    </w:rPr>
  </w:style>
  <w:style w:type="character" w:customStyle="1" w:styleId="colored">
    <w:name w:val="colored"/>
    <w:basedOn w:val="Predvolenpsmoodseku"/>
    <w:uiPriority w:val="99"/>
    <w:rsid w:val="00AD36F1"/>
    <w:rPr>
      <w:rFonts w:cs="Times New Roman"/>
    </w:rPr>
  </w:style>
  <w:style w:type="character" w:styleId="Hypertextovprepojenie">
    <w:name w:val="Hyperlink"/>
    <w:basedOn w:val="Predvolenpsmoodseku"/>
    <w:uiPriority w:val="99"/>
    <w:rsid w:val="00AD36F1"/>
    <w:rPr>
      <w:rFonts w:ascii="Arial" w:hAnsi="Arial" w:cs="Arial"/>
      <w:b/>
      <w:bCs/>
      <w:color w:val="008200"/>
      <w:sz w:val="20"/>
      <w:szCs w:val="20"/>
      <w:u w:val="none"/>
      <w:effect w:val="none"/>
    </w:rPr>
  </w:style>
  <w:style w:type="character" w:styleId="Vrazn">
    <w:name w:val="Strong"/>
    <w:basedOn w:val="Predvolenpsmoodseku"/>
    <w:uiPriority w:val="99"/>
    <w:qFormat/>
    <w:rsid w:val="00AD36F1"/>
    <w:rPr>
      <w:rFonts w:cs="Times New Roman"/>
      <w:b/>
      <w:bCs/>
    </w:rPr>
  </w:style>
  <w:style w:type="character" w:customStyle="1" w:styleId="ra">
    <w:name w:val="ra"/>
    <w:basedOn w:val="Predvolenpsmoodseku"/>
    <w:uiPriority w:val="99"/>
    <w:rsid w:val="00AD36F1"/>
    <w:rPr>
      <w:rFonts w:cs="Times New Roman"/>
    </w:rPr>
  </w:style>
  <w:style w:type="character" w:styleId="sloriadka">
    <w:name w:val="line number"/>
    <w:basedOn w:val="Predvolenpsmoodseku"/>
    <w:uiPriority w:val="99"/>
    <w:rsid w:val="00AD36F1"/>
    <w:rPr>
      <w:rFonts w:cs="Times New Roman"/>
    </w:rPr>
  </w:style>
  <w:style w:type="paragraph" w:customStyle="1" w:styleId="Default">
    <w:name w:val="Default"/>
    <w:rsid w:val="00976346"/>
    <w:pPr>
      <w:autoSpaceDE w:val="0"/>
      <w:autoSpaceDN w:val="0"/>
      <w:adjustRightInd w:val="0"/>
      <w:spacing w:after="0" w:line="240" w:lineRule="auto"/>
    </w:pPr>
    <w:rPr>
      <w:rFonts w:ascii="Arial" w:hAnsi="Arial" w:cs="Arial"/>
      <w:color w:val="000000"/>
      <w:sz w:val="24"/>
      <w:szCs w:val="24"/>
      <w:lang w:val="cs-CZ" w:eastAsia="cs-CZ"/>
    </w:rPr>
  </w:style>
  <w:style w:type="character" w:customStyle="1" w:styleId="CharChar1">
    <w:name w:val="Char Char1"/>
    <w:uiPriority w:val="99"/>
    <w:locked/>
    <w:rsid w:val="006A6167"/>
    <w:rPr>
      <w:rFonts w:ascii="Arial" w:hAnsi="Arial"/>
      <w:noProof/>
      <w:lang w:val="cs-CZ" w:eastAsia="cs-CZ"/>
    </w:rPr>
  </w:style>
  <w:style w:type="character" w:customStyle="1" w:styleId="CharChar">
    <w:name w:val="Char Char"/>
    <w:uiPriority w:val="99"/>
    <w:rsid w:val="008B7499"/>
    <w:rPr>
      <w:rFonts w:ascii="Arial" w:hAnsi="Arial"/>
      <w:noProof/>
      <w:lang w:val="cs-CZ" w:eastAsia="cs-CZ"/>
    </w:rPr>
  </w:style>
  <w:style w:type="character" w:customStyle="1" w:styleId="Zkladntext5">
    <w:name w:val="Základný text (5)_"/>
    <w:basedOn w:val="Predvolenpsmoodseku"/>
    <w:link w:val="Zkladntext50"/>
    <w:uiPriority w:val="99"/>
    <w:locked/>
    <w:rsid w:val="009426CA"/>
    <w:rPr>
      <w:rFonts w:cs="Times New Roman"/>
      <w:i/>
      <w:iCs/>
      <w:sz w:val="22"/>
      <w:szCs w:val="22"/>
      <w:lang w:bidi="ar-SA"/>
    </w:rPr>
  </w:style>
  <w:style w:type="character" w:customStyle="1" w:styleId="Zkladntext510">
    <w:name w:val="Základný text (5) + 10"/>
    <w:aliases w:val="5 bodov1,Tučné2,Nie kurzíva"/>
    <w:basedOn w:val="Zkladntext5"/>
    <w:uiPriority w:val="99"/>
    <w:rsid w:val="009426CA"/>
    <w:rPr>
      <w:rFonts w:cs="Times New Roman"/>
      <w:b/>
      <w:bCs/>
      <w:i/>
      <w:iCs/>
      <w:sz w:val="21"/>
      <w:szCs w:val="21"/>
      <w:lang w:bidi="ar-SA"/>
    </w:rPr>
  </w:style>
  <w:style w:type="character" w:customStyle="1" w:styleId="Zkladntext5Niekurzva">
    <w:name w:val="Základný text (5) + Nie kurzíva"/>
    <w:basedOn w:val="Zkladntext5"/>
    <w:uiPriority w:val="99"/>
    <w:rsid w:val="009426CA"/>
    <w:rPr>
      <w:rFonts w:cs="Times New Roman"/>
      <w:i/>
      <w:iCs/>
      <w:sz w:val="22"/>
      <w:szCs w:val="22"/>
      <w:lang w:bidi="ar-SA"/>
    </w:rPr>
  </w:style>
  <w:style w:type="character" w:customStyle="1" w:styleId="Zkladntext58bodov">
    <w:name w:val="Základný text (5) + 8 bodov"/>
    <w:aliases w:val="Nie kurzíva2"/>
    <w:basedOn w:val="Zkladntext5"/>
    <w:uiPriority w:val="99"/>
    <w:rsid w:val="009426CA"/>
    <w:rPr>
      <w:rFonts w:cs="Times New Roman"/>
      <w:i/>
      <w:iCs/>
      <w:sz w:val="16"/>
      <w:szCs w:val="16"/>
      <w:lang w:bidi="ar-SA"/>
    </w:rPr>
  </w:style>
  <w:style w:type="paragraph" w:customStyle="1" w:styleId="Zkladntext50">
    <w:name w:val="Základný text (5)"/>
    <w:basedOn w:val="Normlny"/>
    <w:link w:val="Zkladntext5"/>
    <w:uiPriority w:val="99"/>
    <w:rsid w:val="009426CA"/>
    <w:pPr>
      <w:shd w:val="clear" w:color="auto" w:fill="FFFFFF"/>
      <w:spacing w:after="120" w:line="240" w:lineRule="atLeast"/>
      <w:jc w:val="both"/>
    </w:pPr>
    <w:rPr>
      <w:i/>
      <w:iCs/>
      <w:sz w:val="22"/>
      <w:szCs w:val="22"/>
    </w:rPr>
  </w:style>
  <w:style w:type="paragraph" w:styleId="Odsekzoznamu">
    <w:name w:val="List Paragraph"/>
    <w:aliases w:val="Bullet1,Bullets Points,Bullet List,Table - List Paragraph,Table Legend,1. Bullet Blank,Bulleted - 2,Styl moj,Akapit z listÄ?11,Level 1 Bullet,Section 5,Bullet 1,Bullet,Bullet List 2"/>
    <w:basedOn w:val="Normlny"/>
    <w:link w:val="OdsekzoznamuChar"/>
    <w:uiPriority w:val="34"/>
    <w:qFormat/>
    <w:rsid w:val="00A274D4"/>
    <w:pPr>
      <w:spacing w:after="200" w:line="276" w:lineRule="auto"/>
      <w:ind w:left="720"/>
      <w:contextualSpacing/>
      <w:jc w:val="both"/>
    </w:pPr>
    <w:rPr>
      <w:rFonts w:ascii="Calibri" w:hAnsi="Calibri"/>
      <w:sz w:val="22"/>
      <w:szCs w:val="22"/>
      <w:lang w:eastAsia="en-US"/>
    </w:rPr>
  </w:style>
  <w:style w:type="paragraph" w:customStyle="1" w:styleId="tl1">
    <w:name w:val="Štýl1"/>
    <w:basedOn w:val="Normlny"/>
    <w:qFormat/>
    <w:rsid w:val="00AE27A7"/>
    <w:rPr>
      <w:rFonts w:ascii="Arial" w:hAnsi="Arial" w:cs="Arial"/>
      <w:b/>
      <w:bCs/>
      <w:sz w:val="20"/>
      <w:szCs w:val="20"/>
      <w:lang w:eastAsia="cs-CZ"/>
    </w:rPr>
  </w:style>
  <w:style w:type="paragraph" w:customStyle="1" w:styleId="xmsonormal">
    <w:name w:val="x_msonormal"/>
    <w:basedOn w:val="Normlny"/>
    <w:rsid w:val="00093F79"/>
    <w:pPr>
      <w:spacing w:before="100" w:beforeAutospacing="1" w:after="100" w:afterAutospacing="1"/>
    </w:pPr>
  </w:style>
  <w:style w:type="paragraph" w:styleId="Normlnywebov">
    <w:name w:val="Normal (Web)"/>
    <w:basedOn w:val="Normlny"/>
    <w:uiPriority w:val="99"/>
    <w:rsid w:val="00AE7C1A"/>
    <w:pPr>
      <w:autoSpaceDE w:val="0"/>
      <w:autoSpaceDN w:val="0"/>
      <w:adjustRightInd w:val="0"/>
      <w:spacing w:before="100" w:beforeAutospacing="1" w:after="100" w:afterAutospacing="1" w:line="276" w:lineRule="auto"/>
    </w:pPr>
    <w:rPr>
      <w:rFonts w:ascii="Verdana" w:hAnsi="Verdana"/>
      <w:color w:val="000000"/>
      <w:u w:color="000000"/>
      <w:lang w:val="en-US"/>
    </w:rPr>
  </w:style>
  <w:style w:type="character" w:customStyle="1" w:styleId="OdsekzoznamuChar">
    <w:name w:val="Odsek zoznamu Char"/>
    <w:aliases w:val="Bullet1 Char,Bullets Points Char,Bullet List Char,Table - List Paragraph Char,Table Legend Char,1. Bullet Blank Char,Bulleted - 2 Char,Styl moj Char,Akapit z listÄ?11 Char,Level 1 Bullet Char,Section 5 Char,Bullet 1 Char,Bullet Char"/>
    <w:link w:val="Odsekzoznamu"/>
    <w:uiPriority w:val="34"/>
    <w:locked/>
    <w:rsid w:val="00BB5A23"/>
    <w:rPr>
      <w:rFonts w:ascii="Calibri" w:hAnsi="Calibri"/>
      <w:lang w:val="x-none" w:eastAsia="en-US"/>
    </w:rPr>
  </w:style>
  <w:style w:type="character" w:customStyle="1" w:styleId="ui-provider">
    <w:name w:val="ui-provider"/>
    <w:rsid w:val="00F13693"/>
  </w:style>
  <w:style w:type="table" w:styleId="Mriekatabukysvetl">
    <w:name w:val="Grid Table Light"/>
    <w:basedOn w:val="Normlnatabuka"/>
    <w:uiPriority w:val="40"/>
    <w:rsid w:val="001B64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6460">
      <w:marLeft w:val="0"/>
      <w:marRight w:val="0"/>
      <w:marTop w:val="0"/>
      <w:marBottom w:val="0"/>
      <w:divBdr>
        <w:top w:val="none" w:sz="0" w:space="0" w:color="auto"/>
        <w:left w:val="none" w:sz="0" w:space="0" w:color="auto"/>
        <w:bottom w:val="none" w:sz="0" w:space="0" w:color="auto"/>
        <w:right w:val="none" w:sz="0" w:space="0" w:color="auto"/>
      </w:divBdr>
    </w:div>
    <w:div w:id="106236461">
      <w:marLeft w:val="0"/>
      <w:marRight w:val="0"/>
      <w:marTop w:val="0"/>
      <w:marBottom w:val="0"/>
      <w:divBdr>
        <w:top w:val="none" w:sz="0" w:space="0" w:color="auto"/>
        <w:left w:val="none" w:sz="0" w:space="0" w:color="auto"/>
        <w:bottom w:val="none" w:sz="0" w:space="0" w:color="auto"/>
        <w:right w:val="none" w:sz="0" w:space="0" w:color="auto"/>
      </w:divBdr>
    </w:div>
    <w:div w:id="106236462">
      <w:marLeft w:val="0"/>
      <w:marRight w:val="0"/>
      <w:marTop w:val="0"/>
      <w:marBottom w:val="0"/>
      <w:divBdr>
        <w:top w:val="none" w:sz="0" w:space="0" w:color="auto"/>
        <w:left w:val="none" w:sz="0" w:space="0" w:color="auto"/>
        <w:bottom w:val="none" w:sz="0" w:space="0" w:color="auto"/>
        <w:right w:val="none" w:sz="0" w:space="0" w:color="auto"/>
      </w:divBdr>
    </w:div>
    <w:div w:id="106236463">
      <w:marLeft w:val="0"/>
      <w:marRight w:val="0"/>
      <w:marTop w:val="0"/>
      <w:marBottom w:val="0"/>
      <w:divBdr>
        <w:top w:val="none" w:sz="0" w:space="0" w:color="auto"/>
        <w:left w:val="none" w:sz="0" w:space="0" w:color="auto"/>
        <w:bottom w:val="none" w:sz="0" w:space="0" w:color="auto"/>
        <w:right w:val="none" w:sz="0" w:space="0" w:color="auto"/>
      </w:divBdr>
    </w:div>
    <w:div w:id="106236464">
      <w:marLeft w:val="0"/>
      <w:marRight w:val="0"/>
      <w:marTop w:val="0"/>
      <w:marBottom w:val="0"/>
      <w:divBdr>
        <w:top w:val="none" w:sz="0" w:space="0" w:color="auto"/>
        <w:left w:val="none" w:sz="0" w:space="0" w:color="auto"/>
        <w:bottom w:val="none" w:sz="0" w:space="0" w:color="auto"/>
        <w:right w:val="none" w:sz="0" w:space="0" w:color="auto"/>
      </w:divBdr>
    </w:div>
    <w:div w:id="106236465">
      <w:marLeft w:val="0"/>
      <w:marRight w:val="0"/>
      <w:marTop w:val="0"/>
      <w:marBottom w:val="0"/>
      <w:divBdr>
        <w:top w:val="none" w:sz="0" w:space="0" w:color="auto"/>
        <w:left w:val="none" w:sz="0" w:space="0" w:color="auto"/>
        <w:bottom w:val="none" w:sz="0" w:space="0" w:color="auto"/>
        <w:right w:val="none" w:sz="0" w:space="0" w:color="auto"/>
      </w:divBdr>
    </w:div>
    <w:div w:id="106236466">
      <w:marLeft w:val="0"/>
      <w:marRight w:val="0"/>
      <w:marTop w:val="0"/>
      <w:marBottom w:val="0"/>
      <w:divBdr>
        <w:top w:val="none" w:sz="0" w:space="0" w:color="auto"/>
        <w:left w:val="none" w:sz="0" w:space="0" w:color="auto"/>
        <w:bottom w:val="none" w:sz="0" w:space="0" w:color="auto"/>
        <w:right w:val="none" w:sz="0" w:space="0" w:color="auto"/>
      </w:divBdr>
    </w:div>
    <w:div w:id="106236467">
      <w:marLeft w:val="0"/>
      <w:marRight w:val="0"/>
      <w:marTop w:val="0"/>
      <w:marBottom w:val="0"/>
      <w:divBdr>
        <w:top w:val="none" w:sz="0" w:space="0" w:color="auto"/>
        <w:left w:val="none" w:sz="0" w:space="0" w:color="auto"/>
        <w:bottom w:val="none" w:sz="0" w:space="0" w:color="auto"/>
        <w:right w:val="none" w:sz="0" w:space="0" w:color="auto"/>
      </w:divBdr>
    </w:div>
    <w:div w:id="106236468">
      <w:marLeft w:val="0"/>
      <w:marRight w:val="0"/>
      <w:marTop w:val="0"/>
      <w:marBottom w:val="0"/>
      <w:divBdr>
        <w:top w:val="none" w:sz="0" w:space="0" w:color="auto"/>
        <w:left w:val="none" w:sz="0" w:space="0" w:color="auto"/>
        <w:bottom w:val="none" w:sz="0" w:space="0" w:color="auto"/>
        <w:right w:val="none" w:sz="0" w:space="0" w:color="auto"/>
      </w:divBdr>
    </w:div>
    <w:div w:id="106236469">
      <w:marLeft w:val="0"/>
      <w:marRight w:val="0"/>
      <w:marTop w:val="0"/>
      <w:marBottom w:val="0"/>
      <w:divBdr>
        <w:top w:val="none" w:sz="0" w:space="0" w:color="auto"/>
        <w:left w:val="none" w:sz="0" w:space="0" w:color="auto"/>
        <w:bottom w:val="none" w:sz="0" w:space="0" w:color="auto"/>
        <w:right w:val="none" w:sz="0" w:space="0" w:color="auto"/>
      </w:divBdr>
    </w:div>
    <w:div w:id="106236470">
      <w:marLeft w:val="0"/>
      <w:marRight w:val="0"/>
      <w:marTop w:val="0"/>
      <w:marBottom w:val="0"/>
      <w:divBdr>
        <w:top w:val="none" w:sz="0" w:space="0" w:color="auto"/>
        <w:left w:val="none" w:sz="0" w:space="0" w:color="auto"/>
        <w:bottom w:val="none" w:sz="0" w:space="0" w:color="auto"/>
        <w:right w:val="none" w:sz="0" w:space="0" w:color="auto"/>
      </w:divBdr>
    </w:div>
    <w:div w:id="106236471">
      <w:marLeft w:val="0"/>
      <w:marRight w:val="0"/>
      <w:marTop w:val="0"/>
      <w:marBottom w:val="0"/>
      <w:divBdr>
        <w:top w:val="none" w:sz="0" w:space="0" w:color="auto"/>
        <w:left w:val="none" w:sz="0" w:space="0" w:color="auto"/>
        <w:bottom w:val="none" w:sz="0" w:space="0" w:color="auto"/>
        <w:right w:val="none" w:sz="0" w:space="0" w:color="auto"/>
      </w:divBdr>
    </w:div>
    <w:div w:id="106236472">
      <w:marLeft w:val="0"/>
      <w:marRight w:val="0"/>
      <w:marTop w:val="0"/>
      <w:marBottom w:val="0"/>
      <w:divBdr>
        <w:top w:val="none" w:sz="0" w:space="0" w:color="auto"/>
        <w:left w:val="none" w:sz="0" w:space="0" w:color="auto"/>
        <w:bottom w:val="none" w:sz="0" w:space="0" w:color="auto"/>
        <w:right w:val="none" w:sz="0" w:space="0" w:color="auto"/>
      </w:divBdr>
    </w:div>
    <w:div w:id="106236473">
      <w:marLeft w:val="0"/>
      <w:marRight w:val="0"/>
      <w:marTop w:val="0"/>
      <w:marBottom w:val="0"/>
      <w:divBdr>
        <w:top w:val="none" w:sz="0" w:space="0" w:color="auto"/>
        <w:left w:val="none" w:sz="0" w:space="0" w:color="auto"/>
        <w:bottom w:val="none" w:sz="0" w:space="0" w:color="auto"/>
        <w:right w:val="none" w:sz="0" w:space="0" w:color="auto"/>
      </w:divBdr>
    </w:div>
    <w:div w:id="106236474">
      <w:marLeft w:val="0"/>
      <w:marRight w:val="0"/>
      <w:marTop w:val="0"/>
      <w:marBottom w:val="0"/>
      <w:divBdr>
        <w:top w:val="none" w:sz="0" w:space="0" w:color="auto"/>
        <w:left w:val="none" w:sz="0" w:space="0" w:color="auto"/>
        <w:bottom w:val="none" w:sz="0" w:space="0" w:color="auto"/>
        <w:right w:val="none" w:sz="0" w:space="0" w:color="auto"/>
      </w:divBdr>
    </w:div>
    <w:div w:id="106236475">
      <w:marLeft w:val="0"/>
      <w:marRight w:val="0"/>
      <w:marTop w:val="0"/>
      <w:marBottom w:val="0"/>
      <w:divBdr>
        <w:top w:val="none" w:sz="0" w:space="0" w:color="auto"/>
        <w:left w:val="none" w:sz="0" w:space="0" w:color="auto"/>
        <w:bottom w:val="none" w:sz="0" w:space="0" w:color="auto"/>
        <w:right w:val="none" w:sz="0" w:space="0" w:color="auto"/>
      </w:divBdr>
    </w:div>
    <w:div w:id="106236476">
      <w:marLeft w:val="0"/>
      <w:marRight w:val="0"/>
      <w:marTop w:val="0"/>
      <w:marBottom w:val="0"/>
      <w:divBdr>
        <w:top w:val="none" w:sz="0" w:space="0" w:color="auto"/>
        <w:left w:val="none" w:sz="0" w:space="0" w:color="auto"/>
        <w:bottom w:val="none" w:sz="0" w:space="0" w:color="auto"/>
        <w:right w:val="none" w:sz="0" w:space="0" w:color="auto"/>
      </w:divBdr>
    </w:div>
    <w:div w:id="106236477">
      <w:marLeft w:val="0"/>
      <w:marRight w:val="0"/>
      <w:marTop w:val="0"/>
      <w:marBottom w:val="0"/>
      <w:divBdr>
        <w:top w:val="none" w:sz="0" w:space="0" w:color="auto"/>
        <w:left w:val="none" w:sz="0" w:space="0" w:color="auto"/>
        <w:bottom w:val="none" w:sz="0" w:space="0" w:color="auto"/>
        <w:right w:val="none" w:sz="0" w:space="0" w:color="auto"/>
      </w:divBdr>
    </w:div>
    <w:div w:id="106236478">
      <w:marLeft w:val="0"/>
      <w:marRight w:val="0"/>
      <w:marTop w:val="0"/>
      <w:marBottom w:val="0"/>
      <w:divBdr>
        <w:top w:val="none" w:sz="0" w:space="0" w:color="auto"/>
        <w:left w:val="none" w:sz="0" w:space="0" w:color="auto"/>
        <w:bottom w:val="none" w:sz="0" w:space="0" w:color="auto"/>
        <w:right w:val="none" w:sz="0" w:space="0" w:color="auto"/>
      </w:divBdr>
    </w:div>
    <w:div w:id="106236479">
      <w:marLeft w:val="0"/>
      <w:marRight w:val="0"/>
      <w:marTop w:val="0"/>
      <w:marBottom w:val="0"/>
      <w:divBdr>
        <w:top w:val="none" w:sz="0" w:space="0" w:color="auto"/>
        <w:left w:val="none" w:sz="0" w:space="0" w:color="auto"/>
        <w:bottom w:val="none" w:sz="0" w:space="0" w:color="auto"/>
        <w:right w:val="none" w:sz="0" w:space="0" w:color="auto"/>
      </w:divBdr>
    </w:div>
    <w:div w:id="106236480">
      <w:marLeft w:val="0"/>
      <w:marRight w:val="0"/>
      <w:marTop w:val="0"/>
      <w:marBottom w:val="0"/>
      <w:divBdr>
        <w:top w:val="none" w:sz="0" w:space="0" w:color="auto"/>
        <w:left w:val="none" w:sz="0" w:space="0" w:color="auto"/>
        <w:bottom w:val="none" w:sz="0" w:space="0" w:color="auto"/>
        <w:right w:val="none" w:sz="0" w:space="0" w:color="auto"/>
      </w:divBdr>
    </w:div>
    <w:div w:id="106236481">
      <w:marLeft w:val="0"/>
      <w:marRight w:val="0"/>
      <w:marTop w:val="0"/>
      <w:marBottom w:val="0"/>
      <w:divBdr>
        <w:top w:val="none" w:sz="0" w:space="0" w:color="auto"/>
        <w:left w:val="none" w:sz="0" w:space="0" w:color="auto"/>
        <w:bottom w:val="none" w:sz="0" w:space="0" w:color="auto"/>
        <w:right w:val="none" w:sz="0" w:space="0" w:color="auto"/>
      </w:divBdr>
    </w:div>
    <w:div w:id="106236482">
      <w:marLeft w:val="0"/>
      <w:marRight w:val="0"/>
      <w:marTop w:val="0"/>
      <w:marBottom w:val="0"/>
      <w:divBdr>
        <w:top w:val="none" w:sz="0" w:space="0" w:color="auto"/>
        <w:left w:val="none" w:sz="0" w:space="0" w:color="auto"/>
        <w:bottom w:val="none" w:sz="0" w:space="0" w:color="auto"/>
        <w:right w:val="none" w:sz="0" w:space="0" w:color="auto"/>
      </w:divBdr>
    </w:div>
    <w:div w:id="106236483">
      <w:marLeft w:val="0"/>
      <w:marRight w:val="0"/>
      <w:marTop w:val="0"/>
      <w:marBottom w:val="0"/>
      <w:divBdr>
        <w:top w:val="none" w:sz="0" w:space="0" w:color="auto"/>
        <w:left w:val="none" w:sz="0" w:space="0" w:color="auto"/>
        <w:bottom w:val="none" w:sz="0" w:space="0" w:color="auto"/>
        <w:right w:val="none" w:sz="0" w:space="0" w:color="auto"/>
      </w:divBdr>
    </w:div>
    <w:div w:id="106236484">
      <w:marLeft w:val="0"/>
      <w:marRight w:val="0"/>
      <w:marTop w:val="0"/>
      <w:marBottom w:val="0"/>
      <w:divBdr>
        <w:top w:val="none" w:sz="0" w:space="0" w:color="auto"/>
        <w:left w:val="none" w:sz="0" w:space="0" w:color="auto"/>
        <w:bottom w:val="none" w:sz="0" w:space="0" w:color="auto"/>
        <w:right w:val="none" w:sz="0" w:space="0" w:color="auto"/>
      </w:divBdr>
    </w:div>
    <w:div w:id="106236485">
      <w:marLeft w:val="0"/>
      <w:marRight w:val="0"/>
      <w:marTop w:val="0"/>
      <w:marBottom w:val="0"/>
      <w:divBdr>
        <w:top w:val="none" w:sz="0" w:space="0" w:color="auto"/>
        <w:left w:val="none" w:sz="0" w:space="0" w:color="auto"/>
        <w:bottom w:val="none" w:sz="0" w:space="0" w:color="auto"/>
        <w:right w:val="none" w:sz="0" w:space="0" w:color="auto"/>
      </w:divBdr>
    </w:div>
    <w:div w:id="106236486">
      <w:marLeft w:val="0"/>
      <w:marRight w:val="0"/>
      <w:marTop w:val="0"/>
      <w:marBottom w:val="0"/>
      <w:divBdr>
        <w:top w:val="none" w:sz="0" w:space="0" w:color="auto"/>
        <w:left w:val="none" w:sz="0" w:space="0" w:color="auto"/>
        <w:bottom w:val="none" w:sz="0" w:space="0" w:color="auto"/>
        <w:right w:val="none" w:sz="0" w:space="0" w:color="auto"/>
      </w:divBdr>
    </w:div>
    <w:div w:id="106236487">
      <w:marLeft w:val="0"/>
      <w:marRight w:val="0"/>
      <w:marTop w:val="0"/>
      <w:marBottom w:val="0"/>
      <w:divBdr>
        <w:top w:val="none" w:sz="0" w:space="0" w:color="auto"/>
        <w:left w:val="none" w:sz="0" w:space="0" w:color="auto"/>
        <w:bottom w:val="none" w:sz="0" w:space="0" w:color="auto"/>
        <w:right w:val="none" w:sz="0" w:space="0" w:color="auto"/>
      </w:divBdr>
    </w:div>
    <w:div w:id="106236488">
      <w:marLeft w:val="0"/>
      <w:marRight w:val="0"/>
      <w:marTop w:val="0"/>
      <w:marBottom w:val="0"/>
      <w:divBdr>
        <w:top w:val="none" w:sz="0" w:space="0" w:color="auto"/>
        <w:left w:val="none" w:sz="0" w:space="0" w:color="auto"/>
        <w:bottom w:val="none" w:sz="0" w:space="0" w:color="auto"/>
        <w:right w:val="none" w:sz="0" w:space="0" w:color="auto"/>
      </w:divBdr>
    </w:div>
    <w:div w:id="106236489">
      <w:marLeft w:val="0"/>
      <w:marRight w:val="0"/>
      <w:marTop w:val="0"/>
      <w:marBottom w:val="0"/>
      <w:divBdr>
        <w:top w:val="none" w:sz="0" w:space="0" w:color="auto"/>
        <w:left w:val="none" w:sz="0" w:space="0" w:color="auto"/>
        <w:bottom w:val="none" w:sz="0" w:space="0" w:color="auto"/>
        <w:right w:val="none" w:sz="0" w:space="0" w:color="auto"/>
      </w:divBdr>
    </w:div>
    <w:div w:id="106236490">
      <w:marLeft w:val="0"/>
      <w:marRight w:val="0"/>
      <w:marTop w:val="0"/>
      <w:marBottom w:val="0"/>
      <w:divBdr>
        <w:top w:val="none" w:sz="0" w:space="0" w:color="auto"/>
        <w:left w:val="none" w:sz="0" w:space="0" w:color="auto"/>
        <w:bottom w:val="none" w:sz="0" w:space="0" w:color="auto"/>
        <w:right w:val="none" w:sz="0" w:space="0" w:color="auto"/>
      </w:divBdr>
    </w:div>
    <w:div w:id="106236491">
      <w:marLeft w:val="0"/>
      <w:marRight w:val="0"/>
      <w:marTop w:val="0"/>
      <w:marBottom w:val="0"/>
      <w:divBdr>
        <w:top w:val="none" w:sz="0" w:space="0" w:color="auto"/>
        <w:left w:val="none" w:sz="0" w:space="0" w:color="auto"/>
        <w:bottom w:val="none" w:sz="0" w:space="0" w:color="auto"/>
        <w:right w:val="none" w:sz="0" w:space="0" w:color="auto"/>
      </w:divBdr>
    </w:div>
    <w:div w:id="106236492">
      <w:marLeft w:val="0"/>
      <w:marRight w:val="0"/>
      <w:marTop w:val="0"/>
      <w:marBottom w:val="0"/>
      <w:divBdr>
        <w:top w:val="none" w:sz="0" w:space="0" w:color="auto"/>
        <w:left w:val="none" w:sz="0" w:space="0" w:color="auto"/>
        <w:bottom w:val="none" w:sz="0" w:space="0" w:color="auto"/>
        <w:right w:val="none" w:sz="0" w:space="0" w:color="auto"/>
      </w:divBdr>
    </w:div>
    <w:div w:id="106236493">
      <w:marLeft w:val="0"/>
      <w:marRight w:val="0"/>
      <w:marTop w:val="0"/>
      <w:marBottom w:val="0"/>
      <w:divBdr>
        <w:top w:val="none" w:sz="0" w:space="0" w:color="auto"/>
        <w:left w:val="none" w:sz="0" w:space="0" w:color="auto"/>
        <w:bottom w:val="none" w:sz="0" w:space="0" w:color="auto"/>
        <w:right w:val="none" w:sz="0" w:space="0" w:color="auto"/>
      </w:divBdr>
    </w:div>
    <w:div w:id="106236494">
      <w:marLeft w:val="0"/>
      <w:marRight w:val="0"/>
      <w:marTop w:val="0"/>
      <w:marBottom w:val="0"/>
      <w:divBdr>
        <w:top w:val="none" w:sz="0" w:space="0" w:color="auto"/>
        <w:left w:val="none" w:sz="0" w:space="0" w:color="auto"/>
        <w:bottom w:val="none" w:sz="0" w:space="0" w:color="auto"/>
        <w:right w:val="none" w:sz="0" w:space="0" w:color="auto"/>
      </w:divBdr>
    </w:div>
    <w:div w:id="106236495">
      <w:marLeft w:val="0"/>
      <w:marRight w:val="0"/>
      <w:marTop w:val="0"/>
      <w:marBottom w:val="0"/>
      <w:divBdr>
        <w:top w:val="none" w:sz="0" w:space="0" w:color="auto"/>
        <w:left w:val="none" w:sz="0" w:space="0" w:color="auto"/>
        <w:bottom w:val="none" w:sz="0" w:space="0" w:color="auto"/>
        <w:right w:val="none" w:sz="0" w:space="0" w:color="auto"/>
      </w:divBdr>
    </w:div>
    <w:div w:id="106236496">
      <w:marLeft w:val="0"/>
      <w:marRight w:val="0"/>
      <w:marTop w:val="0"/>
      <w:marBottom w:val="0"/>
      <w:divBdr>
        <w:top w:val="none" w:sz="0" w:space="0" w:color="auto"/>
        <w:left w:val="none" w:sz="0" w:space="0" w:color="auto"/>
        <w:bottom w:val="none" w:sz="0" w:space="0" w:color="auto"/>
        <w:right w:val="none" w:sz="0" w:space="0" w:color="auto"/>
      </w:divBdr>
    </w:div>
    <w:div w:id="106236497">
      <w:marLeft w:val="0"/>
      <w:marRight w:val="0"/>
      <w:marTop w:val="0"/>
      <w:marBottom w:val="0"/>
      <w:divBdr>
        <w:top w:val="none" w:sz="0" w:space="0" w:color="auto"/>
        <w:left w:val="none" w:sz="0" w:space="0" w:color="auto"/>
        <w:bottom w:val="none" w:sz="0" w:space="0" w:color="auto"/>
        <w:right w:val="none" w:sz="0" w:space="0" w:color="auto"/>
      </w:divBdr>
    </w:div>
    <w:div w:id="106236498">
      <w:marLeft w:val="0"/>
      <w:marRight w:val="0"/>
      <w:marTop w:val="0"/>
      <w:marBottom w:val="0"/>
      <w:divBdr>
        <w:top w:val="none" w:sz="0" w:space="0" w:color="auto"/>
        <w:left w:val="none" w:sz="0" w:space="0" w:color="auto"/>
        <w:bottom w:val="none" w:sz="0" w:space="0" w:color="auto"/>
        <w:right w:val="none" w:sz="0" w:space="0" w:color="auto"/>
      </w:divBdr>
    </w:div>
    <w:div w:id="106236499">
      <w:marLeft w:val="0"/>
      <w:marRight w:val="0"/>
      <w:marTop w:val="0"/>
      <w:marBottom w:val="0"/>
      <w:divBdr>
        <w:top w:val="none" w:sz="0" w:space="0" w:color="auto"/>
        <w:left w:val="none" w:sz="0" w:space="0" w:color="auto"/>
        <w:bottom w:val="none" w:sz="0" w:space="0" w:color="auto"/>
        <w:right w:val="none" w:sz="0" w:space="0" w:color="auto"/>
      </w:divBdr>
    </w:div>
    <w:div w:id="106236500">
      <w:marLeft w:val="0"/>
      <w:marRight w:val="0"/>
      <w:marTop w:val="0"/>
      <w:marBottom w:val="0"/>
      <w:divBdr>
        <w:top w:val="none" w:sz="0" w:space="0" w:color="auto"/>
        <w:left w:val="none" w:sz="0" w:space="0" w:color="auto"/>
        <w:bottom w:val="none" w:sz="0" w:space="0" w:color="auto"/>
        <w:right w:val="none" w:sz="0" w:space="0" w:color="auto"/>
      </w:divBdr>
    </w:div>
    <w:div w:id="106236501">
      <w:marLeft w:val="0"/>
      <w:marRight w:val="0"/>
      <w:marTop w:val="0"/>
      <w:marBottom w:val="0"/>
      <w:divBdr>
        <w:top w:val="none" w:sz="0" w:space="0" w:color="auto"/>
        <w:left w:val="none" w:sz="0" w:space="0" w:color="auto"/>
        <w:bottom w:val="none" w:sz="0" w:space="0" w:color="auto"/>
        <w:right w:val="none" w:sz="0" w:space="0" w:color="auto"/>
      </w:divBdr>
    </w:div>
    <w:div w:id="106236502">
      <w:marLeft w:val="0"/>
      <w:marRight w:val="0"/>
      <w:marTop w:val="0"/>
      <w:marBottom w:val="0"/>
      <w:divBdr>
        <w:top w:val="none" w:sz="0" w:space="0" w:color="auto"/>
        <w:left w:val="none" w:sz="0" w:space="0" w:color="auto"/>
        <w:bottom w:val="none" w:sz="0" w:space="0" w:color="auto"/>
        <w:right w:val="none" w:sz="0" w:space="0" w:color="auto"/>
      </w:divBdr>
    </w:div>
    <w:div w:id="106236503">
      <w:marLeft w:val="0"/>
      <w:marRight w:val="0"/>
      <w:marTop w:val="0"/>
      <w:marBottom w:val="0"/>
      <w:divBdr>
        <w:top w:val="none" w:sz="0" w:space="0" w:color="auto"/>
        <w:left w:val="none" w:sz="0" w:space="0" w:color="auto"/>
        <w:bottom w:val="none" w:sz="0" w:space="0" w:color="auto"/>
        <w:right w:val="none" w:sz="0" w:space="0" w:color="auto"/>
      </w:divBdr>
    </w:div>
    <w:div w:id="106236504">
      <w:marLeft w:val="0"/>
      <w:marRight w:val="0"/>
      <w:marTop w:val="0"/>
      <w:marBottom w:val="0"/>
      <w:divBdr>
        <w:top w:val="none" w:sz="0" w:space="0" w:color="auto"/>
        <w:left w:val="none" w:sz="0" w:space="0" w:color="auto"/>
        <w:bottom w:val="none" w:sz="0" w:space="0" w:color="auto"/>
        <w:right w:val="none" w:sz="0" w:space="0" w:color="auto"/>
      </w:divBdr>
    </w:div>
    <w:div w:id="106236505">
      <w:marLeft w:val="0"/>
      <w:marRight w:val="0"/>
      <w:marTop w:val="0"/>
      <w:marBottom w:val="0"/>
      <w:divBdr>
        <w:top w:val="none" w:sz="0" w:space="0" w:color="auto"/>
        <w:left w:val="none" w:sz="0" w:space="0" w:color="auto"/>
        <w:bottom w:val="none" w:sz="0" w:space="0" w:color="auto"/>
        <w:right w:val="none" w:sz="0" w:space="0" w:color="auto"/>
      </w:divBdr>
    </w:div>
    <w:div w:id="106236506">
      <w:marLeft w:val="0"/>
      <w:marRight w:val="0"/>
      <w:marTop w:val="0"/>
      <w:marBottom w:val="0"/>
      <w:divBdr>
        <w:top w:val="none" w:sz="0" w:space="0" w:color="auto"/>
        <w:left w:val="none" w:sz="0" w:space="0" w:color="auto"/>
        <w:bottom w:val="none" w:sz="0" w:space="0" w:color="auto"/>
        <w:right w:val="none" w:sz="0" w:space="0" w:color="auto"/>
      </w:divBdr>
    </w:div>
    <w:div w:id="106236507">
      <w:marLeft w:val="0"/>
      <w:marRight w:val="0"/>
      <w:marTop w:val="0"/>
      <w:marBottom w:val="0"/>
      <w:divBdr>
        <w:top w:val="none" w:sz="0" w:space="0" w:color="auto"/>
        <w:left w:val="none" w:sz="0" w:space="0" w:color="auto"/>
        <w:bottom w:val="none" w:sz="0" w:space="0" w:color="auto"/>
        <w:right w:val="none" w:sz="0" w:space="0" w:color="auto"/>
      </w:divBdr>
    </w:div>
    <w:div w:id="106236508">
      <w:marLeft w:val="0"/>
      <w:marRight w:val="0"/>
      <w:marTop w:val="0"/>
      <w:marBottom w:val="0"/>
      <w:divBdr>
        <w:top w:val="none" w:sz="0" w:space="0" w:color="auto"/>
        <w:left w:val="none" w:sz="0" w:space="0" w:color="auto"/>
        <w:bottom w:val="none" w:sz="0" w:space="0" w:color="auto"/>
        <w:right w:val="none" w:sz="0" w:space="0" w:color="auto"/>
      </w:divBdr>
    </w:div>
    <w:div w:id="106236509">
      <w:marLeft w:val="0"/>
      <w:marRight w:val="0"/>
      <w:marTop w:val="0"/>
      <w:marBottom w:val="0"/>
      <w:divBdr>
        <w:top w:val="none" w:sz="0" w:space="0" w:color="auto"/>
        <w:left w:val="none" w:sz="0" w:space="0" w:color="auto"/>
        <w:bottom w:val="none" w:sz="0" w:space="0" w:color="auto"/>
        <w:right w:val="none" w:sz="0" w:space="0" w:color="auto"/>
      </w:divBdr>
    </w:div>
    <w:div w:id="106236510">
      <w:marLeft w:val="0"/>
      <w:marRight w:val="0"/>
      <w:marTop w:val="0"/>
      <w:marBottom w:val="0"/>
      <w:divBdr>
        <w:top w:val="none" w:sz="0" w:space="0" w:color="auto"/>
        <w:left w:val="none" w:sz="0" w:space="0" w:color="auto"/>
        <w:bottom w:val="none" w:sz="0" w:space="0" w:color="auto"/>
        <w:right w:val="none" w:sz="0" w:space="0" w:color="auto"/>
      </w:divBdr>
    </w:div>
    <w:div w:id="106236511">
      <w:marLeft w:val="0"/>
      <w:marRight w:val="0"/>
      <w:marTop w:val="0"/>
      <w:marBottom w:val="0"/>
      <w:divBdr>
        <w:top w:val="none" w:sz="0" w:space="0" w:color="auto"/>
        <w:left w:val="none" w:sz="0" w:space="0" w:color="auto"/>
        <w:bottom w:val="none" w:sz="0" w:space="0" w:color="auto"/>
        <w:right w:val="none" w:sz="0" w:space="0" w:color="auto"/>
      </w:divBdr>
    </w:div>
    <w:div w:id="106236512">
      <w:marLeft w:val="0"/>
      <w:marRight w:val="0"/>
      <w:marTop w:val="0"/>
      <w:marBottom w:val="0"/>
      <w:divBdr>
        <w:top w:val="none" w:sz="0" w:space="0" w:color="auto"/>
        <w:left w:val="none" w:sz="0" w:space="0" w:color="auto"/>
        <w:bottom w:val="none" w:sz="0" w:space="0" w:color="auto"/>
        <w:right w:val="none" w:sz="0" w:space="0" w:color="auto"/>
      </w:divBdr>
    </w:div>
    <w:div w:id="106236513">
      <w:marLeft w:val="0"/>
      <w:marRight w:val="0"/>
      <w:marTop w:val="0"/>
      <w:marBottom w:val="0"/>
      <w:divBdr>
        <w:top w:val="none" w:sz="0" w:space="0" w:color="auto"/>
        <w:left w:val="none" w:sz="0" w:space="0" w:color="auto"/>
        <w:bottom w:val="none" w:sz="0" w:space="0" w:color="auto"/>
        <w:right w:val="none" w:sz="0" w:space="0" w:color="auto"/>
      </w:divBdr>
    </w:div>
    <w:div w:id="106236514">
      <w:marLeft w:val="0"/>
      <w:marRight w:val="0"/>
      <w:marTop w:val="0"/>
      <w:marBottom w:val="0"/>
      <w:divBdr>
        <w:top w:val="none" w:sz="0" w:space="0" w:color="auto"/>
        <w:left w:val="none" w:sz="0" w:space="0" w:color="auto"/>
        <w:bottom w:val="none" w:sz="0" w:space="0" w:color="auto"/>
        <w:right w:val="none" w:sz="0" w:space="0" w:color="auto"/>
      </w:divBdr>
    </w:div>
    <w:div w:id="106236515">
      <w:marLeft w:val="0"/>
      <w:marRight w:val="0"/>
      <w:marTop w:val="0"/>
      <w:marBottom w:val="0"/>
      <w:divBdr>
        <w:top w:val="none" w:sz="0" w:space="0" w:color="auto"/>
        <w:left w:val="none" w:sz="0" w:space="0" w:color="auto"/>
        <w:bottom w:val="none" w:sz="0" w:space="0" w:color="auto"/>
        <w:right w:val="none" w:sz="0" w:space="0" w:color="auto"/>
      </w:divBdr>
    </w:div>
    <w:div w:id="106236516">
      <w:marLeft w:val="0"/>
      <w:marRight w:val="0"/>
      <w:marTop w:val="0"/>
      <w:marBottom w:val="0"/>
      <w:divBdr>
        <w:top w:val="none" w:sz="0" w:space="0" w:color="auto"/>
        <w:left w:val="none" w:sz="0" w:space="0" w:color="auto"/>
        <w:bottom w:val="none" w:sz="0" w:space="0" w:color="auto"/>
        <w:right w:val="none" w:sz="0" w:space="0" w:color="auto"/>
      </w:divBdr>
    </w:div>
    <w:div w:id="106236517">
      <w:marLeft w:val="0"/>
      <w:marRight w:val="0"/>
      <w:marTop w:val="0"/>
      <w:marBottom w:val="0"/>
      <w:divBdr>
        <w:top w:val="none" w:sz="0" w:space="0" w:color="auto"/>
        <w:left w:val="none" w:sz="0" w:space="0" w:color="auto"/>
        <w:bottom w:val="none" w:sz="0" w:space="0" w:color="auto"/>
        <w:right w:val="none" w:sz="0" w:space="0" w:color="auto"/>
      </w:divBdr>
    </w:div>
    <w:div w:id="106236518">
      <w:marLeft w:val="0"/>
      <w:marRight w:val="0"/>
      <w:marTop w:val="0"/>
      <w:marBottom w:val="0"/>
      <w:divBdr>
        <w:top w:val="none" w:sz="0" w:space="0" w:color="auto"/>
        <w:left w:val="none" w:sz="0" w:space="0" w:color="auto"/>
        <w:bottom w:val="none" w:sz="0" w:space="0" w:color="auto"/>
        <w:right w:val="none" w:sz="0" w:space="0" w:color="auto"/>
      </w:divBdr>
    </w:div>
    <w:div w:id="106236519">
      <w:marLeft w:val="0"/>
      <w:marRight w:val="0"/>
      <w:marTop w:val="0"/>
      <w:marBottom w:val="0"/>
      <w:divBdr>
        <w:top w:val="none" w:sz="0" w:space="0" w:color="auto"/>
        <w:left w:val="none" w:sz="0" w:space="0" w:color="auto"/>
        <w:bottom w:val="none" w:sz="0" w:space="0" w:color="auto"/>
        <w:right w:val="none" w:sz="0" w:space="0" w:color="auto"/>
      </w:divBdr>
    </w:div>
    <w:div w:id="106236520">
      <w:marLeft w:val="0"/>
      <w:marRight w:val="0"/>
      <w:marTop w:val="0"/>
      <w:marBottom w:val="0"/>
      <w:divBdr>
        <w:top w:val="none" w:sz="0" w:space="0" w:color="auto"/>
        <w:left w:val="none" w:sz="0" w:space="0" w:color="auto"/>
        <w:bottom w:val="none" w:sz="0" w:space="0" w:color="auto"/>
        <w:right w:val="none" w:sz="0" w:space="0" w:color="auto"/>
      </w:divBdr>
    </w:div>
    <w:div w:id="106236522">
      <w:marLeft w:val="0"/>
      <w:marRight w:val="0"/>
      <w:marTop w:val="0"/>
      <w:marBottom w:val="0"/>
      <w:divBdr>
        <w:top w:val="none" w:sz="0" w:space="0" w:color="auto"/>
        <w:left w:val="none" w:sz="0" w:space="0" w:color="auto"/>
        <w:bottom w:val="none" w:sz="0" w:space="0" w:color="auto"/>
        <w:right w:val="none" w:sz="0" w:space="0" w:color="auto"/>
      </w:divBdr>
      <w:divsChild>
        <w:div w:id="106236521">
          <w:marLeft w:val="0"/>
          <w:marRight w:val="0"/>
          <w:marTop w:val="0"/>
          <w:marBottom w:val="0"/>
          <w:divBdr>
            <w:top w:val="none" w:sz="0" w:space="0" w:color="auto"/>
            <w:left w:val="none" w:sz="0" w:space="0" w:color="auto"/>
            <w:bottom w:val="none" w:sz="0" w:space="0" w:color="auto"/>
            <w:right w:val="none" w:sz="0" w:space="0" w:color="auto"/>
          </w:divBdr>
        </w:div>
      </w:divsChild>
    </w:div>
    <w:div w:id="1446583260">
      <w:bodyDiv w:val="1"/>
      <w:marLeft w:val="0"/>
      <w:marRight w:val="0"/>
      <w:marTop w:val="0"/>
      <w:marBottom w:val="0"/>
      <w:divBdr>
        <w:top w:val="none" w:sz="0" w:space="0" w:color="auto"/>
        <w:left w:val="none" w:sz="0" w:space="0" w:color="auto"/>
        <w:bottom w:val="none" w:sz="0" w:space="0" w:color="auto"/>
        <w:right w:val="none" w:sz="0" w:space="0" w:color="auto"/>
      </w:divBdr>
    </w:div>
    <w:div w:id="206556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704FF4FF09C449B3BA936E1A1364FF" ma:contentTypeVersion="2" ma:contentTypeDescription="Create a new document." ma:contentTypeScope="" ma:versionID="ca438c5d5c3af10dbf09419343077562">
  <xsd:schema xmlns:xsd="http://www.w3.org/2001/XMLSchema" xmlns:xs="http://www.w3.org/2001/XMLSchema" xmlns:p="http://schemas.microsoft.com/office/2006/metadata/properties" xmlns:ns2="b702551a-27e8-48dd-8c57-2ece3171811a" targetNamespace="http://schemas.microsoft.com/office/2006/metadata/properties" ma:root="true" ma:fieldsID="09d9392c161e008b45dfb6c6144fd64c" ns2:_="">
    <xsd:import namespace="b702551a-27e8-48dd-8c57-2ece3171811a"/>
    <xsd:element name="properties">
      <xsd:complexType>
        <xsd:sequence>
          <xsd:element name="documentManagement">
            <xsd:complexType>
              <xsd:all>
                <xsd:element ref="ns2:IsSourcesIt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2551a-27e8-48dd-8c57-2ece3171811a" elementFormDefault="qualified">
    <xsd:import namespace="http://schemas.microsoft.com/office/2006/documentManagement/types"/>
    <xsd:import namespace="http://schemas.microsoft.com/office/infopath/2007/PartnerControls"/>
    <xsd:element name="IsSourcesItem" ma:index="8" nillable="true" ma:displayName="IsSourcesItem" ma:hidden="true" ma:internalName="IsSourcesItem" ma:readOnly="false">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sSourcesItem xmlns="b702551a-27e8-48dd-8c57-2ece3171811a">Yes</IsSourcesItem>
  </documentManagement>
</p:properties>
</file>

<file path=customXml/itemProps1.xml><?xml version="1.0" encoding="utf-8"?>
<ds:datastoreItem xmlns:ds="http://schemas.openxmlformats.org/officeDocument/2006/customXml" ds:itemID="{CE7200AE-3C49-4570-BB45-28A1836AD0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2551a-27e8-48dd-8c57-2ece31718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8E610-C7C5-426A-9E2D-668C6AA1172B}">
  <ds:schemaRefs>
    <ds:schemaRef ds:uri="http://schemas.openxmlformats.org/officeDocument/2006/bibliography"/>
  </ds:schemaRefs>
</ds:datastoreItem>
</file>

<file path=customXml/itemProps3.xml><?xml version="1.0" encoding="utf-8"?>
<ds:datastoreItem xmlns:ds="http://schemas.openxmlformats.org/officeDocument/2006/customXml" ds:itemID="{B32CA611-4223-40B4-BBB4-E96A99F4E326}">
  <ds:schemaRefs>
    <ds:schemaRef ds:uri="http://schemas.microsoft.com/sharepoint/v3/contenttype/forms"/>
  </ds:schemaRefs>
</ds:datastoreItem>
</file>

<file path=customXml/itemProps4.xml><?xml version="1.0" encoding="utf-8"?>
<ds:datastoreItem xmlns:ds="http://schemas.openxmlformats.org/officeDocument/2006/customXml" ds:itemID="{D2157769-34D8-448B-A4DC-8EC2D0B02815}">
  <ds:schemaRefs>
    <ds:schemaRef ds:uri="http://schemas.microsoft.com/office/2006/metadata/properties"/>
    <ds:schemaRef ds:uri="http://schemas.microsoft.com/office/infopath/2007/PartnerControls"/>
    <ds:schemaRef ds:uri="b702551a-27e8-48dd-8c57-2ece3171811a"/>
  </ds:schemaRefs>
</ds:datastoreItem>
</file>

<file path=docProps/app.xml><?xml version="1.0" encoding="utf-8"?>
<Properties xmlns="http://schemas.openxmlformats.org/officeDocument/2006/extended-properties" xmlns:vt="http://schemas.openxmlformats.org/officeDocument/2006/docPropsVTypes">
  <Template>Normal</Template>
  <TotalTime>1982</TotalTime>
  <Pages>51</Pages>
  <Words>78873</Words>
  <Characters>449577</Characters>
  <Application>Microsoft Office Word</Application>
  <DocSecurity>0</DocSecurity>
  <Lines>3746</Lines>
  <Paragraphs>1054</Paragraphs>
  <ScaleCrop>false</ScaleCrop>
  <HeadingPairs>
    <vt:vector size="2" baseType="variant">
      <vt:variant>
        <vt:lpstr>Názov</vt:lpstr>
      </vt:variant>
      <vt:variant>
        <vt:i4>1</vt:i4>
      </vt:variant>
    </vt:vector>
  </HeadingPairs>
  <TitlesOfParts>
    <vt:vector size="1" baseType="lpstr">
      <vt:lpstr>Časť B</vt:lpstr>
    </vt:vector>
  </TitlesOfParts>
  <Company>MZ SR</Company>
  <LinksUpToDate>false</LinksUpToDate>
  <CharactersWithSpaces>527396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Časť B</dc:title>
  <dc:subject/>
  <dc:creator>Jana Ivanova</dc:creator>
  <cp:keywords/>
  <dc:description/>
  <cp:lastModifiedBy>Bobotová Lucia</cp:lastModifiedBy>
  <cp:revision>456</cp:revision>
  <cp:lastPrinted>2020-04-24T13:17:00Z</cp:lastPrinted>
  <dcterms:created xsi:type="dcterms:W3CDTF">2025-07-30T15:00:00Z</dcterms:created>
  <dcterms:modified xsi:type="dcterms:W3CDTF">2026-09-14T13:03:00Z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0x010100D9704FF4FF09C449B3BA936E1A1364FF</vt:lpwstr>
  </property>
</Properties>
</file>