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07660" w14:textId="77777777" w:rsidR="003E1A25" w:rsidRDefault="004A400F">
      <w:pPr>
        <w:spacing w:after="80"/>
        <w:jc w:val="center"/>
      </w:pPr>
      <w:r>
        <w:rPr>
          <w:rFonts w:ascii="Arial" w:eastAsia="Arial" w:hAnsi="Arial" w:cs="Arial"/>
          <w:b/>
          <w:bCs/>
        </w:rPr>
        <w:t>REPÚBLICA DE COLOMBIA</w:t>
      </w:r>
    </w:p>
    <w:p w14:paraId="7C3A1FBB" w14:textId="77777777" w:rsidR="003E1A25" w:rsidRDefault="004A400F">
      <w:pPr>
        <w:spacing w:after="80"/>
        <w:jc w:val="center"/>
      </w:pPr>
      <w:r>
        <w:rPr>
          <w:rFonts w:ascii="Arial" w:eastAsia="Arial" w:hAnsi="Arial" w:cs="Arial"/>
          <w:b/>
          <w:bCs/>
        </w:rPr>
        <w:t>GOBERNACIÓN DE SANTANDER</w:t>
      </w:r>
    </w:p>
    <w:p w14:paraId="5CE0477C" w14:textId="77777777" w:rsidR="003E1A25" w:rsidRDefault="004A400F">
      <w:pPr>
        <w:spacing w:after="240"/>
        <w:jc w:val="center"/>
      </w:pPr>
      <w:r>
        <w:rPr>
          <w:rFonts w:ascii="Arial" w:eastAsia="Arial" w:hAnsi="Arial" w:cs="Arial"/>
          <w:b/>
          <w:bCs/>
        </w:rPr>
        <w:t>SECRETARÍA DE SALUD DEPARTAMENTAL DE SANTANDER</w:t>
      </w:r>
    </w:p>
    <w:p w14:paraId="2323584F" w14:textId="77777777" w:rsidR="003E1A25" w:rsidRDefault="004A400F">
      <w:pPr>
        <w:spacing w:after="2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RESOLUCIÓN NÚMERO ______ DE 2026</w:t>
      </w:r>
    </w:p>
    <w:p w14:paraId="1DFF96A2" w14:textId="77777777" w:rsidR="003E1A25" w:rsidRDefault="004A400F">
      <w:pPr>
        <w:spacing w:after="160"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 xml:space="preserve">Por la cual se </w:t>
      </w:r>
      <w:r>
        <w:rPr>
          <w:rFonts w:ascii="Arial" w:eastAsia="Arial" w:hAnsi="Arial" w:cs="Arial"/>
          <w:b/>
          <w:bCs/>
          <w:sz w:val="22"/>
          <w:szCs w:val="22"/>
        </w:rPr>
        <w:t>aclara y corrige un error formal</w:t>
      </w:r>
      <w:r>
        <w:rPr>
          <w:rFonts w:ascii="Arial" w:eastAsia="Arial" w:hAnsi="Arial" w:cs="Arial"/>
          <w:sz w:val="22"/>
          <w:szCs w:val="22"/>
        </w:rPr>
        <w:t xml:space="preserve"> en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{{res_a_corregir}}</w:t>
      </w:r>
      <w:r>
        <w:rPr>
          <w:rFonts w:ascii="Arial" w:eastAsia="Arial" w:hAnsi="Arial" w:cs="Arial"/>
          <w:sz w:val="22"/>
          <w:szCs w:val="22"/>
        </w:rPr>
        <w:t>, relativa a la inclusión de Medicamentos de Control Especial.</w:t>
      </w:r>
    </w:p>
    <w:p w14:paraId="714286B6" w14:textId="77777777" w:rsidR="003E1A25" w:rsidRDefault="004A400F">
      <w:pPr>
        <w:spacing w:before="160" w:after="24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EL SECRETARIO DE SALUD DEPARTAMENTAL DE SANTANDER</w:t>
      </w:r>
    </w:p>
    <w:p w14:paraId="2036E75C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En uso de sus atribuciones legales y en especial las conferidas por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1478 del 10 de mayo de 2006, el Artículo 23, numeral 3 de</w:t>
      </w:r>
      <w:r>
        <w:rPr>
          <w:rFonts w:ascii="Arial" w:eastAsia="Arial" w:hAnsi="Arial" w:cs="Arial"/>
          <w:sz w:val="22"/>
          <w:szCs w:val="22"/>
        </w:rPr>
        <w:t>l Decreto 205 de 2003, y el Artículo 45 de la Ley 1437 de 2011 (CPACA),</w:t>
      </w:r>
    </w:p>
    <w:p w14:paraId="755675FB" w14:textId="77777777" w:rsidR="003E1A25" w:rsidRDefault="004A400F">
      <w:pPr>
        <w:spacing w:before="160" w:after="2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 O N S I D E R A N D O</w:t>
      </w:r>
    </w:p>
    <w:p w14:paraId="10F91BEB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— </w:t>
      </w:r>
      <w:r>
        <w:rPr>
          <w:rFonts w:ascii="Arial" w:eastAsia="Arial" w:hAnsi="Arial" w:cs="Arial"/>
          <w:sz w:val="22"/>
          <w:szCs w:val="22"/>
        </w:rPr>
        <w:t xml:space="preserve">Que mediante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{{res_a_corregir}}</w:t>
      </w:r>
      <w:r>
        <w:rPr>
          <w:rFonts w:ascii="Arial" w:eastAsia="Arial" w:hAnsi="Arial" w:cs="Arial"/>
          <w:sz w:val="22"/>
          <w:szCs w:val="22"/>
        </w:rPr>
        <w:t xml:space="preserve">, la Secretaría de Salud Departamental de Santander ordenó 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b/>
          <w:bCs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, en el sentido de INCLUIR en el listado de medicamentos de control especial autorizados al establecimiento farmacéutico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>, de propiedad de {{razon_social}}, con NIT. No. {{nit}}</w:t>
      </w:r>
      <w:r>
        <w:rPr>
          <w:rFonts w:ascii="Arial" w:eastAsia="Arial" w:hAnsi="Arial" w:cs="Arial"/>
          <w:sz w:val="22"/>
          <w:szCs w:val="22"/>
        </w:rPr>
        <w:t xml:space="preserve">, ubicado en </w:t>
      </w:r>
      <w:r>
        <w:rPr>
          <w:rFonts w:ascii="Arial" w:eastAsia="Arial" w:hAnsi="Arial" w:cs="Arial"/>
          <w:b/>
          <w:bCs/>
          <w:sz w:val="22"/>
          <w:szCs w:val="22"/>
        </w:rPr>
        <w:t>{{direccion}}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del municipio de {{municipio}}, Santander</w:t>
      </w:r>
      <w:r>
        <w:rPr>
          <w:rFonts w:ascii="Arial" w:eastAsia="Arial" w:hAnsi="Arial" w:cs="Arial"/>
          <w:sz w:val="22"/>
          <w:szCs w:val="22"/>
        </w:rPr>
        <w:t>, los medicamentos de control especial allí relacionados.</w:t>
      </w:r>
    </w:p>
    <w:p w14:paraId="3FB0B20E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— </w:t>
      </w:r>
      <w:r>
        <w:rPr>
          <w:rFonts w:ascii="Arial" w:eastAsia="Arial" w:hAnsi="Arial" w:cs="Arial"/>
          <w:sz w:val="22"/>
          <w:szCs w:val="22"/>
        </w:rPr>
        <w:t xml:space="preserve">Que, revisado el texto de </w:t>
      </w:r>
      <w:r>
        <w:rPr>
          <w:rFonts w:ascii="Arial" w:eastAsia="Arial" w:hAnsi="Arial" w:cs="Arial"/>
          <w:sz w:val="22"/>
          <w:szCs w:val="22"/>
        </w:rPr>
        <w:t xml:space="preserve">la citada Resolución, se advierte un error formal en la columna «FORMA FARMACÉUTICA» respecto del medicamento </w:t>
      </w:r>
      <w:r>
        <w:rPr>
          <w:rFonts w:ascii="Arial" w:eastAsia="Arial" w:hAnsi="Arial" w:cs="Arial"/>
          <w:b/>
          <w:bCs/>
          <w:sz w:val="22"/>
          <w:szCs w:val="22"/>
        </w:rPr>
        <w:t>PROPOFOL</w:t>
      </w:r>
      <w:r>
        <w:rPr>
          <w:rFonts w:ascii="Arial" w:eastAsia="Arial" w:hAnsi="Arial" w:cs="Arial"/>
          <w:sz w:val="22"/>
          <w:szCs w:val="22"/>
        </w:rPr>
        <w:t xml:space="preserve"> (concentraciones 1% (200 mg/20 ml) y 2%), en la cual quedó consignado por error involuntario «SOLUCIÓN INYECTABLE», siendo lo correcto «</w:t>
      </w:r>
      <w:r>
        <w:rPr>
          <w:rFonts w:ascii="Arial" w:eastAsia="Arial" w:hAnsi="Arial" w:cs="Arial"/>
          <w:b/>
          <w:bCs/>
          <w:sz w:val="22"/>
          <w:szCs w:val="22"/>
        </w:rPr>
        <w:t>E</w:t>
      </w:r>
      <w:r>
        <w:rPr>
          <w:rFonts w:ascii="Arial" w:eastAsia="Arial" w:hAnsi="Arial" w:cs="Arial"/>
          <w:b/>
          <w:bCs/>
          <w:sz w:val="22"/>
          <w:szCs w:val="22"/>
        </w:rPr>
        <w:t>MULSIÓN INYECTABLE</w:t>
      </w:r>
      <w:r>
        <w:rPr>
          <w:rFonts w:ascii="Arial" w:eastAsia="Arial" w:hAnsi="Arial" w:cs="Arial"/>
          <w:sz w:val="22"/>
          <w:szCs w:val="22"/>
        </w:rPr>
        <w:t>», conforme a la forma farmacéutica real del producto y a los registros sanitarios del INVIMA.</w:t>
      </w:r>
    </w:p>
    <w:p w14:paraId="78AB98F3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— </w:t>
      </w:r>
      <w:r>
        <w:rPr>
          <w:rFonts w:ascii="Arial" w:eastAsia="Arial" w:hAnsi="Arial" w:cs="Arial"/>
          <w:sz w:val="22"/>
          <w:szCs w:val="22"/>
        </w:rPr>
        <w:t>Que el Artículo 45 de la Ley 1437 de 2011 (CPACA) faculta a la autoridad para corregir en cualquier tiempo, de oficio o a petición d</w:t>
      </w:r>
      <w:r>
        <w:rPr>
          <w:rFonts w:ascii="Arial" w:eastAsia="Arial" w:hAnsi="Arial" w:cs="Arial"/>
          <w:sz w:val="22"/>
          <w:szCs w:val="22"/>
        </w:rPr>
        <w:t>e parte, los errores simplemente formales contenidos en los actos administrativos, ya sean aritméticos, de digitación, de transcripción o de omisión de palabras, siempre que la corrección no altere lo sustancial de la decisión ni el sentido del acto.</w:t>
      </w:r>
    </w:p>
    <w:p w14:paraId="6A17A89F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CUART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O. — </w:t>
      </w:r>
      <w:r>
        <w:rPr>
          <w:rFonts w:ascii="Arial" w:eastAsia="Arial" w:hAnsi="Arial" w:cs="Arial"/>
          <w:sz w:val="22"/>
          <w:szCs w:val="22"/>
        </w:rPr>
        <w:t>Que la presente corrección no modifica el medicamento autorizado, su concentración, ni el sentido de la autorización otorgada; se limita a precisar la correcta denominación de la forma farmacéutica, por lo que constituye un error formal susceptible de</w:t>
      </w:r>
      <w:r>
        <w:rPr>
          <w:rFonts w:ascii="Arial" w:eastAsia="Arial" w:hAnsi="Arial" w:cs="Arial"/>
          <w:sz w:val="22"/>
          <w:szCs w:val="22"/>
        </w:rPr>
        <w:t xml:space="preserve"> corrección en los términos del artículo citado.</w:t>
      </w:r>
    </w:p>
    <w:p w14:paraId="28ACCFD4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Por lo anteriormente expuesto, este Despacho,</w:t>
      </w:r>
    </w:p>
    <w:p w14:paraId="08ADB95B" w14:textId="77777777" w:rsidR="003E1A25" w:rsidRDefault="004A400F">
      <w:pPr>
        <w:spacing w:before="160" w:after="2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 E S U E L V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E :</w:t>
      </w:r>
      <w:proofErr w:type="gramEnd"/>
    </w:p>
    <w:p w14:paraId="0BAC9A86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— </w:t>
      </w:r>
      <w:r>
        <w:rPr>
          <w:rFonts w:ascii="Arial" w:eastAsia="Arial" w:hAnsi="Arial" w:cs="Arial"/>
          <w:sz w:val="22"/>
          <w:szCs w:val="22"/>
        </w:rPr>
        <w:t xml:space="preserve">ACLARAR y CORREGIR el error formal contenido en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{{res_a_corregir}}</w:t>
      </w:r>
      <w:r>
        <w:rPr>
          <w:rFonts w:ascii="Arial" w:eastAsia="Arial" w:hAnsi="Arial" w:cs="Arial"/>
          <w:sz w:val="22"/>
          <w:szCs w:val="22"/>
        </w:rPr>
        <w:t>, en el sentido de que la FORMA FARMACÉUTICA</w:t>
      </w:r>
      <w:r>
        <w:rPr>
          <w:rFonts w:ascii="Arial" w:eastAsia="Arial" w:hAnsi="Arial" w:cs="Arial"/>
          <w:sz w:val="22"/>
          <w:szCs w:val="22"/>
        </w:rPr>
        <w:t xml:space="preserve"> correcta del medicamento </w:t>
      </w:r>
      <w:r>
        <w:rPr>
          <w:rFonts w:ascii="Arial" w:eastAsia="Arial" w:hAnsi="Arial" w:cs="Arial"/>
          <w:sz w:val="22"/>
          <w:szCs w:val="22"/>
        </w:rPr>
        <w:lastRenderedPageBreak/>
        <w:t>PROPOFOL (en sus concentraciones 1% (200 mg/20 ml) y 2%) es «</w:t>
      </w:r>
      <w:r>
        <w:rPr>
          <w:rFonts w:ascii="Arial" w:eastAsia="Arial" w:hAnsi="Arial" w:cs="Arial"/>
          <w:b/>
          <w:bCs/>
          <w:sz w:val="22"/>
          <w:szCs w:val="22"/>
        </w:rPr>
        <w:t>EMULSIÓN INYECTABLE</w:t>
      </w:r>
      <w:r>
        <w:rPr>
          <w:rFonts w:ascii="Arial" w:eastAsia="Arial" w:hAnsi="Arial" w:cs="Arial"/>
          <w:sz w:val="22"/>
          <w:szCs w:val="22"/>
        </w:rPr>
        <w:t>» y no «SOLUCIÓN INYECTABLE» como quedó consignado.</w:t>
      </w:r>
    </w:p>
    <w:p w14:paraId="77B0BE93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SEGUNDO. — </w:t>
      </w:r>
      <w:r>
        <w:rPr>
          <w:rFonts w:ascii="Arial" w:eastAsia="Arial" w:hAnsi="Arial" w:cs="Arial"/>
          <w:sz w:val="22"/>
          <w:szCs w:val="22"/>
        </w:rPr>
        <w:t>En consecuencia, el listado de medicamentos de control especial incluidos medi</w:t>
      </w:r>
      <w:r>
        <w:rPr>
          <w:rFonts w:ascii="Arial" w:eastAsia="Arial" w:hAnsi="Arial" w:cs="Arial"/>
          <w:sz w:val="22"/>
          <w:szCs w:val="22"/>
        </w:rPr>
        <w:t xml:space="preserve">ante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{{res_a_corregir}}</w:t>
      </w:r>
      <w:r>
        <w:rPr>
          <w:rFonts w:ascii="Arial" w:eastAsia="Arial" w:hAnsi="Arial" w:cs="Arial"/>
          <w:sz w:val="22"/>
          <w:szCs w:val="22"/>
        </w:rPr>
        <w:t xml:space="preserve"> queda de la siguiente manera:</w:t>
      </w:r>
    </w:p>
    <w:p w14:paraId="528BFA92" w14:textId="77777777" w:rsidR="003E1A25" w:rsidRDefault="004A400F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De control especial: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3"/>
        <w:gridCol w:w="1938"/>
        <w:gridCol w:w="3989"/>
      </w:tblGrid>
      <w:tr w:rsidR="003E1A25" w14:paraId="56BB6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8A5E7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NOMBRE GENÉRICO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17A37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CONCENTRACIÓN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A6E05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FORMA FARMACÉUTICA</w:t>
            </w:r>
          </w:p>
        </w:tc>
      </w:tr>
      <w:tr w:rsidR="003E1A25" w14:paraId="0A78F053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6D6A2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ESZOPICLONA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4F385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1 MG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1A17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TABLETA</w:t>
            </w:r>
          </w:p>
        </w:tc>
      </w:tr>
      <w:tr w:rsidR="003E1A25" w14:paraId="23008561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85F51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ESZOPICLONA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D84FC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2 MG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9A3B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TABLETA</w:t>
            </w:r>
          </w:p>
        </w:tc>
      </w:tr>
      <w:tr w:rsidR="003E1A25" w14:paraId="3C9B189E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999B3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ESZOPICLONA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A6276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3 MG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1B10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TABLETA</w:t>
            </w:r>
          </w:p>
        </w:tc>
      </w:tr>
      <w:tr w:rsidR="003E1A25" w14:paraId="3FC05A1D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C3D24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PROPOFOL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25C74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1% (200 mg/20 ml)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1A7D4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EMULSIÓN INYECTABLE</w:t>
            </w:r>
          </w:p>
        </w:tc>
      </w:tr>
      <w:tr w:rsidR="003E1A25" w14:paraId="593E4690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DEC2A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PROPOFOL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9FB19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2%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2C0E1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EMULSIÓN INYECTABLE</w:t>
            </w:r>
          </w:p>
        </w:tc>
      </w:tr>
      <w:tr w:rsidR="003E1A25" w14:paraId="1D2BC949" w14:textId="77777777">
        <w:tblPrEx>
          <w:tblCellMar>
            <w:top w:w="0" w:type="dxa"/>
            <w:bottom w:w="0" w:type="dxa"/>
          </w:tblCellMar>
        </w:tblPrEx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5DF73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ZOPICLONA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1026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7,5 MG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A65B0" w14:textId="77777777" w:rsidR="003E1A25" w:rsidRDefault="004A400F">
            <w:pPr>
              <w:jc w:val="center"/>
            </w:pPr>
            <w:r>
              <w:rPr>
                <w:rFonts w:ascii="Arial" w:eastAsia="Arial" w:hAnsi="Arial" w:cs="Arial"/>
              </w:rPr>
              <w:t>TABLETA</w:t>
            </w:r>
          </w:p>
        </w:tc>
      </w:tr>
    </w:tbl>
    <w:p w14:paraId="33D5BFC6" w14:textId="77777777" w:rsidR="003E1A25" w:rsidRDefault="003E1A25">
      <w:pPr>
        <w:spacing w:after="160"/>
      </w:pPr>
    </w:p>
    <w:p w14:paraId="2A2AE8FF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TERCERO. — </w:t>
      </w:r>
      <w:r>
        <w:rPr>
          <w:rFonts w:ascii="Arial" w:eastAsia="Arial" w:hAnsi="Arial" w:cs="Arial"/>
          <w:sz w:val="22"/>
          <w:szCs w:val="22"/>
        </w:rPr>
        <w:t xml:space="preserve">La presente Resolución hace parte integral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N.°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{{res_a_corregir}}</w:t>
      </w:r>
      <w:r>
        <w:rPr>
          <w:rFonts w:ascii="Arial" w:eastAsia="Arial" w:hAnsi="Arial" w:cs="Arial"/>
          <w:sz w:val="22"/>
          <w:szCs w:val="22"/>
        </w:rPr>
        <w:t>, la cual, en todo lo demás no corregido, continúa vigente y sin modificación alguna.</w:t>
      </w:r>
    </w:p>
    <w:p w14:paraId="4B393EDA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— </w:t>
      </w:r>
      <w:r>
        <w:rPr>
          <w:rFonts w:ascii="Arial" w:eastAsia="Arial" w:hAnsi="Arial" w:cs="Arial"/>
          <w:sz w:val="22"/>
          <w:szCs w:val="22"/>
        </w:rPr>
        <w:t xml:space="preserve">Notificar personalmente a la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 o a su apoderado el contenido de la presente Resolución, </w:t>
      </w:r>
      <w:r>
        <w:rPr>
          <w:rFonts w:ascii="Arial" w:eastAsia="Arial" w:hAnsi="Arial" w:cs="Arial"/>
          <w:sz w:val="22"/>
          <w:szCs w:val="22"/>
        </w:rPr>
        <w:t>conforme a los artículos 67 y siguientes de la Ley 1437 de 2011 (CPACA).</w:t>
      </w:r>
    </w:p>
    <w:p w14:paraId="6E2CFE38" w14:textId="77777777" w:rsidR="003E1A25" w:rsidRDefault="004A400F">
      <w:pPr>
        <w:spacing w:after="16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—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4F21A00E" w14:textId="77777777" w:rsidR="003E1A25" w:rsidRDefault="004A400F">
      <w:pPr>
        <w:spacing w:before="200" w:after="400"/>
      </w:pP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580620B6" w14:textId="77777777" w:rsidR="003E1A25" w:rsidRDefault="003E1A25">
      <w:pPr>
        <w:spacing w:before="600"/>
        <w:jc w:val="center"/>
      </w:pPr>
    </w:p>
    <w:p w14:paraId="7E21C7F8" w14:textId="77777777" w:rsidR="003E1A25" w:rsidRDefault="004A400F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EDWIN ANTONIO PRADA RAMÍREZ</w:t>
      </w:r>
    </w:p>
    <w:p w14:paraId="71017DD6" w14:textId="77777777" w:rsidR="003E1A25" w:rsidRDefault="004A400F">
      <w:pPr>
        <w:spacing w:after="400"/>
        <w:jc w:val="center"/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6145679C" w14:textId="77777777" w:rsidR="003E1A25" w:rsidRDefault="004A400F">
      <w:pPr>
        <w:spacing w:after="60"/>
      </w:pPr>
      <w:r>
        <w:rPr>
          <w:rFonts w:ascii="Arial" w:eastAsia="Arial" w:hAnsi="Arial" w:cs="Arial"/>
          <w:b/>
          <w:bCs/>
          <w:sz w:val="18"/>
          <w:szCs w:val="18"/>
        </w:rPr>
        <w:t>Aprobó: Dra. Diana Mireya Cuadros Picón – Directora Desarrollo de Servicios, Inspección, Vigilancia y Control</w:t>
      </w:r>
      <w:r>
        <w:rPr>
          <w:rFonts w:ascii="Arial" w:eastAsia="Arial" w:hAnsi="Arial" w:cs="Arial"/>
          <w:sz w:val="18"/>
          <w:szCs w:val="18"/>
        </w:rPr>
      </w:r>
    </w:p>
    <w:p w14:paraId="3EA4C907" w14:textId="77777777" w:rsidR="003E1A25" w:rsidRDefault="004A400F">
      <w:pPr>
        <w:spacing w:after="60"/>
      </w:pPr>
      <w:r>
        <w:rPr>
          <w:rFonts w:ascii="Arial" w:eastAsia="Arial" w:hAnsi="Arial" w:cs="Arial"/>
          <w:b/>
          <w:bCs/>
          <w:sz w:val="18"/>
          <w:szCs w:val="18"/>
        </w:rPr>
        <w:t>Revisó: Dr. Nilsón A. Bolívar Ortega – Profesional Universitario - Medicamentos y FRE - Santander</w:t>
      </w:r>
      <w:r>
        <w:rPr>
          <w:rFonts w:ascii="Arial" w:eastAsia="Arial" w:hAnsi="Arial" w:cs="Arial"/>
          <w:sz w:val="18"/>
          <w:szCs w:val="18"/>
        </w:rPr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</w:p>
    <w:p w14:paraId="52C0E6F6" w14:textId="77777777" w:rsidR="003E1A25" w:rsidRDefault="004A400F">
      <w:pPr>
        <w:spacing w:after="60"/>
      </w:pPr>
      <w:r>
        <w:rPr>
          <w:rFonts w:ascii="Arial" w:eastAsia="Arial" w:hAnsi="Arial" w:cs="Arial"/>
          <w:b/>
          <w:bCs/>
          <w:sz w:val="18"/>
          <w:szCs w:val="18"/>
        </w:rPr>
        <w:t>Elaboró: Omar de J. Ramírez R. – Técnico Operativo</w:t>
      </w:r>
      <w:r>
        <w:rPr>
          <w:rFonts w:ascii="Arial" w:eastAsia="Arial" w:hAnsi="Arial" w:cs="Arial"/>
          <w:sz w:val="18"/>
          <w:szCs w:val="18"/>
        </w:rPr>
      </w:r>
    </w:p>
    <w:sectPr w:rsidR="003E1A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8B036F"/>
    <w:multiLevelType w:val="hybridMultilevel"/>
    <w:tmpl w:val="BA04CC6A"/>
    <w:lvl w:ilvl="0" w:tplc="9ECEB912">
      <w:start w:val="1"/>
      <w:numFmt w:val="bullet"/>
      <w:lvlText w:val="●"/>
      <w:lvlJc w:val="left"/>
      <w:pPr>
        <w:ind w:left="720" w:hanging="360"/>
      </w:pPr>
    </w:lvl>
    <w:lvl w:ilvl="1" w:tplc="74C41DF8">
      <w:start w:val="1"/>
      <w:numFmt w:val="bullet"/>
      <w:lvlText w:val="○"/>
      <w:lvlJc w:val="left"/>
      <w:pPr>
        <w:ind w:left="1440" w:hanging="360"/>
      </w:pPr>
    </w:lvl>
    <w:lvl w:ilvl="2" w:tplc="F68264C4">
      <w:start w:val="1"/>
      <w:numFmt w:val="bullet"/>
      <w:lvlText w:val="■"/>
      <w:lvlJc w:val="left"/>
      <w:pPr>
        <w:ind w:left="2160" w:hanging="360"/>
      </w:pPr>
    </w:lvl>
    <w:lvl w:ilvl="3" w:tplc="0D5A8426">
      <w:start w:val="1"/>
      <w:numFmt w:val="bullet"/>
      <w:lvlText w:val="●"/>
      <w:lvlJc w:val="left"/>
      <w:pPr>
        <w:ind w:left="2880" w:hanging="360"/>
      </w:pPr>
    </w:lvl>
    <w:lvl w:ilvl="4" w:tplc="1B04BC86">
      <w:start w:val="1"/>
      <w:numFmt w:val="bullet"/>
      <w:lvlText w:val="○"/>
      <w:lvlJc w:val="left"/>
      <w:pPr>
        <w:ind w:left="3600" w:hanging="360"/>
      </w:pPr>
    </w:lvl>
    <w:lvl w:ilvl="5" w:tplc="1168371E">
      <w:start w:val="1"/>
      <w:numFmt w:val="bullet"/>
      <w:lvlText w:val="■"/>
      <w:lvlJc w:val="left"/>
      <w:pPr>
        <w:ind w:left="4320" w:hanging="360"/>
      </w:pPr>
    </w:lvl>
    <w:lvl w:ilvl="6" w:tplc="FBF8EF18">
      <w:start w:val="1"/>
      <w:numFmt w:val="bullet"/>
      <w:lvlText w:val="●"/>
      <w:lvlJc w:val="left"/>
      <w:pPr>
        <w:ind w:left="5040" w:hanging="360"/>
      </w:pPr>
    </w:lvl>
    <w:lvl w:ilvl="7" w:tplc="1EA4DCBE">
      <w:start w:val="1"/>
      <w:numFmt w:val="bullet"/>
      <w:lvlText w:val="●"/>
      <w:lvlJc w:val="left"/>
      <w:pPr>
        <w:ind w:left="5760" w:hanging="360"/>
      </w:pPr>
    </w:lvl>
    <w:lvl w:ilvl="8" w:tplc="DE0887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25"/>
    <w:rsid w:val="003E1A25"/>
    <w:rsid w:val="004A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4F45"/>
  <w15:docId w15:val="{60B9A8CD-BA82-4443-ADFC-BCE201A7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</cp:lastModifiedBy>
  <cp:revision>2</cp:revision>
  <dcterms:created xsi:type="dcterms:W3CDTF">2026-07-14T05:03:00Z</dcterms:created>
  <dcterms:modified xsi:type="dcterms:W3CDTF">2026-07-14T05:03:00Z</dcterms:modified>
</cp:coreProperties>
</file>