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0DF6" w14:textId="76522660" w:rsidR="00F40E6A" w:rsidRDefault="00DB103E" w:rsidP="00DB103E">
      <w:pPr>
        <w:pStyle w:val="Akapitzlist"/>
        <w:numPr>
          <w:ilvl w:val="0"/>
          <w:numId w:val="1"/>
        </w:numPr>
      </w:pPr>
      <w:r w:rsidRPr="00DB103E">
        <w:t>Własność przemysłowa dotyczy dóbr intelektualnych wykorzystywanych w działalności gospodarczej</w:t>
      </w:r>
      <w:r>
        <w:t>.</w:t>
      </w:r>
    </w:p>
    <w:p w14:paraId="1BCBD90A" w14:textId="437AEC7D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Innowacyjne rozwiązanie techniczne, które musi spełniać następujące wymogi, aby mógł nań zostać udzielony patent: 1) jest nowe (nie stanowi części stanu techniki), 2) posiada poziom wynalazczy (nie wynika dla wynalazcy w sposób oczywisty ze stanu techniki) oraz 3) nadaje się do przemysłowego stosowania, czyli jest użyteczne i powtarzalne, a nie czysto teoretyczne.</w:t>
      </w:r>
    </w:p>
    <w:p w14:paraId="5DCF61BB" w14:textId="11D4B5C2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Nowe i użyteczne rozwiązanie o charakterze technicznym, dotyczące kształtu, budowy lub zestawienia przedmiotu o trwałej postaci.</w:t>
      </w:r>
    </w:p>
    <w:p w14:paraId="284D9F61" w14:textId="76FAB2D5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Odnosi się do wyglądu zewnętrznego produktów. Musi być nowy, a więc taki, który wcześniej nie został udostępniony publicznie i posiadać indywidualny charakter.</w:t>
      </w:r>
    </w:p>
    <w:p w14:paraId="0AAB9AD4" w14:textId="2DD7684E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Oznaczenie używane przez przedsiębiorcę w obrocie gospodarczym w celu odróżnienia własnych towarów lub usług od produktów konkurentów.</w:t>
      </w:r>
    </w:p>
    <w:p w14:paraId="3BC945E3" w14:textId="46FF9BB0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Oznaczenia słowne odnoszące się bezpośrednio lub pośrednio do nazwy miejsca, miejscowości, regionu lub kraju (teren), które identyfikują towar jako pochodzący z tego terenu, jeżeli określona jakość, dobra opinia lub inne cechy towaru są przypisywane przede wszystkim pochodzeniu geograficznemu tego towaru.</w:t>
      </w:r>
    </w:p>
    <w:p w14:paraId="570483E8" w14:textId="16862595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Przykładami wynalazków, których nie można patentować w świetle obowiązującego prawa, są sposoby klonowania ludzi, modyfikacji tożsamości genetycznej linii zarodkowej człowieka czy stosowania embrionów ludzkich do celów przemysłowych lub handlowych.</w:t>
      </w:r>
    </w:p>
    <w:p w14:paraId="6B6CE1FC" w14:textId="169CC2F3" w:rsidR="00DB103E" w:rsidRDefault="00DB103E" w:rsidP="00DB103E">
      <w:pPr>
        <w:pStyle w:val="Akapitzlist"/>
        <w:numPr>
          <w:ilvl w:val="0"/>
          <w:numId w:val="1"/>
        </w:numPr>
      </w:pPr>
      <w:r w:rsidRPr="00DB103E">
        <w:t>Trolle patentowe są to przedsiębiorcy, którzy uzyskują tzw. „podejrzane patenty” wyznaczające niejasny, nieprecyzyjny zakres ochrony, w celu wymuszania odszkodowań lub opłat licencyjnych za rzekome naruszenia praw własności przemysłowej. Żerują oni na innych przedsiębiorcach, w szczególności mniejszych, których nie stać na specjalistyczną obsługę prawną. Problem ten dotyczy przede wszystkim Stanów Zjednoczonych, ale narasta i rozprzestrzenia się na inne państwa, w tym europejskie. Przeciwdziałaniu ich działalności służy większa staranność urzędów patentowych w zakresie udzielania patentów wiarygodnych oraz kompetentne sądownictwo patentowe.</w:t>
      </w:r>
    </w:p>
    <w:p w14:paraId="16EF9BA7" w14:textId="669A42C0" w:rsidR="00DB103E" w:rsidRDefault="003B0100" w:rsidP="00DB103E">
      <w:pPr>
        <w:pStyle w:val="Akapitzlist"/>
        <w:numPr>
          <w:ilvl w:val="0"/>
          <w:numId w:val="1"/>
        </w:numPr>
      </w:pPr>
      <w:r>
        <w:t xml:space="preserve">Patenty - </w:t>
      </w:r>
      <w:r w:rsidRPr="003B0100">
        <w:t>20 lat od daty dokonania zgłoszenia (ochrona powiększona o okres 5 lat w przypadku uzyskania dodatkowego prawa ochronnego (DPO/SPC)*</w:t>
      </w:r>
      <w:r>
        <w:br/>
        <w:t xml:space="preserve">Wzory użytkowe - </w:t>
      </w:r>
      <w:r w:rsidRPr="003B0100">
        <w:t>10 lat od daty zgłoszenia</w:t>
      </w:r>
      <w:r>
        <w:br/>
        <w:t xml:space="preserve">Wzory przemysłowe - </w:t>
      </w:r>
      <w:r w:rsidRPr="003B0100">
        <w:t>do 25 lat, podzielone na 5 letnie okresy</w:t>
      </w:r>
      <w:r>
        <w:br/>
        <w:t xml:space="preserve">Znak towarowy - </w:t>
      </w:r>
      <w:r w:rsidRPr="003B0100">
        <w:t>10 lat, z możliwością przedłużenia na kolejne okresy 10-letnie</w:t>
      </w:r>
      <w:r>
        <w:br/>
        <w:t xml:space="preserve">Oznaczenia geograficzne – </w:t>
      </w:r>
      <w:r w:rsidRPr="003B0100">
        <w:t>Nieograniczone</w:t>
      </w:r>
    </w:p>
    <w:p w14:paraId="39079665" w14:textId="1E54D43A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Uzyskanie większości praw własności przemysłowej wymaga zazwyczaj dokonania rejestracji. W tym celu dokonywane jest zgłoszenie w odpowiednim urzędzie. W Polsce jest to Urząd Patentowy, a w przypadku wspólnotowych (unijnych) praw własności przemysłowej urzędem tym jest Urząd ds. Harmonizacji Rynku Wewnętrznego (OHIM) z siedzibą w Alicante (Hiszpania).</w:t>
      </w:r>
    </w:p>
    <w:p w14:paraId="375E8997" w14:textId="5C5409C1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tajemnica przedsiębiorstwa (know-how).</w:t>
      </w:r>
    </w:p>
    <w:p w14:paraId="1F0720B9" w14:textId="38C67302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Najważniejszymi aktami prawnymi są konwencja paryska o ochronie własności przemysłowej z dnia 20 marca 1883 r. oraz Porozumienie w sprawie handlowych aspektów własności intelektualnej (TRIPS).</w:t>
      </w:r>
    </w:p>
    <w:p w14:paraId="3036ECD1" w14:textId="0DA539B8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Unijny pakiet patentowy to trzy akty wydane w ramach wzmocnionej współpracy państw członkowskich UE w dziedzinie tworzenia jednolitego systemu ochrony patentowej. Kluczowym składnikiem pakietu jest umowa o utworzeniu Jednolitego Sądu Patentowego. Jej celem jest określenie podstaw prawnych sądu właściwego w sprawach patentów europejskich o jednolitym skutku oraz patentów europejskich.</w:t>
      </w:r>
    </w:p>
    <w:p w14:paraId="16A3EE0F" w14:textId="32F5E7E4" w:rsidR="003B0100" w:rsidRDefault="003B0100" w:rsidP="00DB103E">
      <w:pPr>
        <w:pStyle w:val="Akapitzlist"/>
        <w:numPr>
          <w:ilvl w:val="0"/>
          <w:numId w:val="1"/>
        </w:numPr>
      </w:pPr>
      <w:r w:rsidRPr="003B0100">
        <w:lastRenderedPageBreak/>
        <w:t xml:space="preserve">WIPO (World </w:t>
      </w:r>
      <w:proofErr w:type="spellStart"/>
      <w:r w:rsidRPr="003B0100">
        <w:t>Intellectual</w:t>
      </w:r>
      <w:proofErr w:type="spellEnd"/>
      <w:r w:rsidRPr="003B0100">
        <w:t xml:space="preserve"> </w:t>
      </w:r>
      <w:proofErr w:type="spellStart"/>
      <w:r w:rsidRPr="003B0100">
        <w:t>Property</w:t>
      </w:r>
      <w:proofErr w:type="spellEnd"/>
      <w:r w:rsidRPr="003B0100">
        <w:t xml:space="preserve"> Organization, Światowa Organizacja Własności Intelektualnej) koordynuje i tworzy regulacje dotyczące systemu ochrony praw na dobrach niematerialnych, a także świadczy pomoc prawną i technologiczną. Między innymi koordynuje współpracę między krajowymi urzędami patentowymi w celu stworzenia międzynarodowego systemu własności przemysłowej. WIPO ściśle współpracuje ze Światową Organizacją Handlu (WTO).</w:t>
      </w:r>
    </w:p>
    <w:p w14:paraId="1ECDECBF" w14:textId="28B0C7B2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Szczególnym rozwiązaniem w zakresie patentów jest licencja otwarta. Nie należy jej mylić z wolną licencją (niekiedy także zwaną otwartą) dotyczącą praw autorskich wg koncepcji Richarda Stallmana, o której mowa była w osobnej części podręcznika. Uprawniony z patentu może złożyć w urzędzie patentowym oświadczenie o gotowości udzielenia licencji na korzystanie z jego wynalazku. Oświadczenie takie nie może zostać odwołane ani zmienione. W razie złożenia takiego oświadczenia opłaty okresowe za ochronę wynalazku zmniejsza się o połowę. Licencja otwarta jest pełna i niewyłączna, a opłata licencyjna nie może przekraczać 10% korzyści uzyskanych przez licencjobiorcę w każdym roku korzystania z wynalazku, po potrąceniu nakładów</w:t>
      </w:r>
      <w:r>
        <w:t>.</w:t>
      </w:r>
    </w:p>
    <w:p w14:paraId="20E9B362" w14:textId="47BA0A24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Wyróżnia się także pojęcie licencji przymusowej. Odnosi się to do sytuacji, gdy uprawniony zostaje zmuszony do akceptowania z możliwości skorzystania z wynalazku przez inne osoby. Zamiast niego zgody na takie używanie wynalazku udziela Urząd Patentowy. Przykładem jest przypadek, gdy niezbędne jest zapewnienie ochrony życia i zdrowia ludzkiego bądź ochrony środowiska naturalnego. Licencja przymusowa może także zostać udzielona, gdy patent jest nadużywany.</w:t>
      </w:r>
    </w:p>
    <w:p w14:paraId="4723EC4E" w14:textId="19C77D1D" w:rsidR="003B0100" w:rsidRDefault="003B0100" w:rsidP="00DB103E">
      <w:pPr>
        <w:pStyle w:val="Akapitzlist"/>
        <w:numPr>
          <w:ilvl w:val="0"/>
          <w:numId w:val="1"/>
        </w:numPr>
      </w:pPr>
      <w:r w:rsidRPr="003B0100">
        <w:t>Naruszenie to bezprawne działanie osób nieuprawnionych, polegające na dokonywaniu czynności zastrzeżonych dla uprawnionych z praw własności przemysłowej. Naruszyciel ponosi odpowiedzialność prawną.</w:t>
      </w:r>
    </w:p>
    <w:p w14:paraId="15178486" w14:textId="5D2E5D09" w:rsidR="003B0100" w:rsidRDefault="00800439" w:rsidP="00DB103E">
      <w:pPr>
        <w:pStyle w:val="Akapitzlist"/>
        <w:numPr>
          <w:ilvl w:val="0"/>
          <w:numId w:val="1"/>
        </w:numPr>
      </w:pPr>
      <w:r w:rsidRPr="00800439">
        <w:t xml:space="preserve">Europejski Trybunał Sprawiedliwości dążąc do ujednolicenia orzecznictwa wspólnotowego, przyjął normatywną definicję znaku renomowanego jako znaku znanego znacznej części relewantnych odbiorców, a więc odbiorców towarów i usług oznaczonych tym znakiem (wyrok ETS z dnia 14 września 1999 r., C — 375.97 w sprawie General Motors Corporation przeciwko </w:t>
      </w:r>
      <w:proofErr w:type="spellStart"/>
      <w:r w:rsidRPr="00800439">
        <w:t>Yplon</w:t>
      </w:r>
      <w:proofErr w:type="spellEnd"/>
      <w:r w:rsidRPr="00800439">
        <w:t xml:space="preserve"> S. A.).</w:t>
      </w:r>
    </w:p>
    <w:sectPr w:rsidR="003B0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7004E" w14:textId="77777777" w:rsidR="00423B90" w:rsidRDefault="00423B90" w:rsidP="00DB103E">
      <w:pPr>
        <w:spacing w:after="0" w:line="240" w:lineRule="auto"/>
      </w:pPr>
      <w:r>
        <w:separator/>
      </w:r>
    </w:p>
  </w:endnote>
  <w:endnote w:type="continuationSeparator" w:id="0">
    <w:p w14:paraId="3D1EC488" w14:textId="77777777" w:rsidR="00423B90" w:rsidRDefault="00423B90" w:rsidP="00DB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84F1" w14:textId="77777777" w:rsidR="00800439" w:rsidRDefault="0080043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283160"/>
      <w:docPartObj>
        <w:docPartGallery w:val="Page Numbers (Bottom of Page)"/>
        <w:docPartUnique/>
      </w:docPartObj>
    </w:sdtPr>
    <w:sdtContent>
      <w:p w14:paraId="0FE341BA" w14:textId="3F3F8010" w:rsidR="00800439" w:rsidRDefault="0080043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E207A3" w14:textId="77777777" w:rsidR="00800439" w:rsidRDefault="0080043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C39E" w14:textId="77777777" w:rsidR="00800439" w:rsidRDefault="008004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9A55" w14:textId="77777777" w:rsidR="00423B90" w:rsidRDefault="00423B90" w:rsidP="00DB103E">
      <w:pPr>
        <w:spacing w:after="0" w:line="240" w:lineRule="auto"/>
      </w:pPr>
      <w:r>
        <w:separator/>
      </w:r>
    </w:p>
  </w:footnote>
  <w:footnote w:type="continuationSeparator" w:id="0">
    <w:p w14:paraId="46EA10EA" w14:textId="77777777" w:rsidR="00423B90" w:rsidRDefault="00423B90" w:rsidP="00DB1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BD7B" w14:textId="77777777" w:rsidR="00800439" w:rsidRDefault="0080043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956CF" w14:textId="22F5EED0" w:rsidR="00DB103E" w:rsidRDefault="00DB103E" w:rsidP="00DB103E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4FD75962" w14:textId="411476E9" w:rsidR="00DB103E" w:rsidRDefault="00DB103E" w:rsidP="00DB103E">
    <w:pPr>
      <w:pStyle w:val="Nagwek"/>
      <w:jc w:val="center"/>
    </w:pPr>
    <w:r>
      <w:t>Podręcznik rozdział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26ADC" w14:textId="77777777" w:rsidR="00800439" w:rsidRDefault="0080043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924"/>
    <w:multiLevelType w:val="hybridMultilevel"/>
    <w:tmpl w:val="DA104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3E"/>
    <w:rsid w:val="002F4866"/>
    <w:rsid w:val="003B0100"/>
    <w:rsid w:val="00423B90"/>
    <w:rsid w:val="007D3382"/>
    <w:rsid w:val="00800439"/>
    <w:rsid w:val="00BF178C"/>
    <w:rsid w:val="00DB103E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66673"/>
  <w15:chartTrackingRefBased/>
  <w15:docId w15:val="{323C011F-C420-4A80-925B-666D1D57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B1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B103E"/>
  </w:style>
  <w:style w:type="paragraph" w:styleId="Stopka">
    <w:name w:val="footer"/>
    <w:basedOn w:val="Normalny"/>
    <w:link w:val="StopkaZnak"/>
    <w:uiPriority w:val="99"/>
    <w:unhideWhenUsed/>
    <w:rsid w:val="00DB1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B103E"/>
  </w:style>
  <w:style w:type="paragraph" w:styleId="Akapitzlist">
    <w:name w:val="List Paragraph"/>
    <w:basedOn w:val="Normalny"/>
    <w:uiPriority w:val="34"/>
    <w:qFormat/>
    <w:rsid w:val="00DB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802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2020-06-19T21:17:00Z</dcterms:created>
  <dcterms:modified xsi:type="dcterms:W3CDTF">2020-06-19T21:41:00Z</dcterms:modified>
</cp:coreProperties>
</file>