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CF45B" w14:textId="6AFA8C4E" w:rsidR="001C3ECF" w:rsidRDefault="00915097" w:rsidP="00915097">
      <w:pPr>
        <w:pStyle w:val="Akapitzlist"/>
        <w:numPr>
          <w:ilvl w:val="0"/>
          <w:numId w:val="1"/>
        </w:numPr>
      </w:pPr>
      <w:r>
        <w:t>Twórca utworu wykorzystanego lub włączonego do utworu audiowizualnego oraz utworu wchodzącego w skład utworu zbiorowego, po powstaniu nowych sposobów eksploatacji utworów, nie może bez ważnego powodu odmówić udzielenia zezwolenia na korzystanie z tego utworu w ramach utworu audiowizualnego lub utworu zbiorowego na polach eksploatacji nieznanych w chwili zawarcia umowy.</w:t>
      </w:r>
    </w:p>
    <w:p w14:paraId="28E57C95" w14:textId="491F7815" w:rsidR="00915097" w:rsidRDefault="00915097" w:rsidP="00915097">
      <w:pPr>
        <w:pStyle w:val="Akapitzlist"/>
        <w:numPr>
          <w:ilvl w:val="0"/>
          <w:numId w:val="1"/>
        </w:numPr>
      </w:pPr>
      <w:r>
        <w:t>Nabywca oryginału utworu jest obowiązany udostępnić go twórcy w takim zakresie, w jakim jest to niezbędne do wykonywania prawa autorskiego. Nabywca oryginału może jednak domagać się od twórcy odpowiedniego zabezpieczenia oraz wynagrodzenia za korzystanie.</w:t>
      </w:r>
    </w:p>
    <w:p w14:paraId="574E8AE1" w14:textId="04A54527" w:rsidR="00915097" w:rsidRDefault="00915097" w:rsidP="00915097">
      <w:pPr>
        <w:pStyle w:val="Akapitzlist"/>
        <w:numPr>
          <w:ilvl w:val="0"/>
          <w:numId w:val="1"/>
        </w:numPr>
      </w:pPr>
      <w:r>
        <w:t>W razie podjęcia decyzji o zniszczeniu oryginalnego egzemplarza utworu plastycznego znajdującego się w miejscu publicznie dostępnym, właściciel jest obowiązany złożyć twórcy utworu lub jego bliskim ofertę sprzedaży, jeżeli porozumienie się z nim, celem złożenia oferty, jest możliwe. Górną granicę ceny określa wartość materiałów. Jeżeli sprzedaż nie jest możliwa, właściciel jest obowiązany umożliwić twórcy sporządzenie kopii bądź – zależnie od rodzaju utworu – stosownej dokumentacji</w:t>
      </w:r>
    </w:p>
    <w:p w14:paraId="535AA7BB" w14:textId="128CBFC5" w:rsidR="00915097" w:rsidRDefault="00915097" w:rsidP="00915097">
      <w:pPr>
        <w:pStyle w:val="Akapitzlist"/>
        <w:numPr>
          <w:ilvl w:val="0"/>
          <w:numId w:val="1"/>
        </w:numPr>
      </w:pPr>
      <w:r>
        <w:t>Jeżeli publiczne udostępnienie utworu następuje w nieodpowiedniej formie albo ze zmianami, którym twórca mógłby słusznie się sprzeciwić, może on po bezskutecznym wezwaniu do zaniechania naruszenia odstąpić od umowy lub ją wypowiedzieć. Twórcy przysługuje prawo do wynagrodzenia określonego umową.</w:t>
      </w:r>
    </w:p>
    <w:p w14:paraId="3CA5B60B" w14:textId="0BF3F8CF" w:rsidR="00915097" w:rsidRDefault="00915097" w:rsidP="00915097">
      <w:pPr>
        <w:pStyle w:val="Akapitzlist"/>
        <w:numPr>
          <w:ilvl w:val="0"/>
          <w:numId w:val="1"/>
        </w:numPr>
      </w:pPr>
      <w:r>
        <w:t>Przepisów ust. 1–4 nie stosuje się do tłumaczeń na język polski utworów wyrażonych słowem, które powstały w języku obcym.</w:t>
      </w:r>
    </w:p>
    <w:p w14:paraId="299CE19C" w14:textId="0EF81B9A" w:rsidR="00915097" w:rsidRDefault="00915097" w:rsidP="00915097">
      <w:pPr>
        <w:pStyle w:val="Akapitzlist"/>
        <w:numPr>
          <w:ilvl w:val="0"/>
          <w:numId w:val="1"/>
        </w:numPr>
      </w:pPr>
      <w:r>
        <w:t>Przepisów ust. 1 i 2 nie stosuje się do utworów architektonicznych i architektoniczno-urbanistycznych</w:t>
      </w:r>
    </w:p>
    <w:p w14:paraId="5F47AC73" w14:textId="40B130FF" w:rsidR="00915097" w:rsidRDefault="00915097" w:rsidP="00915097">
      <w:pPr>
        <w:pStyle w:val="Akapitzlist"/>
        <w:numPr>
          <w:ilvl w:val="0"/>
          <w:numId w:val="1"/>
        </w:numPr>
      </w:pPr>
      <w:r>
        <w:t>Twórca może w zbiorowej publikacji swych utworów umieścić utwory, o których publikację zawarł odrębną umowę.</w:t>
      </w:r>
    </w:p>
    <w:p w14:paraId="1DEBC04C" w14:textId="76FB2A9C" w:rsidR="00915097" w:rsidRDefault="00915097" w:rsidP="00915097">
      <w:pPr>
        <w:pStyle w:val="Akapitzlist"/>
        <w:numPr>
          <w:ilvl w:val="0"/>
          <w:numId w:val="1"/>
        </w:numPr>
      </w:pPr>
      <w:r>
        <w:t>Przepisu ust. 1 nie stosuje się do utworów architektonicznych i architektoniczno-urbanistycznych, audiowizualnych oraz utworów zamówionych w zakresie ich eksploatacji w utworze audiowizualnym.</w:t>
      </w:r>
    </w:p>
    <w:p w14:paraId="1C9E910B" w14:textId="4CDB22E8" w:rsidR="00915097" w:rsidRDefault="00915097" w:rsidP="00915097">
      <w:pPr>
        <w:pStyle w:val="Akapitzlist"/>
        <w:numPr>
          <w:ilvl w:val="0"/>
          <w:numId w:val="1"/>
        </w:numPr>
      </w:pPr>
      <w:r>
        <w:t>Tworzy się wykaz utworów niedostępnych w obrocie handlowym prowadzony w systemie teleinformatycznym, zwany dalej „wykazem utworów”. Wykaz utworów prowadzi minister właściwy do spraw kultury i ochrony dziedzictwa narodowego.</w:t>
      </w:r>
    </w:p>
    <w:p w14:paraId="0DD70071" w14:textId="5C13B7B3" w:rsidR="00915097" w:rsidRDefault="00915097" w:rsidP="00915097">
      <w:pPr>
        <w:pStyle w:val="Akapitzlist"/>
        <w:numPr>
          <w:ilvl w:val="0"/>
          <w:numId w:val="1"/>
        </w:numPr>
      </w:pPr>
      <w:r>
        <w:t>Maksymalna wysokość sumy wynagrodzenia za użyczanie należnego podmiotowi, o którym mowa w art. 28 ust. 5, za użyczanie w danym roku kalendarzowym egzemplarzy wszystkich jego utworów wskazanych w oświadczeniu wynosi pięciokrotność przeciętnego miesięcznego wynagrodzenia w sektorze przedsiębiorstw, włącznie z wypłatami z zysku, za ostatni kwartał poprzedniego roku kalendarzowego, ogłaszanego przez Prezesa Głównego Urzędu Statystycznego.</w:t>
      </w:r>
    </w:p>
    <w:p w14:paraId="7B7B2ADC" w14:textId="1ADA62F1" w:rsidR="00915097" w:rsidRDefault="00915097" w:rsidP="00915097">
      <w:pPr>
        <w:pStyle w:val="Akapitzlist"/>
        <w:numPr>
          <w:ilvl w:val="0"/>
          <w:numId w:val="1"/>
        </w:numPr>
      </w:pPr>
      <w:r>
        <w:t>Czas trwania autorskich praw majątkowych liczy się w latach pełnych następujących po roku, w którym nastąpiło zdarzenie, od którego zaczyna się bieg terminów określonych w art. 36 i art. 37.</w:t>
      </w:r>
    </w:p>
    <w:p w14:paraId="47126C73" w14:textId="74C070D2" w:rsidR="00915097" w:rsidRDefault="00915097" w:rsidP="00915097">
      <w:pPr>
        <w:pStyle w:val="Akapitzlist"/>
        <w:numPr>
          <w:ilvl w:val="0"/>
          <w:numId w:val="1"/>
        </w:numPr>
      </w:pPr>
      <w:r>
        <w:t>Jeżeli wynagrodzenie twórcy jest określone procentowo od ceny sprzedaży egzemplarzy utworu, a cena ta ulega podwyższeniu, twórcy należy się umówiony procent od egzemplarzy sprzedanych po podwyższonej cenie</w:t>
      </w:r>
    </w:p>
    <w:p w14:paraId="15B52965" w14:textId="4EDB492A" w:rsidR="00915097" w:rsidRDefault="00915097" w:rsidP="00915097">
      <w:pPr>
        <w:pStyle w:val="Akapitzlist"/>
        <w:numPr>
          <w:ilvl w:val="0"/>
          <w:numId w:val="1"/>
        </w:numPr>
      </w:pPr>
      <w:r>
        <w:t>wymagany zakres informacji umieszczanych w ogłoszeniu o konkursie, o którym mowa w art. 351 ust. 2, mając na uwadze, że minimalny zakres tych informacji ma obejmować co najmniej warunki uczestnictwa w konkursie, termin składania ofert i kryteria ich oceny;</w:t>
      </w:r>
    </w:p>
    <w:p w14:paraId="4D92A899" w14:textId="0E3D78B3" w:rsidR="00915097" w:rsidRDefault="00533FAB" w:rsidP="00915097">
      <w:pPr>
        <w:pStyle w:val="Akapitzlist"/>
        <w:numPr>
          <w:ilvl w:val="0"/>
          <w:numId w:val="1"/>
        </w:numPr>
      </w:pPr>
      <w:r>
        <w:t>Jeżeli w umowie nie określono sposobu korzystania z utworu, powinien on być zgodny z charakterem i przeznaczeniem utworu oraz przyjętymi zwyczajami.</w:t>
      </w:r>
    </w:p>
    <w:p w14:paraId="674C2DB6" w14:textId="3F897C40" w:rsidR="00533FAB" w:rsidRDefault="00533FAB" w:rsidP="00915097">
      <w:pPr>
        <w:pStyle w:val="Akapitzlist"/>
        <w:numPr>
          <w:ilvl w:val="0"/>
          <w:numId w:val="1"/>
        </w:numPr>
      </w:pPr>
      <w:r>
        <w:lastRenderedPageBreak/>
        <w:t>w zakresie rozpowszechniania utworu w sposób inny niż określony w pkt 2 – publiczne wykonanie, wystawienie, wyświetlenie, odtworzenie oraz nadawanie i reemitowanie, a także publiczne udostępnianie utworu w taki sposób, aby każdy mógł mieć do niego dostęp w miejscu i w czasie przez siebie wybranym.</w:t>
      </w:r>
    </w:p>
    <w:sectPr w:rsidR="00533FA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6AB07" w14:textId="77777777" w:rsidR="00815443" w:rsidRDefault="00815443" w:rsidP="00915097">
      <w:pPr>
        <w:spacing w:after="0" w:line="240" w:lineRule="auto"/>
      </w:pPr>
      <w:r>
        <w:separator/>
      </w:r>
    </w:p>
  </w:endnote>
  <w:endnote w:type="continuationSeparator" w:id="0">
    <w:p w14:paraId="3CC8C169" w14:textId="77777777" w:rsidR="00815443" w:rsidRDefault="00815443" w:rsidP="0091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733157"/>
      <w:docPartObj>
        <w:docPartGallery w:val="Page Numbers (Bottom of Page)"/>
        <w:docPartUnique/>
      </w:docPartObj>
    </w:sdtPr>
    <w:sdtContent>
      <w:p w14:paraId="6596AD0C" w14:textId="319E475A" w:rsidR="00915097" w:rsidRDefault="00915097">
        <w:pPr>
          <w:pStyle w:val="Stopka"/>
          <w:jc w:val="center"/>
        </w:pPr>
        <w:r>
          <w:fldChar w:fldCharType="begin"/>
        </w:r>
        <w:r>
          <w:instrText>PAGE   \* MERGEFORMAT</w:instrText>
        </w:r>
        <w:r>
          <w:fldChar w:fldCharType="separate"/>
        </w:r>
        <w:r>
          <w:t>2</w:t>
        </w:r>
        <w:r>
          <w:fldChar w:fldCharType="end"/>
        </w:r>
      </w:p>
    </w:sdtContent>
  </w:sdt>
  <w:p w14:paraId="66B5CCB9" w14:textId="77777777" w:rsidR="00915097" w:rsidRDefault="0091509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3E784" w14:textId="77777777" w:rsidR="00815443" w:rsidRDefault="00815443" w:rsidP="00915097">
      <w:pPr>
        <w:spacing w:after="0" w:line="240" w:lineRule="auto"/>
      </w:pPr>
      <w:r>
        <w:separator/>
      </w:r>
    </w:p>
  </w:footnote>
  <w:footnote w:type="continuationSeparator" w:id="0">
    <w:p w14:paraId="5CDB4911" w14:textId="77777777" w:rsidR="00815443" w:rsidRDefault="00815443" w:rsidP="00915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8117F" w14:textId="6E63171F" w:rsidR="00915097" w:rsidRDefault="00915097" w:rsidP="00915097">
    <w:pPr>
      <w:pStyle w:val="Nagwek"/>
      <w:jc w:val="center"/>
    </w:pPr>
    <w:r>
      <w:t xml:space="preserve">Karol </w:t>
    </w:r>
    <w:proofErr w:type="spellStart"/>
    <w:r>
      <w:t>Kęciński</w:t>
    </w:r>
    <w:proofErr w:type="spellEnd"/>
    <w:r>
      <w:t xml:space="preserve"> OWI Gr.5</w:t>
    </w:r>
  </w:p>
  <w:p w14:paraId="6A7AFF0A" w14:textId="31B3D533" w:rsidR="00915097" w:rsidRDefault="00915097" w:rsidP="00915097">
    <w:pPr>
      <w:pStyle w:val="Nagwek"/>
      <w:jc w:val="center"/>
    </w:pPr>
    <w:r>
      <w:t>Odpowiedzi do listy 5-10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46CAC"/>
    <w:multiLevelType w:val="hybridMultilevel"/>
    <w:tmpl w:val="64B292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97"/>
    <w:rsid w:val="001C3ECF"/>
    <w:rsid w:val="00533FAB"/>
    <w:rsid w:val="00815443"/>
    <w:rsid w:val="009150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BB7A"/>
  <w15:chartTrackingRefBased/>
  <w15:docId w15:val="{BA0EA838-9B1E-4E11-82C8-A9DD16FD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1509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15097"/>
  </w:style>
  <w:style w:type="paragraph" w:styleId="Stopka">
    <w:name w:val="footer"/>
    <w:basedOn w:val="Normalny"/>
    <w:link w:val="StopkaZnak"/>
    <w:uiPriority w:val="99"/>
    <w:unhideWhenUsed/>
    <w:rsid w:val="0091509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15097"/>
  </w:style>
  <w:style w:type="paragraph" w:styleId="Akapitzlist">
    <w:name w:val="List Paragraph"/>
    <w:basedOn w:val="Normalny"/>
    <w:uiPriority w:val="34"/>
    <w:qFormat/>
    <w:rsid w:val="0091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529</Words>
  <Characters>3174</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2020-04-24T21:09:00Z</dcterms:created>
  <dcterms:modified xsi:type="dcterms:W3CDTF">2020-04-24T21:21:00Z</dcterms:modified>
</cp:coreProperties>
</file>