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CB63" w14:textId="49740BD1" w:rsidR="00903B48" w:rsidRDefault="00583932" w:rsidP="00583932">
      <w:pPr>
        <w:pStyle w:val="Akapitzlist"/>
        <w:numPr>
          <w:ilvl w:val="0"/>
          <w:numId w:val="1"/>
        </w:numPr>
      </w:pPr>
      <w:r>
        <w:t>Jeżeli umowa nie stanowi inaczej, przejście autorskich praw majątkowych nie powoduje przeniesienia na nabywcę własności egzemplarza utworu.</w:t>
      </w:r>
    </w:p>
    <w:p w14:paraId="03F62CCB" w14:textId="3843AE49" w:rsidR="00583932" w:rsidRDefault="00583932" w:rsidP="00583932">
      <w:pPr>
        <w:pStyle w:val="Akapitzlist"/>
        <w:numPr>
          <w:ilvl w:val="0"/>
          <w:numId w:val="1"/>
        </w:numPr>
      </w:pPr>
      <w:r>
        <w:t>Twórca może odstąpić od umowy lub ją wypowiedzieć ze względu na swoje istotne interesy twórcze.</w:t>
      </w:r>
    </w:p>
    <w:p w14:paraId="1781F173" w14:textId="6D685815" w:rsidR="00583932" w:rsidRDefault="00583932" w:rsidP="00583932">
      <w:pPr>
        <w:pStyle w:val="Akapitzlist"/>
        <w:numPr>
          <w:ilvl w:val="0"/>
          <w:numId w:val="1"/>
        </w:numPr>
      </w:pPr>
      <w:r>
        <w:t>Nieważna jest umowa w części dotyczącej wszystkich utworów lub wszystkich utworów określonego rodzaju tego samego twórcy mających powstać w przyszłości.</w:t>
      </w:r>
    </w:p>
    <w:p w14:paraId="57081A4F" w14:textId="0EB922A7" w:rsidR="00583932" w:rsidRDefault="00583932" w:rsidP="00583932">
      <w:pPr>
        <w:pStyle w:val="Akapitzlist"/>
        <w:numPr>
          <w:ilvl w:val="0"/>
          <w:numId w:val="1"/>
        </w:numPr>
      </w:pPr>
      <w:r>
        <w:t>Umowa o zbiorowe wydanie utworów nie obejmuje prawa publikacji poszczególnych utworów, chyba że postanowiono w niej inaczej.</w:t>
      </w:r>
    </w:p>
    <w:p w14:paraId="6F731018" w14:textId="7C3B0AEF" w:rsidR="00583932" w:rsidRDefault="00583932" w:rsidP="00583932">
      <w:pPr>
        <w:pStyle w:val="Akapitzlist"/>
        <w:numPr>
          <w:ilvl w:val="0"/>
          <w:numId w:val="1"/>
        </w:numPr>
      </w:pPr>
      <w:r>
        <w:t>Jeżeli twórca nie przeprowadzi nadzoru autorskiego w odpowiednim terminie, uważa się, że wyraził zgodę na rozpowszechnianie utworu.</w:t>
      </w:r>
    </w:p>
    <w:p w14:paraId="1D568491" w14:textId="7BBA81F1" w:rsidR="00583932" w:rsidRDefault="00583932" w:rsidP="00583932">
      <w:pPr>
        <w:pStyle w:val="Akapitzlist"/>
        <w:numPr>
          <w:ilvl w:val="0"/>
          <w:numId w:val="1"/>
        </w:numPr>
      </w:pPr>
      <w:r>
        <w:t>Wolno korzystać, zgodnie z ust. 2, także z utworów osieroconych, które nie zostały opublikowane albo nadane, jeżeli za zezwoleniem uprawnionych, którym przysługiwały autorskie prawa majątkowe do tych utworów w zakresie pól eksploatacji wymienionych w ust. 2, utwory te zostały publicznie udostępnione przez jeden z podmiotów wymienionych w ust. 2, o ile można zakładać, że uprawnieni nie sprzeciwiliby się takiemu korzystaniu.</w:t>
      </w:r>
    </w:p>
    <w:p w14:paraId="3D17FCDA" w14:textId="70A49FCC" w:rsidR="00583932" w:rsidRDefault="00583932" w:rsidP="00583932">
      <w:pPr>
        <w:pStyle w:val="Akapitzlist"/>
        <w:numPr>
          <w:ilvl w:val="0"/>
          <w:numId w:val="1"/>
        </w:numPr>
      </w:pPr>
      <w:r>
        <w:t>Jeżeli ustawa lub umowa nie stanowią inaczej, za wykonanie nadzoru autorskiego nie przysługuje twórcy odrębne wynagrodzenie.</w:t>
      </w:r>
    </w:p>
    <w:p w14:paraId="76933F0E" w14:textId="0C37F4E3" w:rsidR="00583932" w:rsidRDefault="00583932" w:rsidP="00583932">
      <w:pPr>
        <w:pStyle w:val="Akapitzlist"/>
        <w:numPr>
          <w:ilvl w:val="0"/>
          <w:numId w:val="1"/>
        </w:numPr>
      </w:pPr>
      <w:r>
        <w:t>Korzystanie z utworów osieroconych na podstawie ust. 2, jest dozwolone w celu realizacji służących interesowi publicznemu statutowych zadań podmiotów wymienionych w ust. 2, w szczególności zachowania, odnawiania i udostępniania w celach kulturalnych i edukacyjnych utworów znajdujących się w ich zbiorach. Podmioty te mogą uzyskiwać przychody z takiego korzystania, o ile zostaną one przeznaczone na pokrycie bezpośrednich kosztów digitalizacji i publicznego udostępniania utworów osieroconych</w:t>
      </w:r>
    </w:p>
    <w:p w14:paraId="59BA5918" w14:textId="1BD18D74" w:rsidR="00583932" w:rsidRDefault="00583932" w:rsidP="00583932">
      <w:pPr>
        <w:pStyle w:val="Akapitzlist"/>
        <w:numPr>
          <w:ilvl w:val="0"/>
          <w:numId w:val="1"/>
        </w:numPr>
      </w:pPr>
      <w:r>
        <w:t>Tworzy się wykaz utworów niedostępnych w obrocie handlowym prowadzony w systemie teleinformatycznym, zwany dalej „wykazem utworów”. Wykaz utworów prowadzi minister właściwy do spraw kultury i ochrony dziedzictwa narodowego.</w:t>
      </w:r>
    </w:p>
    <w:p w14:paraId="512C5E20" w14:textId="08CA3BA8" w:rsidR="00583932" w:rsidRDefault="00583932" w:rsidP="00583932">
      <w:pPr>
        <w:pStyle w:val="Akapitzlist"/>
        <w:numPr>
          <w:ilvl w:val="0"/>
          <w:numId w:val="1"/>
        </w:numPr>
      </w:pPr>
      <w:r>
        <w:t>Jeżeli umowa nie stanowi inaczej, twórca zachowuje wyłączne prawo zezwalania na wykonywanie zależnego prawa autorskiego, mimo że w umowie postanowiono o przeniesieniu całości autorskich praw majątkowych.</w:t>
      </w:r>
    </w:p>
    <w:p w14:paraId="515F5EA4" w14:textId="3D1108B5" w:rsidR="00583932" w:rsidRDefault="00583932" w:rsidP="00583932">
      <w:pPr>
        <w:pStyle w:val="Akapitzlist"/>
        <w:numPr>
          <w:ilvl w:val="0"/>
          <w:numId w:val="1"/>
        </w:numPr>
      </w:pPr>
      <w:r>
        <w:t>w odniesieniu do utworu audiowizualnego – od śmierci najpóźniej zmarłej z wymienionych osób: głównego reżysera, autora scenariusza, autora dialogów, kompozytora muzyki skomponowanej do utworu audiowizualnego;</w:t>
      </w:r>
    </w:p>
    <w:p w14:paraId="5187DB13" w14:textId="7CF6550A" w:rsidR="00583932" w:rsidRDefault="00583932" w:rsidP="00583932">
      <w:pPr>
        <w:pStyle w:val="Akapitzlist"/>
        <w:numPr>
          <w:ilvl w:val="0"/>
          <w:numId w:val="1"/>
        </w:numPr>
      </w:pPr>
      <w:r>
        <w:t>Staranne poszukiwania przeprowadza się w państwie członkowskim Unii Europejskiej lub państwie członkowskim Europejskiego Porozumienia o Wolnym Handlu (EFTA) – stronie umowy o Europejskim Obszarze Gospodarczym, w którym utwór został po raz pierwszy opublikowany, a w przypadku braku publikacji – nadany po raz pierwszy</w:t>
      </w:r>
    </w:p>
    <w:p w14:paraId="11296808" w14:textId="06B5F1CF" w:rsidR="00583932" w:rsidRDefault="00583932" w:rsidP="00583932">
      <w:pPr>
        <w:pStyle w:val="Akapitzlist"/>
        <w:numPr>
          <w:ilvl w:val="0"/>
          <w:numId w:val="1"/>
        </w:numPr>
      </w:pPr>
      <w:r>
        <w:t>Organizację zbiorowego zarządzania, o której mowa w ust. 1, minister właściwy do spraw kultury i ochrony dziedzictwa narodowego wyznacza na okres nie dłuższy niż pięć lat</w:t>
      </w:r>
    </w:p>
    <w:p w14:paraId="0D0A339F" w14:textId="1F0202A1" w:rsidR="00583932" w:rsidRDefault="00583932" w:rsidP="00583932">
      <w:pPr>
        <w:pStyle w:val="Akapitzlist"/>
        <w:numPr>
          <w:ilvl w:val="0"/>
          <w:numId w:val="1"/>
        </w:numPr>
      </w:pPr>
      <w:r>
        <w:t>Organizacja zbiorowego zarządzania prawami autorskimi biorąca udział w konkursie, o którym mowa w ust. 2, może złożyć do ministra właściwego do spraw kultury i ochrony dziedzictwa narodowego, w terminie 7 dni od dnia ogłoszenia wyniku tego konkursu, odwołanie od jego wyniku ze względu na naruszenie przepisów prawa.</w:t>
      </w:r>
    </w:p>
    <w:p w14:paraId="2B2BAB90" w14:textId="3101E7C2" w:rsidR="00583932" w:rsidRDefault="00583932" w:rsidP="00583932">
      <w:pPr>
        <w:pStyle w:val="Akapitzlist"/>
        <w:numPr>
          <w:ilvl w:val="0"/>
          <w:numId w:val="1"/>
        </w:numPr>
      </w:pPr>
      <w:r>
        <w:t>Wpisu do wykazu utworów dokonuje się na wniosek organizacji zbiorowego zarządzania, o której mowa w art. 3510 ust. 2. Niezwłocznie po otrzymaniu sprzeciwu, o którym mowa w art. 3510 ust. 3, albo oświadczenia, o którym mowa w art. 3510 ust. 4, organizacja zbiorowego zarządzania, o której mowa w art. 3510 ust. 2, składa wniosek o zamieszczenie w wykazie utworów informacji w tym zakresie.</w:t>
      </w:r>
    </w:p>
    <w:sectPr w:rsidR="0058393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AC261" w14:textId="77777777" w:rsidR="00347D19" w:rsidRDefault="00347D19" w:rsidP="00583932">
      <w:pPr>
        <w:spacing w:after="0" w:line="240" w:lineRule="auto"/>
      </w:pPr>
      <w:r>
        <w:separator/>
      </w:r>
    </w:p>
  </w:endnote>
  <w:endnote w:type="continuationSeparator" w:id="0">
    <w:p w14:paraId="0EBE35D2" w14:textId="77777777" w:rsidR="00347D19" w:rsidRDefault="00347D19" w:rsidP="0058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9138273"/>
      <w:docPartObj>
        <w:docPartGallery w:val="Page Numbers (Bottom of Page)"/>
        <w:docPartUnique/>
      </w:docPartObj>
    </w:sdtPr>
    <w:sdtContent>
      <w:p w14:paraId="7423AB62" w14:textId="268953CB" w:rsidR="00583932" w:rsidRDefault="0058393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3A77A" w14:textId="77777777" w:rsidR="00583932" w:rsidRDefault="0058393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4457" w14:textId="77777777" w:rsidR="00347D19" w:rsidRDefault="00347D19" w:rsidP="00583932">
      <w:pPr>
        <w:spacing w:after="0" w:line="240" w:lineRule="auto"/>
      </w:pPr>
      <w:r>
        <w:separator/>
      </w:r>
    </w:p>
  </w:footnote>
  <w:footnote w:type="continuationSeparator" w:id="0">
    <w:p w14:paraId="7AAC12C8" w14:textId="77777777" w:rsidR="00347D19" w:rsidRDefault="00347D19" w:rsidP="0058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1462C" w14:textId="0677BAE0" w:rsidR="00583932" w:rsidRDefault="00583932" w:rsidP="00583932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3A48CF49" w14:textId="5F174190" w:rsidR="00583932" w:rsidRDefault="00583932" w:rsidP="00583932">
    <w:pPr>
      <w:pStyle w:val="Nagwek"/>
      <w:jc w:val="center"/>
    </w:pPr>
    <w:r>
      <w:t>Odpowiedzi do listy 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24664"/>
    <w:multiLevelType w:val="hybridMultilevel"/>
    <w:tmpl w:val="46524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32"/>
    <w:rsid w:val="00347D19"/>
    <w:rsid w:val="00583932"/>
    <w:rsid w:val="0090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00BF"/>
  <w15:chartTrackingRefBased/>
  <w15:docId w15:val="{E7969033-0A15-4F11-B8CF-63999E58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83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3932"/>
  </w:style>
  <w:style w:type="paragraph" w:styleId="Stopka">
    <w:name w:val="footer"/>
    <w:basedOn w:val="Normalny"/>
    <w:link w:val="StopkaZnak"/>
    <w:uiPriority w:val="99"/>
    <w:unhideWhenUsed/>
    <w:rsid w:val="00583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3932"/>
  </w:style>
  <w:style w:type="paragraph" w:styleId="Akapitzlist">
    <w:name w:val="List Paragraph"/>
    <w:basedOn w:val="Normalny"/>
    <w:uiPriority w:val="34"/>
    <w:qFormat/>
    <w:rsid w:val="0058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503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2020-04-24T21:22:00Z</dcterms:created>
  <dcterms:modified xsi:type="dcterms:W3CDTF">2020-04-24T21:31:00Z</dcterms:modified>
</cp:coreProperties>
</file>