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540C7" w14:textId="404E4946" w:rsidR="00FA548B" w:rsidRP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Jeżeli ustawa nie stanowi inaczej</w:t>
      </w:r>
      <w:r>
        <w:rPr>
          <w:sz w:val="24"/>
          <w:szCs w:val="24"/>
        </w:rPr>
        <w:t>, a</w:t>
      </w:r>
      <w:r w:rsidRPr="00FA548B">
        <w:rPr>
          <w:sz w:val="24"/>
          <w:szCs w:val="24"/>
        </w:rPr>
        <w:t>utorskie prawa majątkowe mogą przejść na inne osoby w drodze dziedziczenia lub na podstawie umowy.</w:t>
      </w:r>
    </w:p>
    <w:p w14:paraId="5862F067" w14:textId="36387142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Liczy się w</w:t>
      </w:r>
      <w:r>
        <w:rPr>
          <w:sz w:val="24"/>
          <w:szCs w:val="24"/>
        </w:rPr>
        <w:t xml:space="preserve"> latach.</w:t>
      </w:r>
    </w:p>
    <w:p w14:paraId="66AD7EA6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Następca prawny, choćby nabył całość autorskich praw majątkowych, nie może, bez zgody twórcy, czynić zmian w utworze, chyba że są one spowodowane oczywistą koniecznością, a twórca nie miałby słusznej podstawy im się sprzeciwić. Dotyczy to odpowiednio utworów, których czas ochrony autorskich praw majątkowych upłynął.</w:t>
      </w:r>
    </w:p>
    <w:p w14:paraId="28E0A157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Następca prawny, choćby nabył całość autorskich praw majątkowych, nie może, bez zgody twórcy, czynić zmian w utworze, chyba że są one spowodowane oczywistą koniecznością, a twórca nie miałby słusznej podstawy im się sprzeciwić. Dotyczy to odpowiednio utworów, których czas ochrony autorskich praw majątkowych upłynął.</w:t>
      </w:r>
    </w:p>
    <w:p w14:paraId="4C9A43D2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Wynagrodzenie za użyczanie nie przysługuje podmiotowi, o którym mowa w art. 28 ust. 5, w danym roku kalendarzowym, jeżeli po dokonaniu podziału kwoty, o której mowa w art. 353 ust. 2, wysokość sumy należnego mu wynagrodzenia za użyczanie przez biblioteki publiczne egzemplarzy wszystkich jego utworów jest niższa niż jedna dwusetna przeciętnego miesięcznego wynagrodzenia, o którym mowa w ust. 6.</w:t>
      </w:r>
    </w:p>
    <w:p w14:paraId="5528B87D" w14:textId="05139C46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artykule</w:t>
      </w:r>
      <w:r>
        <w:rPr>
          <w:sz w:val="24"/>
          <w:szCs w:val="24"/>
        </w:rPr>
        <w:t xml:space="preserve"> nr</w:t>
      </w:r>
      <w:r>
        <w:rPr>
          <w:sz w:val="24"/>
          <w:szCs w:val="24"/>
        </w:rPr>
        <w:t xml:space="preserve"> 50.</w:t>
      </w:r>
    </w:p>
    <w:p w14:paraId="163A6E27" w14:textId="2B1D0712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 artykule </w:t>
      </w:r>
      <w:r>
        <w:rPr>
          <w:sz w:val="24"/>
          <w:szCs w:val="24"/>
        </w:rPr>
        <w:t xml:space="preserve">nr </w:t>
      </w:r>
      <w:r>
        <w:rPr>
          <w:sz w:val="24"/>
          <w:szCs w:val="24"/>
        </w:rPr>
        <w:t>50.</w:t>
      </w:r>
    </w:p>
    <w:p w14:paraId="5AA0805E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odniesieniu do utworu słowno-muzycznego, jeżeli utwór słowny i utwór muzyczny zostały stworzone specjalnie dla danego utworu słowno-muzycznego – od śmierci później zmarłej z wymienionych osób: autora utworu słownego albo kompozytora utworu muzycznego.</w:t>
      </w:r>
    </w:p>
    <w:p w14:paraId="5A698ACF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Odwołanie, o którym mowa w ust. 4, minister właściwy do spraw kultury i ochrony dziedzictwa narodowego rozpatruje w terminie 14 dni od dnia jego wpływu. W przypadku uwzględnienia odwołania minister właściwy do spraw kultury i ochrony dziedzictwa narodowego unieważnia konkurs, o którym mowa w ust. 1.</w:t>
      </w:r>
    </w:p>
    <w:p w14:paraId="1DFF2049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Jeżeli w ciągu dwóch lat od odstąpienia lub wypowiedzenia, o którym mowa w ust. 1, twórca zamierza przystąpić do korzystania z utworu, ma obowiązek zaoferować to korzystanie nabywcy lub licencjobiorcy, wyznaczając mu w tym celu odpowiedni termin.</w:t>
      </w:r>
    </w:p>
    <w:p w14:paraId="5F865860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Twórca jest obowiązany dostarczyć utwór w terminie określonym w umowie, a jeżeli termin nie został oznaczony – niezwłocznie po ukończeniu utworu.</w:t>
      </w:r>
    </w:p>
    <w:p w14:paraId="3FF93C22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Nieważna jest umowa w części dotyczącej wszystkich utworów lub wszystkich utworów określonego rodzaju tego samego twórcy mających powstać w przyszłości.</w:t>
      </w:r>
    </w:p>
    <w:p w14:paraId="5784B559" w14:textId="10D5FFE5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Art.</w:t>
      </w:r>
      <w:r>
        <w:rPr>
          <w:sz w:val="24"/>
          <w:szCs w:val="24"/>
        </w:rPr>
        <w:t xml:space="preserve"> 35 z indeksem</w:t>
      </w:r>
      <w:r>
        <w:rPr>
          <w:sz w:val="24"/>
          <w:szCs w:val="24"/>
        </w:rPr>
        <w:t xml:space="preserve"> górnym</w:t>
      </w:r>
      <w:r>
        <w:rPr>
          <w:sz w:val="24"/>
          <w:szCs w:val="24"/>
        </w:rPr>
        <w:t xml:space="preserve"> 1 ust. 2.</w:t>
      </w:r>
    </w:p>
    <w:p w14:paraId="192DFEBC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 śmierci współtwórcy, który przeżył pozostałych.</w:t>
      </w:r>
    </w:p>
    <w:p w14:paraId="14923F40" w14:textId="77777777" w:rsidR="00FA548B" w:rsidRDefault="00FA548B" w:rsidP="00FA548B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odniesieniu do utworu, którego twórca nie jest znany – od daty pierwszego rozpowszechnienia, chyba że pseudonim nie pozostawia wątpliwości co do tożsamości autora lub jeżeli autor ujawnił swoją tożsamość.</w:t>
      </w:r>
    </w:p>
    <w:p w14:paraId="7C0C2055" w14:textId="77777777" w:rsidR="00F40E6A" w:rsidRDefault="00512C4B"/>
    <w:sectPr w:rsidR="00F40E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4EBDA" w14:textId="77777777" w:rsidR="00512C4B" w:rsidRDefault="00512C4B" w:rsidP="00927220">
      <w:pPr>
        <w:spacing w:after="0" w:line="240" w:lineRule="auto"/>
      </w:pPr>
      <w:r>
        <w:separator/>
      </w:r>
    </w:p>
  </w:endnote>
  <w:endnote w:type="continuationSeparator" w:id="0">
    <w:p w14:paraId="07BC8EFB" w14:textId="77777777" w:rsidR="00512C4B" w:rsidRDefault="00512C4B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3CB0F" w14:textId="77777777" w:rsidR="009E1B34" w:rsidRDefault="009E1B3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EndPr/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2221C" w14:textId="77777777" w:rsidR="009E1B34" w:rsidRDefault="009E1B3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7C32C" w14:textId="77777777" w:rsidR="00512C4B" w:rsidRDefault="00512C4B" w:rsidP="00927220">
      <w:pPr>
        <w:spacing w:after="0" w:line="240" w:lineRule="auto"/>
      </w:pPr>
      <w:r>
        <w:separator/>
      </w:r>
    </w:p>
  </w:footnote>
  <w:footnote w:type="continuationSeparator" w:id="0">
    <w:p w14:paraId="2F4D7D7B" w14:textId="77777777" w:rsidR="00512C4B" w:rsidRDefault="00512C4B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D6BF7" w14:textId="77777777" w:rsidR="009E1B34" w:rsidRDefault="009E1B3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5C039331" w:rsidR="00927220" w:rsidRDefault="00927220" w:rsidP="00927220">
    <w:pPr>
      <w:pStyle w:val="Nagwek"/>
      <w:jc w:val="center"/>
    </w:pPr>
    <w:r>
      <w:t>Karol Kęciński OWI Gr 5</w:t>
    </w:r>
  </w:p>
  <w:p w14:paraId="1032A4EE" w14:textId="4C3D86AB" w:rsidR="009E1B34" w:rsidRDefault="009E1B34" w:rsidP="00927220">
    <w:pPr>
      <w:pStyle w:val="Nagwek"/>
      <w:jc w:val="center"/>
    </w:pPr>
    <w:r>
      <w:t>Odpowiedzi do listy 5-13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BB572" w14:textId="77777777" w:rsidR="009E1B34" w:rsidRDefault="009E1B3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4A10"/>
    <w:multiLevelType w:val="hybridMultilevel"/>
    <w:tmpl w:val="360CB7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2F4866"/>
    <w:rsid w:val="00512C4B"/>
    <w:rsid w:val="007D3382"/>
    <w:rsid w:val="00927220"/>
    <w:rsid w:val="009E1B34"/>
    <w:rsid w:val="00AA4A54"/>
    <w:rsid w:val="00BF178C"/>
    <w:rsid w:val="00DD4B29"/>
    <w:rsid w:val="00F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548B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FA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653B8-7461-43E9-BB7E-2AE1C099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2020-05-15T08:19:00Z</dcterms:created>
  <dcterms:modified xsi:type="dcterms:W3CDTF">2020-05-15T14:35:00Z</dcterms:modified>
</cp:coreProperties>
</file>