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2055" w14:textId="00E6C238" w:rsidR="00F40E6A" w:rsidRDefault="001E3169" w:rsidP="001E3169">
      <w:pPr>
        <w:pStyle w:val="Akapitzlist"/>
        <w:numPr>
          <w:ilvl w:val="0"/>
          <w:numId w:val="1"/>
        </w:numPr>
      </w:pPr>
      <w:r>
        <w:t>Jeżeli w umowie nie określono sposobu korzystania z utworu, powinien on być zgodny z charakterem i przeznaczeniem utworu oraz przyjętymi zwyczajami.</w:t>
      </w:r>
    </w:p>
    <w:p w14:paraId="2FB595B8" w14:textId="1AED4C1F" w:rsidR="001E3169" w:rsidRDefault="001E3169" w:rsidP="001E3169">
      <w:pPr>
        <w:pStyle w:val="Akapitzlist"/>
        <w:numPr>
          <w:ilvl w:val="0"/>
          <w:numId w:val="1"/>
        </w:numPr>
      </w:pPr>
      <w:r>
        <w:t>P</w:t>
      </w:r>
      <w:r>
        <w:t xml:space="preserve">ubliczne udostępnianie utworu </w:t>
      </w:r>
      <w:r>
        <w:t xml:space="preserve">musi się odbywać </w:t>
      </w:r>
      <w:r>
        <w:t>w taki sposób, aby każdy mógł mieć do niego dostęp w miejscu i w czasie przez siebie wybranym.</w:t>
      </w:r>
    </w:p>
    <w:p w14:paraId="1C8E05C0" w14:textId="70FBE918" w:rsidR="001E3169" w:rsidRDefault="001E3169" w:rsidP="001E3169">
      <w:pPr>
        <w:pStyle w:val="Akapitzlist"/>
        <w:numPr>
          <w:ilvl w:val="0"/>
          <w:numId w:val="1"/>
        </w:numPr>
      </w:pPr>
      <w:r>
        <w:t>O</w:t>
      </w:r>
      <w:r>
        <w:t>d daty rozpowszechnienia utworu, a gdy utwór nie został rozpowszechniony – od daty jego ustalenia</w:t>
      </w:r>
      <w:r>
        <w:t>.</w:t>
      </w:r>
    </w:p>
    <w:p w14:paraId="0B2A26EC" w14:textId="2A041936" w:rsidR="001E3169" w:rsidRDefault="001E3169" w:rsidP="001E3169">
      <w:pPr>
        <w:pStyle w:val="Akapitzlist"/>
        <w:numPr>
          <w:ilvl w:val="0"/>
          <w:numId w:val="1"/>
        </w:numPr>
      </w:pPr>
      <w:r>
        <w:t>Po upływie 70 lat od śmierci autora.</w:t>
      </w:r>
    </w:p>
    <w:p w14:paraId="7A47F6CB" w14:textId="02C63A5C" w:rsidR="001E3169" w:rsidRDefault="001E3169" w:rsidP="001E3169">
      <w:pPr>
        <w:pStyle w:val="Akapitzlist"/>
        <w:numPr>
          <w:ilvl w:val="0"/>
          <w:numId w:val="1"/>
        </w:numPr>
      </w:pPr>
      <w:r>
        <w:t>Jeżeli zamawiający nie zawiadomi twórcy w terminie sześciu miesięcy od dostarczenia utworu o jego przyjęciu, nieprzyjęciu lub uzależnieniu przyjęcia od dokonania określonych zmian w wyznaczonym w tym celu odpowiednim terminie, uważa się, że utwór został przyjęty bez zastrzeżeń. Strony mogą określić inny termin.</w:t>
      </w:r>
    </w:p>
    <w:p w14:paraId="09B9877C" w14:textId="5625458A" w:rsidR="001E3169" w:rsidRDefault="001E3169" w:rsidP="001E3169">
      <w:pPr>
        <w:pStyle w:val="Akapitzlist"/>
        <w:numPr>
          <w:ilvl w:val="0"/>
          <w:numId w:val="1"/>
        </w:numPr>
      </w:pPr>
      <w:r>
        <w:t>Po</w:t>
      </w:r>
      <w:r>
        <w:t xml:space="preserve"> śmierci współtwórcy, który przeżył pozostałych</w:t>
      </w:r>
      <w:r>
        <w:t>.</w:t>
      </w:r>
    </w:p>
    <w:p w14:paraId="6EE9B272" w14:textId="372F6A17" w:rsidR="001E3169" w:rsidRDefault="001E3169" w:rsidP="001E3169">
      <w:pPr>
        <w:pStyle w:val="Akapitzlist"/>
        <w:numPr>
          <w:ilvl w:val="0"/>
          <w:numId w:val="1"/>
        </w:numPr>
      </w:pPr>
      <w:r>
        <w:t>Wynagrodzenie za użyczanie przysługuje po złożeniu przez podmiot, o którym mowa w art. 28 ust. 5, pisemnego oświadczenia o woli otrzymywania wynagrodzenia za użyczanie</w:t>
      </w:r>
      <w:r>
        <w:t>.</w:t>
      </w:r>
    </w:p>
    <w:p w14:paraId="3105B95E" w14:textId="71387F91" w:rsidR="001E3169" w:rsidRDefault="001E3169" w:rsidP="001E3169">
      <w:pPr>
        <w:pStyle w:val="Akapitzlist"/>
        <w:numPr>
          <w:ilvl w:val="0"/>
          <w:numId w:val="1"/>
        </w:numPr>
      </w:pPr>
      <w:r>
        <w:t>Minister właściwy do spraw kultury i ochrony dziedzictwa narodowego może w drodze konkursu, o którym mowa w ust. 1, wyznaczyć więcej niż jedną organizację zbiorowego zarządzania prawami autorskimi, o ile będą one działać łącznie.</w:t>
      </w:r>
    </w:p>
    <w:p w14:paraId="1F82C887" w14:textId="73CCC18F" w:rsidR="001E3169" w:rsidRDefault="001E3169" w:rsidP="001E3169">
      <w:pPr>
        <w:pStyle w:val="Akapitzlist"/>
        <w:numPr>
          <w:ilvl w:val="0"/>
          <w:numId w:val="1"/>
        </w:numPr>
      </w:pPr>
      <w:r>
        <w:t>Zmarłej najpóźniej ze współtwórców.</w:t>
      </w:r>
    </w:p>
    <w:p w14:paraId="112A7427" w14:textId="2622B529" w:rsidR="001E3169" w:rsidRDefault="001E3169" w:rsidP="001E3169">
      <w:pPr>
        <w:pStyle w:val="Akapitzlist"/>
        <w:numPr>
          <w:ilvl w:val="0"/>
          <w:numId w:val="1"/>
        </w:numPr>
      </w:pPr>
      <w:r>
        <w:t>O</w:t>
      </w:r>
      <w:r>
        <w:t>d śmierci później zmarłej z wymienionych osób: autora utworu słownego albo kompozytora utworu muzycznego.</w:t>
      </w:r>
    </w:p>
    <w:p w14:paraId="1C8CBE50" w14:textId="7F2DC7D3" w:rsidR="001E3169" w:rsidRDefault="001E3169" w:rsidP="001E3169">
      <w:pPr>
        <w:pStyle w:val="Akapitzlist"/>
        <w:numPr>
          <w:ilvl w:val="0"/>
          <w:numId w:val="1"/>
        </w:numPr>
      </w:pPr>
      <w:r>
        <w:t>Jednostronne obniżenie ceny sprzedaży egzemplarzy przed upływem roku od przystąpienia do rozpowszechniania utworu nie wpływa na wysokość wynagrodzenia. Strony mogą przedłużyć ten termin.</w:t>
      </w:r>
    </w:p>
    <w:p w14:paraId="1A57F4A6" w14:textId="51C81687" w:rsidR="001E3169" w:rsidRDefault="001E3169" w:rsidP="001E3169">
      <w:pPr>
        <w:pStyle w:val="Akapitzlist"/>
        <w:numPr>
          <w:ilvl w:val="0"/>
          <w:numId w:val="1"/>
        </w:numPr>
      </w:pPr>
      <w:r>
        <w:t>Wysokość wynagrodzenia za użyczanie należnego w danym roku kalendarzowym poszczególnym podmiotom, o których mowa w art. 28 ust. 5, jest określana przez organizację zbiorowego zarządzania, o której mowa w art. 351 ust. 1, proporcjonalnie do liczby użyczeń egzemplarzy utworów tych podmiotów przez biblioteki publiczne w roku poprzednim, oraz w oparciu o oświadczenia złożone przez te podmioty w terminie do dnia 31 sierpnia danego roku kalendarzowego i latach poprzednich</w:t>
      </w:r>
      <w:r>
        <w:t>.</w:t>
      </w:r>
    </w:p>
    <w:p w14:paraId="0415180E" w14:textId="5F3B8CF4" w:rsidR="001E3169" w:rsidRDefault="001E3169" w:rsidP="001E3169">
      <w:pPr>
        <w:pStyle w:val="Akapitzlist"/>
        <w:numPr>
          <w:ilvl w:val="0"/>
          <w:numId w:val="1"/>
        </w:numPr>
      </w:pPr>
      <w:r>
        <w:t>Sprawowanie nadzoru autorskiego nad utworami architektonicznymi i architektoniczno-urbanistycznymi regulują odrębne przepisy</w:t>
      </w:r>
    </w:p>
    <w:p w14:paraId="0A9B5EE9" w14:textId="20B5FA05" w:rsidR="001E3169" w:rsidRDefault="001E3169" w:rsidP="001E3169">
      <w:pPr>
        <w:pStyle w:val="Akapitzlist"/>
        <w:numPr>
          <w:ilvl w:val="0"/>
          <w:numId w:val="1"/>
        </w:numPr>
      </w:pPr>
      <w:r>
        <w:t>W</w:t>
      </w:r>
      <w:r>
        <w:t>obec utworów, które zostały wpisane jako utwory osierocone do bazy danych, o której mowa w art. 357 ust. 1</w:t>
      </w:r>
    </w:p>
    <w:p w14:paraId="00456750" w14:textId="349D6786" w:rsidR="001E3169" w:rsidRDefault="001E3169" w:rsidP="001E3169">
      <w:pPr>
        <w:pStyle w:val="Akapitzlist"/>
        <w:numPr>
          <w:ilvl w:val="0"/>
          <w:numId w:val="1"/>
        </w:numPr>
      </w:pPr>
      <w:r>
        <w:t>Twórcy utworu plastycznego przysługuje prawo do sprawowania odpłatnego nadzoru autorskiego.</w:t>
      </w:r>
    </w:p>
    <w:sectPr w:rsidR="001E316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1C93E" w14:textId="77777777" w:rsidR="00C63427" w:rsidRDefault="00C63427" w:rsidP="00927220">
      <w:pPr>
        <w:spacing w:after="0" w:line="240" w:lineRule="auto"/>
      </w:pPr>
      <w:r>
        <w:separator/>
      </w:r>
    </w:p>
  </w:endnote>
  <w:endnote w:type="continuationSeparator" w:id="0">
    <w:p w14:paraId="68966F90" w14:textId="77777777" w:rsidR="00C63427" w:rsidRDefault="00C63427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EndPr/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2C802" w14:textId="77777777" w:rsidR="00C63427" w:rsidRDefault="00C63427" w:rsidP="00927220">
      <w:pPr>
        <w:spacing w:after="0" w:line="240" w:lineRule="auto"/>
      </w:pPr>
      <w:r>
        <w:separator/>
      </w:r>
    </w:p>
  </w:footnote>
  <w:footnote w:type="continuationSeparator" w:id="0">
    <w:p w14:paraId="67FFA5C4" w14:textId="77777777" w:rsidR="00C63427" w:rsidRDefault="00C63427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5E96BC65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57C65B69" w14:textId="719FFCBD" w:rsidR="008B0822" w:rsidRDefault="008B0822" w:rsidP="00927220">
    <w:pPr>
      <w:pStyle w:val="Nagwek"/>
      <w:jc w:val="center"/>
    </w:pPr>
    <w:r>
      <w:t>Odpowiedzi do Lity 5-14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5183D"/>
    <w:multiLevelType w:val="hybridMultilevel"/>
    <w:tmpl w:val="6324F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1E3169"/>
    <w:rsid w:val="002F4866"/>
    <w:rsid w:val="007D3382"/>
    <w:rsid w:val="008B0822"/>
    <w:rsid w:val="00927220"/>
    <w:rsid w:val="00AA4A54"/>
    <w:rsid w:val="00BF178C"/>
    <w:rsid w:val="00C63427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1E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8C89F-4830-46AC-A46F-FABA32928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2020-05-16T10:20:00Z</dcterms:created>
  <dcterms:modified xsi:type="dcterms:W3CDTF">2020-05-16T10:20:00Z</dcterms:modified>
</cp:coreProperties>
</file>