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C89223" w14:textId="504B2F66" w:rsidR="001F5197" w:rsidRDefault="00DD7F13" w:rsidP="00DD7F13">
      <w:pPr>
        <w:pStyle w:val="Akapitzlist"/>
        <w:numPr>
          <w:ilvl w:val="0"/>
          <w:numId w:val="2"/>
        </w:numPr>
      </w:pPr>
      <w:r>
        <w:t>Orzekając, sąd uwzględnia wagę naruszenia oraz interesy osób trzecich.</w:t>
      </w:r>
    </w:p>
    <w:p w14:paraId="6F662A6D" w14:textId="705C789E" w:rsidR="00DD7F13" w:rsidRDefault="00DD7F13" w:rsidP="00DD7F13">
      <w:pPr>
        <w:pStyle w:val="Akapitzlist"/>
        <w:numPr>
          <w:ilvl w:val="0"/>
          <w:numId w:val="2"/>
        </w:numPr>
      </w:pPr>
      <w:r>
        <w:t>Autorskie prawa majątkowe do programu komputerowego, z zastrzeżeniem przepisów art. 75 ust. 2 i 3, obejmują prawo do: 1) trwałego lub czasowego zwielokrotnienia programu komputerowego w całości lub w części jakimikolwiek środkami i w jakiejkolwiek formie; w zakresie, w którym dla wprowadzania, wyświetlania, stosowania, przekazywania i przechowywania programu komputerowego niezbędne jest jego zwielokrotnienie, czynności te wymagają zgody uprawnionego; 2) tłumaczenia, przystosowywania, zmiany układu lub jakichkolwiek innych zmian w programie komputerowym, z zachowaniem praw osoby, która tych zmian dokonała; 3) rozpowszechniania, w tym użyczenia lub najmu, programu komputerowego lub jego kopii.</w:t>
      </w:r>
    </w:p>
    <w:p w14:paraId="268C3F62" w14:textId="1C2C4315" w:rsidR="00DD7F13" w:rsidRDefault="00DD7F13" w:rsidP="00DD7F13">
      <w:pPr>
        <w:pStyle w:val="Akapitzlist"/>
        <w:numPr>
          <w:ilvl w:val="0"/>
          <w:numId w:val="2"/>
        </w:numPr>
      </w:pPr>
      <w:r>
        <w:t>Sąd może nakazać osobie, która naruszyła autorskie prawa majątkowe, na jej wniosek i za zgodą uprawnionego, w przypadku gdy naruszenie jest niezawinione, zapłatę stosownej sumy pieniężnej na rzecz uprawnionego, jeżeli zaniechanie naruszania lub usunięcie skutków naruszenia byłoby dla osoby naruszającej niewspółmiernie dotkliwe.</w:t>
      </w:r>
    </w:p>
    <w:p w14:paraId="691632A6" w14:textId="1840791F" w:rsidR="00DD7F13" w:rsidRDefault="00DD7F13" w:rsidP="00DD7F13">
      <w:pPr>
        <w:pStyle w:val="Akapitzlist"/>
        <w:numPr>
          <w:ilvl w:val="0"/>
          <w:numId w:val="2"/>
        </w:numPr>
      </w:pPr>
      <w:r>
        <w:t>Jeżeli publiczne udostępnienie utworu następuje w nieodpowiedniej formie albo ze zmianami, którym twórca mógłby słusznie się sprzeciwić, może on po bezskutecznym wezwaniu do zaniechania naruszenia odstąpić od umowy lub ją wypowiedzieć. Twórcy przysługuje prawo do wynagrodzenia określonego umową.</w:t>
      </w:r>
    </w:p>
    <w:p w14:paraId="7C736509" w14:textId="2756E865" w:rsidR="00DD7F13" w:rsidRDefault="00DD7F13" w:rsidP="00DD7F13">
      <w:pPr>
        <w:pStyle w:val="Akapitzlist"/>
        <w:numPr>
          <w:ilvl w:val="0"/>
          <w:numId w:val="2"/>
        </w:numPr>
      </w:pPr>
      <w:r>
        <w:t>Domniemywa się, że producent utworu audiowizualnego nabywa na mocy umowy o stworzenie utworu albo umowy o wykorzystanie już istniejącego utworu wyłączne prawa majątkowe do eksploatacji tych utworów w ramach utworu audiowizualnego jako całości.</w:t>
      </w:r>
    </w:p>
    <w:p w14:paraId="4C1E3159" w14:textId="05845CEC" w:rsidR="00DD7F13" w:rsidRDefault="00DD7F13" w:rsidP="00DD7F13">
      <w:pPr>
        <w:pStyle w:val="Akapitzlist"/>
        <w:numPr>
          <w:ilvl w:val="0"/>
          <w:numId w:val="2"/>
        </w:numPr>
      </w:pPr>
      <w:r>
        <w:t>Ochrona przyznana programowi komputerowemu obejmuje wszystkie formy jego wyrażenia. Idee i zasady będące podstawą jakiegokolwiek elementu programu komputerowego, w tym podstawą łączy, nie podlegają ochronie.</w:t>
      </w:r>
    </w:p>
    <w:p w14:paraId="41ED6BAD" w14:textId="7552DCBF" w:rsidR="00DD7F13" w:rsidRDefault="00DD7F13" w:rsidP="00DD7F13">
      <w:pPr>
        <w:pStyle w:val="Akapitzlist"/>
        <w:numPr>
          <w:ilvl w:val="0"/>
          <w:numId w:val="2"/>
        </w:numPr>
      </w:pPr>
      <w:r>
        <w:t>Umowa zobowiązująca do przeniesienia autorskich praw majątkowych przenosi na nabywcę, z chwilą przyjęcia utworu, prawo do wyłącznego korzystania z utworu na określonym w umowie polu eksploatacji, chyba że postanowiono w niej inaczej.</w:t>
      </w:r>
    </w:p>
    <w:p w14:paraId="06EB914A" w14:textId="2AE50DA4" w:rsidR="00DD7F13" w:rsidRDefault="0038550E" w:rsidP="00DD7F13">
      <w:pPr>
        <w:pStyle w:val="Akapitzlist"/>
        <w:numPr>
          <w:ilvl w:val="0"/>
          <w:numId w:val="2"/>
        </w:numPr>
      </w:pPr>
      <w:r>
        <w:t>Po upływie terminu, o którym mowa w ust. 1, prawo uzyskane na podstawie umowy licencyjnej wygasa.</w:t>
      </w:r>
    </w:p>
    <w:p w14:paraId="30491A35" w14:textId="11E85F20" w:rsidR="0038550E" w:rsidRDefault="0038550E" w:rsidP="00DD7F13">
      <w:pPr>
        <w:pStyle w:val="Akapitzlist"/>
        <w:numPr>
          <w:ilvl w:val="0"/>
          <w:numId w:val="2"/>
        </w:numPr>
      </w:pPr>
      <w:r>
        <w:t>Twórca utworu zamówionego do utworu audiowizualnego może, po upływie pięciu lat od przyjęcia zamówionego utworu, zezwolić na rozpowszechnianie tego utworu w innym utworze audiowizualnym, jeżeli w tym terminie nie doszło do rozpowszechnienia utworu audiowizualnego z jego utworem. Strony mogą skrócić ten termin</w:t>
      </w:r>
      <w:r>
        <w:t>.</w:t>
      </w:r>
    </w:p>
    <w:p w14:paraId="1A960D31" w14:textId="274B2A48" w:rsidR="0038550E" w:rsidRDefault="0038550E" w:rsidP="00DD7F13">
      <w:pPr>
        <w:pStyle w:val="Akapitzlist"/>
        <w:numPr>
          <w:ilvl w:val="0"/>
          <w:numId w:val="2"/>
        </w:numPr>
      </w:pPr>
      <w:r>
        <w:t>W braku wyraźnego postanowienia o przeniesieniu prawa, uważa się, że twórca udzielił licencji.</w:t>
      </w:r>
    </w:p>
    <w:p w14:paraId="09A1DBF5" w14:textId="2D6FEA63" w:rsidR="0038550E" w:rsidRDefault="0038550E" w:rsidP="00DD7F13">
      <w:pPr>
        <w:pStyle w:val="Akapitzlist"/>
        <w:numPr>
          <w:ilvl w:val="0"/>
          <w:numId w:val="2"/>
        </w:numPr>
      </w:pPr>
      <w:r>
        <w:t>Sąd, dopuszczając dowód lub rozpoznając wnioski, o których mowa w ust. 1, zapewnia zachowanie tajemnicy przedsiębiorcy i innych tajemnic ustawowo chronionych.</w:t>
      </w:r>
    </w:p>
    <w:p w14:paraId="397F9E19" w14:textId="0AE9A7FF" w:rsidR="0038550E" w:rsidRDefault="0038550E" w:rsidP="00DD7F13">
      <w:pPr>
        <w:pStyle w:val="Akapitzlist"/>
        <w:numPr>
          <w:ilvl w:val="0"/>
          <w:numId w:val="2"/>
        </w:numPr>
      </w:pPr>
      <w:r>
        <w:t>Uprawniony, którego autorskie prawa majątkowe zostały naruszone, może żądać od osoby, która naruszyła te prawa: 1) zaniechania naruszania; 2) usunięcia skutków naruszenia; 3) naprawienia wyrządzonej szkody</w:t>
      </w:r>
    </w:p>
    <w:p w14:paraId="34CB17A7" w14:textId="77777777" w:rsidR="0038550E" w:rsidRDefault="0038550E">
      <w:r>
        <w:br w:type="page"/>
      </w:r>
    </w:p>
    <w:p w14:paraId="40DE9F87" w14:textId="6E572F11" w:rsidR="0038550E" w:rsidRDefault="0038550E" w:rsidP="00DD7F13">
      <w:pPr>
        <w:pStyle w:val="Akapitzlist"/>
        <w:numPr>
          <w:ilvl w:val="0"/>
          <w:numId w:val="2"/>
        </w:numPr>
      </w:pPr>
      <w:r>
        <w:lastRenderedPageBreak/>
        <w:t>Twórca, którego autorskie prawa osobiste zostały zagrożone cudzym działaniem, może żądać zaniechania tego działania. W razie dokonanego naruszenia może także żądać, aby osoba, która dopuściła się naruszenia, dopełniła czynności potrzebnych do usunięcia jego skutków, w szczególności aby złożyła publiczne oświadczenie o odpowiedniej treści i formie. Jeżeli naruszenie było zawinione, sąd może przyznać twórcy odpowiednią sumę pieniężną tytułem zadośćuczynienia za doznaną krzywdę lub – na żądanie twórcy – zobowiązać sprawcę, aby uiścił odpowiednią sumę pieniężną na wskazany przez twórcę cel społeczny.</w:t>
      </w:r>
    </w:p>
    <w:p w14:paraId="63718A93" w14:textId="77777777" w:rsidR="0038550E" w:rsidRDefault="0038550E" w:rsidP="0038550E">
      <w:pPr>
        <w:pStyle w:val="Akapitzlist"/>
        <w:numPr>
          <w:ilvl w:val="0"/>
          <w:numId w:val="2"/>
        </w:numPr>
      </w:pPr>
      <w:r>
        <w:t>Uprawniony, którego autorskie prawa majątkowe zostały naruszone, może żądać od osoby, która naruszyła te prawa: 1) zaniechania naruszania; 2) usunięcia skutków naruszenia; 3) naprawienia wyrządzonej szkody</w:t>
      </w:r>
    </w:p>
    <w:p w14:paraId="21B5915E" w14:textId="43CB6223" w:rsidR="0038550E" w:rsidRDefault="0038550E" w:rsidP="00DD7F13">
      <w:pPr>
        <w:pStyle w:val="Akapitzlist"/>
        <w:numPr>
          <w:ilvl w:val="0"/>
          <w:numId w:val="2"/>
        </w:numPr>
      </w:pPr>
      <w:r>
        <w:t>. Ochrona przyznana bazom danych spełniającym cechy utworu nie obejmuje programów komputerowych używanych do sporządzenia lub obsługi baz danych dostępnych przy pomocy środków elektronicznych.</w:t>
      </w:r>
    </w:p>
    <w:sectPr w:rsidR="0038550E">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173940" w14:textId="77777777" w:rsidR="00456ED4" w:rsidRDefault="00456ED4" w:rsidP="00927220">
      <w:pPr>
        <w:spacing w:after="0" w:line="240" w:lineRule="auto"/>
      </w:pPr>
      <w:r>
        <w:separator/>
      </w:r>
    </w:p>
  </w:endnote>
  <w:endnote w:type="continuationSeparator" w:id="0">
    <w:p w14:paraId="6558E38B" w14:textId="77777777" w:rsidR="00456ED4" w:rsidRDefault="00456ED4" w:rsidP="00927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4817255"/>
      <w:docPartObj>
        <w:docPartGallery w:val="Page Numbers (Bottom of Page)"/>
        <w:docPartUnique/>
      </w:docPartObj>
    </w:sdtPr>
    <w:sdtEndPr/>
    <w:sdtContent>
      <w:p w14:paraId="58D0CBE3" w14:textId="4A70C203" w:rsidR="00927220" w:rsidRDefault="00927220">
        <w:pPr>
          <w:pStyle w:val="Stopka"/>
          <w:jc w:val="center"/>
        </w:pPr>
        <w:r>
          <w:fldChar w:fldCharType="begin"/>
        </w:r>
        <w:r>
          <w:instrText>PAGE   \* MERGEFORMAT</w:instrText>
        </w:r>
        <w:r>
          <w:fldChar w:fldCharType="separate"/>
        </w:r>
        <w:r>
          <w:t>2</w:t>
        </w:r>
        <w:r>
          <w:fldChar w:fldCharType="end"/>
        </w:r>
      </w:p>
    </w:sdtContent>
  </w:sdt>
  <w:p w14:paraId="4ED45644" w14:textId="77777777" w:rsidR="00927220" w:rsidRDefault="0092722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C089EA" w14:textId="77777777" w:rsidR="00456ED4" w:rsidRDefault="00456ED4" w:rsidP="00927220">
      <w:pPr>
        <w:spacing w:after="0" w:line="240" w:lineRule="auto"/>
      </w:pPr>
      <w:r>
        <w:separator/>
      </w:r>
    </w:p>
  </w:footnote>
  <w:footnote w:type="continuationSeparator" w:id="0">
    <w:p w14:paraId="3E718E3C" w14:textId="77777777" w:rsidR="00456ED4" w:rsidRDefault="00456ED4" w:rsidP="009272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319FF0" w14:textId="2D08018C" w:rsidR="00927220" w:rsidRDefault="00927220" w:rsidP="00927220">
    <w:pPr>
      <w:pStyle w:val="Nagwek"/>
      <w:jc w:val="center"/>
    </w:pPr>
    <w:r>
      <w:t xml:space="preserve">Karol </w:t>
    </w:r>
    <w:proofErr w:type="spellStart"/>
    <w:r>
      <w:t>Kęciński</w:t>
    </w:r>
    <w:proofErr w:type="spellEnd"/>
    <w:r>
      <w:t xml:space="preserve"> OWI Gr 5</w:t>
    </w:r>
  </w:p>
  <w:p w14:paraId="27302BA2" w14:textId="1615EB04" w:rsidR="001F5197" w:rsidRDefault="00DD7F13" w:rsidP="00927220">
    <w:pPr>
      <w:pStyle w:val="Nagwek"/>
      <w:jc w:val="center"/>
    </w:pPr>
    <w:r>
      <w:t>OWI Lista 5-15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B1E2B"/>
    <w:multiLevelType w:val="hybridMultilevel"/>
    <w:tmpl w:val="7D8E1CDA"/>
    <w:lvl w:ilvl="0" w:tplc="9144667E">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21492CD5"/>
    <w:multiLevelType w:val="hybridMultilevel"/>
    <w:tmpl w:val="C9623D1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220"/>
    <w:rsid w:val="0004636E"/>
    <w:rsid w:val="001F5197"/>
    <w:rsid w:val="002F4866"/>
    <w:rsid w:val="0038550E"/>
    <w:rsid w:val="00456ED4"/>
    <w:rsid w:val="005A5C24"/>
    <w:rsid w:val="007D3382"/>
    <w:rsid w:val="00927220"/>
    <w:rsid w:val="00AA4A54"/>
    <w:rsid w:val="00BF178C"/>
    <w:rsid w:val="00D41429"/>
    <w:rsid w:val="00DD4B29"/>
    <w:rsid w:val="00DD7F1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3E672C"/>
  <w15:chartTrackingRefBased/>
  <w15:docId w15:val="{C6D07423-830C-40F5-A1B0-F24D663FA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92722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27220"/>
  </w:style>
  <w:style w:type="paragraph" w:styleId="Stopka">
    <w:name w:val="footer"/>
    <w:basedOn w:val="Normalny"/>
    <w:link w:val="StopkaZnak"/>
    <w:uiPriority w:val="99"/>
    <w:unhideWhenUsed/>
    <w:rsid w:val="0092722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27220"/>
  </w:style>
  <w:style w:type="paragraph" w:styleId="Akapitzlist">
    <w:name w:val="List Paragraph"/>
    <w:basedOn w:val="Normalny"/>
    <w:uiPriority w:val="34"/>
    <w:qFormat/>
    <w:rsid w:val="001F5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62F00-4084-4B21-817C-B2F810AC2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565</Words>
  <Characters>3395</Characters>
  <Application>Microsoft Office Word</Application>
  <DocSecurity>0</DocSecurity>
  <Lines>28</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dc:creator>
  <cp:keywords/>
  <dc:description/>
  <cp:lastModifiedBy>Karol</cp:lastModifiedBy>
  <cp:revision>2</cp:revision>
  <dcterms:created xsi:type="dcterms:W3CDTF">2020-05-28T17:05:00Z</dcterms:created>
  <dcterms:modified xsi:type="dcterms:W3CDTF">2020-05-28T17:05:00Z</dcterms:modified>
</cp:coreProperties>
</file>