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BA78" w14:textId="42BEBEBA" w:rsidR="00F40E6A" w:rsidRDefault="002A40F5" w:rsidP="002A40F5">
      <w:pPr>
        <w:pStyle w:val="Akapitzlist"/>
        <w:numPr>
          <w:ilvl w:val="0"/>
          <w:numId w:val="1"/>
        </w:numPr>
      </w:pPr>
      <w:r>
        <w:t>Do artystycznych wykonań, fonogramów, wideogramów, nadań programów, pierwszych wydań oraz wydań naukowych i krytycznych stosuje się odpowiednio przepisy art. 1 ust. 4, art. 6, art. 61 , art. 8 ust. 2, art. 355 –359 , art. 35a– 35e, art. 39, art. 51, art. 79 i art. 80.</w:t>
      </w:r>
    </w:p>
    <w:p w14:paraId="2AA7AD94" w14:textId="241B6A9B" w:rsidR="002A40F5" w:rsidRDefault="002A40F5" w:rsidP="002A40F5">
      <w:pPr>
        <w:pStyle w:val="Akapitzlist"/>
        <w:numPr>
          <w:ilvl w:val="0"/>
          <w:numId w:val="1"/>
        </w:numPr>
      </w:pPr>
      <w:r>
        <w:t>Przepisy ustawy stosuje się do artystycznych wykonań, które: 1) dokonane zostały przez obywatela polskiego albo osobę zamieszkałą na terytorium Rzeczypospolitej Polskiej lub 1 1 ) dokonane zostały przez obywatela państwa członkowskiego Unii Europejskiej lub państw członkowskich Europejskiego Porozumienia o Wolnym Handlu (EFTA) – stron umowy o Europejskim Obszarze Gospodarczym, lub 2) zostały ustalone po raz pierwszy na terytorium Rzeczypospolitej Polskiej, lub 3) zostały opublikowane po raz pierwszy na terytorium Rzeczypospolitej Polskiej, lub 4) są chronione na podstawie umów międzynarodowych, w zakresie, w jakim ich ochrona wynika z tych umów.</w:t>
      </w:r>
    </w:p>
    <w:p w14:paraId="4AD57A20" w14:textId="3993A436" w:rsidR="002A40F5" w:rsidRDefault="002A40F5" w:rsidP="002A40F5">
      <w:pPr>
        <w:pStyle w:val="Akapitzlist"/>
        <w:numPr>
          <w:ilvl w:val="0"/>
          <w:numId w:val="1"/>
        </w:numPr>
      </w:pPr>
      <w:r>
        <w:t>Przepisy ustawy stosuje się do fonogramów i wideogramów: 1) których producent ma na terytorium Rzeczypospolitej Polskiej miejsce zamieszkania lub siedzibę, lub 1 1 ) których producent ma na terytorium Europejskiego Obszaru Gospodarczego miejsce zamieszkania lub siedzibę, lub 2) które są chronione na podstawie umów międzynarodowych, w zakresie, w jakim ich ochrona wynika z tych umów.</w:t>
      </w:r>
    </w:p>
    <w:p w14:paraId="700F7E8F" w14:textId="4516A516" w:rsidR="002A40F5" w:rsidRDefault="002A40F5" w:rsidP="002A40F5">
      <w:pPr>
        <w:pStyle w:val="Akapitzlist"/>
        <w:numPr>
          <w:ilvl w:val="0"/>
          <w:numId w:val="1"/>
        </w:numPr>
      </w:pPr>
      <w:r>
        <w:t>Przepisy art. 991 i art. 992 stosuje się odpowiednio do utworów i tekstów, które ze względu na czas ich powstania lub charakter nigdy nie były objęte ochroną prawa autorskiego.</w:t>
      </w:r>
    </w:p>
    <w:p w14:paraId="10C80EE4" w14:textId="77070203" w:rsidR="002A40F5" w:rsidRDefault="002A40F5" w:rsidP="002A40F5">
      <w:pPr>
        <w:pStyle w:val="Akapitzlist"/>
        <w:numPr>
          <w:ilvl w:val="0"/>
          <w:numId w:val="1"/>
        </w:numPr>
      </w:pPr>
      <w:r>
        <w:t>Przepis ust. 1 pkt 3 stosuje się do utworów obywateli obcych stale zamieszkałych za granicą, pod warunkiem wzajemności.</w:t>
      </w:r>
    </w:p>
    <w:p w14:paraId="62E51FA7" w14:textId="4B7AD64F" w:rsidR="002A40F5" w:rsidRDefault="002A40F5" w:rsidP="002A40F5">
      <w:pPr>
        <w:pStyle w:val="Akapitzlist"/>
        <w:numPr>
          <w:ilvl w:val="0"/>
          <w:numId w:val="1"/>
        </w:numPr>
      </w:pPr>
      <w:r>
        <w:t>Przepisy ustawy stosuje się do utworów: 1) ustalonych po raz pierwszy po jej wejściu w życie; 2) do których prawa autorskie według przepisów dotychczasowych nie wygasły; 3) do których prawa autorskie według przepisów dotychczasowych wygasły, a które według niniejszej ustawy korzystają nadal z ochrony, z wyłączeniem okresu między wygaśnięciem ochrony według ustawy dotychczasowej i wejściem w życie niniejszej ustawy. Ustawa nie narusza własności egzemplarzy utworów rozpowszechnionych przed dniem jej wejścia w życie.</w:t>
      </w:r>
    </w:p>
    <w:p w14:paraId="427C81B8" w14:textId="3C708575" w:rsidR="002A40F5" w:rsidRDefault="002A40F5" w:rsidP="002A40F5">
      <w:pPr>
        <w:pStyle w:val="Akapitzlist"/>
        <w:numPr>
          <w:ilvl w:val="0"/>
          <w:numId w:val="1"/>
        </w:numPr>
      </w:pPr>
      <w:r>
        <w:t>Spory dotyczące praw pokrewnych należą do właściwości sądów okręgowych.</w:t>
      </w:r>
    </w:p>
    <w:p w14:paraId="43BCB7C4" w14:textId="2A1B44CA" w:rsidR="002A40F5" w:rsidRDefault="002A40F5" w:rsidP="002A40F5">
      <w:pPr>
        <w:pStyle w:val="Akapitzlist"/>
        <w:numPr>
          <w:ilvl w:val="0"/>
          <w:numId w:val="1"/>
        </w:numPr>
      </w:pPr>
      <w:r>
        <w:t>Do pierwszych wydań oraz wydań naukowych i krytycznych przepisy oddziału 6 w rozdziale 3 stosuje się.</w:t>
      </w:r>
    </w:p>
    <w:p w14:paraId="5E2E46B1" w14:textId="2E63B7D3" w:rsidR="002A40F5" w:rsidRDefault="002A40F5" w:rsidP="002A40F5">
      <w:pPr>
        <w:pStyle w:val="Akapitzlist"/>
        <w:numPr>
          <w:ilvl w:val="0"/>
          <w:numId w:val="1"/>
        </w:numPr>
      </w:pPr>
      <w:r>
        <w:t>Kto posiada, przechowuje lub wykorzystuje urządzenia lub ich komponenty, o których mowa w ust. 1, podlega grzywnie, karze ograniczenia wolności albo pozbawienia wolności do roku.</w:t>
      </w:r>
    </w:p>
    <w:p w14:paraId="428FECBF" w14:textId="182A6CDD" w:rsidR="002A40F5" w:rsidRDefault="002A40F5" w:rsidP="002A40F5">
      <w:pPr>
        <w:pStyle w:val="Akapitzlist"/>
        <w:numPr>
          <w:ilvl w:val="0"/>
          <w:numId w:val="1"/>
        </w:numPr>
      </w:pPr>
      <w:r>
        <w:t>Kto w celu osiągnięcia korzyści majątkowej w inny sposób niż określony w ust. 1 lub 2 narusza cudze prawa autorskie lub prawa pokrewne określone w art. 16, art. 17, art. 18, art. 19 ust. 1, art. 191 , art. 86, art. 94 ust. 4 lub art. 97, albo nie wykonuje obowiązków określonych w art. 193 ust. 2 lub art. 20 ust. 1–4, podlega grzywnie, karze ograniczenia wolności albo pozbawienia wolności do roku.</w:t>
      </w:r>
    </w:p>
    <w:p w14:paraId="2E9F266A" w14:textId="28DD478C" w:rsidR="002A40F5" w:rsidRDefault="002A40F5" w:rsidP="002A40F5">
      <w:pPr>
        <w:pStyle w:val="Akapitzlist"/>
        <w:numPr>
          <w:ilvl w:val="0"/>
          <w:numId w:val="1"/>
        </w:numPr>
      </w:pPr>
      <w:r>
        <w:t>Kto posiada, przechowuje lub wykorzystuje urządzenia lub ich komponenty, o których mowa w ust. 1, podlega grzywnie, karze ograniczenia wolności albo pozbawienia wolności do roku.</w:t>
      </w:r>
    </w:p>
    <w:p w14:paraId="02236A4A" w14:textId="71F5087C" w:rsidR="00D15462" w:rsidRDefault="00D15462" w:rsidP="002A40F5">
      <w:pPr>
        <w:pStyle w:val="Akapitzlist"/>
        <w:numPr>
          <w:ilvl w:val="0"/>
          <w:numId w:val="1"/>
        </w:numPr>
      </w:pPr>
      <w:r>
        <w:t>Kto uniemożliwia lub utrudnia wykonywanie prawa do kontroli korzystania z utworu, artystycznego wykonania, fonogramu lub wideogramu albo odmawia udzielenia informacji przewidzianych w art. 47, podlega grzywnie, karze ograniczenia wolności albo pozbawienia wolności do roku.</w:t>
      </w:r>
    </w:p>
    <w:p w14:paraId="6053765B" w14:textId="608CC76A" w:rsidR="00D15462" w:rsidRDefault="00D15462" w:rsidP="002A40F5">
      <w:pPr>
        <w:pStyle w:val="Akapitzlist"/>
        <w:numPr>
          <w:ilvl w:val="0"/>
          <w:numId w:val="1"/>
        </w:numPr>
      </w:pPr>
      <w:r>
        <w:t>Kto wytwarza urządzenia lub ich komponenty przeznaczone do niedozwolonego usuwania lub obchodzenia skutecznych technicznych zabezpieczeń przed odtwarzaniem, przegrywaniem lub zwielokrotnianiem utworów lub przedmiotów praw pokrewnych albo dokonuje obrotu takimi urządzeniami lub ich komponentami, albo reklamuje je w celu sprzedaży lub najmu, podlega grzywnie, karze ograniczenia wolności albo pozbawienia wolności do lat 3.</w:t>
      </w:r>
    </w:p>
    <w:p w14:paraId="13CB1609" w14:textId="0C4AC8E3" w:rsidR="00D15462" w:rsidRDefault="00D15462" w:rsidP="002A40F5">
      <w:pPr>
        <w:pStyle w:val="Akapitzlist"/>
        <w:numPr>
          <w:ilvl w:val="0"/>
          <w:numId w:val="1"/>
        </w:numPr>
      </w:pPr>
      <w:r>
        <w:lastRenderedPageBreak/>
        <w:t>Jeżeli na podstawie towarzyszących okoliczności sprawca przestępstwa określonego w ust. 1 lub 2 powinien i może przypuszczać, że przedmiot został uzyskany za pomocą czynu zabronionego</w:t>
      </w:r>
      <w:r>
        <w:t>,</w:t>
      </w:r>
      <w:r>
        <w:t xml:space="preserve"> podlega grzywnie, karze ograniczenia wolności albo pozbawienia wolności do lat 2.</w:t>
      </w:r>
    </w:p>
    <w:p w14:paraId="2C09767F" w14:textId="22C2EB48" w:rsidR="00D15462" w:rsidRDefault="00D15462" w:rsidP="002A40F5">
      <w:pPr>
        <w:pStyle w:val="Akapitzlist"/>
        <w:numPr>
          <w:ilvl w:val="0"/>
          <w:numId w:val="1"/>
        </w:numPr>
      </w:pPr>
      <w:r>
        <w:t>Jeżeli umowa nie stanowi inaczej, czynności wymienione w art. 74 ust. 4 pkt 1 i 2 nie wymagają zgody uprawnionego, jeżeli są niezbędne do korzystania z programu komputerowego zgodnie z jego przeznaczeniem, w tym do poprawiania błędów przez osobę, która legalnie weszła w jego posiadanie.</w:t>
      </w:r>
    </w:p>
    <w:sectPr w:rsidR="00D1546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7AD7" w14:textId="77777777" w:rsidR="00E5188C" w:rsidRDefault="00E5188C" w:rsidP="00D15462">
      <w:pPr>
        <w:spacing w:after="0" w:line="240" w:lineRule="auto"/>
      </w:pPr>
      <w:r>
        <w:separator/>
      </w:r>
    </w:p>
  </w:endnote>
  <w:endnote w:type="continuationSeparator" w:id="0">
    <w:p w14:paraId="037783BD" w14:textId="77777777" w:rsidR="00E5188C" w:rsidRDefault="00E5188C" w:rsidP="00D1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263453"/>
      <w:docPartObj>
        <w:docPartGallery w:val="Page Numbers (Bottom of Page)"/>
        <w:docPartUnique/>
      </w:docPartObj>
    </w:sdtPr>
    <w:sdtContent>
      <w:p w14:paraId="68C340D0" w14:textId="2F0B5C8D" w:rsidR="00D15462" w:rsidRDefault="00D15462">
        <w:pPr>
          <w:pStyle w:val="Stopka"/>
          <w:jc w:val="center"/>
        </w:pPr>
        <w:r>
          <w:fldChar w:fldCharType="begin"/>
        </w:r>
        <w:r>
          <w:instrText>PAGE   \* MERGEFORMAT</w:instrText>
        </w:r>
        <w:r>
          <w:fldChar w:fldCharType="separate"/>
        </w:r>
        <w:r>
          <w:t>2</w:t>
        </w:r>
        <w:r>
          <w:fldChar w:fldCharType="end"/>
        </w:r>
      </w:p>
    </w:sdtContent>
  </w:sdt>
  <w:p w14:paraId="70E32D34" w14:textId="77777777" w:rsidR="00D15462" w:rsidRDefault="00D154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CE0D7" w14:textId="77777777" w:rsidR="00E5188C" w:rsidRDefault="00E5188C" w:rsidP="00D15462">
      <w:pPr>
        <w:spacing w:after="0" w:line="240" w:lineRule="auto"/>
      </w:pPr>
      <w:r>
        <w:separator/>
      </w:r>
    </w:p>
  </w:footnote>
  <w:footnote w:type="continuationSeparator" w:id="0">
    <w:p w14:paraId="3A35EAA9" w14:textId="77777777" w:rsidR="00E5188C" w:rsidRDefault="00E5188C" w:rsidP="00D1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6D253" w14:textId="6D83E176" w:rsidR="00D15462" w:rsidRDefault="00D15462" w:rsidP="00D15462">
    <w:pPr>
      <w:pStyle w:val="Nagwek"/>
      <w:jc w:val="center"/>
    </w:pPr>
    <w:r>
      <w:t xml:space="preserve">Karol </w:t>
    </w:r>
    <w:proofErr w:type="spellStart"/>
    <w:r>
      <w:t>Kęciński</w:t>
    </w:r>
    <w:proofErr w:type="spellEnd"/>
    <w:r>
      <w:t xml:space="preserve"> OWI Gr.5</w:t>
    </w:r>
  </w:p>
  <w:p w14:paraId="776D52AA" w14:textId="71740D23" w:rsidR="00D15462" w:rsidRDefault="00D15462" w:rsidP="00D15462">
    <w:pPr>
      <w:pStyle w:val="Nagwek"/>
      <w:jc w:val="center"/>
    </w:pPr>
    <w:r>
      <w:t>Lista 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46A04"/>
    <w:multiLevelType w:val="hybridMultilevel"/>
    <w:tmpl w:val="E84C60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EA"/>
    <w:rsid w:val="002A40F5"/>
    <w:rsid w:val="002F4866"/>
    <w:rsid w:val="007D3382"/>
    <w:rsid w:val="00BF178C"/>
    <w:rsid w:val="00D15462"/>
    <w:rsid w:val="00DD4B29"/>
    <w:rsid w:val="00E5188C"/>
    <w:rsid w:val="00EF2D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03E2"/>
  <w15:chartTrackingRefBased/>
  <w15:docId w15:val="{E16D5A62-DE6F-4477-A11E-4C4B310A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A40F5"/>
    <w:pPr>
      <w:ind w:left="720"/>
      <w:contextualSpacing/>
    </w:pPr>
  </w:style>
  <w:style w:type="paragraph" w:styleId="Nagwek">
    <w:name w:val="header"/>
    <w:basedOn w:val="Normalny"/>
    <w:link w:val="NagwekZnak"/>
    <w:uiPriority w:val="99"/>
    <w:unhideWhenUsed/>
    <w:rsid w:val="00D154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5462"/>
  </w:style>
  <w:style w:type="paragraph" w:styleId="Stopka">
    <w:name w:val="footer"/>
    <w:basedOn w:val="Normalny"/>
    <w:link w:val="StopkaZnak"/>
    <w:uiPriority w:val="99"/>
    <w:unhideWhenUsed/>
    <w:rsid w:val="00D154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615</Words>
  <Characters>3696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2</cp:revision>
  <dcterms:created xsi:type="dcterms:W3CDTF">2020-06-06T21:58:00Z</dcterms:created>
  <dcterms:modified xsi:type="dcterms:W3CDTF">2020-06-06T22:15:00Z</dcterms:modified>
</cp:coreProperties>
</file>