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B3828" w14:textId="50553FB9" w:rsidR="00CF105F" w:rsidRDefault="001C3597" w:rsidP="001C3597">
      <w:pPr>
        <w:pStyle w:val="Akapitzlist"/>
        <w:numPr>
          <w:ilvl w:val="0"/>
          <w:numId w:val="1"/>
        </w:numPr>
      </w:pPr>
      <w:r>
        <w:t>Zwielokrotnianie, o którym mowa w ust. 1 pkt 2, nie może prowadzić do zwiększenia liczby egzemplarzy utworów i powiększenia zbiorów, odpowiednio użyczanych i udostępnianych na podstawie ust. 1 pkt 1 i 3.</w:t>
      </w:r>
    </w:p>
    <w:p w14:paraId="717A6E1A" w14:textId="041F8A3B" w:rsidR="001C3597" w:rsidRDefault="001C3597" w:rsidP="001C3597">
      <w:pPr>
        <w:pStyle w:val="Akapitzlist"/>
        <w:numPr>
          <w:ilvl w:val="0"/>
          <w:numId w:val="1"/>
        </w:numPr>
      </w:pPr>
      <w:r>
        <w:t>Bez zezwolenia twórcy wolno nieodpłatnie korzystać z już rozpowszechnionego utworu w zakresie własnego użytku osobistego. Przepis ten nie upoważnia do budowania według cudzego utworu architektonicznego i architektoniczno-urbanistycznego oraz do korzystania z elektronicznych baz danych spełniających cechy utworu, chyba że dotyczy to własnego użytku naukowego niezwiązanego z celem zarobkowym.</w:t>
      </w:r>
    </w:p>
    <w:p w14:paraId="4906ADBC" w14:textId="5D20FABC" w:rsidR="001C3597" w:rsidRDefault="001C3597" w:rsidP="001C3597">
      <w:pPr>
        <w:pStyle w:val="Akapitzlist"/>
        <w:numPr>
          <w:ilvl w:val="0"/>
          <w:numId w:val="1"/>
        </w:numPr>
      </w:pPr>
      <w:r>
        <w:t>Przepis nie upoważnia do publikacji zbiorów tego rodzaju utworów.</w:t>
      </w:r>
    </w:p>
    <w:p w14:paraId="553FE3AD" w14:textId="7799A6FA" w:rsidR="001C3597" w:rsidRDefault="001C3597" w:rsidP="001C3597">
      <w:pPr>
        <w:pStyle w:val="Akapitzlist"/>
        <w:numPr>
          <w:ilvl w:val="0"/>
          <w:numId w:val="1"/>
        </w:numPr>
      </w:pPr>
      <w:r>
        <w:t>Organizacja zbiorowego zarządzania prawami autorskimi biorąca udział w konkursie, o którym mowa w ust. 2, może złożyć do ministra właściwego do spraw kultury i ochrony dziedzictwa narodowego, w terminie 7 dni od dnia ogłoszenia wyniku tego konkursu, odwołanie od jego wyniku ze względu na naruszenie przepisów prawa</w:t>
      </w:r>
      <w:r>
        <w:t>.</w:t>
      </w:r>
    </w:p>
    <w:p w14:paraId="5CA7B523" w14:textId="074886E0" w:rsidR="001C3597" w:rsidRDefault="001C3597" w:rsidP="001C3597">
      <w:pPr>
        <w:pStyle w:val="Akapitzlist"/>
        <w:numPr>
          <w:ilvl w:val="0"/>
          <w:numId w:val="1"/>
        </w:numPr>
      </w:pPr>
      <w:r>
        <w:t>Przepisu ust. 4 nie stosuje się do użyczania egzemplarzy przez Bibliotekę Narodową.</w:t>
      </w:r>
    </w:p>
    <w:p w14:paraId="046AF9D3" w14:textId="1FBEEABA" w:rsidR="001C3597" w:rsidRDefault="001C3597" w:rsidP="001C3597">
      <w:pPr>
        <w:pStyle w:val="Akapitzlist"/>
        <w:numPr>
          <w:ilvl w:val="0"/>
          <w:numId w:val="1"/>
        </w:numPr>
      </w:pPr>
      <w:r>
        <w:t>Odwołanie, o którym mowa w ust. 6, minister właściwy do spraw kultury i ochrony dziedzictwa narodowego rozpatruje w terminie 14 dni od dnia jego wpływu. W przypadku uwzględnienia odwołania minister właściwy do spraw kultury i ochrony dziedzictwa narodowego unieważnia konkurs, o którym mowa w ust. 4.</w:t>
      </w:r>
    </w:p>
    <w:p w14:paraId="7A3FA155" w14:textId="1BA6FB2E" w:rsidR="001C3597" w:rsidRDefault="001C3597" w:rsidP="001C3597">
      <w:pPr>
        <w:pStyle w:val="Akapitzlist"/>
        <w:numPr>
          <w:ilvl w:val="0"/>
          <w:numId w:val="1"/>
        </w:numPr>
      </w:pPr>
      <w:r>
        <w:t xml:space="preserve">Organizacja zbiorowego zarządzania prawami pokrewnymi do artystycznych </w:t>
      </w:r>
      <w:proofErr w:type="spellStart"/>
      <w:r>
        <w:t>wykonań</w:t>
      </w:r>
      <w:proofErr w:type="spellEnd"/>
      <w:r>
        <w:t xml:space="preserve"> biorąca udział w konkursie, o którym mowa w ust. 4, może złożyć do ministra właściwego do spraw kultury i ochrony dziedzictwa narodowego, w terminie 7 dni od dnia ogłoszenia wyniku tego konkursu, odwołanie od jego wyniku ze względu na naruszenie przepisów prawa.</w:t>
      </w:r>
    </w:p>
    <w:p w14:paraId="1E8A4003" w14:textId="326FDDD1" w:rsidR="001C3597" w:rsidRDefault="001C3597" w:rsidP="001C3597">
      <w:pPr>
        <w:pStyle w:val="Akapitzlist"/>
        <w:numPr>
          <w:ilvl w:val="0"/>
          <w:numId w:val="1"/>
        </w:numPr>
      </w:pPr>
      <w:r>
        <w:t xml:space="preserve">Instytucje oświatowe, uczelnie, instytuty badawcze prowadzące działalność, o której mowa w art. 2 ust. 3 ustawy z dnia 30 kwietnia 2010 r. o instytutach badawczych, instytuty naukowe Polskiej Akademii Nauk prowadzące działalność, o której mowa w art. 50 ust. 4 ustawy z dnia 30 kwietnia 2010 r. o Polskiej Akademii Nauk, biblioteki, muzea oraz archiwa mogą: </w:t>
      </w:r>
    </w:p>
    <w:p w14:paraId="38C686B6" w14:textId="77777777" w:rsidR="001C3597" w:rsidRPr="001C3597" w:rsidRDefault="001C3597" w:rsidP="001C3597">
      <w:pPr>
        <w:pStyle w:val="Akapitzlist"/>
      </w:pPr>
      <w:r>
        <w:t xml:space="preserve">1) użyczać egzemplarze utworów rozpowszechnionych – </w:t>
      </w:r>
      <w:r w:rsidRPr="001C3597">
        <w:t>w jakim zakresie?</w:t>
      </w:r>
    </w:p>
    <w:p w14:paraId="332AC2DE" w14:textId="77777777" w:rsidR="001C3597" w:rsidRPr="001C3597" w:rsidRDefault="001C3597" w:rsidP="001C3597">
      <w:pPr>
        <w:pStyle w:val="Akapitzlist"/>
      </w:pPr>
      <w:proofErr w:type="spellStart"/>
      <w:r w:rsidRPr="001C3597">
        <w:t>Odp</w:t>
      </w:r>
      <w:proofErr w:type="spellEnd"/>
      <w:r w:rsidRPr="001C3597">
        <w:t>: W zakresie swoich zadań statutowych</w:t>
      </w:r>
    </w:p>
    <w:p w14:paraId="0A8294D2" w14:textId="77777777" w:rsidR="001C3597" w:rsidRDefault="001C3597" w:rsidP="001C3597">
      <w:pPr>
        <w:pStyle w:val="Akapitzlist"/>
      </w:pPr>
      <w:r>
        <w:t xml:space="preserve">2) zwielokrotniać utwory znajdujące się we własnych zbiorach - </w:t>
      </w:r>
      <w:r w:rsidRPr="001C3597">
        <w:t>w jakim celu?</w:t>
      </w:r>
    </w:p>
    <w:p w14:paraId="4E93EB6B" w14:textId="77777777" w:rsidR="001C3597" w:rsidRPr="001C3597" w:rsidRDefault="001C3597" w:rsidP="001C3597">
      <w:pPr>
        <w:pStyle w:val="Akapitzlist"/>
      </w:pPr>
      <w:proofErr w:type="spellStart"/>
      <w:r w:rsidRPr="001C3597">
        <w:t>Odp</w:t>
      </w:r>
      <w:proofErr w:type="spellEnd"/>
      <w:r w:rsidRPr="001C3597">
        <w:t>: w celu uzupełnienia, zachowania lub ochrony tych zbiorów</w:t>
      </w:r>
    </w:p>
    <w:p w14:paraId="1BBB4B61" w14:textId="77777777" w:rsidR="001C3597" w:rsidRDefault="001C3597" w:rsidP="001C3597">
      <w:pPr>
        <w:pStyle w:val="Akapitzlist"/>
      </w:pPr>
      <w:r>
        <w:t xml:space="preserve">3) udostępniać zbiory dla celów badawczych lub poznawczych za pośrednictwem końcówek systemu informatycznego (terminali) znajdujących się na terenie tych jednostek – </w:t>
      </w:r>
      <w:r w:rsidRPr="001C3597">
        <w:t>pod jakim warunkiem?</w:t>
      </w:r>
    </w:p>
    <w:p w14:paraId="7B47841A" w14:textId="77777777" w:rsidR="001C3597" w:rsidRPr="001C3597" w:rsidRDefault="001C3597" w:rsidP="001C3597">
      <w:pPr>
        <w:pStyle w:val="Akapitzlist"/>
      </w:pPr>
      <w:proofErr w:type="spellStart"/>
      <w:r w:rsidRPr="001C3597">
        <w:t>Odp</w:t>
      </w:r>
      <w:proofErr w:type="spellEnd"/>
      <w:r w:rsidRPr="001C3597">
        <w:t>: jeżeli czynności te nie są dokonywane w celu osiągnięcia bezpośredniej lub pośredniej korzyści majątkowej.</w:t>
      </w:r>
    </w:p>
    <w:p w14:paraId="6FFED62B" w14:textId="1C6AF8D2" w:rsidR="001C3597" w:rsidRDefault="001C3597" w:rsidP="001C3597">
      <w:pPr>
        <w:pStyle w:val="Akapitzlist"/>
        <w:numPr>
          <w:ilvl w:val="0"/>
          <w:numId w:val="1"/>
        </w:numPr>
      </w:pPr>
      <w:r>
        <w:t>-</w:t>
      </w:r>
    </w:p>
    <w:p w14:paraId="19C9BCE6" w14:textId="2DEA8B69" w:rsidR="001C3597" w:rsidRDefault="001C3597" w:rsidP="001C3597">
      <w:pPr>
        <w:pStyle w:val="Akapitzlist"/>
        <w:numPr>
          <w:ilvl w:val="0"/>
          <w:numId w:val="1"/>
        </w:numPr>
      </w:pPr>
      <w:r>
        <w:t>Dozwolony użytek nie może naruszać normalnego korzystania z utworu lub godzić w słuszne interesy twórcy.</w:t>
      </w:r>
    </w:p>
    <w:p w14:paraId="19F2FD89" w14:textId="6647778E" w:rsidR="0083525B" w:rsidRDefault="0083525B" w:rsidP="001C3597">
      <w:pPr>
        <w:pStyle w:val="Akapitzlist"/>
        <w:numPr>
          <w:ilvl w:val="0"/>
          <w:numId w:val="1"/>
        </w:numPr>
      </w:pPr>
      <w:r>
        <w:t>Instytucje oświatowe oraz podmioty, o których mowa w art. 7 ust. 1 pkt 1, 2 i 4–8 ustawy z dnia 20 lipca 2018 r. – Prawo o szkolnictwie wyższym i nauce, mogą na potrzeby zilustrowania treści przekazywanych w celach dydaktycznych lub w celu prowadzenia działalności naukowej korzystać z rozpowszechnionych utworów w oryginale i w tłumaczeniu oraz zwielokrotniać w tym celu rozpowszechnione drobne utwory lub fragmenty większych utworów.</w:t>
      </w:r>
    </w:p>
    <w:p w14:paraId="68B14343" w14:textId="77777777" w:rsidR="0083525B" w:rsidRDefault="0083525B">
      <w:r>
        <w:br w:type="page"/>
      </w:r>
    </w:p>
    <w:p w14:paraId="5EC275D3" w14:textId="594BD861" w:rsidR="0083525B" w:rsidRDefault="0083525B" w:rsidP="001C3597">
      <w:pPr>
        <w:pStyle w:val="Akapitzlist"/>
        <w:numPr>
          <w:ilvl w:val="0"/>
          <w:numId w:val="1"/>
        </w:numPr>
      </w:pPr>
      <w:r>
        <w:lastRenderedPageBreak/>
        <w:t xml:space="preserve">Organizację zbiorowego zarządzania, o której mowa w ust. 1, minister właściwy do spraw kultury i ochrony dziedzictwa narodowego wyznacza na okres nie dłuższy niż pięć lat, po przeprowadzeniu konkursu uwzględniającego następujące kryteria: </w:t>
      </w:r>
      <w:r>
        <w:br/>
      </w:r>
      <w:r>
        <w:t xml:space="preserve">1) reprezentatywność; </w:t>
      </w:r>
      <w:r>
        <w:br/>
      </w:r>
      <w:r>
        <w:t xml:space="preserve">2) zdolność organizacyjną do realizacji zadania w sposób zapewniający efektywną wypłatę wynagrodzeń za użyczanie; </w:t>
      </w:r>
      <w:r>
        <w:br/>
      </w:r>
      <w:r>
        <w:t xml:space="preserve">3) skuteczność i prawidłowość działania; </w:t>
      </w:r>
      <w:r>
        <w:br/>
      </w:r>
      <w:r>
        <w:t>4) zasadność i wysokość planowanych kosztów określania wysokości i wypłaty wynagrodzeń za użyczanie</w:t>
      </w:r>
    </w:p>
    <w:p w14:paraId="6C3F2790" w14:textId="33E98A0C" w:rsidR="0083525B" w:rsidRDefault="0083525B" w:rsidP="001C3597">
      <w:pPr>
        <w:pStyle w:val="Akapitzlist"/>
        <w:numPr>
          <w:ilvl w:val="0"/>
          <w:numId w:val="1"/>
        </w:numPr>
      </w:pPr>
      <w:r>
        <w:t>Wolno w celach dydaktycznych i naukowych zamieszczać rozpowszechnione drobne utwory lub fragmenty większych utworów w podręcznikach, wypisach i antologiach.</w:t>
      </w:r>
    </w:p>
    <w:p w14:paraId="2161C0B5" w14:textId="333240FF" w:rsidR="0083525B" w:rsidRDefault="0083525B" w:rsidP="001C3597">
      <w:pPr>
        <w:pStyle w:val="Akapitzlist"/>
        <w:numPr>
          <w:ilvl w:val="0"/>
          <w:numId w:val="1"/>
        </w:numPr>
      </w:pPr>
      <w:r>
        <w:t>Dofinansowanie na wypłatę wynagrodzenia za użyczanie w części przeznaczonej na pokrycie uzasadnionych i udokumentowanych kosztów określenia wysokości i wypłaty wynagrodzenia za użyczanie, ponoszonych przez organizację zbiorowego zarządzania, o której mowa w ust. 1, w danym roku kalendarzowym nie może przekraczać 10% kwoty dofinansowania ustalonej zgodnie z ust. 7.</w:t>
      </w:r>
    </w:p>
    <w:p w14:paraId="29F43547" w14:textId="07963A55" w:rsidR="0083525B" w:rsidRDefault="0083525B" w:rsidP="001C3597">
      <w:pPr>
        <w:pStyle w:val="Akapitzlist"/>
        <w:numPr>
          <w:ilvl w:val="0"/>
          <w:numId w:val="1"/>
        </w:numPr>
      </w:pPr>
      <w:r>
        <w:t>Dofinansowanie na wypłatę wynagrodzenia za użyczanie w danym roku kalendarzowym odpowiada 5% wartości zakupów materiałów bibliotecznych dokonanych przez biblioteki publiczne w poprzednim roku kalendarzowym, przy czym 75% tej kwoty, po potrąceniu kosztów określenia wysokości i wypłaty wynagrodzenia za użyczanie, jest wypłacane podmiotom, o których mowa w art. 28 ust. 5 pkt 1–3, a 25% podmiotom, o których mowa w art. 28 ust. 5 pkt 4.</w:t>
      </w:r>
    </w:p>
    <w:sectPr w:rsidR="0083525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B71006" w14:textId="77777777" w:rsidR="00A274BC" w:rsidRDefault="00A274BC" w:rsidP="0083525B">
      <w:pPr>
        <w:spacing w:after="0" w:line="240" w:lineRule="auto"/>
      </w:pPr>
      <w:r>
        <w:separator/>
      </w:r>
    </w:p>
  </w:endnote>
  <w:endnote w:type="continuationSeparator" w:id="0">
    <w:p w14:paraId="716C1749" w14:textId="77777777" w:rsidR="00A274BC" w:rsidRDefault="00A274BC" w:rsidP="00835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28602577"/>
      <w:docPartObj>
        <w:docPartGallery w:val="Page Numbers (Bottom of Page)"/>
        <w:docPartUnique/>
      </w:docPartObj>
    </w:sdtPr>
    <w:sdtContent>
      <w:p w14:paraId="23498617" w14:textId="4FBF9B0E" w:rsidR="0083525B" w:rsidRDefault="0083525B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DB4E18" w14:textId="77777777" w:rsidR="0083525B" w:rsidRDefault="0083525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1644C2" w14:textId="77777777" w:rsidR="00A274BC" w:rsidRDefault="00A274BC" w:rsidP="0083525B">
      <w:pPr>
        <w:spacing w:after="0" w:line="240" w:lineRule="auto"/>
      </w:pPr>
      <w:r>
        <w:separator/>
      </w:r>
    </w:p>
  </w:footnote>
  <w:footnote w:type="continuationSeparator" w:id="0">
    <w:p w14:paraId="0A53CB6B" w14:textId="77777777" w:rsidR="00A274BC" w:rsidRDefault="00A274BC" w:rsidP="00835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85CE3" w14:textId="0A8BD87D" w:rsidR="0083525B" w:rsidRDefault="0083525B" w:rsidP="0083525B">
    <w:pPr>
      <w:pStyle w:val="Nagwek"/>
      <w:jc w:val="center"/>
    </w:pPr>
    <w:r>
      <w:t xml:space="preserve">Karol </w:t>
    </w:r>
    <w:proofErr w:type="spellStart"/>
    <w:r>
      <w:t>Kęciński</w:t>
    </w:r>
    <w:proofErr w:type="spellEnd"/>
    <w:r>
      <w:t xml:space="preserve"> OWI Gr.5</w:t>
    </w:r>
  </w:p>
  <w:p w14:paraId="31FCF187" w14:textId="48431D0B" w:rsidR="0083525B" w:rsidRDefault="0083525B" w:rsidP="0083525B">
    <w:pPr>
      <w:pStyle w:val="Nagwek"/>
      <w:jc w:val="center"/>
    </w:pPr>
    <w:r>
      <w:t>Lista 5-4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E7DFE"/>
    <w:multiLevelType w:val="hybridMultilevel"/>
    <w:tmpl w:val="892619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97"/>
    <w:rsid w:val="001C3597"/>
    <w:rsid w:val="0083525B"/>
    <w:rsid w:val="00A274BC"/>
    <w:rsid w:val="00CF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AB418"/>
  <w15:chartTrackingRefBased/>
  <w15:docId w15:val="{CBB15234-A10B-4B1C-B945-1065E9649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C3597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8352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3525B"/>
  </w:style>
  <w:style w:type="paragraph" w:styleId="Stopka">
    <w:name w:val="footer"/>
    <w:basedOn w:val="Normalny"/>
    <w:link w:val="StopkaZnak"/>
    <w:uiPriority w:val="99"/>
    <w:unhideWhenUsed/>
    <w:rsid w:val="008352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35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663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2020-04-10T15:40:00Z</dcterms:created>
  <dcterms:modified xsi:type="dcterms:W3CDTF">2020-04-10T15:56:00Z</dcterms:modified>
</cp:coreProperties>
</file>