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734" w:rsidRDefault="00F70734" w:rsidP="00F70734">
      <w:pPr>
        <w:pStyle w:val="NormalnyWeb"/>
      </w:pPr>
      <w:r>
        <w:t>1. A</w:t>
      </w:r>
      <w:r>
        <w:t xml:space="preserve">utorskie prawa majątkowe mogą przejść na inne osoby w drodze dziedziczenia lub na podstawie umowy. </w:t>
      </w:r>
    </w:p>
    <w:p w:rsidR="00F70734" w:rsidRDefault="00F70734" w:rsidP="00F70734">
      <w:pPr>
        <w:pStyle w:val="NormalnyWeb"/>
      </w:pPr>
      <w:r>
        <w:t xml:space="preserve">2. Minister właściwy do spraw kultury i ochrony dziedzictwa narodowego ogłasza w Biuletynie Informacji Publicznej na swojej stronie podmiotowej konkurs, o którym mowa w ust. 4, oraz jego wynik. </w:t>
      </w:r>
    </w:p>
    <w:p w:rsidR="00F70734" w:rsidRDefault="00F70734" w:rsidP="00F70734">
      <w:pPr>
        <w:pStyle w:val="NormalnyWeb"/>
      </w:pPr>
      <w:r>
        <w:t xml:space="preserve">3. Utworami osieroconymi są: </w:t>
      </w:r>
      <w:r>
        <w:br/>
      </w:r>
      <w:r>
        <w:t xml:space="preserve">1) utwory opublikowane w książkach, dziennikach, czasopismach lub innych formach publikacji drukiem, </w:t>
      </w:r>
      <w:r>
        <w:br/>
      </w:r>
      <w:r>
        <w:t xml:space="preserve">2) utwory audiowizualne, a także utwory zamówione lub włączone do utworów audiowizualnych lub utrwalone na wideogramach, w zakresie korzystania z utworu audiowizualnego lub wideogramu jako całości, </w:t>
      </w:r>
      <w:r>
        <w:br/>
      </w:r>
      <w:r>
        <w:t xml:space="preserve">3) utwory utrwalone na fonogramach </w:t>
      </w:r>
    </w:p>
    <w:p w:rsidR="00F70734" w:rsidRDefault="00F70734" w:rsidP="00F70734">
      <w:pPr>
        <w:pStyle w:val="NormalnyWeb"/>
      </w:pPr>
      <w:r>
        <w:t xml:space="preserve">4. Minister właściwy do spraw kultury i ochrony dziedzictwa narodowego określi, w drodze rozporządzenia, wzór wniosku o wpis do wykazu utworów, mając na uwadze zakres informacji określonych w ust. 2 oraz konieczność ujednolicenia przekazywanych wniosków. </w:t>
      </w:r>
    </w:p>
    <w:p w:rsidR="00F70734" w:rsidRDefault="00F70734" w:rsidP="00F70734">
      <w:pPr>
        <w:pStyle w:val="NormalnyWeb"/>
      </w:pPr>
      <w:r>
        <w:t xml:space="preserve">5. mając na uwadze, że zakres tej dokumentacji ma co najmniej określać warunki uczestnictwa w konkursie, o którym mowa w ust. 1, wymagania, jakim ma odpowiadać oferta i kryteria oceny ofert; </w:t>
      </w:r>
    </w:p>
    <w:p w:rsidR="00F70734" w:rsidRDefault="00F70734" w:rsidP="00F70734">
      <w:pPr>
        <w:pStyle w:val="NormalnyWeb"/>
      </w:pPr>
      <w:r>
        <w:t xml:space="preserve">6. może przenieść je na inne osoby, chyba że umowa stanowi inaczej. 2. Umowa o przeniesienie autorskich praw majątkowych lub umowa o korzystanie z utworu, zwana dalej „licencją”, obejmuje pola eksploatacji wyraźnie w niej wymienione. </w:t>
      </w:r>
    </w:p>
    <w:p w:rsidR="00F70734" w:rsidRDefault="00F70734" w:rsidP="00F70734">
      <w:pPr>
        <w:pStyle w:val="NormalnyWeb"/>
      </w:pPr>
      <w:r>
        <w:t xml:space="preserve">7. Jeżeli nabywca autorskich praw majątkowych lub licencjobiorca, który zobowiązał się do rozpowszechniania utworu, nie przystąpi do rozpowszechniania w umówionym terminie, a w jego braku – w ciągu dwóch lat od przyjęcia utworu, twórca może odstąpić od umowy lub ją wypowiedzieć i domagać się naprawienia szkody po bezskutecznym upływie dodatkowego terminu, nie krótszego niż sześć miesięcy. </w:t>
      </w:r>
    </w:p>
    <w:p w:rsidR="00F70734" w:rsidRDefault="00F70734" w:rsidP="00F70734">
      <w:pPr>
        <w:pStyle w:val="NormalnyWeb"/>
      </w:pPr>
      <w:r>
        <w:t xml:space="preserve">8. mając na uwadze liczbę użyczeń egzemplarzy utworów pozostających w zbiorach bibliotek publicznych oraz rodzaje kosztów, o których mowa w art. 351 ust. 9, a także konieczność zapewnienia, aby koszty te były uzasadnione i udokumentowane a wydatki dokonywane w sposób efektywny i przejrzysty </w:t>
      </w:r>
    </w:p>
    <w:p w:rsidR="00F70734" w:rsidRDefault="00F70734" w:rsidP="00F70734">
      <w:pPr>
        <w:pStyle w:val="NormalnyWeb"/>
      </w:pPr>
      <w:r>
        <w:t xml:space="preserve">9. Organizacja zbiorowego zarządzania, o której mowa w ust. 4, ma prawo przeznaczyć z dodatkowego wynagrodzenia, o którym mowa w ust. 1, nie więcej niż 10% jego wartości na pokrycie ponoszonych przez nią uzasadnionych i udokumentowanych kosztów dochodzenia oraz wypłaty tego wynagrodzenia </w:t>
      </w:r>
    </w:p>
    <w:p w:rsidR="00F70734" w:rsidRDefault="00F70734" w:rsidP="00F70734">
      <w:pPr>
        <w:pStyle w:val="NormalnyWeb"/>
      </w:pPr>
      <w:r>
        <w:t xml:space="preserve">10. Jeżeli z umowy nie wynika, że przeniesienie autorskich praw majątkowych lub udzielenie licencji nastąpiło nieodpłatnie, twórcy przysługuje prawo do wynagrodzenia. </w:t>
      </w:r>
    </w:p>
    <w:p w:rsidR="00F70734" w:rsidRPr="00F70734" w:rsidRDefault="00F70734" w:rsidP="00F70734">
      <w:pPr>
        <w:rPr>
          <w:rFonts w:ascii="Times New Roman" w:eastAsia="Times New Roman" w:hAnsi="Times New Roman" w:cs="Times New Roman"/>
          <w:sz w:val="24"/>
          <w:szCs w:val="24"/>
          <w:lang w:eastAsia="pl-PL"/>
        </w:rPr>
      </w:pPr>
      <w:bookmarkStart w:id="0" w:name="_GoBack"/>
      <w:bookmarkEnd w:id="0"/>
      <w:r>
        <w:t xml:space="preserve">11. Jeżeli wniosek o wpis do wykazu utworów nie zawiera wszystkich informacji wymienionych w ust. 2 pkt 1–5 minister właściwy do spraw kultury i ochrony dziedzictwa narodowego wzywa wnioskodawcę do uzupełnienia wniosku w terminie nie krótszym niż 7 dni pod rygorem jego zwrotu. </w:t>
      </w:r>
    </w:p>
    <w:p w:rsidR="00F70734" w:rsidRDefault="00F70734" w:rsidP="00F70734">
      <w:pPr>
        <w:pStyle w:val="NormalnyWeb"/>
      </w:pPr>
      <w:r>
        <w:lastRenderedPageBreak/>
        <w:t xml:space="preserve">13.. Jeżeli autorskie prawa majątkowe jednego ze współtwórców miałyby przypaść Skarbowi Państwa jako spadkobiercy ustawowemu, część ta przechodzi na pozostałych przy życiu współtwórców lub ich następców prawnych, stosownie do wielkości ich udziałów. </w:t>
      </w:r>
    </w:p>
    <w:p w:rsidR="00F70734" w:rsidRDefault="00F70734" w:rsidP="00F70734">
      <w:pPr>
        <w:pStyle w:val="NormalnyWeb"/>
      </w:pPr>
      <w:r>
        <w:t xml:space="preserve">14. Podstawę do obliczenia wysokości wynagrodzenia za użyczanie, które przypada poszczególnym podmiotom, o których mowa w art. 28 ust. 5, stanowią informacje dotyczące użyczeń egzemplarzy utworów w danym roku kalendarzowym, przekazywane przez biblioteki publiczne ujęte w wykazie, o którym mowa w art. 354 pkt 2, organizacji zbiorowego zarządzania, o której mowa w art. 351 ust. 1, oraz ministrowi właściwemu do spraw kultury i ochrony dziedzictwa narodowego, w terminie 3 miesięcy od zakończenia roku kalendarzowego, za który następuje wypłata wynagrodzenia za użyczanie. </w:t>
      </w:r>
    </w:p>
    <w:p w:rsidR="00F40E6A" w:rsidRDefault="00F70734" w:rsidP="00F70734">
      <w:pPr>
        <w:pStyle w:val="NormalnyWeb"/>
      </w:pPr>
      <w:r>
        <w:t xml:space="preserve">15. W razie rażącej dysproporcji między wynagrodzeniem twórcy a korzyściami nabywcy autorskich praw majątkowych lub licencjobiorcy, twórca może żądać stosownego podwyższenia wynagrodzenia przez sąd. </w:t>
      </w:r>
    </w:p>
    <w:sectPr w:rsidR="00F40E6A">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2093" w:rsidRDefault="00992093" w:rsidP="00F70734">
      <w:pPr>
        <w:spacing w:after="0" w:line="240" w:lineRule="auto"/>
      </w:pPr>
      <w:r>
        <w:separator/>
      </w:r>
    </w:p>
  </w:endnote>
  <w:endnote w:type="continuationSeparator" w:id="0">
    <w:p w:rsidR="00992093" w:rsidRDefault="00992093" w:rsidP="00F70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2206312"/>
      <w:docPartObj>
        <w:docPartGallery w:val="Page Numbers (Bottom of Page)"/>
        <w:docPartUnique/>
      </w:docPartObj>
    </w:sdtPr>
    <w:sdtContent>
      <w:p w:rsidR="00F70734" w:rsidRDefault="00F70734">
        <w:pPr>
          <w:pStyle w:val="Stopka"/>
          <w:jc w:val="center"/>
        </w:pPr>
        <w:r>
          <w:fldChar w:fldCharType="begin"/>
        </w:r>
        <w:r>
          <w:instrText>PAGE   \* MERGEFORMAT</w:instrText>
        </w:r>
        <w:r>
          <w:fldChar w:fldCharType="separate"/>
        </w:r>
        <w:r>
          <w:rPr>
            <w:noProof/>
          </w:rPr>
          <w:t>1</w:t>
        </w:r>
        <w:r>
          <w:fldChar w:fldCharType="end"/>
        </w:r>
      </w:p>
    </w:sdtContent>
  </w:sdt>
  <w:p w:rsidR="00F70734" w:rsidRDefault="00F7073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2093" w:rsidRDefault="00992093" w:rsidP="00F70734">
      <w:pPr>
        <w:spacing w:after="0" w:line="240" w:lineRule="auto"/>
      </w:pPr>
      <w:r>
        <w:separator/>
      </w:r>
    </w:p>
  </w:footnote>
  <w:footnote w:type="continuationSeparator" w:id="0">
    <w:p w:rsidR="00992093" w:rsidRDefault="00992093" w:rsidP="00F70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734" w:rsidRDefault="00F70734" w:rsidP="00F70734">
    <w:pPr>
      <w:pStyle w:val="Nagwek"/>
      <w:jc w:val="center"/>
    </w:pPr>
    <w:r>
      <w:t xml:space="preserve">Karol </w:t>
    </w:r>
    <w:proofErr w:type="spellStart"/>
    <w:r>
      <w:t>Kęciński</w:t>
    </w:r>
    <w:proofErr w:type="spellEnd"/>
    <w:r>
      <w:t xml:space="preserve"> OWI Gr. 5</w:t>
    </w:r>
  </w:p>
  <w:p w:rsidR="00F70734" w:rsidRDefault="00F70734" w:rsidP="00F70734">
    <w:pPr>
      <w:pStyle w:val="Nagwek"/>
      <w:jc w:val="center"/>
    </w:pPr>
    <w:r>
      <w:t>Odpowiedzi do listy 5-9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734"/>
    <w:rsid w:val="002F4866"/>
    <w:rsid w:val="00992093"/>
    <w:rsid w:val="00DD4B29"/>
    <w:rsid w:val="00F7073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2CEE"/>
  <w15:chartTrackingRefBased/>
  <w15:docId w15:val="{95A147EC-3170-4513-80EF-2B3553EE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F70734"/>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Nagwek">
    <w:name w:val="header"/>
    <w:basedOn w:val="Normalny"/>
    <w:link w:val="NagwekZnak"/>
    <w:uiPriority w:val="99"/>
    <w:unhideWhenUsed/>
    <w:rsid w:val="00F7073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70734"/>
  </w:style>
  <w:style w:type="paragraph" w:styleId="Stopka">
    <w:name w:val="footer"/>
    <w:basedOn w:val="Normalny"/>
    <w:link w:val="StopkaZnak"/>
    <w:uiPriority w:val="99"/>
    <w:unhideWhenUsed/>
    <w:rsid w:val="00F7073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70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67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542</Words>
  <Characters>3255</Characters>
  <Application>Microsoft Office Word</Application>
  <DocSecurity>0</DocSecurity>
  <Lines>27</Lines>
  <Paragraphs>7</Paragraphs>
  <ScaleCrop>false</ScaleCrop>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dc:creator>
  <cp:keywords/>
  <dc:description/>
  <cp:lastModifiedBy>Karol</cp:lastModifiedBy>
  <cp:revision>1</cp:revision>
  <dcterms:created xsi:type="dcterms:W3CDTF">2020-05-08T11:52:00Z</dcterms:created>
  <dcterms:modified xsi:type="dcterms:W3CDTF">2020-05-08T11:54:00Z</dcterms:modified>
</cp:coreProperties>
</file>