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49266" w14:textId="342D36BA" w:rsidR="00F40E6A" w:rsidRDefault="00F823A2" w:rsidP="00F823A2">
      <w:pPr>
        <w:pStyle w:val="Akapitzlist"/>
        <w:numPr>
          <w:ilvl w:val="0"/>
          <w:numId w:val="1"/>
        </w:numPr>
      </w:pPr>
      <w:r>
        <w:t>Po</w:t>
      </w:r>
      <w:r>
        <w:t xml:space="preserve"> </w:t>
      </w:r>
      <w:r>
        <w:t xml:space="preserve">podpisaniu </w:t>
      </w:r>
      <w:r>
        <w:t xml:space="preserve">umowy o przeniesienie praw autorskich </w:t>
      </w:r>
      <w:r>
        <w:t>jedyną osobą uprawnioną do korzystania z utworu staje się nabywca</w:t>
      </w:r>
      <w:r>
        <w:t>, a p</w:t>
      </w:r>
      <w:r>
        <w:t>ierwotny uprawniony po jej podpisaniu traci wskazane w umowie prawa majątkowe i nie może z nich korzystać</w:t>
      </w:r>
      <w:r>
        <w:t>, natomiast udzielenie licencji daje prawo do korzystania z utworu kolejnej osobie na określonych zasadach, bez wpływu na prawa autorskie twórcy.</w:t>
      </w:r>
      <w:r w:rsidR="00E61736">
        <w:t xml:space="preserve"> </w:t>
      </w:r>
      <w:r w:rsidR="00E61736">
        <w:t xml:space="preserve">Licencja to po prostu </w:t>
      </w:r>
      <w:proofErr w:type="spellStart"/>
      <w:r w:rsidR="00E61736">
        <w:t>uǳielanie</w:t>
      </w:r>
      <w:proofErr w:type="spellEnd"/>
      <w:r w:rsidR="00E61736">
        <w:t xml:space="preserve"> zgody na konkretne wykorzystanie utworu.</w:t>
      </w:r>
    </w:p>
    <w:p w14:paraId="12656AB3" w14:textId="1CC6E345" w:rsidR="00F823A2" w:rsidRDefault="00F823A2" w:rsidP="00F823A2">
      <w:pPr>
        <w:pStyle w:val="Akapitzlist"/>
        <w:numPr>
          <w:ilvl w:val="0"/>
          <w:numId w:val="1"/>
        </w:numPr>
      </w:pPr>
      <w:r>
        <w:t>Pole eksploatacji to pojęcie oznaczające odrębny sposób korzystania z utworu.</w:t>
      </w:r>
      <w:r>
        <w:t xml:space="preserve"> </w:t>
      </w:r>
      <w:r w:rsidR="00F34556">
        <w:t xml:space="preserve">Przykłady: </w:t>
      </w:r>
      <w:r w:rsidR="00F34556">
        <w:t>technika drukarska</w:t>
      </w:r>
      <w:r w:rsidR="00F34556">
        <w:t xml:space="preserve">, </w:t>
      </w:r>
      <w:r w:rsidR="00F34556">
        <w:t>zapis magnetyczny</w:t>
      </w:r>
      <w:r w:rsidR="00F34556">
        <w:t xml:space="preserve">, </w:t>
      </w:r>
      <w:r w:rsidR="00F34556">
        <w:t>dźwiękowy zapis cy</w:t>
      </w:r>
      <w:r w:rsidR="00F34556">
        <w:t>fr</w:t>
      </w:r>
      <w:r w:rsidR="00F34556">
        <w:t>owy</w:t>
      </w:r>
      <w:r w:rsidR="00F34556">
        <w:t xml:space="preserve">, </w:t>
      </w:r>
      <w:r w:rsidR="00F34556">
        <w:t>publiczne wykonanie</w:t>
      </w:r>
      <w:r w:rsidR="00F34556">
        <w:t xml:space="preserve">, </w:t>
      </w:r>
      <w:r w:rsidR="00F34556">
        <w:t xml:space="preserve">publiczne </w:t>
      </w:r>
      <w:r w:rsidR="00F34556">
        <w:t>odtwarzanie</w:t>
      </w:r>
    </w:p>
    <w:p w14:paraId="150994E0" w14:textId="250D6A0D" w:rsidR="00F34556" w:rsidRDefault="00F34556" w:rsidP="00F823A2">
      <w:pPr>
        <w:pStyle w:val="Akapitzlist"/>
        <w:numPr>
          <w:ilvl w:val="0"/>
          <w:numId w:val="1"/>
        </w:numPr>
      </w:pPr>
      <w:r>
        <w:t>Zdefiniować jako „</w:t>
      </w:r>
      <w:r>
        <w:t>publiczne udostępnianie utworu w taki sposób, aby każdy mógł mieć do niego dostęp w miejscu i w czasie przez siebie wybranym</w:t>
      </w:r>
      <w:r>
        <w:t>”.</w:t>
      </w:r>
    </w:p>
    <w:p w14:paraId="0EAA3444" w14:textId="76DA4DE6" w:rsidR="00F34556" w:rsidRDefault="00E61736" w:rsidP="00F823A2">
      <w:pPr>
        <w:pStyle w:val="Akapitzlist"/>
        <w:numPr>
          <w:ilvl w:val="0"/>
          <w:numId w:val="1"/>
        </w:numPr>
      </w:pPr>
      <w:r>
        <w:t>Licencja może mieć charakter wył</w:t>
      </w:r>
      <w:r w:rsidR="00411F39">
        <w:t>ą</w:t>
      </w:r>
      <w:r>
        <w:t>czny lub niewył</w:t>
      </w:r>
      <w:r w:rsidR="00411F39">
        <w:t>ą</w:t>
      </w:r>
      <w:r>
        <w:t>czny. Niewyłączność licencji oznacza, że licencjobiorca nie ma wyłączności na korzystanie z utworu w zakresie opisanym w umowie.</w:t>
      </w:r>
    </w:p>
    <w:p w14:paraId="55AD4B2F" w14:textId="34535536" w:rsidR="00E61736" w:rsidRDefault="00E61736" w:rsidP="00F823A2">
      <w:pPr>
        <w:pStyle w:val="Akapitzlist"/>
        <w:numPr>
          <w:ilvl w:val="0"/>
          <w:numId w:val="1"/>
        </w:numPr>
      </w:pPr>
      <w:r>
        <w:t xml:space="preserve">Umowa licencyjna niewyłączna może mieć dowolną formę, także ustną. Oczywiście, forma ustna nie zawsze jest dobrym rozwiązaniem, ponieważ zawarcie i zakres takiej umowy jest trudne do udowodnienia i wyegzekwowania w przypadku sporu </w:t>
      </w:r>
      <w:proofErr w:type="spellStart"/>
      <w:r>
        <w:t>pomięǳy</w:t>
      </w:r>
      <w:proofErr w:type="spellEnd"/>
      <w:r>
        <w:t xml:space="preserve"> stronami. Natomiast w </w:t>
      </w:r>
      <w:proofErr w:type="spellStart"/>
      <w:r>
        <w:t>coǳiennych</w:t>
      </w:r>
      <w:proofErr w:type="spellEnd"/>
      <w:r>
        <w:t xml:space="preserve"> sytuacjach, pozbawionych dużego ryzyka, jest ona całkowicie wystarczająca.</w:t>
      </w:r>
    </w:p>
    <w:p w14:paraId="7BF8D9B9" w14:textId="66E9CBAD" w:rsidR="00E61736" w:rsidRDefault="00E61736" w:rsidP="00F823A2">
      <w:pPr>
        <w:pStyle w:val="Akapitzlist"/>
        <w:numPr>
          <w:ilvl w:val="0"/>
          <w:numId w:val="1"/>
        </w:numPr>
      </w:pPr>
      <w:r>
        <w:t xml:space="preserve">Wolna licencja to taka, która zezwala na nieograniczone, nieodpłatne i niewyłączne korzystanie z </w:t>
      </w:r>
      <w:proofErr w:type="spellStart"/>
      <w:r>
        <w:t>ǳieł</w:t>
      </w:r>
      <w:proofErr w:type="spellEnd"/>
      <w:r>
        <w:t xml:space="preserve"> w oryginale i w opracowaniu (dopuszczalne są jedynie minimalne ograniczenia tej swobody: klauzule uznania autorstwa i klauzule </w:t>
      </w:r>
      <w:proofErr w:type="spellStart"/>
      <w:r>
        <w:t>coSyleIt</w:t>
      </w:r>
      <w:proofErr w:type="spellEnd"/>
      <w:r>
        <w:t xml:space="preserve">, o których piszemy w innym </w:t>
      </w:r>
      <w:proofErr w:type="spellStart"/>
      <w:r>
        <w:t>rozǳiale</w:t>
      </w:r>
      <w:proofErr w:type="spellEnd"/>
      <w:r>
        <w:t xml:space="preserve">). Wolne licencje to takie publiczne umowy licencyjne </w:t>
      </w:r>
      <w:proofErr w:type="spellStart"/>
      <w:r>
        <w:t>mięǳy</w:t>
      </w:r>
      <w:proofErr w:type="spellEnd"/>
      <w:r>
        <w:t xml:space="preserve"> twórcą i korzystającymi utworu, które gwarantują korzystającym pełne, niczym nie ograniczone prawo do korzystania z utworu — w dowolny sposób, </w:t>
      </w:r>
      <w:proofErr w:type="spellStart"/>
      <w:r>
        <w:t>wszęǳie</w:t>
      </w:r>
      <w:proofErr w:type="spellEnd"/>
      <w:r>
        <w:t xml:space="preserve"> i zawsze.</w:t>
      </w:r>
    </w:p>
    <w:p w14:paraId="3237931A" w14:textId="681390C0" w:rsidR="00E61736" w:rsidRDefault="00411F39" w:rsidP="00F823A2">
      <w:pPr>
        <w:pStyle w:val="Akapitzlist"/>
        <w:numPr>
          <w:ilvl w:val="0"/>
          <w:numId w:val="1"/>
        </w:numPr>
      </w:pPr>
      <w:r>
        <w:t xml:space="preserve">Autorem koncepcji wolnych licencji jest Richard Stallman. Stallman jako programista zaproponował oryginalny zestaw czterech wolności w odniesieniu do korzystania z programów komputerowych. Jednak zaprojektowane przez niego zasady mają charakter uniwersalny i stosowane mogą być do budowy licencji umożliwiających korzystanie także z innego </w:t>
      </w:r>
      <w:proofErr w:type="spellStart"/>
      <w:r>
        <w:t>roǳaju</w:t>
      </w:r>
      <w:proofErr w:type="spellEnd"/>
      <w:r>
        <w:t xml:space="preserve"> utworów.</w:t>
      </w:r>
    </w:p>
    <w:p w14:paraId="51A5017F" w14:textId="2F0318A4" w:rsidR="00411F39" w:rsidRDefault="00411F39" w:rsidP="00F823A2">
      <w:pPr>
        <w:pStyle w:val="Akapitzlist"/>
        <w:numPr>
          <w:ilvl w:val="0"/>
          <w:numId w:val="1"/>
        </w:numPr>
      </w:pPr>
      <w:r>
        <w:t>Wolności:</w:t>
      </w:r>
    </w:p>
    <w:p w14:paraId="24D51529" w14:textId="1E96E9F8" w:rsidR="00411F39" w:rsidRDefault="00411F39" w:rsidP="00411F39">
      <w:pPr>
        <w:pStyle w:val="Akapitzlist"/>
      </w:pPr>
      <w:r>
        <w:rPr>
          <w:noProof/>
        </w:rPr>
        <w:drawing>
          <wp:inline distT="0" distB="0" distL="0" distR="0" wp14:anchorId="43EA29FB" wp14:editId="095962C5">
            <wp:extent cx="5581650" cy="2019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90CF" w14:textId="006D70B7" w:rsidR="00411F39" w:rsidRDefault="00411F39" w:rsidP="00411F39">
      <w:pPr>
        <w:pStyle w:val="Akapitzlist"/>
        <w:numPr>
          <w:ilvl w:val="0"/>
          <w:numId w:val="1"/>
        </w:numPr>
      </w:pPr>
      <w:r>
        <w:t xml:space="preserve">Utwory objęte wolną licencją nie muszą automatycznie być dostępne za darmo. Richard Stallman definiując zasady wolnego oprogramowania pisze wprost: „Wolne oprogramowanie” nie oznacza „niekomercyjne”. Wolny program musi być dostępny do komercyjnego wykorzystywania, komercyjnego rozwĳania i komercyjnego rozpowszechniania. Komercyjny rozwój wolnych programów nie jest już niczym niezwykłym; takie wolne komercyjne oprogramowanie jest </w:t>
      </w:r>
      <w:proofErr w:type="spellStart"/>
      <w:r>
        <w:t>barǳo</w:t>
      </w:r>
      <w:proofErr w:type="spellEnd"/>
      <w:r>
        <w:t xml:space="preserve"> ważne. Możliwe, że zapłaciliście za kopie wolnych programów, mogliście też otrzymać je bezpłatnie. Ale bez względu na to, w </w:t>
      </w:r>
      <w:r>
        <w:lastRenderedPageBreak/>
        <w:t>jaki sposób je otrzymaliście, zawsze macie wolność do kopiowania i modyfikowania programów, a nawet sprzedawania kopii</w:t>
      </w:r>
      <w:r>
        <w:t>.</w:t>
      </w:r>
    </w:p>
    <w:p w14:paraId="63185697" w14:textId="77777777" w:rsidR="00411F39" w:rsidRPr="00411F39" w:rsidRDefault="00411F39" w:rsidP="00411F39">
      <w:pPr>
        <w:pStyle w:val="Normalny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GNU General Public License (GPL) – </w:t>
      </w:r>
      <w:hyperlink r:id="rId9" w:tooltip="Licencja oprogramowania" w:history="1"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licencja</w:t>
        </w:r>
      </w:hyperlink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hyperlink r:id="rId10" w:tooltip="Wolne oprogramowanie" w:history="1"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wolnego</w:t>
        </w:r>
      </w:hyperlink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 i </w:t>
      </w:r>
      <w:hyperlink r:id="rId11" w:tooltip="Otwarte oprogramowanie" w:history="1"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otwartego oprogramowania</w:t>
        </w:r>
      </w:hyperlink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 stworzona w 1989 rok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u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 przez </w:t>
      </w:r>
      <w:hyperlink r:id="rId12" w:tooltip="Richard Stallman" w:history="1"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Richarda Stallmana</w:t>
        </w:r>
      </w:hyperlink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 i </w:t>
      </w:r>
      <w:proofErr w:type="spellStart"/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instrText xml:space="preserve"> HYPERLINK "https://pl.wikipedia.org/wiki/Eben_Moglen" \o "Eben Moglen" </w:instrTex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Ebena</w:t>
      </w:r>
      <w:proofErr w:type="spellEnd"/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Moglena</w:t>
      </w:r>
      <w:proofErr w:type="spellEnd"/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 na potrzeby </w:t>
      </w:r>
      <w:hyperlink r:id="rId13" w:tooltip="Projekt GNU" w:history="1"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Projektu GNU</w:t>
        </w:r>
      </w:hyperlink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, zatwierdzona przez </w:t>
      </w:r>
      <w:hyperlink r:id="rId14" w:tooltip="Open Source Initiative" w:history="1"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 xml:space="preserve">Open Source </w:t>
        </w:r>
        <w:proofErr w:type="spellStart"/>
        <w:r w:rsidRPr="00411F39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Initiative</w:t>
        </w:r>
        <w:proofErr w:type="spellEnd"/>
      </w:hyperlink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Celem licencji GNU GPL jest przekazanie użytkownikom czterech podstawowych wolności:</w:t>
      </w:r>
    </w:p>
    <w:p w14:paraId="6230717A" w14:textId="03B979AD" w:rsidR="00411F39" w:rsidRPr="00411F39" w:rsidRDefault="00411F39" w:rsidP="006D6B78">
      <w:pPr>
        <w:pStyle w:val="NormalnyWeb"/>
        <w:shd w:val="clear" w:color="auto" w:fill="FFFFFF"/>
        <w:spacing w:before="120" w:beforeAutospacing="0" w:after="120" w:afterAutospacing="0"/>
        <w:ind w:left="1416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wolność uruchamiania programu w dowolnym celu (wolność 0)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wolność analizowania, jak program działa i dostosowywania go do swoich potrzeb (wolność 1)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wolność rozpowszechniania niezmodyfikowanej kopii programu (wolność 2)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- </w:t>
      </w:r>
      <w:r w:rsidRPr="00411F39">
        <w:rPr>
          <w:rFonts w:asciiTheme="minorHAnsi" w:eastAsiaTheme="minorHAnsi" w:hAnsiTheme="minorHAnsi" w:cstheme="minorBidi"/>
          <w:sz w:val="22"/>
          <w:szCs w:val="22"/>
          <w:lang w:eastAsia="en-US"/>
        </w:rPr>
        <w:t>wolność udoskonalania programu i publicznego rozpowszechniania własnych ulepszeń, dzięki czemu może z nich skorzystać cała społeczność (wolność 3)</w:t>
      </w:r>
    </w:p>
    <w:p w14:paraId="0189D79A" w14:textId="114FC92E" w:rsidR="00411F39" w:rsidRDefault="006D6B78" w:rsidP="00411F39">
      <w:pPr>
        <w:pStyle w:val="Akapitzlist"/>
        <w:numPr>
          <w:ilvl w:val="0"/>
          <w:numId w:val="1"/>
        </w:numPr>
      </w:pPr>
      <w:r>
        <w:t xml:space="preserve">Ważnym elementem niektórych wolnych </w:t>
      </w:r>
      <w:proofErr w:type="spellStart"/>
      <w:r>
        <w:t>liencji</w:t>
      </w:r>
      <w:proofErr w:type="spellEnd"/>
      <w:r>
        <w:t xml:space="preserve"> jest tzw. </w:t>
      </w:r>
      <w:proofErr w:type="spellStart"/>
      <w:r>
        <w:t>Copyleft</w:t>
      </w:r>
      <w:proofErr w:type="spellEnd"/>
      <w:r>
        <w:t xml:space="preserve">. To </w:t>
      </w:r>
      <w:proofErr w:type="spellStart"/>
      <w:r>
        <w:t>narzęǳie</w:t>
      </w:r>
      <w:proofErr w:type="spellEnd"/>
      <w:r>
        <w:t xml:space="preserve"> pozwalające na zachowanie wolności użytkownika w kolejnych utworach zależnych. </w:t>
      </w:r>
      <w:proofErr w:type="spellStart"/>
      <w:r>
        <w:t>Copyleft</w:t>
      </w:r>
      <w:proofErr w:type="spellEnd"/>
      <w:r>
        <w:t xml:space="preserve"> </w:t>
      </w:r>
      <w:r>
        <w:t xml:space="preserve">to prosta gra językowa ze słowem </w:t>
      </w:r>
      <w:proofErr w:type="spellStart"/>
      <w:r>
        <w:t>Copyleft</w:t>
      </w:r>
      <w:proofErr w:type="spellEnd"/>
      <w:r>
        <w:t xml:space="preserve">, oznaczającym pełne zastrzeżenie praw do utworów. </w:t>
      </w:r>
      <w:proofErr w:type="spellStart"/>
      <w:r>
        <w:t>Copyleft</w:t>
      </w:r>
      <w:proofErr w:type="spellEnd"/>
      <w:r>
        <w:t xml:space="preserve"> </w:t>
      </w:r>
      <w:r>
        <w:t xml:space="preserve">odwraca ten stan, gwarantując użytkownikowi pełną wolność korzystania z nich. Zamiast ograniczać jego prawa, poszerza je względem standardowej formuły „wszystkie prawa zastrzeżone”. Mechanizm </w:t>
      </w:r>
      <w:proofErr w:type="spellStart"/>
      <w:r>
        <w:t>Copyleft</w:t>
      </w:r>
      <w:r>
        <w:t>u</w:t>
      </w:r>
      <w:r>
        <w:t>nakłada</w:t>
      </w:r>
      <w:proofErr w:type="spellEnd"/>
      <w:r>
        <w:t xml:space="preserve"> na twórcę ǳieła zależnego obowiązek udostępnienia go na tej samej licencji, na jakiej udostępniono oryginalny utwór.</w:t>
      </w:r>
    </w:p>
    <w:p w14:paraId="481A8D17" w14:textId="13B2A559" w:rsidR="006D6B78" w:rsidRDefault="006D6B78" w:rsidP="00411F39">
      <w:pPr>
        <w:pStyle w:val="Akapitzlist"/>
        <w:numPr>
          <w:ilvl w:val="0"/>
          <w:numId w:val="1"/>
        </w:numPr>
      </w:pPr>
      <w:r>
        <w:t xml:space="preserve">Creative </w:t>
      </w:r>
      <w:proofErr w:type="spellStart"/>
      <w:r>
        <w:t>Commons</w:t>
      </w:r>
      <w:proofErr w:type="spellEnd"/>
      <w:r>
        <w:t xml:space="preserve"> to amerykańska organizacja pozarządowa, która stworzyła własny system licencji i wciąż zajmuje się jego rozwĳaniem. Licencje Creative </w:t>
      </w:r>
      <w:proofErr w:type="spellStart"/>
      <w:r>
        <w:t>Commons</w:t>
      </w:r>
      <w:proofErr w:type="spellEnd"/>
      <w:r>
        <w:t xml:space="preserve"> to gotowe rozwiązanie prawne, z których można skorzystać od razu bez konieczności przygotowania własnej treści licencji. Skorzystanie z licencji z punktu </w:t>
      </w:r>
      <w:proofErr w:type="spellStart"/>
      <w:r>
        <w:t>wiǳenia</w:t>
      </w:r>
      <w:proofErr w:type="spellEnd"/>
      <w:r>
        <w:t xml:space="preserve"> twórcy polega na oznaczeniu nią swojego utworu. Powoduje to </w:t>
      </w:r>
      <w:proofErr w:type="spellStart"/>
      <w:r>
        <w:t>uǳielenie</w:t>
      </w:r>
      <w:proofErr w:type="spellEnd"/>
      <w:r>
        <w:t xml:space="preserve"> każdemu odbiorcy utworu zezwolenia na korzystanie z tego utworu w zakresie określonym w licencji. Z punktu </w:t>
      </w:r>
      <w:proofErr w:type="spellStart"/>
      <w:r>
        <w:t>wiǳenia</w:t>
      </w:r>
      <w:proofErr w:type="spellEnd"/>
      <w:r>
        <w:t xml:space="preserve"> użytkownika, skorzystanie z licencji to wykonanie określonych w niej uprawnień w stosunku do utworu wcześniej udostępnionego na tej licencji przez twórcę.</w:t>
      </w:r>
    </w:p>
    <w:p w14:paraId="477DF138" w14:textId="2145D8B1" w:rsidR="006D6B78" w:rsidRDefault="006D6B78" w:rsidP="006D6B78">
      <w:pPr>
        <w:ind w:firstLine="360"/>
      </w:pPr>
      <w:r>
        <w:t xml:space="preserve">13-16. </w:t>
      </w:r>
    </w:p>
    <w:p w14:paraId="0F96B00E" w14:textId="661E493D" w:rsidR="006D6B78" w:rsidRDefault="006D6B78" w:rsidP="006D6B78">
      <w:pPr>
        <w:ind w:firstLine="360"/>
      </w:pPr>
      <w:r>
        <w:rPr>
          <w:noProof/>
        </w:rPr>
        <w:drawing>
          <wp:inline distT="0" distB="0" distL="0" distR="0" wp14:anchorId="2293FCE0" wp14:editId="2258E60F">
            <wp:extent cx="5657850" cy="3390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9C1A" w14:textId="50FE3A77" w:rsidR="006D6B78" w:rsidRDefault="006D6B78" w:rsidP="006D6B78">
      <w:pPr>
        <w:ind w:firstLine="360"/>
      </w:pPr>
      <w:r>
        <w:rPr>
          <w:noProof/>
        </w:rPr>
        <w:lastRenderedPageBreak/>
        <w:drawing>
          <wp:inline distT="0" distB="0" distL="0" distR="0" wp14:anchorId="75200D5A" wp14:editId="69AD32C0">
            <wp:extent cx="5562600" cy="2790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D42D" w14:textId="1ED836FF" w:rsidR="006D6B78" w:rsidRDefault="00375B30" w:rsidP="006D6B78">
      <w:pPr>
        <w:ind w:firstLine="360"/>
      </w:pPr>
      <w:r>
        <w:t>17. Wolno udostępnić utwór powiadamiając, kto jest jego autorem, nie wolno udostępniać go jako swojego własnego.</w:t>
      </w:r>
    </w:p>
    <w:p w14:paraId="27EF4102" w14:textId="188DE39B" w:rsidR="00375B30" w:rsidRDefault="00375B30" w:rsidP="00375B30">
      <w:pPr>
        <w:ind w:firstLine="360"/>
      </w:pPr>
      <w:r>
        <w:t>18. Wolno rozpowszechnić utwór na tych samych warunkach, nie wolno ograniczyć w licencji praw ani ich poszerzyć.</w:t>
      </w:r>
    </w:p>
    <w:p w14:paraId="1661750C" w14:textId="347BB03E" w:rsidR="00375B30" w:rsidRDefault="00375B30" w:rsidP="00375B30">
      <w:pPr>
        <w:ind w:firstLine="360"/>
      </w:pPr>
      <w:r>
        <w:t>19. Wolno udostępnić utwór powiadamiając kto jest jego autorem, nie wolno czerpać z tego korzyści majątkowych.</w:t>
      </w:r>
    </w:p>
    <w:p w14:paraId="58484A86" w14:textId="43D0C732" w:rsidR="00375B30" w:rsidRDefault="00375B30" w:rsidP="00375B30">
      <w:pPr>
        <w:ind w:firstLine="360"/>
      </w:pPr>
      <w:r>
        <w:t xml:space="preserve">20. </w:t>
      </w:r>
      <w:r>
        <w:t>Wolno udostępnić utwór powiadamiając kto jest jego autorem,</w:t>
      </w:r>
      <w:r>
        <w:t xml:space="preserve"> nie wolno zawrzeć części utworu w swoim utworze.</w:t>
      </w:r>
    </w:p>
    <w:p w14:paraId="3B76B4FD" w14:textId="2F7F153F" w:rsidR="00375B30" w:rsidRDefault="00375B30" w:rsidP="00375B30">
      <w:pPr>
        <w:ind w:firstLine="360"/>
      </w:pPr>
      <w:r>
        <w:t xml:space="preserve">21. </w:t>
      </w:r>
      <w:r>
        <w:t xml:space="preserve">Wolno udostępnić utwór powiadamiając kto jest jego autorem, </w:t>
      </w:r>
      <w:r>
        <w:t xml:space="preserve">lub zawrzeć utwór w swoim utworze, </w:t>
      </w:r>
      <w:r>
        <w:t xml:space="preserve">nie wolno </w:t>
      </w:r>
      <w:r>
        <w:t>zmienić licencji tak, aby czerpać korzyści finansowe z utworu.</w:t>
      </w:r>
    </w:p>
    <w:p w14:paraId="49D3B651" w14:textId="2A41F52A" w:rsidR="00375B30" w:rsidRDefault="00375B30" w:rsidP="00375B30">
      <w:pPr>
        <w:ind w:firstLine="360"/>
      </w:pPr>
      <w:r>
        <w:t xml:space="preserve">22. </w:t>
      </w:r>
      <w:r>
        <w:t>Wolno udostępnić utwór powiadamiając kto jest jego autorem, nie wolno zmienić licencji tak, aby czerpać korzyści finansowe z utworu</w:t>
      </w:r>
      <w:r>
        <w:t xml:space="preserve"> ani zawrzeć utworu w naszym utworze.</w:t>
      </w:r>
    </w:p>
    <w:p w14:paraId="3F67171D" w14:textId="04E6B2BB" w:rsidR="00375B30" w:rsidRDefault="00375B30" w:rsidP="00375B30">
      <w:pPr>
        <w:ind w:firstLine="360"/>
      </w:pPr>
      <w:r>
        <w:t xml:space="preserve">23. </w:t>
      </w:r>
      <w:r>
        <w:br/>
        <w:t xml:space="preserve">- </w:t>
      </w:r>
      <w:r>
        <w:t>informacja o autorze lub autorach, albo o innym niż autor(</w:t>
      </w:r>
      <w:proofErr w:type="spellStart"/>
      <w:r>
        <w:t>rzy</w:t>
      </w:r>
      <w:proofErr w:type="spellEnd"/>
      <w:r>
        <w:t xml:space="preserve">) licencjodawcy, </w:t>
      </w:r>
      <w:r>
        <w:br/>
        <w:t xml:space="preserve">- </w:t>
      </w:r>
      <w:r>
        <w:t xml:space="preserve">źródło (adres bibliograficzny z tytułem utworu lub link, jeśli wykorzystywany utwór jest dostępny w sieci), </w:t>
      </w:r>
      <w:r>
        <w:br/>
        <w:t xml:space="preserve">- </w:t>
      </w:r>
      <w:r>
        <w:t xml:space="preserve">dokładna nazwa licencji z odnośnikiem do strony licencji w serwisie Creative </w:t>
      </w:r>
      <w:proofErr w:type="spellStart"/>
      <w:r>
        <w:t>Commons</w:t>
      </w:r>
      <w:proofErr w:type="spellEnd"/>
      <w:r>
        <w:t xml:space="preserve"> lub — w przypadku druku — adresem URL do niej.</w:t>
      </w:r>
    </w:p>
    <w:p w14:paraId="2163674F" w14:textId="702FDA86" w:rsidR="00375B30" w:rsidRDefault="00375B30" w:rsidP="00375B30">
      <w:pPr>
        <w:ind w:firstLine="360"/>
      </w:pPr>
      <w:r>
        <w:t xml:space="preserve">24. </w:t>
      </w:r>
      <w:r>
        <w:t>W przypadku utworu posiadającego wielu autorów wymieniamy ich wszystkich, w granicach możliwości. Stosować można znane z opisów bibliograficznych skróty (np. i in.) lub udostępnić link do strony z informacją o wszystkich autorach, jak to robi się w przypadku wykorzystywania haseł z Wikipedii.</w:t>
      </w:r>
    </w:p>
    <w:p w14:paraId="76DF4648" w14:textId="1FECE6C6" w:rsidR="00375B30" w:rsidRDefault="00375B30" w:rsidP="00375B30">
      <w:pPr>
        <w:ind w:firstLine="360"/>
      </w:pPr>
      <w:r>
        <w:t xml:space="preserve">25. </w:t>
      </w:r>
      <w:r>
        <w:t xml:space="preserve">Rozpowszechniając </w:t>
      </w:r>
      <w:proofErr w:type="spellStart"/>
      <w:r>
        <w:t>cuǳy</w:t>
      </w:r>
      <w:proofErr w:type="spellEnd"/>
      <w:r>
        <w:t xml:space="preserve"> utwór, zobowiązani jesteśmy także do podania informacji pozwalającej na zidentyfikowanie jego źródła. Tradycyjnie taką informację podaje się w formie adresu bibliograficznego — podając tytuł utworu, a czasami także wydawcę, miejsce i rok wydania. W czasach </w:t>
      </w:r>
      <w:proofErr w:type="spellStart"/>
      <w:r>
        <w:t>internetu</w:t>
      </w:r>
      <w:proofErr w:type="spellEnd"/>
      <w:r>
        <w:t xml:space="preserve"> adres bibliograficzny coraz częściej zastępowany jest po prostu przez link do źródła, co pozwala precyzyjnie określić </w:t>
      </w:r>
      <w:proofErr w:type="spellStart"/>
      <w:r>
        <w:t>pochoǳenie</w:t>
      </w:r>
      <w:proofErr w:type="spellEnd"/>
      <w:r>
        <w:t xml:space="preserve"> materiału.</w:t>
      </w:r>
    </w:p>
    <w:p w14:paraId="5E5E0A54" w14:textId="5F0B91AE" w:rsidR="00375B30" w:rsidRDefault="00375B30" w:rsidP="00375B30">
      <w:pPr>
        <w:ind w:firstLine="360"/>
      </w:pPr>
      <w:r>
        <w:lastRenderedPageBreak/>
        <w:t xml:space="preserve">26. </w:t>
      </w:r>
      <w:r w:rsidR="009C4183">
        <w:t xml:space="preserve">Precyzyjne określenie licencji, na której dostępny jest utwór, jest niezmiernie ważne, bo </w:t>
      </w:r>
      <w:proofErr w:type="spellStart"/>
      <w:r w:rsidR="009C4183">
        <w:t>ǳięki</w:t>
      </w:r>
      <w:proofErr w:type="spellEnd"/>
      <w:r w:rsidR="009C4183">
        <w:t xml:space="preserve"> temu użytkownicy znają szczegółowo reguły, których powinni przestrzegać. Powinna więc to być precyzyjna nazwa licencji, np. „</w:t>
      </w:r>
      <w:proofErr w:type="spellStart"/>
      <w:r w:rsidR="009C4183">
        <w:t>Free</w:t>
      </w:r>
      <w:proofErr w:type="spellEnd"/>
      <w:r w:rsidR="009C4183">
        <w:t xml:space="preserve"> Art License </w:t>
      </w:r>
      <w:r w:rsidR="009C4183">
        <w:rPr>
          <w:rFonts w:ascii="MS Gothic" w:eastAsia="MS Gothic" w:hAnsi="MS Gothic" w:cs="MS Gothic" w:hint="eastAsia"/>
        </w:rPr>
        <w:t>⒈</w:t>
      </w:r>
      <w:r w:rsidR="009C4183">
        <w:t>3</w:t>
      </w:r>
      <w:r w:rsidR="009C4183">
        <w:rPr>
          <w:rFonts w:ascii="Calibri" w:hAnsi="Calibri" w:cs="Calibri"/>
        </w:rPr>
        <w:t>”</w:t>
      </w:r>
      <w:r w:rsidR="009C4183">
        <w:t xml:space="preserve"> albo </w:t>
      </w:r>
      <w:r w:rsidR="009C4183">
        <w:rPr>
          <w:rFonts w:ascii="Calibri" w:hAnsi="Calibri" w:cs="Calibri"/>
        </w:rPr>
        <w:t>„</w:t>
      </w:r>
      <w:r w:rsidR="009C4183">
        <w:t xml:space="preserve">Creative </w:t>
      </w:r>
      <w:proofErr w:type="spellStart"/>
      <w:r w:rsidR="009C4183">
        <w:t>Commons</w:t>
      </w:r>
      <w:proofErr w:type="spellEnd"/>
      <w:r w:rsidR="009C4183">
        <w:t xml:space="preserve"> Uznanie Autorstwa — Na Tych Samych Warunkach </w:t>
      </w:r>
      <w:r w:rsidR="009C4183">
        <w:rPr>
          <w:rFonts w:ascii="MS Gothic" w:eastAsia="MS Gothic" w:hAnsi="MS Gothic" w:cs="MS Gothic" w:hint="eastAsia"/>
        </w:rPr>
        <w:t>⒊</w:t>
      </w:r>
      <w:r w:rsidR="009C4183">
        <w:t xml:space="preserve"> 0 PL</w:t>
      </w:r>
      <w:r w:rsidR="009C4183">
        <w:rPr>
          <w:rFonts w:ascii="Calibri" w:hAnsi="Calibri" w:cs="Calibri"/>
        </w:rPr>
        <w:t>”</w:t>
      </w:r>
      <w:r w:rsidR="009C4183">
        <w:t>. Dopuszczalne jest u</w:t>
      </w:r>
      <w:r w:rsidR="009C4183">
        <w:rPr>
          <w:rFonts w:ascii="Calibri" w:hAnsi="Calibri" w:cs="Calibri"/>
        </w:rPr>
        <w:t>ż</w:t>
      </w:r>
      <w:r w:rsidR="009C4183">
        <w:t>ycie skr</w:t>
      </w:r>
      <w:r w:rsidR="009C4183">
        <w:rPr>
          <w:rFonts w:ascii="Calibri" w:hAnsi="Calibri" w:cs="Calibri"/>
        </w:rPr>
        <w:t>ó</w:t>
      </w:r>
      <w:r w:rsidR="009C4183">
        <w:t>tu, np. FAL lub CC BY-SA ze wskazaniem numeru wersji licencji. Konieczne jest także podanie linku do pełnego tekstu licencji. Odnośnik taki musi być bezwzględnie umieszczony nawet przy utworach rozpowszechnianych na fizycznych nośnikach (np. w publikacjach drukowanych).</w:t>
      </w:r>
    </w:p>
    <w:p w14:paraId="59E0AAAF" w14:textId="1497C564" w:rsidR="009C4183" w:rsidRDefault="009C4183" w:rsidP="00375B30">
      <w:pPr>
        <w:ind w:firstLine="360"/>
      </w:pPr>
      <w:r>
        <w:t xml:space="preserve">27. </w:t>
      </w:r>
      <w:r w:rsidR="00D048A1">
        <w:t xml:space="preserve">Należy </w:t>
      </w:r>
      <w:proofErr w:type="spellStart"/>
      <w:r w:rsidR="00D048A1">
        <w:t>d</w:t>
      </w:r>
      <w:r w:rsidR="00D048A1">
        <w:t>odaj</w:t>
      </w:r>
      <w:r w:rsidR="00D048A1">
        <w:t>ć</w:t>
      </w:r>
      <w:proofErr w:type="spellEnd"/>
      <w:r w:rsidR="00D048A1">
        <w:t xml:space="preserve"> na stronie czytelną informację o warunkach, na jakich korzysta</w:t>
      </w:r>
      <w:r w:rsidR="00D048A1">
        <w:t xml:space="preserve"> się </w:t>
      </w:r>
      <w:r w:rsidR="00D048A1">
        <w:t>z tej encyklopedii</w:t>
      </w:r>
      <w:r w:rsidR="00D048A1">
        <w:t>.</w:t>
      </w:r>
    </w:p>
    <w:p w14:paraId="1D7C40CE" w14:textId="46BD53F7" w:rsidR="00D048A1" w:rsidRDefault="00D048A1" w:rsidP="00375B30">
      <w:pPr>
        <w:ind w:firstLine="360"/>
      </w:pPr>
      <w:r>
        <w:t xml:space="preserve">28. </w:t>
      </w:r>
      <w:r>
        <w:t xml:space="preserve">W opisie </w:t>
      </w:r>
      <w:r>
        <w:t xml:space="preserve">powinna </w:t>
      </w:r>
      <w:r>
        <w:t>znal</w:t>
      </w:r>
      <w:r>
        <w:t>eźć</w:t>
      </w:r>
      <w:r>
        <w:t xml:space="preserve"> się informacja o autorze</w:t>
      </w:r>
      <w:r>
        <w:t xml:space="preserve">, </w:t>
      </w:r>
      <w:r>
        <w:t>źródle oraz wykorzystanej licencji (wraz z obowiązkowym odnośnikiem do tekstu licencji).</w:t>
      </w:r>
    </w:p>
    <w:p w14:paraId="684B0C36" w14:textId="7247D8FF" w:rsidR="00D048A1" w:rsidRDefault="00D048A1" w:rsidP="00375B30">
      <w:pPr>
        <w:ind w:firstLine="360"/>
      </w:pPr>
      <w:r>
        <w:t xml:space="preserve">29. </w:t>
      </w:r>
      <w:r w:rsidR="00E95A88">
        <w:t>Należy sporządzić tabelkę (spis) utworów, autorów i źródeł, z których się korzystało.</w:t>
      </w:r>
    </w:p>
    <w:p w14:paraId="495C925E" w14:textId="5139372A" w:rsidR="00E95A88" w:rsidRDefault="00E95A88" w:rsidP="00375B30">
      <w:pPr>
        <w:ind w:firstLine="360"/>
      </w:pPr>
      <w:r>
        <w:t>30</w:t>
      </w:r>
      <w:r w:rsidR="003F665B">
        <w:t>-31</w:t>
      </w:r>
      <w:r>
        <w:t xml:space="preserve">. </w:t>
      </w:r>
      <w:r w:rsidR="003F665B">
        <w:t xml:space="preserve">Rozpowszechnienie się Internetu, jako </w:t>
      </w:r>
      <w:proofErr w:type="spellStart"/>
      <w:r w:rsidR="003F665B">
        <w:t>narzęǳia</w:t>
      </w:r>
      <w:proofErr w:type="spellEnd"/>
      <w:r w:rsidR="003F665B">
        <w:t xml:space="preserve"> umożliwiającego szybkie kopiowanie, rozpowszechnianie, przetwarzanie i </w:t>
      </w:r>
      <w:proofErr w:type="spellStart"/>
      <w:r w:rsidR="003F665B">
        <w:t>ǳielenie</w:t>
      </w:r>
      <w:proofErr w:type="spellEnd"/>
      <w:r w:rsidR="003F665B">
        <w:t xml:space="preserve"> się informacjami, sprawiło, że monopole intelektualne wkroczyły z całą mocą do </w:t>
      </w:r>
      <w:proofErr w:type="spellStart"/>
      <w:r w:rsidR="003F665B">
        <w:t>coǳiennego</w:t>
      </w:r>
      <w:proofErr w:type="spellEnd"/>
      <w:r w:rsidR="003F665B">
        <w:t xml:space="preserve"> życia obywateli. W zderzeniu z nową technologią, obiecującą powszechny dostęp do kultury i uczestnictwo w niej, zwłaszcza ekspansywne prawo autorskie zaczęło jawić się jako opresyjne i szkodliwe. W wyniku tego zderzenia </w:t>
      </w:r>
      <w:proofErr w:type="spellStart"/>
      <w:r w:rsidR="003F665B">
        <w:t>naroǳił</w:t>
      </w:r>
      <w:proofErr w:type="spellEnd"/>
      <w:r w:rsidR="003F665B">
        <w:t xml:space="preserve"> się ruch Wolnej Kultury, głoszący wolność korzystania z dóbr kultury. Ruch Wolnej Kultury obficie czerpie z doświadczeń ruchu Wolnego Oprogramowania, który powstał w latach 80. XX wieku jako reakcja na proces </w:t>
      </w:r>
      <w:proofErr w:type="spellStart"/>
      <w:r w:rsidR="003F665B">
        <w:t>utowarowiania</w:t>
      </w:r>
      <w:proofErr w:type="spellEnd"/>
      <w:r w:rsidR="003F665B">
        <w:t xml:space="preserve"> programów komputerowych, przez co użytkownicy — sami często będący programistami — zostali pozbawieni możliwości ulepszania, dostosowywania do swoich potrzeb, a nawet szczegółowego zapoznawania się z </w:t>
      </w:r>
      <w:proofErr w:type="spellStart"/>
      <w:r w:rsidR="003F665B">
        <w:t>ǳiałaniem</w:t>
      </w:r>
      <w:proofErr w:type="spellEnd"/>
      <w:r w:rsidR="003F665B">
        <w:t xml:space="preserve"> posiadanych przez siebie kopii programów</w:t>
      </w:r>
    </w:p>
    <w:p w14:paraId="56BC1637" w14:textId="0A3A20C1" w:rsidR="003F665B" w:rsidRDefault="003F665B" w:rsidP="00375B30">
      <w:pPr>
        <w:ind w:firstLine="360"/>
      </w:pPr>
      <w:r>
        <w:t xml:space="preserve">32. </w:t>
      </w:r>
      <w:r>
        <w:t xml:space="preserve">Niektóre formy </w:t>
      </w:r>
      <w:proofErr w:type="spellStart"/>
      <w:r>
        <w:t>ǳiałalności</w:t>
      </w:r>
      <w:proofErr w:type="spellEnd"/>
      <w:r>
        <w:t xml:space="preserve"> siłą rzeczy oznaczają korzystanie z setek i tysięcy utworów — tak na przykład </w:t>
      </w:r>
      <w:proofErr w:type="spellStart"/>
      <w:r>
        <w:t>ǳiała</w:t>
      </w:r>
      <w:proofErr w:type="spellEnd"/>
      <w:r>
        <w:t xml:space="preserve"> każda stacja radiowa. Sposobem rozwiązania tego problemu są Organizacje Zbiorowego </w:t>
      </w:r>
      <w:proofErr w:type="spellStart"/>
      <w:r>
        <w:t>Zarząǳania</w:t>
      </w:r>
      <w:proofErr w:type="spellEnd"/>
      <w:r>
        <w:t xml:space="preserve"> (OZZ), które zajmują się głównie </w:t>
      </w:r>
      <w:proofErr w:type="spellStart"/>
      <w:r>
        <w:t>uǳielaniem</w:t>
      </w:r>
      <w:proofErr w:type="spellEnd"/>
      <w:r>
        <w:t xml:space="preserve"> </w:t>
      </w:r>
      <w:r>
        <w:t xml:space="preserve">zezwoleń na wykorzystanie utworów niejako hurtem. Podstawą </w:t>
      </w:r>
      <w:proofErr w:type="spellStart"/>
      <w:r>
        <w:t>ǳiałania</w:t>
      </w:r>
      <w:proofErr w:type="spellEnd"/>
      <w:r>
        <w:t xml:space="preserve"> OZZ jest albo ustawa (w niektórych przypadkach przepisy nakazują korzystać z utworów za pośrednictwem OZZ), albo umowa (twórcy podpisując z OZZ umowy, przekazują im część praw do </w:t>
      </w:r>
      <w:proofErr w:type="spellStart"/>
      <w:r>
        <w:t>zarząǳania</w:t>
      </w:r>
      <w:proofErr w:type="spellEnd"/>
      <w:r>
        <w:t xml:space="preserve"> własnymi utworami i </w:t>
      </w:r>
      <w:proofErr w:type="spellStart"/>
      <w:r>
        <w:t>zgaǳają</w:t>
      </w:r>
      <w:proofErr w:type="spellEnd"/>
      <w:r>
        <w:t xml:space="preserve"> się też, że to za pośrednictwem OZZ otrzymywać będą </w:t>
      </w:r>
      <w:proofErr w:type="spellStart"/>
      <w:r>
        <w:t>wynagroǳenie</w:t>
      </w:r>
      <w:proofErr w:type="spellEnd"/>
      <w:r>
        <w:t xml:space="preserve"> za wykorzystanie swojej twórczości) albo </w:t>
      </w:r>
      <w:proofErr w:type="spellStart"/>
      <w:r>
        <w:t>ǳiałanie</w:t>
      </w:r>
      <w:proofErr w:type="spellEnd"/>
      <w:r>
        <w:t xml:space="preserve"> bezumowne (tzw. </w:t>
      </w:r>
      <w:proofErr w:type="spellStart"/>
      <w:r>
        <w:t>prowaǳenie</w:t>
      </w:r>
      <w:proofErr w:type="spellEnd"/>
      <w:r>
        <w:t xml:space="preserve"> </w:t>
      </w:r>
      <w:proofErr w:type="spellStart"/>
      <w:r>
        <w:t>cuǳych</w:t>
      </w:r>
      <w:proofErr w:type="spellEnd"/>
      <w:r>
        <w:t xml:space="preserve"> spraw bez zlecenia, podejmowane w przeświadczeniu, że nieuchwytny twórca chciałby pobierać </w:t>
      </w:r>
      <w:proofErr w:type="spellStart"/>
      <w:r>
        <w:t>wynagroǳenie</w:t>
      </w:r>
      <w:proofErr w:type="spellEnd"/>
      <w:r>
        <w:t xml:space="preserve"> za swoje utwory według stawek OZZ, a nie np. zezwolić na ich nieodpłatne wykorzystanie bądź w ogóle zakazać określonego wykorzystania).</w:t>
      </w:r>
    </w:p>
    <w:sectPr w:rsidR="003F665B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7AE39" w14:textId="77777777" w:rsidR="00274C86" w:rsidRDefault="00274C86" w:rsidP="00F823A2">
      <w:pPr>
        <w:spacing w:after="0" w:line="240" w:lineRule="auto"/>
      </w:pPr>
      <w:r>
        <w:separator/>
      </w:r>
    </w:p>
  </w:endnote>
  <w:endnote w:type="continuationSeparator" w:id="0">
    <w:p w14:paraId="01E66775" w14:textId="77777777" w:rsidR="00274C86" w:rsidRDefault="00274C86" w:rsidP="00F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2556355"/>
      <w:docPartObj>
        <w:docPartGallery w:val="Page Numbers (Bottom of Page)"/>
        <w:docPartUnique/>
      </w:docPartObj>
    </w:sdtPr>
    <w:sdtContent>
      <w:p w14:paraId="4F15E4BA" w14:textId="60BF73E0" w:rsidR="005C4F6E" w:rsidRDefault="005C4F6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1CF2FF" w14:textId="77777777" w:rsidR="005C4F6E" w:rsidRDefault="005C4F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53C56" w14:textId="77777777" w:rsidR="00274C86" w:rsidRDefault="00274C86" w:rsidP="00F823A2">
      <w:pPr>
        <w:spacing w:after="0" w:line="240" w:lineRule="auto"/>
      </w:pPr>
      <w:r>
        <w:separator/>
      </w:r>
    </w:p>
  </w:footnote>
  <w:footnote w:type="continuationSeparator" w:id="0">
    <w:p w14:paraId="778072EA" w14:textId="77777777" w:rsidR="00274C86" w:rsidRDefault="00274C86" w:rsidP="00F82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7C12D" w14:textId="5145A8E1" w:rsidR="005C4F6E" w:rsidRDefault="005C4F6E" w:rsidP="005C4F6E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Gr.5</w:t>
    </w:r>
  </w:p>
  <w:p w14:paraId="786C8F62" w14:textId="663A706A" w:rsidR="005C4F6E" w:rsidRDefault="005C4F6E" w:rsidP="005C4F6E">
    <w:pPr>
      <w:pStyle w:val="Nagwek"/>
      <w:jc w:val="center"/>
    </w:pPr>
    <w:r>
      <w:t>Praca z podręcznikiem 10.06.2020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3606C"/>
    <w:multiLevelType w:val="hybridMultilevel"/>
    <w:tmpl w:val="8D1A97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3CDE"/>
    <w:multiLevelType w:val="multilevel"/>
    <w:tmpl w:val="8A5421DC"/>
    <w:lvl w:ilvl="0">
      <w:start w:val="1"/>
      <w:numFmt w:val="bullet"/>
      <w:lvlText w:val=""/>
      <w:lvlJc w:val="left"/>
      <w:pPr>
        <w:tabs>
          <w:tab w:val="num" w:pos="3072"/>
        </w:tabs>
        <w:ind w:left="30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792"/>
        </w:tabs>
        <w:ind w:left="379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12"/>
        </w:tabs>
        <w:ind w:left="451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32"/>
        </w:tabs>
        <w:ind w:left="523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52"/>
        </w:tabs>
        <w:ind w:left="595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72"/>
        </w:tabs>
        <w:ind w:left="667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392"/>
        </w:tabs>
        <w:ind w:left="739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12"/>
        </w:tabs>
        <w:ind w:left="811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32"/>
        </w:tabs>
        <w:ind w:left="8832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A2"/>
    <w:rsid w:val="00274C86"/>
    <w:rsid w:val="002F4866"/>
    <w:rsid w:val="00375B30"/>
    <w:rsid w:val="003F665B"/>
    <w:rsid w:val="00411F39"/>
    <w:rsid w:val="005C4F6E"/>
    <w:rsid w:val="006D6B78"/>
    <w:rsid w:val="007D3382"/>
    <w:rsid w:val="009C4183"/>
    <w:rsid w:val="00BF178C"/>
    <w:rsid w:val="00D048A1"/>
    <w:rsid w:val="00DD4B29"/>
    <w:rsid w:val="00E61736"/>
    <w:rsid w:val="00E95A88"/>
    <w:rsid w:val="00F34556"/>
    <w:rsid w:val="00F8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0FBB34"/>
  <w15:chartTrackingRefBased/>
  <w15:docId w15:val="{C5FC9A7E-E17A-4B73-8D6B-60C332C0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82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823A2"/>
  </w:style>
  <w:style w:type="paragraph" w:styleId="Stopka">
    <w:name w:val="footer"/>
    <w:basedOn w:val="Normalny"/>
    <w:link w:val="StopkaZnak"/>
    <w:uiPriority w:val="99"/>
    <w:unhideWhenUsed/>
    <w:rsid w:val="00F82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823A2"/>
  </w:style>
  <w:style w:type="paragraph" w:styleId="Akapitzlist">
    <w:name w:val="List Paragraph"/>
    <w:basedOn w:val="Normalny"/>
    <w:uiPriority w:val="34"/>
    <w:qFormat/>
    <w:rsid w:val="00F823A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411F39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411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7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.wikipedia.org/wiki/Projekt_GN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Richard_Stallman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Otwarte_oprogramowani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l.wikipedia.org/wiki/Wolne_oprogramowani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Licencja_oprogramowania" TargetMode="External"/><Relationship Id="rId14" Type="http://schemas.openxmlformats.org/officeDocument/2006/relationships/hyperlink" Target="https://pl.wikipedia.org/wiki/Open_Source_Initiativ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92B63-4824-4EE4-B6F2-ED3B2FDDA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1441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7</cp:revision>
  <dcterms:created xsi:type="dcterms:W3CDTF">2020-06-11T12:10:00Z</dcterms:created>
  <dcterms:modified xsi:type="dcterms:W3CDTF">2020-06-11T13:58:00Z</dcterms:modified>
</cp:coreProperties>
</file>