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Porozumienie w sprawie korzystania z systemu GastroFlowx</w:t>
      </w:r>
    </w:p>
    <w:p>
      <w:pPr>
        <w:spacing w:after="240"/>
        <w:jc w:val="center"/>
      </w:pPr>
      <w:r>
        <w:rPr>
          <w:color w:val="555555"/>
        </w:rPr>
        <w:t xml:space="preserve">oraz upoważnienie do przetwarzania danych osobowych klientów</w:t>
      </w:r>
    </w:p>
    <w:p>
      <w:pPr>
        <w:pBdr>
          <w:top w:val="single" w:color="BBBBBB" w:sz="4" w:space="4"/>
          <w:bottom w:val="single" w:color="BBBBBB" w:sz="4" w:space="4"/>
        </w:pBdr>
        <w:spacing w:after="240"/>
      </w:pPr>
      <w:r>
        <w:rPr>
          <w:i/>
          <w:iCs/>
          <w:color w:val="555555"/>
          <w:sz w:val="18"/>
          <w:szCs w:val="18"/>
        </w:rPr>
        <w:t xml:space="preserve">WZÓR dla restauracji (pracodawcy). Pola zaznaczone na żółto uzupełnij, a niepotrzebne punkty usuń. Porozumienie można stosować także wobec osób zatrudnionych na podstawie umów cywilnoprawnych – wtedy „Pracodawca” oznacza zleceniodawcę, a „Pracownik” – zleceniobiorcę. W razie wątpliwości skonsultuj treść z prawnikiem.</w:t>
      </w:r>
    </w:p>
    <w:p>
      <w:pPr>
        <w:spacing w:after="120"/>
        <w:jc w:val="both"/>
      </w:pPr>
      <w:r>
        <w:t xml:space="preserve">zawarte w dniu </w:t>
      </w:r>
      <w:r>
        <w:rPr>
          <w:highlight w:val="yellow"/>
          <w:highlightCs w:val="yellow"/>
        </w:rPr>
        <w:t xml:space="preserve">[data]</w:t>
      </w:r>
      <w:r>
        <w:t xml:space="preserve"> w </w:t>
      </w:r>
      <w:r>
        <w:rPr>
          <w:highlight w:val="yellow"/>
          <w:highlightCs w:val="yellow"/>
        </w:rPr>
        <w:t xml:space="preserve">[miejscowość]</w:t>
      </w:r>
      <w:r>
        <w:t xml:space="preserve"> pomiędzy:</w:t>
      </w:r>
    </w:p>
    <w:p>
      <w:pPr>
        <w:spacing w:after="120"/>
        <w:jc w:val="both"/>
      </w:pPr>
      <w:r>
        <w:rPr>
          <w:highlight w:val="yellow"/>
          <w:highlightCs w:val="yellow"/>
        </w:rPr>
        <w:t xml:space="preserve">[pełna nazwa firmy restauracji]</w:t>
      </w:r>
      <w:r>
        <w:t xml:space="preserve"> z siedzibą w </w:t>
      </w:r>
      <w:r>
        <w:rPr>
          <w:highlight w:val="yellow"/>
          <w:highlightCs w:val="yellow"/>
        </w:rPr>
        <w:t xml:space="preserve">[adres]</w:t>
      </w:r>
      <w:r>
        <w:t xml:space="preserve">, NIP: </w:t>
      </w:r>
      <w:r>
        <w:rPr>
          <w:highlight w:val="yellow"/>
          <w:highlightCs w:val="yellow"/>
        </w:rPr>
        <w:t xml:space="preserve">[NIP]</w:t>
      </w:r>
      <w:r>
        <w:t xml:space="preserve">, reprezentowaną przez </w:t>
      </w:r>
      <w:r>
        <w:rPr>
          <w:highlight w:val="yellow"/>
          <w:highlightCs w:val="yellow"/>
        </w:rPr>
        <w:t xml:space="preserve">[imię i nazwisko, funkcja]</w:t>
      </w:r>
      <w:r>
        <w:t xml:space="preserve">, zwaną dalej </w:t>
      </w:r>
      <w:r>
        <w:rPr>
          <w:b/>
          <w:bCs/>
        </w:rPr>
        <w:t xml:space="preserve">„Pracodawcą”</w:t>
      </w:r>
      <w:r>
        <w:t xml:space="preserve">,</w:t>
      </w:r>
    </w:p>
    <w:p>
      <w:pPr>
        <w:spacing w:after="120"/>
        <w:jc w:val="both"/>
      </w:pPr>
      <w:r>
        <w:t xml:space="preserve">a</w:t>
      </w:r>
    </w:p>
    <w:p>
      <w:pPr>
        <w:spacing w:after="120"/>
        <w:jc w:val="both"/>
      </w:pPr>
      <w:r>
        <w:rPr>
          <w:highlight w:val="yellow"/>
          <w:highlightCs w:val="yellow"/>
        </w:rPr>
        <w:t xml:space="preserve">[imię i nazwisko]</w:t>
      </w:r>
      <w:r>
        <w:t xml:space="preserve">, stanowisko: </w:t>
      </w:r>
      <w:r>
        <w:rPr>
          <w:highlight w:val="yellow"/>
          <w:highlightCs w:val="yellow"/>
        </w:rPr>
        <w:t xml:space="preserve">[stanowisko]</w:t>
      </w:r>
      <w:r>
        <w:t xml:space="preserve">, zwanym/zwaną dalej </w:t>
      </w:r>
      <w:r>
        <w:rPr>
          <w:b/>
          <w:bCs/>
        </w:rPr>
        <w:t xml:space="preserve">„Pracownikiem”</w:t>
      </w:r>
      <w:r>
        <w:t xml:space="preserve">.</w:t>
      </w:r>
    </w:p>
    <w:p>
      <w:pPr>
        <w:pStyle w:val="Heading2"/>
        <w:spacing w:after="140" w:before="280"/>
        <w:jc w:val="center"/>
      </w:pPr>
      <w:r>
        <w:t xml:space="preserve">§ 1. Przedmiot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Porozumienie określa zasady korzystania przez Pracownika z systemu CRM </w:t>
      </w:r>
      <w:r>
        <w:rPr>
          <w:b/>
          <w:bCs/>
        </w:rPr>
        <w:t xml:space="preserve">GastroFlowx</w:t>
      </w:r>
      <w:r>
        <w:t xml:space="preserve"> (rozszerzenie przeglądarki Chrome działające w Gmailu, </w:t>
      </w:r>
      <w:r>
        <w:rPr>
          <w:b/>
          <w:bCs/>
        </w:rPr>
        <w:t xml:space="preserve">„System”</w:t>
      </w:r>
      <w:r>
        <w:t xml:space="preserve">), w którym Pracodawca prowadzi bazę swoich klientów i kontrahentów, notatki, rezerwacje, zadania, przypomnienia oraz historię korespondencji z klientami.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Dostawcą Systemu jest KM ENTERPRISES Karol Macieja, który przetwarza dane w imieniu Pracodawcy na podstawie umowy powierzenia przetwarzania danych.</w:t>
      </w:r>
    </w:p>
    <w:p>
      <w:pPr>
        <w:pStyle w:val="Heading2"/>
        <w:spacing w:after="140" w:before="280"/>
        <w:jc w:val="center"/>
      </w:pPr>
      <w:r>
        <w:t xml:space="preserve">§ 2. Konto i dostęp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Pracownik otrzymuje osobiste konto w Systemie. Login i hasło są poufne – Pracownik nie udostępnia ich innym osobom, w tym współpracownikom, i nie loguje się na cudze konto.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Pracownik korzysta z Systemu przy użyciu </w:t>
      </w:r>
      <w:r>
        <w:rPr>
          <w:b/>
          <w:bCs/>
        </w:rPr>
        <w:t xml:space="preserve">służbowej skrzynki e-mail</w:t>
      </w:r>
      <w:r>
        <w:t xml:space="preserve"> </w:t>
      </w:r>
      <w:r>
        <w:rPr>
          <w:highlight w:val="yellow"/>
          <w:highlightCs w:val="yellow"/>
        </w:rPr>
        <w:t xml:space="preserve">[adres służbowej skrzynki]</w:t>
      </w:r>
      <w:r>
        <w:t xml:space="preserve"> i nie łączy z Systemem prywatnych kont pocztowych ani prywatnego konta Google.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Połączenie Systemu z kontem Google (historia korespondencji, Kalendarz Google) oraz prywatny link kalendarza są opcjonalne. Pracownik nie przekazuje linku kalendarza osobom trzecim.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Pracownik niezwłocznie zgłasza Pracodawcy utratę urządzenia, podejrzenie przejęcia konta lub inne zdarzenie mogące naruszać bezpieczeństwo danych. Pracodawca zleca wtedy dostawcy Systemu zablokowanie konta i wylogowanie go ze wszystkich urządzeń.</w:t>
      </w:r>
    </w:p>
    <w:p>
      <w:pPr>
        <w:pStyle w:val="Heading2"/>
        <w:spacing w:after="140" w:before="280"/>
        <w:jc w:val="center"/>
      </w:pPr>
      <w:r>
        <w:t xml:space="preserve">§ 3. Upoważnienie do przetwarzania danych osobowych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Na podstawie art. 29 i art. 32 ust. 4 RODO Pracodawca upoważnia Pracownika do przetwarzania danych osobowych klientów i kontrahentów Pracodawcy w Systemie – w zakresie niezbędnym do wykonywania obowiązków na stanowisku </w:t>
      </w:r>
      <w:r>
        <w:rPr>
          <w:highlight w:val="yellow"/>
          <w:highlightCs w:val="yellow"/>
        </w:rPr>
        <w:t xml:space="preserve">[stanowisko]</w:t>
      </w:r>
      <w:r>
        <w:t xml:space="preserve">, obejmującym: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dodawanie, przeglądanie i aktualizowanie danych kontaktowych oraz kart klientów,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prowadzenie notatek, rezerwacji, zadań i przypomnień,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zapisywanie w Systemie metadanych korespondencji e-mail z klientami,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udostępnianie kart klientów współpracownikom zgodnie z § 4.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Upoważnienie obowiązuje od dnia podpisania porozumienia do dnia zakończenia współpracy albo jego wcześniejszego odwołania.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t xml:space="preserve">Pracownik zobowiązuje się zachować w tajemnicy dane osobowe i sposoby ich zabezpieczenia, także po zakończeniu współpracy, oraz nie kopiować danych z Systemu poza narzędzia wskazane przez Pracodawcę.</w:t>
      </w:r>
    </w:p>
    <w:p>
      <w:pPr>
        <w:pStyle w:val="Heading2"/>
        <w:spacing w:after="140" w:before="280"/>
        <w:jc w:val="center"/>
      </w:pPr>
      <w:r>
        <w:t xml:space="preserve">§ 4. Opiekun klienta, udostępnianie i korespondencja firmowa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W Systemie każdy klient ma </w:t>
      </w:r>
      <w:r>
        <w:rPr>
          <w:b/>
          <w:bCs/>
        </w:rPr>
        <w:t xml:space="preserve">opiekuna</w:t>
      </w:r>
      <w:r>
        <w:t xml:space="preserve"> – osobę, która dodała go do Systemu lub przejęła opiekę. Karta klienta jest domyślnie widoczna tylko dla opiekuna.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Pracownik udostępnia karty klientów współpracownikom zgodnie z zasadami ustalonymi przez Pracodawcę:</w:t>
      </w:r>
    </w:p>
    <w:p>
      <w:pPr>
        <w:pStyle w:val="ListParagraph"/>
        <w:numPr>
          <w:ilvl w:val="0"/>
          <w:numId w:val="7"/>
        </w:numPr>
        <w:spacing w:after="80"/>
        <w:ind w:left="1080" w:hanging="360"/>
        <w:jc w:val="both"/>
      </w:pPr>
      <w:r>
        <w:rPr>
          <w:highlight w:val="yellow"/>
          <w:highlightCs w:val="yellow"/>
        </w:rPr>
        <w:t xml:space="preserve">[np. klientów weselnych i firmowych udostępnia się całemu zespołowi w zakresie danych kontaktowych i rezerwacji]</w:t>
      </w:r>
      <w:r>
        <w:t xml:space="preserve">,</w:t>
      </w:r>
    </w:p>
    <w:p>
      <w:pPr>
        <w:pStyle w:val="ListParagraph"/>
        <w:numPr>
          <w:ilvl w:val="0"/>
          <w:numId w:val="7"/>
        </w:numPr>
        <w:spacing w:after="80"/>
        <w:ind w:left="1080" w:hanging="360"/>
        <w:jc w:val="both"/>
      </w:pPr>
      <w:r>
        <w:rPr>
          <w:highlight w:val="yellow"/>
          <w:highlightCs w:val="yellow"/>
        </w:rPr>
        <w:t xml:space="preserve">[np. na prośbę o dostęp opiekun odpowiada w ciągu 1 dnia roboczego]</w:t>
      </w:r>
      <w:r>
        <w:t xml:space="preserve">,</w:t>
      </w:r>
    </w:p>
    <w:p>
      <w:pPr>
        <w:pStyle w:val="ListParagraph"/>
        <w:numPr>
          <w:ilvl w:val="0"/>
          <w:numId w:val="7"/>
        </w:numPr>
        <w:spacing w:after="80"/>
        <w:ind w:left="1080" w:hanging="360"/>
        <w:jc w:val="both"/>
      </w:pPr>
      <w:r>
        <w:rPr>
          <w:highlight w:val="yellow"/>
          <w:highlightCs w:val="yellow"/>
        </w:rPr>
        <w:t xml:space="preserve">[inne zasady Pracodawcy lub usuń]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W kategoriach oznaczonych jako </w:t>
      </w:r>
      <w:r>
        <w:rPr>
          <w:b/>
          <w:bCs/>
        </w:rPr>
        <w:t xml:space="preserve">„Prywatne karty”</w:t>
      </w:r>
      <w:r>
        <w:t xml:space="preserve"> (korespondencja firmowa) każdy pracownik prowadzi własną kartę kontaktu. Do wspólnej puli zespołu Pracownik dodaje maile istotne dla pracy zespołu, w szczególności </w:t>
      </w:r>
      <w:r>
        <w:rPr>
          <w:highlight w:val="yellow"/>
          <w:highlightCs w:val="yellow"/>
        </w:rPr>
        <w:t xml:space="preserve">[np. oferty, cenniki, ustalenia z dostawcami]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Prywatność kart oznacza ograniczenie widoczności między współpracownikami w Systemie. Administratorem wszystkich danych w Systemie, w tym danych na prywatnych kartach, pozostaje Pracodawca, który – w uzasadnionych przypadkach, np. przy zakończeniu współpracy – może polecić przekazanie kart innej osobie lub eksport danych.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Pracownik nie wprowadza do Systemu informacji niezwiązanych z obsługą klientów ani prywatnej korespondencji, a w polach i notatkach nie zapisuje danych szczególnych kategorii ponad to, co niezbędne do obsługi klienta (np. alergia pokarmowa zgłoszona przez gościa).</w:t>
      </w:r>
    </w:p>
    <w:p>
      <w:pPr>
        <w:pStyle w:val="Heading2"/>
        <w:spacing w:after="140" w:before="280"/>
        <w:jc w:val="center"/>
      </w:pPr>
      <w:r>
        <w:t xml:space="preserve">§ 5. Dane Pracownika w Systemie</w:t>
      </w:r>
    </w:p>
    <w:p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W związku z korzystaniem z Systemu Pracodawca przetwarza następujące dane Pracownika: imię i nazwisko, służbowy adres e-mail, rolę, informację o przydziale licencji, preferencje (np. język, domyślne godziny przypomnień), informacje o autorstwie wpisów, przypisanych zadaniach i udostępnieniach, identyfikatory wydarzeń w Kalendarzu Google (jeżeli Pracownik włączy synchronizację) oraz dane techniczne: datę ostatniego użycia logowania i adres IP w dziennikach serwera, przechowywanych do 14 dni w celach bezpieczeństwa.</w:t>
      </w:r>
    </w:p>
    <w:p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Celem przetwarzania jest organizacja pracy i obsługi klientów (art. 6 ust. 1 lit. b i f RODO). Dane są przetwarzane przez czas zatrudnienia, a po jego zakończeniu konto jest usuwane lub dezaktywowane w ciągu </w:t>
      </w:r>
      <w:r>
        <w:rPr>
          <w:highlight w:val="yellow"/>
          <w:highlightCs w:val="yellow"/>
        </w:rPr>
        <w:t xml:space="preserve">[np. 30]</w:t>
      </w:r>
      <w:r>
        <w:t xml:space="preserve"> dni.</w:t>
      </w:r>
    </w:p>
    <w:p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System nie służy do monitorowania Pracownika ani jego poczty elektronicznej w rozumieniu art. 22³ Kodeksu pracy:</w:t>
      </w:r>
    </w:p>
    <w:p>
      <w:pPr>
        <w:pStyle w:val="ListParagraph"/>
        <w:numPr>
          <w:ilvl w:val="0"/>
          <w:numId w:val="9"/>
        </w:numPr>
        <w:spacing w:after="80"/>
        <w:ind w:left="1080" w:hanging="360"/>
        <w:jc w:val="both"/>
      </w:pPr>
      <w:r>
        <w:t xml:space="preserve">nie zapisuje pełnej treści wiadomości ani załączników – wyłącznie metadane (temat, nadawca, data, krótki fragment) korespondencji z klientami zapisanymi w Systemie,</w:t>
      </w:r>
    </w:p>
    <w:p>
      <w:pPr>
        <w:pStyle w:val="ListParagraph"/>
        <w:numPr>
          <w:ilvl w:val="0"/>
          <w:numId w:val="9"/>
        </w:numPr>
        <w:spacing w:after="80"/>
        <w:ind w:left="1080" w:hanging="360"/>
        <w:jc w:val="both"/>
      </w:pPr>
      <w:r>
        <w:t xml:space="preserve">nie rejestruje czasu pracy ani położenia Pracownika i nie analizuje jego aktywności – daty wpisów i dane techniczne z ust. 1 służą wyłącznie działaniu Systemu i jego bezpieczeństwu.</w:t>
      </w:r>
    </w:p>
    <w:p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Pracownikowi przysługuje prawo dostępu do swoich danych, ich sprostowania, usunięcia lub ograniczenia przetwarzania oraz wniesienia sprzeciwu i skargi do Prezesa UODO. Szczegóły zawiera klauzula informacyjna Pracodawcy </w:t>
      </w:r>
      <w:r>
        <w:rPr>
          <w:highlight w:val="yellow"/>
          <w:highlightCs w:val="yellow"/>
        </w:rPr>
        <w:t xml:space="preserve">[oraz polityka prywatności GastroFlowx: app.gastroflowx.pl/polityka-prywatnosci.html]</w:t>
      </w:r>
      <w:r>
        <w:t xml:space="preserve">.</w:t>
      </w:r>
    </w:p>
    <w:p>
      <w:pPr>
        <w:pStyle w:val="Heading2"/>
        <w:spacing w:after="140" w:before="280"/>
        <w:jc w:val="center"/>
      </w:pPr>
      <w:r>
        <w:t xml:space="preserve">§ 6. Zakończenie współpracy</w:t>
      </w:r>
    </w:p>
    <w:p>
      <w:pPr>
        <w:pStyle w:val="ListParagraph"/>
        <w:numPr>
          <w:ilvl w:val="0"/>
          <w:numId w:val="10"/>
        </w:numPr>
        <w:spacing w:after="100"/>
        <w:jc w:val="both"/>
      </w:pPr>
      <w:r>
        <w:t xml:space="preserve">Przed zakończeniem współpracy Pracownik przekazuje opiekę nad swoimi klientami osobie wskazanej przez Pracodawcę (funkcja </w:t>
      </w:r>
      <w:r>
        <w:rPr>
          <w:b/>
          <w:bCs/>
        </w:rPr>
        <w:t xml:space="preserve">„Przekaż opiekę”</w:t>
      </w:r>
      <w:r>
        <w:t xml:space="preserve">) i dodaje do wspólnej puli maile z prywatnych kart potrzebne zespołowi.</w:t>
      </w:r>
    </w:p>
    <w:p>
      <w:pPr>
        <w:pStyle w:val="ListParagraph"/>
        <w:numPr>
          <w:ilvl w:val="0"/>
          <w:numId w:val="10"/>
        </w:numPr>
        <w:spacing w:after="100"/>
        <w:jc w:val="both"/>
      </w:pPr>
      <w:r>
        <w:t xml:space="preserve">Dane klientów zgromadzone w Systemie należą do zasobów Pracodawcy i mogą stanowić tajemnicę jego przedsiębiorstwa. Pracownik nie zabiera ich, nie kopiuje i nie wykorzystuje po zakończeniu współpracy.</w:t>
      </w:r>
    </w:p>
    <w:p>
      <w:pPr>
        <w:pStyle w:val="ListParagraph"/>
        <w:numPr>
          <w:ilvl w:val="0"/>
          <w:numId w:val="10"/>
        </w:numPr>
        <w:spacing w:after="100"/>
        <w:jc w:val="both"/>
      </w:pPr>
      <w:r>
        <w:t xml:space="preserve">Z dniem zakończenia współpracy Pracodawca zleca dostawcy Systemu usunięcie konta Pracownika lub zwolnienie przydzielonego mu miejsca w licencji.</w:t>
      </w:r>
    </w:p>
    <w:p>
      <w:pPr>
        <w:pStyle w:val="Heading2"/>
        <w:spacing w:after="140" w:before="280"/>
        <w:jc w:val="center"/>
      </w:pPr>
      <w:r>
        <w:t xml:space="preserve">§ 7. Postanowienia końcowe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Naruszenie postanowień porozumienia może stanowić naruszenie obowiązków pracowniczych i skutkować odpowiedzialnością przewidzianą w przepisach prawa pracy oraz przepisach o ochronie danych osobowych.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Pracownik oświadcza, że zapoznał się z instrukcją obsługi Systemu GastroFlowx w zakresie rozdziałów 4 i 5.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Porozumienie sporządzono w dwóch egzemplarzach, po jednym dla każdej ze Stron.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90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Pracodawca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90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Pracownik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Porozumienie w sprawie korzystania z systemu GastroFlowx –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z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/>
      <w:jc w:val="center"/>
    </w:pPr>
    <w:rPr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pPr>
      <w:keepNext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Porozumienie w sprawie korzystania z systemu GastroFlowx</dc:title>
  <dc:creator>GastroFlowx</dc:creator>
  <cp:lastModifiedBy>Un-named</cp:lastModifiedBy>
  <cp:revision>1</cp:revision>
  <dcterms:created xsi:type="dcterms:W3CDTF">2026-10-12T22:22:35.617Z</dcterms:created>
  <dcterms:modified xsi:type="dcterms:W3CDTF">2026-10-12T22:22:35.617Z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