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Umowa powierzenia przetwarzania danych osobowych</w:t>
      </w:r>
    </w:p>
    <w:p>
      <w:pPr>
        <w:spacing w:after="240"/>
        <w:jc w:val="center"/>
      </w:pPr>
      <w:r>
        <w:rPr>
          <w:color w:val="555555"/>
        </w:rPr>
        <w:t xml:space="preserve">dotycząca korzystania z systemu GastroFlowx (art. 28 RODO)</w:t>
      </w:r>
    </w:p>
    <w:p>
      <w:pPr>
        <w:pBdr>
          <w:top w:val="single" w:color="BBBBBB" w:sz="4" w:space="4"/>
          <w:bottom w:val="single" w:color="BBBBBB" w:sz="4" w:space="4"/>
        </w:pBdr>
        <w:spacing w:after="240"/>
      </w:pPr>
      <w:r>
        <w:rPr>
          <w:i/>
          <w:iCs/>
          <w:color w:val="555555"/>
          <w:sz w:val="18"/>
          <w:szCs w:val="18"/>
        </w:rPr>
        <w:t xml:space="preserve">WZÓR. Pola zaznaczone na żółto uzupełnij przed podpisaniem i usuń tę ramkę. Wzór nie zastępuje porady prawnej – przy nietypowych ustaleniach skonsultuj treść z prawnikiem.</w:t>
      </w:r>
    </w:p>
    <w:p>
      <w:pPr>
        <w:spacing w:after="120"/>
        <w:jc w:val="both"/>
      </w:pPr>
      <w:r>
        <w:t xml:space="preserve">zawarta w dniu </w:t>
      </w:r>
      <w:r>
        <w:rPr>
          <w:highlight w:val="yellow"/>
          <w:highlightCs w:val="yellow"/>
        </w:rPr>
        <w:t xml:space="preserve">[data]</w:t>
      </w:r>
      <w:r>
        <w:t xml:space="preserve"> w </w:t>
      </w:r>
      <w:r>
        <w:rPr>
          <w:highlight w:val="yellow"/>
          <w:highlightCs w:val="yellow"/>
        </w:rPr>
        <w:t xml:space="preserve">[miejscowość]</w:t>
      </w:r>
      <w:r>
        <w:t xml:space="preserve"> pomiędzy:</w:t>
      </w:r>
    </w:p>
    <w:p>
      <w:pPr>
        <w:spacing w:after="120"/>
        <w:jc w:val="both"/>
      </w:pPr>
      <w:r>
        <w:rPr>
          <w:highlight w:val="yellow"/>
          <w:highlightCs w:val="yellow"/>
        </w:rPr>
        <w:t xml:space="preserve">[pełna nazwa firmy restauracji]</w:t>
      </w:r>
      <w:r>
        <w:t xml:space="preserve"> z siedzibą w </w:t>
      </w:r>
      <w:r>
        <w:rPr>
          <w:highlight w:val="yellow"/>
          <w:highlightCs w:val="yellow"/>
        </w:rPr>
        <w:t xml:space="preserve">[adres]</w:t>
      </w:r>
      <w:r>
        <w:t xml:space="preserve">, NIP: </w:t>
      </w:r>
      <w:r>
        <w:rPr>
          <w:highlight w:val="yellow"/>
          <w:highlightCs w:val="yellow"/>
        </w:rPr>
        <w:t xml:space="preserve">[NIP]</w:t>
      </w:r>
      <w:r>
        <w:t xml:space="preserve">, reprezentowaną przez </w:t>
      </w:r>
      <w:r>
        <w:rPr>
          <w:highlight w:val="yellow"/>
          <w:highlightCs w:val="yellow"/>
        </w:rPr>
        <w:t xml:space="preserve">[imię i nazwisko, funkcja]</w:t>
      </w:r>
      <w:r>
        <w:t xml:space="preserve">, zwaną dalej </w:t>
      </w:r>
      <w:r>
        <w:rPr>
          <w:b/>
          <w:bCs/>
        </w:rPr>
        <w:t xml:space="preserve">„Administratorem”</w:t>
      </w:r>
      <w:r>
        <w:t xml:space="preserve">,</w:t>
      </w:r>
    </w:p>
    <w:p>
      <w:pPr>
        <w:spacing w:after="120"/>
        <w:jc w:val="both"/>
      </w:pPr>
      <w:r>
        <w:t xml:space="preserve">a</w:t>
      </w:r>
    </w:p>
    <w:p>
      <w:pPr>
        <w:spacing w:after="120"/>
        <w:jc w:val="both"/>
      </w:pPr>
      <w:r>
        <w:rPr>
          <w:b/>
          <w:bCs/>
        </w:rPr>
        <w:t xml:space="preserve">Karolem Macieja</w:t>
      </w:r>
      <w:r>
        <w:t xml:space="preserve">, prowadzącym działalność gospodarczą pod firmą KM ENTERPRISES Karol Macieja, ul. Dmowskiego 101/88, 60-204 Poznań, NIP: </w:t>
      </w:r>
      <w:r>
        <w:rPr>
          <w:highlight w:val="yellow"/>
          <w:highlightCs w:val="yellow"/>
        </w:rPr>
        <w:t xml:space="preserve">[NIP]</w:t>
      </w:r>
      <w:r>
        <w:t xml:space="preserve">, e-mail: kontakt@gastroflowx.pl, zwanym dalej </w:t>
      </w:r>
      <w:r>
        <w:rPr>
          <w:b/>
          <w:bCs/>
        </w:rPr>
        <w:t xml:space="preserve">„Podmiotem przetwarzającym”</w:t>
      </w:r>
      <w:r>
        <w:t xml:space="preserve">,</w:t>
      </w:r>
    </w:p>
    <w:p>
      <w:pPr>
        <w:spacing w:after="120"/>
        <w:jc w:val="both"/>
      </w:pPr>
      <w:r>
        <w:t xml:space="preserve">łącznie zwanymi </w:t>
      </w:r>
      <w:r>
        <w:rPr>
          <w:b/>
          <w:bCs/>
        </w:rPr>
        <w:t xml:space="preserve">„Stronami”</w:t>
      </w:r>
      <w:r>
        <w:t xml:space="preserve">.</w:t>
      </w:r>
    </w:p>
    <w:p>
      <w:pPr>
        <w:pStyle w:val="Heading2"/>
        <w:spacing w:after="140" w:before="280"/>
        <w:jc w:val="center"/>
      </w:pPr>
      <w:r>
        <w:t xml:space="preserve">§ 1. Przedmiot umowy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Administrator powierza Podmiotowi przetwarzającemu przetwarzanie danych osobowych w trybie art. 28 Rozporządzenia Parlamentu Europejskiego i Rady (UE) 2016/679 (</w:t>
      </w:r>
      <w:r>
        <w:rPr>
          <w:b/>
          <w:bCs/>
        </w:rPr>
        <w:t xml:space="preserve">„RODO”</w:t>
      </w:r>
      <w:r>
        <w:t xml:space="preserve">) w zakresie i celu określonym w niniejszej umowie.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Powierzenie następuje w związku z umową o korzystanie z systemu CRM GastroFlowx z dnia </w:t>
      </w:r>
      <w:r>
        <w:rPr>
          <w:highlight w:val="yellow"/>
          <w:highlightCs w:val="yellow"/>
        </w:rPr>
        <w:t xml:space="preserve">[data umowy głównej lub „zaakceptowania oferty”]</w:t>
      </w:r>
      <w:r>
        <w:t xml:space="preserve"> (</w:t>
      </w:r>
      <w:r>
        <w:rPr>
          <w:b/>
          <w:bCs/>
        </w:rPr>
        <w:t xml:space="preserve">„Umowa główna”</w:t>
      </w:r>
      <w:r>
        <w:t xml:space="preserve">), obejmującą rozszerzenie Chrome działające w Gmailu, serwer aplikacji i panel administracyjny (</w:t>
      </w:r>
      <w:r>
        <w:rPr>
          <w:b/>
          <w:bCs/>
        </w:rPr>
        <w:t xml:space="preserve">„System”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Podmiot przetwarzający przetwarza powierzone dane wyłącznie na udokumentowane polecenie Administratora. Za polecenie uznaje się Umowę główną, niniejszą umowę oraz działania użytkowników Administratora w Systemie (dodawanie, zmiana, udostępnianie i usuwanie danych). Jeżeli prawo wymaga innego przetwarzania, Podmiot przetwarzający poinformuje o tym Administratora przed jego rozpoczęciem, chyba że prawo tego zakazuje.</w:t>
      </w:r>
    </w:p>
    <w:p>
      <w:pPr>
        <w:pStyle w:val="Heading2"/>
        <w:spacing w:after="140" w:before="280"/>
        <w:jc w:val="center"/>
      </w:pPr>
      <w:r>
        <w:t xml:space="preserve">§ 2. Charakter, cel, rodzaj danych i kategorie osób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Charakter przetwarzania: przechowywanie, porządkowanie, wyświetlanie, udostępnianie użytkownikom Administratora, modyfikowanie i usuwanie danych w Systemie, w tym tworzenie kopii zapasowych w ramach usługi hostingowej.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Cel przetwarzania: świadczenie usługi CRM – prowadzenie bazy kontaktów i klientów restauracji, notatek, rezerwacji, zadań, przypomnień oraz historii korespondencji e-mail z klientami.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Kategorie osób, których dane dotyczą:</w:t>
      </w:r>
    </w:p>
    <w:p>
      <w:pPr>
        <w:pStyle w:val="ListParagraph"/>
        <w:numPr>
          <w:ilvl w:val="0"/>
          <w:numId w:val="4"/>
        </w:numPr>
        <w:spacing w:after="80"/>
        <w:ind w:left="1080" w:hanging="360"/>
        <w:jc w:val="both"/>
      </w:pPr>
      <w:r>
        <w:t xml:space="preserve">klienci i kontrahenci Administratora (goście, firmy, dostawcy) oraz ich osoby kontaktowe,</w:t>
      </w:r>
    </w:p>
    <w:p>
      <w:pPr>
        <w:pStyle w:val="ListParagraph"/>
        <w:numPr>
          <w:ilvl w:val="0"/>
          <w:numId w:val="4"/>
        </w:numPr>
        <w:spacing w:after="80"/>
        <w:ind w:left="1080" w:hanging="360"/>
        <w:jc w:val="both"/>
      </w:pPr>
      <w:r>
        <w:t xml:space="preserve">pracownicy i współpracownicy Administratora korzystający z Systemu (użytkownicy).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Rodzaj danych:</w:t>
      </w:r>
    </w:p>
    <w:p>
      <w:pPr>
        <w:pStyle w:val="ListParagraph"/>
        <w:numPr>
          <w:ilvl w:val="0"/>
          <w:numId w:val="5"/>
        </w:numPr>
        <w:spacing w:after="80"/>
        <w:ind w:left="1080" w:hanging="360"/>
        <w:jc w:val="both"/>
      </w:pPr>
      <w:r>
        <w:t xml:space="preserve">klienci i kontrahenci: imię i nazwisko, adres e-mail, telefon, firma, kategoria i status, pola dodatkowe wprowadzone przez użytkowników (np. alergie, preferencje, NIP), notatki, rezerwacje, zadania i przypomnienia,</w:t>
      </w:r>
    </w:p>
    <w:p>
      <w:pPr>
        <w:pStyle w:val="ListParagraph"/>
        <w:numPr>
          <w:ilvl w:val="0"/>
          <w:numId w:val="5"/>
        </w:numPr>
        <w:spacing w:after="80"/>
        <w:ind w:left="1080" w:hanging="360"/>
        <w:jc w:val="both"/>
      </w:pPr>
      <w:r>
        <w:t xml:space="preserve">metadane korespondencji e-mail z klientami zapisanymi w Systemie: temat, nadawca, data, kierunek, identyfikatory wiadomości i wątku oraz fragment treści do 2000 znaków (bez pełnej treści i załączników),</w:t>
      </w:r>
    </w:p>
    <w:p>
      <w:pPr>
        <w:pStyle w:val="ListParagraph"/>
        <w:numPr>
          <w:ilvl w:val="0"/>
          <w:numId w:val="5"/>
        </w:numPr>
        <w:spacing w:after="80"/>
        <w:ind w:left="1080" w:hanging="360"/>
        <w:jc w:val="both"/>
      </w:pPr>
      <w:r>
        <w:t xml:space="preserve">użytkownicy: imię i nazwisko, służbowy adres e-mail, rola, przydział licencji, preferencje, informacje o autorstwie wpisów, opiekunie kontaktu i udostępnieniach, identyfikatory wydarzeń utworzonych w Kalendarzu Google (przy włączonej synchronizacji) oraz dane techniczne: tokeny logowania (w postaci skrótu), data ostatniego użycia logowania i adres IP w dziennikach serwera.</w:t>
      </w:r>
    </w:p>
    <w:p>
      <w:pPr>
        <w:pStyle w:val="ListParagraph"/>
        <w:numPr>
          <w:ilvl w:val="0"/>
          <w:numId w:val="3"/>
        </w:numPr>
        <w:spacing w:after="100"/>
        <w:jc w:val="both"/>
      </w:pPr>
      <w:r>
        <w:t xml:space="preserve">Administrator nie będzie wprowadzał do Systemu szczególnych kategorii danych (art. 9 RODO) w zakresie szerszym niż niezbędny do obsługi klienta (np. informacja o alergii pokarmowej przekazana przez gościa) i odpowiada za istnienie podstawy prawnej ich przetwarzania.</w:t>
      </w:r>
    </w:p>
    <w:p>
      <w:pPr>
        <w:pStyle w:val="Heading2"/>
        <w:spacing w:after="140" w:before="280"/>
        <w:jc w:val="center"/>
      </w:pPr>
      <w:r>
        <w:t xml:space="preserve">§ 3. Czas trwania</w:t>
      </w:r>
    </w:p>
    <w:p>
      <w:pPr>
        <w:pStyle w:val="ListParagraph"/>
        <w:numPr>
          <w:ilvl w:val="0"/>
          <w:numId w:val="6"/>
        </w:numPr>
        <w:spacing w:after="100"/>
        <w:jc w:val="both"/>
      </w:pPr>
      <w:r>
        <w:t xml:space="preserve">Umowa obowiązuje przez czas obowiązywania Umowy głównej, a po jej zakończeniu – do czasu usunięcia lub zwrotu danych zgodnie z § 8.</w:t>
      </w:r>
    </w:p>
    <w:p>
      <w:pPr>
        <w:pStyle w:val="Heading2"/>
        <w:spacing w:after="140" w:before="280"/>
        <w:jc w:val="center"/>
      </w:pPr>
      <w:r>
        <w:t xml:space="preserve">§ 4. Obowiązki Podmiotu przetwarzającego</w:t>
      </w:r>
    </w:p>
    <w:p>
      <w:pPr>
        <w:pStyle w:val="ListParagraph"/>
        <w:numPr>
          <w:ilvl w:val="0"/>
          <w:numId w:val="7"/>
        </w:numPr>
        <w:spacing w:after="100"/>
        <w:jc w:val="both"/>
      </w:pPr>
      <w:r>
        <w:t xml:space="preserve">Podmiot przetwarzający zobowiązuje się:</w:t>
      </w:r>
    </w:p>
    <w:p>
      <w:pPr>
        <w:pStyle w:val="ListParagraph"/>
        <w:numPr>
          <w:ilvl w:val="0"/>
          <w:numId w:val="8"/>
        </w:numPr>
        <w:spacing w:after="80"/>
        <w:ind w:left="1080" w:hanging="360"/>
        <w:jc w:val="both"/>
      </w:pPr>
      <w:r>
        <w:t xml:space="preserve">przetwarzać dane wyłącznie w celu i zakresie określonym w umowie oraz na terytorium Europejskiego Obszaru Gospodarczego (serwery w Polsce), z zastrzeżeniem § 5,</w:t>
      </w:r>
    </w:p>
    <w:p>
      <w:pPr>
        <w:pStyle w:val="ListParagraph"/>
        <w:numPr>
          <w:ilvl w:val="0"/>
          <w:numId w:val="8"/>
        </w:numPr>
        <w:spacing w:after="80"/>
        <w:ind w:left="1080" w:hanging="360"/>
        <w:jc w:val="both"/>
      </w:pPr>
      <w:r>
        <w:t xml:space="preserve">dopuszczać do danych wyłącznie osoby upoważnione, zobowiązane do zachowania ich w tajemnicy, także po ustaniu współpracy,</w:t>
      </w:r>
    </w:p>
    <w:p>
      <w:pPr>
        <w:pStyle w:val="ListParagraph"/>
        <w:numPr>
          <w:ilvl w:val="0"/>
          <w:numId w:val="8"/>
        </w:numPr>
        <w:spacing w:after="80"/>
        <w:ind w:left="1080" w:hanging="360"/>
        <w:jc w:val="both"/>
      </w:pPr>
      <w:r>
        <w:t xml:space="preserve">stosować środki techniczne i organizacyjne zapewniające bezpieczeństwo danych, o których mowa w art. 32 RODO, opisane w Załączniku nr 1,</w:t>
      </w:r>
    </w:p>
    <w:p>
      <w:pPr>
        <w:pStyle w:val="ListParagraph"/>
        <w:numPr>
          <w:ilvl w:val="0"/>
          <w:numId w:val="8"/>
        </w:numPr>
        <w:spacing w:after="80"/>
        <w:ind w:left="1080" w:hanging="360"/>
        <w:jc w:val="both"/>
      </w:pPr>
      <w:r>
        <w:t xml:space="preserve">pomagać Administratorowi, w miarę możliwości, w realizacji żądań osób, których dane dotyczą (dostęp, sprostowanie, usunięcie, ograniczenie, przeniesienie, sprzeciw) – w szczególności przekazać na żądanie eksport danych wskazanej osoby,</w:t>
      </w:r>
    </w:p>
    <w:p>
      <w:pPr>
        <w:pStyle w:val="ListParagraph"/>
        <w:numPr>
          <w:ilvl w:val="0"/>
          <w:numId w:val="8"/>
        </w:numPr>
        <w:spacing w:after="80"/>
        <w:ind w:left="1080" w:hanging="360"/>
        <w:jc w:val="both"/>
      </w:pPr>
      <w:r>
        <w:t xml:space="preserve">pomagać Administratorowi w wywiązywaniu się z obowiązków z art. 32–36 RODO, uwzględniając charakter przetwarzania i dostępne informacje,</w:t>
      </w:r>
    </w:p>
    <w:p>
      <w:pPr>
        <w:pStyle w:val="ListParagraph"/>
        <w:numPr>
          <w:ilvl w:val="0"/>
          <w:numId w:val="8"/>
        </w:numPr>
        <w:spacing w:after="80"/>
        <w:ind w:left="1080" w:hanging="360"/>
        <w:jc w:val="both"/>
      </w:pPr>
      <w:r>
        <w:t xml:space="preserve">prowadzić rejestr kategorii czynności przetwarzania, o którym mowa w art. 30 ust. 2 RODO, jeżeli jest do tego zobowiązany,</w:t>
      </w:r>
    </w:p>
    <w:p>
      <w:pPr>
        <w:pStyle w:val="ListParagraph"/>
        <w:numPr>
          <w:ilvl w:val="0"/>
          <w:numId w:val="8"/>
        </w:numPr>
        <w:spacing w:after="80"/>
        <w:ind w:left="1080" w:hanging="360"/>
        <w:jc w:val="both"/>
      </w:pPr>
      <w:r>
        <w:t xml:space="preserve">niezwłocznie informować Administratora, jeżeli jego zdaniem wydane polecenie narusza RODO lub inne przepisy o ochronie danych.</w:t>
      </w:r>
    </w:p>
    <w:p>
      <w:pPr>
        <w:pStyle w:val="Heading2"/>
        <w:spacing w:after="140" w:before="280"/>
        <w:jc w:val="center"/>
      </w:pPr>
      <w:r>
        <w:t xml:space="preserve">§ 5. Dalsze powierzenie (podprocesorzy)</w:t>
      </w:r>
    </w:p>
    <w:p>
      <w:pPr>
        <w:pStyle w:val="ListParagraph"/>
        <w:numPr>
          <w:ilvl w:val="0"/>
          <w:numId w:val="9"/>
        </w:numPr>
        <w:spacing w:after="100"/>
        <w:jc w:val="both"/>
      </w:pPr>
      <w:r>
        <w:t xml:space="preserve">Administrator wyraża ogólną zgodę na dalsze powierzenie przetwarzania. Na dzień zawarcia umowy z usług podprocesorów korzysta się w następującym zakresie:</w:t>
      </w:r>
    </w:p>
    <w:p>
      <w:pPr>
        <w:pStyle w:val="ListParagraph"/>
        <w:numPr>
          <w:ilvl w:val="0"/>
          <w:numId w:val="10"/>
        </w:numPr>
        <w:spacing w:after="80"/>
        <w:ind w:left="1080" w:hanging="360"/>
        <w:jc w:val="both"/>
      </w:pPr>
      <w:r>
        <w:rPr>
          <w:b/>
          <w:bCs/>
        </w:rPr>
        <w:t xml:space="preserve">SEOHOST.pl</w:t>
      </w:r>
      <w:r>
        <w:t xml:space="preserve"> – hosting serwera aplikacji i bazy danych, serwery w Polsce,</w:t>
      </w:r>
    </w:p>
    <w:p>
      <w:pPr>
        <w:pStyle w:val="ListParagraph"/>
        <w:numPr>
          <w:ilvl w:val="0"/>
          <w:numId w:val="10"/>
        </w:numPr>
        <w:spacing w:after="80"/>
        <w:ind w:left="1080" w:hanging="360"/>
        <w:jc w:val="both"/>
      </w:pPr>
      <w:r>
        <w:rPr>
          <w:highlight w:val="yellow"/>
          <w:highlightCs w:val="yellow"/>
        </w:rPr>
        <w:t xml:space="preserve">[inny podprocesor – jeżeli dotyczy, w przeciwnym razie usuń]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100"/>
        <w:jc w:val="both"/>
      </w:pPr>
      <w:r>
        <w:t xml:space="preserve">Dane przesyłane bezpośrednio między przeglądarką użytkownika a Google (Gmail, Kalendarz Google, opcjonalna integracja z kontem Google) oraz dane diagnostyczne biblioteki InboxSDK (Streak), które nie obejmują treści wiadomości ani danych CRM, nie są przetwarzane przez Podmiot przetwarzający w ramach niniejszej umowy – zasady opisuje polityka prywatności GastroFlowx.</w:t>
      </w:r>
    </w:p>
    <w:p>
      <w:pPr>
        <w:pStyle w:val="ListParagraph"/>
        <w:numPr>
          <w:ilvl w:val="0"/>
          <w:numId w:val="9"/>
        </w:numPr>
        <w:spacing w:after="100"/>
        <w:jc w:val="both"/>
      </w:pPr>
      <w:r>
        <w:t xml:space="preserve">O zamiarze zmiany lub dodania podprocesora Podmiot przetwarzający poinformuje Administratora e-mailem co najmniej 14 dni wcześniej. Administrator może w tym terminie zgłosić uzasadniony sprzeciw; w razie braku porozumienia każda ze Stron może wypowiedzieć Umowę główną.</w:t>
      </w:r>
    </w:p>
    <w:p>
      <w:pPr>
        <w:pStyle w:val="ListParagraph"/>
        <w:numPr>
          <w:ilvl w:val="0"/>
          <w:numId w:val="9"/>
        </w:numPr>
        <w:spacing w:after="100"/>
        <w:jc w:val="both"/>
      </w:pPr>
      <w:r>
        <w:t xml:space="preserve">Podmiot przetwarzający nakłada na podprocesora te same obowiązki ochrony danych, co wynikające z niniejszej umowy, i odpowiada wobec Administratora za ich wykonanie.</w:t>
      </w:r>
    </w:p>
    <w:p>
      <w:pPr>
        <w:pStyle w:val="Heading2"/>
        <w:spacing w:after="140" w:before="280"/>
        <w:jc w:val="center"/>
      </w:pPr>
      <w:r>
        <w:t xml:space="preserve">§ 6. Naruszenia ochrony danych</w:t>
      </w:r>
    </w:p>
    <w:p>
      <w:pPr>
        <w:pStyle w:val="ListParagraph"/>
        <w:numPr>
          <w:ilvl w:val="0"/>
          <w:numId w:val="11"/>
        </w:numPr>
        <w:spacing w:after="100"/>
        <w:jc w:val="both"/>
      </w:pPr>
      <w:r>
        <w:t xml:space="preserve">Podmiot przetwarzający zgłasza Administratorowi stwierdzone naruszenie ochrony danych osobowych bez zbędnej zwłoki, nie później niż w ciągu </w:t>
      </w:r>
      <w:r>
        <w:rPr>
          <w:b/>
          <w:bCs/>
        </w:rPr>
        <w:t xml:space="preserve">36 godzin</w:t>
      </w:r>
      <w:r>
        <w:t xml:space="preserve"> od jego stwierdzenia, na adres e-mail: </w:t>
      </w:r>
      <w:r>
        <w:rPr>
          <w:highlight w:val="yellow"/>
          <w:highlightCs w:val="yellow"/>
        </w:rPr>
        <w:t xml:space="preserve">[adres e-mail Administratora do zgłoszeń]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100"/>
        <w:jc w:val="both"/>
      </w:pPr>
      <w:r>
        <w:t xml:space="preserve">Zgłoszenie zawiera, w miarę dostępności, informacje wskazane w art. 33 ust. 3 RODO: charakter naruszenia, kategorie i przybliżoną liczbę osób i rekordów, prawdopodobne konsekwencje oraz podjęte lub proponowane środki. Informacje niedostępne w chwili zgłoszenia przekazuje się niezwłocznie później.</w:t>
      </w:r>
    </w:p>
    <w:p>
      <w:pPr>
        <w:pStyle w:val="ListParagraph"/>
        <w:numPr>
          <w:ilvl w:val="0"/>
          <w:numId w:val="11"/>
        </w:numPr>
        <w:spacing w:after="100"/>
        <w:jc w:val="both"/>
      </w:pPr>
      <w:r>
        <w:t xml:space="preserve">Zgłoszenie naruszenia do Prezesa UODO i zawiadomienie osób, których dane dotyczą, należy do Administratora.</w:t>
      </w:r>
    </w:p>
    <w:p>
      <w:pPr>
        <w:pStyle w:val="Heading2"/>
        <w:spacing w:after="140" w:before="280"/>
        <w:jc w:val="center"/>
      </w:pPr>
      <w:r>
        <w:t xml:space="preserve">§ 7. Kontrola</w:t>
      </w:r>
    </w:p>
    <w:p>
      <w:pPr>
        <w:pStyle w:val="ListParagraph"/>
        <w:numPr>
          <w:ilvl w:val="0"/>
          <w:numId w:val="12"/>
        </w:numPr>
        <w:spacing w:after="100"/>
        <w:jc w:val="both"/>
      </w:pPr>
      <w:r>
        <w:t xml:space="preserve">Podmiot przetwarzający udostępnia Administratorowi informacje niezbędne do wykazania spełnienia obowiązków z art. 28 RODO, w szczególności odpowiada na pytania Administratora w ciągu 14 dni.</w:t>
      </w:r>
    </w:p>
    <w:p>
      <w:pPr>
        <w:pStyle w:val="ListParagraph"/>
        <w:numPr>
          <w:ilvl w:val="0"/>
          <w:numId w:val="12"/>
        </w:numPr>
        <w:spacing w:after="100"/>
        <w:jc w:val="both"/>
      </w:pPr>
      <w:r>
        <w:t xml:space="preserve">Administrator może przeprowadzić audyt lub inspekcję, samodzielnie lub przez upoważnionego audytora zobowiązanego do zachowania tajemnicy, po zawiadomieniu Podmiotu przetwarzającego z co najmniej 14-dniowym wyprzedzeniem, w dniach i godzinach pracy, nie częściej niż raz w roku – chyba że kontrola jest związana z naruszeniem ochrony danych lub żądaniem organu nadzorczego. Koszty audytu ponosi Administrator.</w:t>
      </w:r>
    </w:p>
    <w:p>
      <w:pPr>
        <w:pStyle w:val="Heading2"/>
        <w:spacing w:after="140" w:before="280"/>
        <w:jc w:val="center"/>
      </w:pPr>
      <w:r>
        <w:t xml:space="preserve">§ 8. Zakończenie przetwarzania</w:t>
      </w:r>
    </w:p>
    <w:p>
      <w:pPr>
        <w:pStyle w:val="ListParagraph"/>
        <w:numPr>
          <w:ilvl w:val="0"/>
          <w:numId w:val="13"/>
        </w:numPr>
        <w:spacing w:after="100"/>
        <w:jc w:val="both"/>
      </w:pPr>
      <w:r>
        <w:t xml:space="preserve">Po zakończeniu Umowy głównej Podmiot przetwarzający, zgodnie z decyzją Administratora, zwraca dane (eksport w powszechnie używanym formacie elektronicznym, np. CSV lub JSON, przygotowany przez Podmiot przetwarzający) albo je usuwa, w terminie </w:t>
      </w:r>
      <w:r>
        <w:rPr>
          <w:b/>
          <w:bCs/>
        </w:rPr>
        <w:t xml:space="preserve">30 dni</w:t>
      </w:r>
      <w:r>
        <w:t xml:space="preserve">, chyba że prawo nakazuje ich dalsze przechowywanie.</w:t>
      </w:r>
    </w:p>
    <w:p>
      <w:pPr>
        <w:pStyle w:val="ListParagraph"/>
        <w:numPr>
          <w:ilvl w:val="0"/>
          <w:numId w:val="13"/>
        </w:numPr>
        <w:spacing w:after="100"/>
        <w:jc w:val="both"/>
      </w:pPr>
      <w:r>
        <w:t xml:space="preserve">Wniosek o eksport Administrator składa przed upływem terminu z ust. 1. Kopie zapasowe są usuwane w cyklu ich rotacji u dostawcy hostingu.</w:t>
      </w:r>
    </w:p>
    <w:p>
      <w:pPr>
        <w:pStyle w:val="ListParagraph"/>
        <w:numPr>
          <w:ilvl w:val="0"/>
          <w:numId w:val="13"/>
        </w:numPr>
        <w:spacing w:after="100"/>
        <w:jc w:val="both"/>
      </w:pPr>
      <w:r>
        <w:t xml:space="preserve">Na żądanie Administratora Podmiot przetwarzający potwierdza usunięcie danych e-mailem.</w:t>
      </w:r>
    </w:p>
    <w:p>
      <w:pPr>
        <w:pStyle w:val="Heading2"/>
        <w:spacing w:after="140" w:before="280"/>
        <w:jc w:val="center"/>
      </w:pPr>
      <w:r>
        <w:t xml:space="preserve">§ 9. Odpowiedzialność</w:t>
      </w:r>
    </w:p>
    <w:p>
      <w:pPr>
        <w:pStyle w:val="ListParagraph"/>
        <w:numPr>
          <w:ilvl w:val="0"/>
          <w:numId w:val="14"/>
        </w:numPr>
        <w:spacing w:after="100"/>
        <w:jc w:val="both"/>
      </w:pPr>
      <w:r>
        <w:t xml:space="preserve">Podmiot przetwarzający odpowiada za szkody spowodowane przetwarzaniem niezgodnym z niniejszą umową lub RODO na zasadach art. 82 RODO.</w:t>
      </w:r>
    </w:p>
    <w:p>
      <w:pPr>
        <w:pStyle w:val="ListParagraph"/>
        <w:numPr>
          <w:ilvl w:val="0"/>
          <w:numId w:val="14"/>
        </w:numPr>
        <w:spacing w:after="100"/>
        <w:jc w:val="both"/>
      </w:pPr>
      <w:r>
        <w:t xml:space="preserve">Administrator odpowiada za zgodność z prawem danych wprowadzanych do Systemu przez jego użytkowników, za istnienie podstaw prawnych ich przetwarzania oraz za nadanie upoważnień swoim pracownikom i współpracownikom.</w:t>
      </w:r>
    </w:p>
    <w:p>
      <w:pPr>
        <w:pStyle w:val="ListParagraph"/>
        <w:numPr>
          <w:ilvl w:val="0"/>
          <w:numId w:val="14"/>
        </w:numPr>
        <w:spacing w:after="100"/>
        <w:jc w:val="both"/>
      </w:pPr>
      <w:r>
        <w:rPr>
          <w:highlight w:val="yellow"/>
          <w:highlightCs w:val="yellow"/>
        </w:rPr>
        <w:t xml:space="preserve">[opcjonalnie: ograniczenie odpowiedzialności, np. do wysokości wynagrodzenia z Umowy głównej za ostatnie 12 miesięcy, z wyjątkiem szkody wyrządzonej umyślnie – usuń, jeżeli nie dotyczy]</w:t>
      </w:r>
    </w:p>
    <w:p>
      <w:pPr>
        <w:pStyle w:val="Heading2"/>
        <w:spacing w:after="140" w:before="280"/>
        <w:jc w:val="center"/>
      </w:pPr>
      <w:r>
        <w:t xml:space="preserve">§ 10. Postanowienia końcowe</w:t>
      </w:r>
    </w:p>
    <w:p>
      <w:pPr>
        <w:pStyle w:val="ListParagraph"/>
        <w:numPr>
          <w:ilvl w:val="0"/>
          <w:numId w:val="15"/>
        </w:numPr>
        <w:spacing w:after="100"/>
        <w:jc w:val="both"/>
      </w:pPr>
      <w:r>
        <w:t xml:space="preserve">Zmiany umowy wymagają formy pisemnej lub dokumentowej (e-mail) pod rygorem nieważności.</w:t>
      </w:r>
    </w:p>
    <w:p>
      <w:pPr>
        <w:pStyle w:val="ListParagraph"/>
        <w:numPr>
          <w:ilvl w:val="0"/>
          <w:numId w:val="15"/>
        </w:numPr>
        <w:spacing w:after="100"/>
        <w:jc w:val="both"/>
      </w:pPr>
      <w:r>
        <w:t xml:space="preserve">W sprawach nieuregulowanych stosuje się RODO, ustawę o ochronie danych osobowych oraz Kodeks cywilny.</w:t>
      </w:r>
    </w:p>
    <w:p>
      <w:pPr>
        <w:pStyle w:val="ListParagraph"/>
        <w:numPr>
          <w:ilvl w:val="0"/>
          <w:numId w:val="15"/>
        </w:numPr>
        <w:spacing w:after="100"/>
        <w:jc w:val="both"/>
      </w:pPr>
      <w:r>
        <w:t xml:space="preserve">Spory rozstrzyga sąd właściwy dla siedziby </w:t>
      </w:r>
      <w:r>
        <w:rPr>
          <w:highlight w:val="yellow"/>
          <w:highlightCs w:val="yellow"/>
        </w:rPr>
        <w:t xml:space="preserve">[Administratora / Podmiotu przetwarzającego]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100"/>
        <w:jc w:val="both"/>
      </w:pPr>
      <w:r>
        <w:t xml:space="preserve">Umowę sporządzono w dwóch jednobrzmiących egzemplarzach, po jednym dla każdej ze Stron, albo w formie elektronicznej opatrzonej podpisami elektronicznymi Stron.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900"/>
              <w:jc w:val="center"/>
            </w:pPr>
            <w:r>
              <w:t xml:space="preserve">……………………………………………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900"/>
              <w:jc w:val="center"/>
            </w:pPr>
            <w:r>
              <w:t xml:space="preserve">……………………………………………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Podmiot przetwarzający</w:t>
            </w:r>
          </w:p>
        </w:tc>
      </w:tr>
    </w:tbl>
    <w:p>
      <w:pPr>
        <w:pStyle w:val="Heading2"/>
        <w:pageBreakBefore/>
        <w:spacing w:after="160"/>
        <w:jc w:val="center"/>
      </w:pPr>
      <w:r>
        <w:t xml:space="preserve">Załącznik nr 1 – Środki techniczne i organizacyjne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Szyfrowanie połączeń (HTTPS/TLS) między rozszerzeniem, panelem administracyjnym i serwerem.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Hasła użytkowników i tokeny logowania przechowywane wyłącznie w postaci skrótów kryptograficznych; tokeny rozszerzenia wygasają po 30 dniach, sesja panelu administracyjnego po 2 godzinach bezczynności.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Logiczna separacja danych restauracji – każdy użytkownik ma dostęp wyłącznie do danych swojej restauracji.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Kontrola dostępu wewnątrz restauracji: karta kontaktu jest domyślnie widoczna tylko dla jej opiekuna; inni użytkownicy uzyskują dostęp wyłącznie przez udostępnienie w zakresie wybranym przez opiekuna; karty w kategoriach prywatnych widzi tylko ich właściciel.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Indywidualne konta użytkowników, nadawane i odbierane przez administratora systemu; możliwość natychmiastowego wylogowania użytkownika ze wszystkich urządzeń.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Ograniczenie zakresu danych z Gmaila do metadanych korespondencji z klientami zapisanymi w Systemie; token dostępu Google pozostaje w przeglądarce użytkownika.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Ochrona przed atakami: limit prób logowania, ochrona CSRF panelu, walidacja danych wejściowych.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Serwery w Polsce (UE); dzienniki serwera przechowywane do 14 dni; kopie zapasowe w ramach usługi hostingowej </w:t>
      </w:r>
      <w:r>
        <w:rPr>
          <w:highlight w:val="yellow"/>
          <w:highlightCs w:val="yellow"/>
        </w:rPr>
        <w:t xml:space="preserve">[potwierdź u dostawcy hostingu częstotliwość i okres przechowywania kopii, np. codziennie, 14 dni]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Dostęp do serwera i bazy danych wyłącznie dla Podmiotu przetwarzającego, z użyciem uwierzytelnionego połączenia SSH.</w:t>
      </w:r>
    </w:p>
    <w:p>
      <w:pPr>
        <w:pStyle w:val="ListParagraph"/>
        <w:numPr>
          <w:ilvl w:val="0"/>
          <w:numId w:val="16"/>
        </w:numPr>
        <w:spacing w:after="80"/>
        <w:ind w:left="1080" w:hanging="360"/>
        <w:jc w:val="both"/>
      </w:pPr>
      <w:r>
        <w:t xml:space="preserve">Aktualizacje bezpieczeństwa oprogramowania wdrażane niezwłocznie po ich udostępnieniu.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Umowa powierzenia przetwarzania danych osobowych – strona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z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/>
      <w:jc w:val="center"/>
    </w:pPr>
    <w:rPr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pPr>
      <w:keepNext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powierzenia przetwarzania danych osobowych</dc:title>
  <dc:creator>GastroFlowx</dc:creator>
  <cp:lastModifiedBy>Un-named</cp:lastModifiedBy>
  <cp:revision>1</cp:revision>
  <dcterms:created xsi:type="dcterms:W3CDTF">2026-10-12T22:22:35.587Z</dcterms:created>
  <dcterms:modified xsi:type="dcterms:W3CDTF">2026-10-12T22:22:35.599Z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