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32"/>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8"/>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21"/>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21"/>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21"/>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21"/>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2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21"/>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21"/>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21"/>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7"/>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38"/>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38"/>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38"/>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38"/>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38"/>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3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38"/>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3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3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38"/>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38"/>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38"/>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38"/>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3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38"/>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27"/>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27"/>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27"/>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27"/>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27"/>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27"/>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27"/>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27"/>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27"/>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27"/>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27"/>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42"/>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42"/>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42"/>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42"/>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4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42"/>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4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42"/>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4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4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42"/>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4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42"/>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15"/>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15"/>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15"/>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15"/>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15"/>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15"/>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15"/>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15"/>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1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1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15"/>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15"/>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35"/>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35"/>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3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35"/>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3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35"/>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35"/>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35"/>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3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35"/>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35"/>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35"/>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3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35"/>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35"/>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35"/>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35"/>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13"/>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1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13"/>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1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13"/>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13"/>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36"/>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36"/>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36"/>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36"/>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16"/>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16"/>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16"/>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3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33"/>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26"/>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26"/>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26"/>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26"/>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39"/>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39"/>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39"/>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18"/>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18"/>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3"/>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3"/>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1"/>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1"/>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1"/>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1"/>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1"/>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1"/>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1"/>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1"/>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1"/>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1"/>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1"/>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1"/>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1"/>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1"/>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1"/>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1"/>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1"/>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1"/>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1"/>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1"/>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1"/>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1"/>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1"/>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30"/>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30"/>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30"/>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30"/>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30"/>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30"/>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30"/>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30"/>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30"/>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30"/>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30"/>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30"/>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30"/>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30"/>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30"/>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40"/>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40"/>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40"/>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40"/>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40"/>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40"/>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40"/>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40"/>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40"/>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40"/>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40"/>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40"/>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40"/>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25"/>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25"/>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25"/>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25"/>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25"/>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25"/>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25"/>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25"/>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25"/>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37"/>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37"/>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37"/>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37"/>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37"/>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37"/>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37"/>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37"/>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37"/>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9"/>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9"/>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9"/>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9"/>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9"/>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9"/>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5"/>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5"/>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5"/>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5"/>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5"/>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5"/>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5"/>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5"/>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5"/>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5"/>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5"/>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28"/>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28"/>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28"/>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28"/>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41"/>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41"/>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41"/>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2"/>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2"/>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2"/>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2"/>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2"/>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23"/>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23"/>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23"/>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23"/>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23"/>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23"/>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14"/>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14"/>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14"/>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4"/>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4"/>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6"/>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6"/>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6"/>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6"/>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0"/>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0"/>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0"/>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0"/>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0"/>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0"/>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0"/>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0"/>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0"/>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0"/>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34"/>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34"/>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3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34"/>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34"/>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34"/>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22"/>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22"/>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29"/>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2"/>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2"/>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2"/>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17"/>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17"/>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17"/>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24"/>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2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31"/>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31"/>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19"/>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19"/>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0"/>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0"/>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0"/>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0"/>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0"/>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0"/>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0"/>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0"/>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0"/>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0"/>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0"/>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0"/>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43"/>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43"/>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43"/>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43"/>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43"/>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43"/>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