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6"/>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5"/>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C">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E">
      <w:pPr>
        <w:numPr>
          <w:ilvl w:val="0"/>
          <w:numId w:val="7"/>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A">
      <w:pPr>
        <w:numPr>
          <w:ilvl w:val="1"/>
          <w:numId w:val="7"/>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B">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6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8">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A">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C">
      <w:pPr>
        <w:numPr>
          <w:ilvl w:val="2"/>
          <w:numId w:val="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7D">
      <w:pPr>
        <w:numPr>
          <w:ilvl w:val="2"/>
          <w:numId w:val="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7E">
      <w:pPr>
        <w:numPr>
          <w:ilvl w:val="2"/>
          <w:numId w:val="3"/>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7F">
      <w:pPr>
        <w:numPr>
          <w:ilvl w:val="0"/>
          <w:numId w:val="3"/>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