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31"/>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0"/>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0"/>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0"/>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0"/>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0"/>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0"/>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0"/>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7"/>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37"/>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37"/>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37"/>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37"/>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37"/>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3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37"/>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3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3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37"/>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37"/>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37"/>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37"/>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37"/>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37"/>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26"/>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26"/>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26"/>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26"/>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26"/>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26"/>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26"/>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26"/>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26"/>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26"/>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26"/>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41"/>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41"/>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41"/>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41"/>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4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41"/>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41"/>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41"/>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4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41"/>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41"/>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4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41"/>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14"/>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14"/>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14"/>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14"/>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14"/>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14"/>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1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14"/>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1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14"/>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14"/>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14"/>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34"/>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34"/>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3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34"/>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34"/>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34"/>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34"/>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34"/>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3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34"/>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34"/>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34"/>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3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34"/>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34"/>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34"/>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3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2"/>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2"/>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35"/>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35"/>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35"/>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35"/>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15"/>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15"/>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3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32"/>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25"/>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25"/>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25"/>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25"/>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38"/>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38"/>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38"/>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17"/>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17"/>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3"/>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0"/>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0"/>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0"/>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0"/>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0"/>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0"/>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0"/>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0"/>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0"/>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0"/>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0"/>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0"/>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0"/>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0"/>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0"/>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0"/>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0"/>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0"/>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0"/>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0"/>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0"/>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0"/>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29"/>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29"/>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29"/>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29"/>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29"/>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29"/>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29"/>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29"/>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29"/>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29"/>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29"/>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29"/>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29"/>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29"/>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29"/>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39"/>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39"/>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39"/>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39"/>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39"/>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39"/>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39"/>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39"/>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39"/>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39"/>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39"/>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39"/>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39"/>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24"/>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24"/>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24"/>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24"/>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24"/>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24"/>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24"/>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24"/>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24"/>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36"/>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36"/>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36"/>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36"/>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36"/>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36"/>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36"/>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36"/>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36"/>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9"/>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9"/>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9"/>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9"/>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5"/>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5"/>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5"/>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5"/>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5"/>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5"/>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27"/>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27"/>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27"/>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27"/>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40"/>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40"/>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40"/>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1"/>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1"/>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1"/>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1"/>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1"/>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22"/>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22"/>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22"/>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22"/>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22"/>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22"/>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3"/>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3"/>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3"/>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4"/>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4"/>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6"/>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6"/>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6"/>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6"/>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19"/>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1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1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19"/>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1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1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19"/>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1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19"/>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19"/>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19"/>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19"/>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19"/>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33"/>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33"/>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3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33"/>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33"/>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3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1"/>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1"/>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2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2"/>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2"/>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2"/>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16"/>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16"/>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16"/>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23"/>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23"/>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30"/>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30"/>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18"/>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18"/>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