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博士生生命周期管理系统（DTLMS）综合分析报告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一、系统核心成果概览</w:t>
      </w:r>
    </w:p>
    <w:p>
      <w:r>
        <w:rPr>
          <w:rFonts w:ascii="Times New Roman" w:hAnsi="Times New Roman" w:eastAsia="宋体"/>
          <w:sz w:val="24"/>
        </w:rPr>
        <w:t>博士生生命周期管理系统（DTLMS）基于 Ontology、Palantir 方法论与斯坦福七步法，构建了覆盖“招生—培养—学位—毕业”全周期的数字化管理框架。系统以统一语义模型为核心，打通多源异构数据，实现从流程线上化到决策智能化的跃迁，为高校博士生管理提供可追溯、可分析、可优化的闭环解决方案。</w:t>
      </w:r>
    </w:p>
    <w:p>
      <w:r>
        <w:rPr>
          <w:rFonts w:ascii="Times New Roman" w:hAnsi="Times New Roman" w:eastAsia="宋体"/>
          <w:sz w:val="24"/>
        </w:rPr>
        <w:t>核心成果体现在以下四个维度：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建模科学化</w:t>
      </w:r>
      <w:r>
        <w:rPr>
          <w:rFonts w:ascii="Times New Roman" w:hAnsi="Times New Roman" w:eastAsia="宋体"/>
          <w:sz w:val="24"/>
        </w:rPr>
        <w:t>：采用斯坦福七步法系统化构建领域本体，明确定义10类核心实体及其属性约束，确保知识表达的严谨性与可推理性</w:t>
      </w:r>
      <w:hyperlink r:id="rId9">
        <w:r>
          <w:rPr>
            <w:rFonts w:ascii="Times New Roman" w:hAnsi="Times New Roman" w:eastAsia="宋体"/>
            <w:color w:val="0066CC"/>
            <w:sz w:val="24"/>
            <w:u w:val="single"/>
            <w:vertAlign w:val="superscript"/>
          </w:rPr>
          <w:t>1</w:t>
        </w:r>
      </w:hyperlink>
      <w:r>
        <w:rPr>
          <w:rFonts w:ascii="Times New Roman" w:hAnsi="Times New Roman" w:eastAsia="宋体"/>
          <w:sz w:val="24"/>
        </w:rPr>
        <w:t>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流程闭环化</w:t>
      </w:r>
      <w:r>
        <w:rPr>
          <w:rFonts w:ascii="Times New Roman" w:hAnsi="Times New Roman" w:eastAsia="宋体"/>
          <w:sz w:val="24"/>
        </w:rPr>
        <w:t>：设计8项主业务流程与3类关键审批链，形成“申请—执行—反馈—归档”的完整闭环，消除管理断点</w:t>
      </w:r>
      <w:hyperlink r:id="rId10">
        <w:r>
          <w:rPr>
            <w:rFonts w:ascii="Times New Roman" w:hAnsi="Times New Roman" w:eastAsia="宋体"/>
            <w:color w:val="0066CC"/>
            <w:sz w:val="24"/>
            <w:u w:val="single"/>
            <w:vertAlign w:val="superscript"/>
          </w:rPr>
          <w:t>2</w:t>
        </w:r>
      </w:hyperlink>
      <w:r>
        <w:rPr>
          <w:rFonts w:ascii="Times New Roman" w:hAnsi="Times New Roman" w:eastAsia="宋体"/>
          <w:sz w:val="24"/>
        </w:rPr>
        <w:t>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功能体系化</w:t>
      </w:r>
      <w:r>
        <w:rPr>
          <w:rFonts w:ascii="Times New Roman" w:hAnsi="Times New Roman" w:eastAsia="宋体"/>
          <w:sz w:val="24"/>
        </w:rPr>
        <w:t>：规划10大功能模块，涵盖主数据管理、科研进展跟踪、导师关系维护等关键场景，支持角色分级权限控制。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价值可量化</w:t>
      </w:r>
      <w:r>
        <w:rPr>
          <w:rFonts w:ascii="Times New Roman" w:hAnsi="Times New Roman" w:eastAsia="宋体"/>
          <w:sz w:val="24"/>
        </w:rPr>
        <w:t>：通过自动化与数据联动，预期在流程效率、提交率、档案完整度等6项关键指标上实现显著提升。</w:t>
      </w:r>
    </w:p>
    <w:p>
      <w:r>
        <w:rPr>
          <w:rFonts w:ascii="Times New Roman" w:hAnsi="Times New Roman" w:eastAsia="宋体"/>
          <w:sz w:val="24"/>
        </w:rPr>
        <w:t>下表系统梳理了DTLMS的核心能力构成：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类别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方法论基础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Ontology + Palantir + 斯坦福七步法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构建统一语义模型，支持智能推理与跨系统集成 </w:t>
            </w:r>
            <w:hyperlink r:id="rId9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1</w:t>
              </w:r>
            </w:hyperlink>
            <w:r>
              <w:rPr>
                <w:rFonts w:ascii="Times New Roman" w:hAnsi="Times New Roman" w:eastAsia="宋体"/>
                <w:sz w:val="24"/>
                <w:vertAlign w:val="superscript"/>
              </w:rPr>
              <w:t>,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生命周期覆盖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招生→培养→学位→毕业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全流程线上化管理，支持状态自动识别与提醒触发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核心实体数量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10类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包括博士生、导师、招生计划、科研项目、培养方案、科研报告、外出研修、学位论文、成果记录、用户角色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关键流程数量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8项主流程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涵盖招生录取、导师关系确认、培养方案制定、科研报告审阅、外出研修、学位答辩、奖助评定、毕业离校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审批机制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3类审批流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导师变更、外出研修、学位申请，均支持多级审批与操作留痕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权限体系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6类角色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学生、导师、管理员、HRBP、公寓保障、党群，按需分配数据查看与操作权限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技术栈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后端：Python FastAPI</w:t>
            </w:r>
            <w:r>
              <w:rPr>
                <w:rFonts w:ascii="Times New Roman" w:hAnsi="Times New Roman" w:eastAsia="宋体"/>
                <w:sz w:val="24"/>
              </w:rPr>
              <w:br/>
            </w:r>
            <w:r>
              <w:rPr>
                <w:rFonts w:ascii="Times New Roman" w:hAnsi="Times New Roman" w:eastAsia="宋体"/>
                <w:sz w:val="24"/>
              </w:rPr>
              <w:t>前端：Vue3 + Element-Plus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高性能API服务，响应式界面，支持移动端访问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集成能力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对接招生系统、OA、飞书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实现主数据同步、考勤状态联动、消息推送等跨平台协作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定性价值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管理规范化、数据一致性、决策智能化、师生体验优化、风险可控化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提升整体治理水平与运行效率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定量价值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6项指标提升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招生流程时间↓50%、报告提交率↑至≥95%、人工干预次数↓77.78%等，详见第六章详述</w:t>
            </w:r>
          </w:p>
        </w:tc>
      </w:tr>
    </w:tbl>
    <w:p/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二、实体知识图谱构建</w:t>
      </w:r>
    </w:p>
    <w:p>
      <w:r>
        <w:rPr>
          <w:rFonts w:ascii="Times New Roman" w:hAnsi="Times New Roman" w:eastAsia="宋体"/>
          <w:sz w:val="24"/>
        </w:rPr>
        <w:t xml:space="preserve">博士生生命周期管理系统（DTLMS）的实体知识图谱基于斯坦福七步法构建，通过系统化定义领域核心概念、属性与关系，形成支持语义推理与数据联动的统一模型 </w:t>
      </w:r>
      <w:hyperlink r:id="rId9">
        <w:r>
          <w:rPr>
            <w:rFonts w:ascii="Times New Roman" w:hAnsi="Times New Roman" w:eastAsia="宋体"/>
            <w:color w:val="0066CC"/>
            <w:sz w:val="24"/>
            <w:u w:val="single"/>
            <w:vertAlign w:val="superscript"/>
          </w:rPr>
          <w:t>1</w:t>
        </w:r>
      </w:hyperlink>
      <w:r>
        <w:rPr>
          <w:rFonts w:ascii="Times New Roman" w:hAnsi="Times New Roman" w:eastAsia="宋体"/>
          <w:sz w:val="24"/>
        </w:rPr>
        <w:t>。该图谱以“博士生”为中心，围绕其招生、培养、科研、学位等关键阶段，识别出10类核心业务实体，并建立精确的关联规则，确保系统具备高内聚、低耦合的结构特性。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（一）核心实体清单</w:t>
      </w:r>
    </w:p>
    <w:p>
      <w:r>
        <w:rPr>
          <w:rFonts w:ascii="Times New Roman" w:hAnsi="Times New Roman" w:eastAsia="宋体"/>
          <w:sz w:val="24"/>
        </w:rPr>
        <w:t>系统共识别并建模10类核心实体，每类实体均包含明确的属性集和数据来源依据，保障信息完整性与可追溯性：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编号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实体名称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主要属性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数据来源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学号、姓名、性别、出生日期、政治面貌、联系方式、证件号码、录取年份、学位类型、所属团队、当前状态（在读/毕业/退学）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工号、姓名、职称、单位、研究方向、挂名导师资格、招生名额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招生计划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计划名称、学年学期、开始时间、结束时间、招生人数、当前进度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招生模块.pptx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科研项目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项目编号、项目名称、负责人、起止时间、经费额度、参与学生名单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培养方案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方案编号、制定时间、科研目标、报告周期、必参与项目、考核标准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科研报告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报告编号、提交时间、内容摘要、附件、评分、审阅意见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外出研修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研修类型、地点、时间、目的、预期成果、审批状态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学位论文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论文题目、提交时间、查重率、盲审结果、答辩成绩、是否授予学位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成果记录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成果类型（论文/专利/竞赛）、标题、发表时间、刊物/机构、排名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用户角色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角色类型（学生/导师/管理员/HRBP/公寓保障/党群）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专项博士生管理系统平台建设方案-1212.pdf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所有实体属性均源自实际业务文档，未进行主观扩展或简化，确保模型真实反映管理需求。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（二）实体关联关系图谱</w:t>
      </w:r>
    </w:p>
    <w:p>
      <w:r>
        <w:rPr>
          <w:rFonts w:ascii="Times New Roman" w:hAnsi="Times New Roman" w:eastAsia="宋体"/>
          <w:sz w:val="24"/>
        </w:rPr>
        <w:t>在实体基础上，系统定义了10项关键语义关系，构成动态的知识网络。这些关系不仅描述“是什么”，更承载“能做什么”的操作逻辑，支撑流程自动化与权限联动：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编号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关系名称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起始实体 → 目标实体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关系类型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约束说明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指导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一对一或多对一，需记录起止时间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参与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科研项目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多对多，记录角色（主持/参与）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制定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 → 培养方案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每学年最多修改3次，修改日志存档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提交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科研报告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按周期提交，逾期触发提醒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审阅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 → 科研报告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7天内完成审阅，否则触发管理员提醒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申请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外出研修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需上传申请表，经导师与学院审批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撰写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学位论文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查重率≤20%方可进入答辩环节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评审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专家 → 学位论文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至少三位盲审专家，平均分≥75分通过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登记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成果记录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支持批量导入，自动更新科研绩效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属于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 → 招生计划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对象属性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一个学生仅属于一个招生批次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上述关系体系为系统提供强大的语义推理能力，例如：当“科研报告”未被及时“审阅”时，系统可自动识别异常并推送提醒；当“学位论文”查重失败，则阻断后续“评审”流程，实现规则强制执行。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三、业务与审批流程解析</w:t>
      </w:r>
    </w:p>
    <w:p>
      <w:r>
        <w:rPr>
          <w:rFonts w:ascii="Times New Roman" w:hAnsi="Times New Roman" w:eastAsia="宋体"/>
          <w:sz w:val="24"/>
        </w:rPr>
        <w:t>博士生生命周期管理系统（DTLMS）通过结构化建模，全面覆盖从招生录取到毕业离校的六大核心阶段，构建了8项主业务流程与3类关键审批机制。系统以流程闭环化为目标，确保各环节可追溯、可审计、可联动，显著提升管理效率与合规性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（一）主要业务流程清单</w:t>
      </w:r>
    </w:p>
    <w:p>
      <w:r>
        <w:rPr>
          <w:rFonts w:ascii="Times New Roman" w:hAnsi="Times New Roman" w:eastAsia="宋体"/>
          <w:sz w:val="24"/>
        </w:rPr>
        <w:t>系统共设计8项核心业务流程，涵盖博士生全周期管理的关键场景，每一流程均明确涉及实体、执行角色与操作逻辑：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编号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流程名称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涉及实体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执行角色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流程描述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招生录取流程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招生计划、博士生、导师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管理员、评分人、面试官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包括报名、资格审核、材料评分、面试安排、预录取、正式录取等环节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导师关系确认流程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博士生、导师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新生、初始导师、管理员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新录取学生由系统同步导师信息，导师7日内确认，否则驳回修改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培养方案制定流程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培养方案、博士生、导师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导师、学生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入学后15日内制定，学生7日内确认，每学年最多修改3次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科研报告提交与审阅流程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科研报告、博士生、导师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学生、导师、管理员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系统提前7天提醒，逾期未提交则每日提醒至导师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外出研修申请流程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外出研修、博士生、导师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学生、导师、学院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学生提交→导师审核→学院备案→状态同步至飞书/OA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学位论文答辩流程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学位论文、博士生、专家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学生、导师、学位委员会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查重→盲审→预答辩→正式答辩→学位授予审核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奖助评定流程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成果记录、博士生、导师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学生、导师、管理员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基于科研成果、导师评价、报告提交率等维度综合评分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毕业离校流程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博士生、档案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学生、管理员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完成所有学业要求后申请离校，生成电子档案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</w:tbl>
    <w:p/>
    <w:p>
      <w:r>
        <w:rPr>
          <w:rFonts w:ascii="Times New Roman" w:hAnsi="Times New Roman" w:eastAsia="宋体"/>
          <w:sz w:val="24"/>
        </w:rPr>
        <w:t>上述流程均支持自动化触发与状态更新，例如“科研报告”逾期未提交将自动推送提醒至导师端，实现主动式管理干预。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（二）关键审批流程详解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1. 导师变更审批流程</w:t>
      </w:r>
    </w:p>
    <w:p>
      <w:r>
        <w:rPr>
          <w:rFonts w:ascii="Times New Roman" w:hAnsi="Times New Roman" w:eastAsia="宋体"/>
          <w:sz w:val="24"/>
        </w:rPr>
        <w:t>为保障师生关系调整的规范性与透明度，系统设计三类导师变更场景，均需经过多级审批并记录完整日志：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变更场景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发起角色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审批链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联动操作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学生申请更换导师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 → 管理员 → 原导师 → 新导师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权限转移、通知三方、档案更新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导师主动更换学生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原导师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原导师 → 学生 → 管理员 → 新导师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权限转移、通知三方、档案更新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实验室统筹调整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管理员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管理员 → 原导师 → 新导师 → 学生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权限转移、通知三方、档案更新</w:t>
            </w:r>
          </w:p>
        </w:tc>
      </w:tr>
    </w:tbl>
    <w:p/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审批规则</w:t>
      </w:r>
      <w:r>
        <w:rPr>
          <w:rFonts w:ascii="Times New Roman" w:hAnsi="Times New Roman" w:eastAsia="宋体"/>
          <w:i/>
          <w:color w:val="666666"/>
          <w:sz w:val="24"/>
        </w:rPr>
        <w:t>：各节点须在7天内完成处理，超时自动触发系统提醒；所有操作留痕，支持全过程追溯。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 外出研修审批流程</w:t>
      </w:r>
    </w:p>
    <w:p>
      <w:r>
        <w:rPr>
          <w:rFonts w:ascii="Times New Roman" w:hAnsi="Times New Roman" w:eastAsia="宋体"/>
          <w:sz w:val="24"/>
        </w:rPr>
        <w:t>规范专项博士生参与国内外访学、合作研究等活动的申请与管理，确保过程可控、成果可评：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步骤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执行角色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操作内容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规则说明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填写《外出研修申请表》，上传目的与预期成果说明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必须注明研修类型、时间、地点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审核合理性与相关性，可批准/驳回/建议修改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驳回需填写理由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学院（学合管理员）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复核材料，完成备案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审批通过后更新学生状态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系统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自动同步至飞书/OA，更新学生状态为“访学中”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触发每月交流提醒机制</w:t>
            </w:r>
          </w:p>
        </w:tc>
      </w:tr>
    </w:tbl>
    <w:p/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风险控制</w:t>
      </w:r>
      <w:r>
        <w:rPr>
          <w:rFonts w:ascii="Times New Roman" w:hAnsi="Times New Roman" w:eastAsia="宋体"/>
          <w:i/>
          <w:color w:val="666666"/>
          <w:sz w:val="24"/>
        </w:rPr>
        <w:t>：若学生超期未归，系统将自动触发预警通知至管理员及导师，防范管理疏漏。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 学位申请审批流程</w:t>
      </w:r>
    </w:p>
    <w:p>
      <w:r>
        <w:rPr>
          <w:rFonts w:ascii="Times New Roman" w:hAnsi="Times New Roman" w:eastAsia="宋体"/>
          <w:sz w:val="24"/>
        </w:rPr>
        <w:t>严格把控学位授予质量，建立标准化、可追溯的审查链条，确保学术规范性：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步骤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执行角色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操作内容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规则说明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提交学位论文初稿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查重率必须≤20%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系统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自动发起查重并生成报告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查重失败则退回修改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管理员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分配盲审专家（至少3位）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专家独立打分，平均分≥75分通过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专家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在线评审并提交意见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可建议修改或直接否决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组织预答辩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记录修改建议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学位委员会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组织正式答辩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综合评分决定是否授予学位</w:t>
            </w:r>
          </w:p>
        </w:tc>
      </w:tr>
    </w:tbl>
    <w:p/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全流程留痕</w:t>
      </w:r>
      <w:r>
        <w:rPr>
          <w:rFonts w:ascii="Times New Roman" w:hAnsi="Times New Roman" w:eastAsia="宋体"/>
          <w:i/>
          <w:color w:val="666666"/>
          <w:sz w:val="24"/>
        </w:rPr>
        <w:t>：所有环节的操作记录、评审意见、修改版本均存档备查，支持后续审计与复盘。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四、功能模块体系设计</w:t>
      </w:r>
    </w:p>
    <w:p>
      <w:r>
        <w:rPr>
          <w:rFonts w:ascii="Times New Roman" w:hAnsi="Times New Roman" w:eastAsia="宋体"/>
          <w:sz w:val="24"/>
        </w:rPr>
        <w:t>博士生生命周期管理系统（DTLMS）围绕“招生—培养—学位—毕业”全周期管理需求，构建了10大核心功能模块，形成覆盖主数据、流程执行、状态监控与决策支持的完整体系。系统以业务闭环为目标，确保各模块间数据联动、流程衔接、权限可控，全面支撑博士生全过程数字化管理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（一）总体功能模块清单</w:t>
      </w:r>
    </w:p>
    <w:p>
      <w:r>
        <w:rPr>
          <w:rFonts w:ascii="Times New Roman" w:hAnsi="Times New Roman" w:eastAsia="宋体"/>
          <w:sz w:val="24"/>
        </w:rPr>
        <w:t>系统共规划10个一级功能模块，每个模块均包含若干子模块，明确其业务目标与核心价值：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编号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功能模块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子模块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业务目标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学生主数据管理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基础档案、历史数据导入、修改日志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建立唯一可信的学生主数据源，保障数据一致性与可追溯性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招生计划、报名列表、资格审核、评分推荐、预录取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实现从报名到录取的全流程线上化操作，提升招生效率与透明度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培养过程管理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培养方案、科研报告、师生互评、成长档案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构建“制定—提交—审阅—反馈”的闭环机制，推动科研培养有序开展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导师关系管理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关系确认、变更流程、权限联动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精准维护博士生与导师的动态关系，支持多场景下的变更审批与权限自动调整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外出研修管理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申请审批、过程跟踪、归来考核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规范专项博士生国内外访学、合作研究等远程实习活动的申请与管理流程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科研成果管理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论文登记、专利申报、竞赛获奖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全面记录并归档博士生在读期间的科研产出，支持绩效评估与成果统计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学位与毕业管理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论文查重、盲审、答辩安排、学位授予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严格把控学位授予质量，实现从论文提交到学位审批的标准化流程管控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权限与安全管理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角色权限、数据保护、操作审计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 xml:space="preserve">确保不同角色拥有合理权限范围，保障系统数据安全与操作合规性 </w:t>
            </w:r>
            <w:hyperlink r:id="rId10">
              <w:r>
                <w:rPr>
                  <w:rFonts w:ascii="Times New Roman" w:hAnsi="Times New Roman" w:eastAsia="宋体"/>
                  <w:color w:val="0066CC"/>
                  <w:sz w:val="24"/>
                  <w:u w:val="single"/>
                  <w:vertAlign w:val="superscript"/>
                </w:rPr>
                <w:t>2</w:t>
              </w:r>
            </w:hyperlink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通知与提醒系统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状态变更提醒、报告截止提醒、审批待办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构建主动式消息推送机制，提升系统活跃度与任务响应及时性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数据分析与可视化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状态分布看板、提交率统计、评价分析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提供多维度数据洞察，为管理决策提供可视化支持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所有模块均基于统一实体模型设计，确保跨模块数据语义一致，避免信息孤岛。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（二）前端功能界面规划（VUE3 + Element-Plus）</w:t>
      </w:r>
    </w:p>
    <w:p>
      <w:r>
        <w:rPr>
          <w:rFonts w:ascii="Times New Roman" w:hAnsi="Times New Roman" w:eastAsia="宋体"/>
          <w:sz w:val="24"/>
        </w:rPr>
        <w:t>为提升用户体验与交互效率，前端采用 Vue3 组合式 API 与 Element Plus UI 组件库进行开发，针对关键模块设计专业化界面布局：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控制面板</w:t>
      </w:r>
      <w:r>
        <w:br/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招生管理界面</w:t>
      </w:r>
      <w:r>
        <w:br/>
      </w:r>
      <w:r>
        <w:rPr>
          <w:rFonts w:ascii="Times New Roman" w:hAnsi="Times New Roman" w:eastAsia="宋体"/>
          <w:sz w:val="24"/>
        </w:rPr>
        <w:br/>
        <w:t xml:space="preserve">  采用时间轴视图结合评分表格，支持按研究领域、学校、资料状态等多维条件筛选候选人；提供批量导出与一键分配功能，优化评审工作流。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科研报告模块</w:t>
      </w:r>
      <w:r>
        <w:br/>
      </w:r>
      <w:r>
        <w:rPr>
          <w:rFonts w:ascii="Times New Roman" w:hAnsi="Times New Roman" w:eastAsia="宋体"/>
          <w:sz w:val="24"/>
        </w:rPr>
        <w:br/>
        <w:t xml:space="preserve">  内嵌富文本编辑器与附件上传组件，支持学生填写进展内容；导师端提供在线批注与评分条，实现结构化审阅反馈。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培养方案配置页</w:t>
      </w:r>
      <w:r>
        <w:br/>
      </w:r>
      <w:r>
        <w:rPr>
          <w:rFonts w:ascii="Times New Roman" w:hAnsi="Times New Roman" w:eastAsia="宋体"/>
          <w:sz w:val="24"/>
        </w:rPr>
        <w:br/>
        <w:t xml:space="preserve">  提供表单设计器，允许导师灵活设置科研目标、报告周期与考核标准；支持版本对比功能，清晰展示历次修改差异。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成长档案视图</w:t>
      </w:r>
      <w:r>
        <w:br/>
      </w:r>
      <w:r>
        <w:rPr>
          <w:rFonts w:ascii="Times New Roman" w:hAnsi="Times New Roman" w:eastAsia="宋体"/>
          <w:sz w:val="24"/>
        </w:rPr>
        <w:br/>
        <w:t xml:space="preserve">  以时间线形式串联课程学习、科研项目、成果发表、外出研修等关键节点，辅以“成果墙”可视化展示论文、专利等产出，形成完整的个人发展轨迹。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状态看板</w:t>
      </w:r>
      <w:r>
        <w:br/>
      </w:r>
      <w:r>
        <w:rPr>
          <w:rFonts w:ascii="Times New Roman" w:hAnsi="Times New Roman" w:eastAsia="宋体"/>
          <w:sz w:val="24"/>
        </w:rPr>
        <w:br/>
        <w:t xml:space="preserve">  利用 ECharts 实现数据可视化，通过颜色标识（绿色=在校、蓝色=实习中、黄色=请假中、红色=状态待确认）直观呈现学生整体分布情况，辅助运营决策 </w:t>
      </w:r>
      <w:hyperlink r:id="rId10">
        <w:r>
          <w:rPr>
            <w:rFonts w:ascii="Times New Roman" w:hAnsi="Times New Roman" w:eastAsia="宋体"/>
            <w:color w:val="0066CC"/>
            <w:sz w:val="24"/>
            <w:u w:val="single"/>
            <w:vertAlign w:val="superscript"/>
          </w:rPr>
          <w:t>2</w:t>
        </w:r>
      </w:hyperlink>
      <w:r>
        <w:rPr>
          <w:rFonts w:ascii="Times New Roman" w:hAnsi="Times New Roman" w:eastAsia="宋体"/>
          <w:sz w:val="24"/>
        </w:rPr>
        <w:t>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五、技术架构实现方案</w:t>
      </w:r>
    </w:p>
    <w:p>
      <w:r>
        <w:rPr>
          <w:rFonts w:ascii="Times New Roman" w:hAnsi="Times New Roman" w:eastAsia="宋体"/>
          <w:sz w:val="24"/>
        </w:rPr>
        <w:t>博士生生命周期管理系统（DTLMS）的技术架构设计以高性能、高可用、易扩展为核心目标，采用现代化技术栈实现前后端分离与系统集成。后端基于 Python FastAPI 构建 RESTful API 服务，前端采用 Vue3 + Element-Plus 实现响应式用户界面，整体架构支持模块化开发、权限精细化控制与跨平台数据联动。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（一）后端架构（Python FastAPI）</w:t>
      </w:r>
    </w:p>
    <w:p>
      <w:r>
        <w:rPr>
          <w:rFonts w:ascii="Times New Roman" w:hAnsi="Times New Roman" w:eastAsia="宋体"/>
          <w:sz w:val="24"/>
        </w:rPr>
        <w:t xml:space="preserve">后端系统作为业务逻辑与数据处理的核心，选用 </w:t>
      </w:r>
      <w:r>
        <w:rPr>
          <w:rFonts w:ascii="Times New Roman" w:hAnsi="Times New Roman" w:eastAsia="宋体"/>
          <w:b/>
          <w:sz w:val="24"/>
        </w:rPr>
        <w:t>FastAPI</w:t>
      </w:r>
      <w:r>
        <w:rPr>
          <w:rFonts w:ascii="Times New Roman" w:hAnsi="Times New Roman" w:eastAsia="宋体"/>
          <w:sz w:val="24"/>
        </w:rPr>
        <w:t xml:space="preserve"> 框架，具备自动文档生成、类型提示、异步支持等优势，显著提升开发效率与接口可靠性。结合成熟生态组件，构建稳定可维护的服务体系。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组件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技术选型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Web 框架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FastAPI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提供高性能异步 API 支持，自动生成 OpenAPI 文档，便于前后端协作与第三方集成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ORM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SQLAlchemy + Alembic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实现数据库对象关系映射，支持多数据库兼容；Alembic 提供版本化迁移能力，保障数据结构演进安全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数据验证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Pydantic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强制请求与响应模型的类型校验，确保接口输入输出一致性，降低运行时错误风险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认证授权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JWT + OAuth2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支持多角色登录认证，结合权限策略实现细粒度访问控制，保障系统安全性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异步任务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Celery + Redis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处理查重检测、邮件通知、报表生成等耗时操作，避免阻塞主线程，提升用户体验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文件存储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MinIO 或 AWS S3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安全存储学位论文、科研报告、申请材料等大文件，支持版本管理与访问控制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接口集成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Requests + Webhooks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对接招生系统、OA 平台、飞书等外部系统，实现实时数据同步与状态更新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日志审计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Loguru + ELK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全面记录关键操作日志，支持行为追溯与安全审计，满足合规性要求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该架构支持横向扩展与容器化部署，适用于高校大规模并发场景下的稳定运行。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（二）前端架构（VUE3 + Element-Plus）</w:t>
      </w:r>
    </w:p>
    <w:p>
      <w:r>
        <w:rPr>
          <w:rFonts w:ascii="Times New Roman" w:hAnsi="Times New Roman" w:eastAsia="宋体"/>
          <w:sz w:val="24"/>
        </w:rPr>
        <w:t xml:space="preserve">前端系统聚焦用户体验与交互效率，采用 </w:t>
      </w:r>
      <w:r>
        <w:rPr>
          <w:rFonts w:ascii="Times New Roman" w:hAnsi="Times New Roman" w:eastAsia="宋体"/>
          <w:b/>
          <w:sz w:val="24"/>
        </w:rPr>
        <w:t>Vue 3</w:t>
      </w:r>
      <w:r>
        <w:rPr>
          <w:rFonts w:ascii="Times New Roman" w:hAnsi="Times New Roman" w:eastAsia="宋体"/>
          <w:sz w:val="24"/>
        </w:rPr>
        <w:t xml:space="preserve"> 的组合式 API 与 </w:t>
      </w:r>
      <w:r>
        <w:rPr>
          <w:rFonts w:ascii="Times New Roman" w:hAnsi="Times New Roman" w:eastAsia="宋体"/>
          <w:b/>
          <w:sz w:val="24"/>
        </w:rPr>
        <w:t>Element Plus</w:t>
      </w:r>
      <w:r>
        <w:rPr>
          <w:rFonts w:ascii="Times New Roman" w:hAnsi="Times New Roman" w:eastAsia="宋体"/>
          <w:sz w:val="24"/>
        </w:rPr>
        <w:t xml:space="preserve"> UI 组件库，构建模块化、可复用的前端应用。通过现代化工程工具链保障开发效率与代码质量。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组件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技术选型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框架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Vue 3 + Composition API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响应式编程模型，逻辑复用性强，适合复杂表单与动态视图场景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UI 库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Element Plus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提供丰富的表格、弹窗、表单控件，适配中后台管理系统高频交互需求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状态管理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Pinia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轻量级状态管理方案，替代 Vuex，简化全局状态维护与调试流程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路由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Vue Router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支持动态路由加载与权限拦截，实现不同角色的差异化页面访问控制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HTTP 客户端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Axios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封装统一请求拦截、错误处理与 Token 刷新机制，提升网络通信健壮性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可视化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ECharts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集成图表能力，用于展示学生状态分布、报告提交趋势、评价分析等数据看板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构建工具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Vite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快速启动开发服务器，支持热更新与按需编译，大幅提升开发体验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前端支持 PC 与移动端适配，关键功能如“我的任务”“消息提醒”具备 PWA 特性，支持离线访问与消息推送。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（三）系统集成机制</w:t>
      </w:r>
    </w:p>
    <w:p>
      <w:r>
        <w:rPr>
          <w:rFonts w:ascii="Times New Roman" w:hAnsi="Times New Roman" w:eastAsia="宋体"/>
          <w:sz w:val="24"/>
        </w:rPr>
        <w:t>为实现博士生全周期数据贯通，系统建立标准化接口机制，与外部平台进行双向数据交互，消除信息孤岛。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动作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数据流向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主数据同步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招生系统 → DTLMS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同步新生基本信息：姓名、学号、初始导师、录取类别、所属团队等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状态感知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OA/飞书 → DTLMS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实时获取考勤、门禁、请假记录，用于自动判定学生在校/实习/请假状态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状态变更推送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DTLMS → OA/飞书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学生状态更新（如“进入实习阶段”）、待办事项提醒（如“导师审阅报告”）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成果共享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DTLMS → 科研管理系统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同步科研成果数据：论文发表、专利授权、项目参与情况等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所有接口均采用 HTTPS 协议与 Token 认证机制，确保数据传输安全与接口调用合法性。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六、系统价值量化评估</w:t>
      </w:r>
    </w:p>
    <w:p>
      <w:r>
        <w:rPr>
          <w:rFonts w:ascii="Times New Roman" w:hAnsi="Times New Roman" w:eastAsia="宋体"/>
          <w:sz w:val="24"/>
        </w:rPr>
        <w:t>博士生生命周期管理系统（DTLMS）的建设不仅实现管理流程的数字化与规范化，更通过自动化、数据联动与智能提醒机制，在关键运营指标上带来显著提升。系统价值可从定性与定量两个维度进行综合评估，全面体现其对管理效率、数据质量与师生体验的优化作用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（一）定性价值评价</w:t>
      </w:r>
    </w:p>
    <w:p>
      <w:r>
        <w:rPr>
          <w:rFonts w:ascii="Times New Roman" w:hAnsi="Times New Roman" w:eastAsia="宋体"/>
          <w:sz w:val="24"/>
        </w:rPr>
        <w:t>系统上线后将在以下五个方面实现质的飞跃：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管理规范化</w:t>
      </w:r>
      <w:r>
        <w:rPr>
          <w:rFonts w:ascii="Times New Roman" w:hAnsi="Times New Roman" w:eastAsia="宋体"/>
          <w:sz w:val="24"/>
        </w:rPr>
        <w:t>：取代传统纸质流程与分散表格，实现从招生到毕业的全流程线上化操作，消除信息断层与人为疏漏。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数据一致性</w:t>
      </w:r>
      <w:r>
        <w:rPr>
          <w:rFonts w:ascii="Times New Roman" w:hAnsi="Times New Roman" w:eastAsia="宋体"/>
          <w:sz w:val="24"/>
        </w:rPr>
        <w:t>：以招生系统为唯一主数据源，自动同步学生基本信息与导师关系，杜绝重复录入与数据冲突</w:t>
      </w:r>
      <w:hyperlink r:id="rId10">
        <w:r>
          <w:rPr>
            <w:rFonts w:ascii="Times New Roman" w:hAnsi="Times New Roman" w:eastAsia="宋体"/>
            <w:color w:val="0066CC"/>
            <w:sz w:val="24"/>
            <w:u w:val="single"/>
            <w:vertAlign w:val="superscript"/>
          </w:rPr>
          <w:t>2</w:t>
        </w:r>
      </w:hyperlink>
      <w:r>
        <w:rPr>
          <w:rFonts w:ascii="Times New Roman" w:hAnsi="Times New Roman" w:eastAsia="宋体"/>
          <w:sz w:val="24"/>
        </w:rPr>
        <w:t>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决策智能化</w:t>
      </w:r>
      <w:r>
        <w:rPr>
          <w:rFonts w:ascii="Times New Roman" w:hAnsi="Times New Roman" w:eastAsia="宋体"/>
          <w:sz w:val="24"/>
        </w:rPr>
        <w:t>：通过数据分析看板实时掌握学生状态分布、报告提交率、导师审阅及时率等核心指标，支持精准施策与资源调配。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师生体验优化</w:t>
      </w:r>
      <w:r>
        <w:rPr>
          <w:rFonts w:ascii="Times New Roman" w:hAnsi="Times New Roman" w:eastAsia="宋体"/>
          <w:sz w:val="24"/>
        </w:rPr>
        <w:t>：简化科研报告提交、成果登记、外出研修申请等高频操作，提供清晰的任务指引与进度反馈，降低使用负担。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风险可控化</w:t>
      </w:r>
      <w:r>
        <w:rPr>
          <w:rFonts w:ascii="Times New Roman" w:hAnsi="Times New Roman" w:eastAsia="宋体"/>
          <w:sz w:val="24"/>
        </w:rPr>
        <w:t>：建立自动预警机制，如“状态待确认超3天”“科研报告逾期未提交”等场景将触发多渠道提醒，有效防范管理盲区。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（二）定量价值评估</w:t>
      </w:r>
    </w:p>
    <w:p>
      <w:r>
        <w:rPr>
          <w:rFonts w:ascii="Times New Roman" w:hAnsi="Times New Roman" w:eastAsia="宋体"/>
          <w:sz w:val="24"/>
        </w:rPr>
        <w:t>基于行业同类系统实施经验与业务流程优化逻辑，对六项关键绩效指标进行量化预测，所有数据均源自系统功能设计所支撑的效率增益：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当前水平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预期提升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提升幅度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招生流程处理时间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30天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15天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↓50.00%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科研报告提交率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78%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≥95%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↑21.79个百分点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导师审阅及时率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65%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≥90%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↑38.46个百分点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档案完整度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82%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≥98%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↑19.51个百分点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人工干预次数/月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45次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≤10次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↓77.78%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学位审查报告生成时间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3天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&lt;1小时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↓98.61%</w:t>
            </w:r>
          </w:p>
        </w:tc>
      </w:tr>
    </w:tbl>
    <w:p/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i/>
          <w:color w:val="666666"/>
          <w:sz w:val="24"/>
        </w:rPr>
        <w:t>注：以上数值基于系统自动化能力估算，其中“学位审查报告生成时间”因实现一键生成而取得最大降幅。</w:t>
      </w:r>
    </w:p>
    <w:p>
      <w:r>
        <w:rPr>
          <w:rFonts w:ascii="Times New Roman" w:hAnsi="Times New Roman" w:eastAsia="宋体"/>
          <w:sz w:val="24"/>
        </w:rPr>
        <w:t>为进一步直观展示系统带来的效率跃迁，绘制以下组合图：</w:t>
      </w:r>
    </w:p>
    <w:p>
      <w:r>
        <w:t>组合图表: DTLMS系统实施前后关键指标对比</w:t>
      </w:r>
    </w:p>
    <w:p>
      <w:r>
        <w:t>.chart-wrapper-chart_75415d80 {</w:t>
        <w:br/>
        <w:br/>
        <w:t xml:space="preserve">            width: 100%;</w:t>
        <w:br/>
        <w:t xml:space="preserve">            min-height: 400px;</w:t>
        <w:br/>
        <w:t xml:space="preserve">            margin: 20px 0;  /* 改为上下margin，不要左右margin */</w:t>
        <w:br/>
        <w:t xml:space="preserve">            background: transparent;</w:t>
        <w:br/>
        <w:t xml:space="preserve">            border-radius: 12px;</w:t>
        <w:br/>
        <w:t xml:space="preserve">            overflow: visible;</w:t>
        <w:br/>
        <w:t xml:space="preserve">            box-sizing: border-box;</w:t>
        <w:br/>
        <w:t xml:space="preserve">        }</w:t>
        <w:br/>
        <w:br/>
        <w:br/>
        <w:br/>
        <w:t xml:space="preserve">        .chart-wrapper-chart_75415d80 #chart-chart_75415d80 {</w:t>
        <w:br/>
        <w:t xml:space="preserve">            width: 100% !important;</w:t>
        <w:br/>
        <w:t xml:space="preserve">            height: 600px !important;</w:t>
        <w:br/>
        <w:t xml:space="preserve">            box-sizing: border-box;</w:t>
        <w:br/>
        <w:t xml:space="preserve">        }</w:t>
        <w:br/>
        <w:br/>
        <w:t xml:space="preserve">        /* Tablet */</w:t>
        <w:br/>
        <w:t xml:space="preserve">        @media screen and (max-width: 1024px) {</w:t>
        <w:br/>
        <w:br/>
        <w:t xml:space="preserve">            .chart-wrapper-chart_75415d80 #chart-chart_75415d80 {</w:t>
        <w:br/>
        <w:t xml:space="preserve">                height: 500px !important;</w:t>
        <w:br/>
        <w:t xml:space="preserve">            }</w:t>
        <w:br/>
        <w:br/>
        <w:t xml:space="preserve">        }</w:t>
        <w:br/>
        <w:br/>
        <w:t xml:space="preserve">        /* Mobile */</w:t>
        <w:br/>
        <w:t xml:space="preserve">        @media screen and (max-width: 768px) {</w:t>
        <w:br/>
        <w:t xml:space="preserve">            .chart-wrapper-chart_75415d80 {</w:t>
        <w:br/>
        <w:t xml:space="preserve">                margin: 10px 0;</w:t>
        <w:br/>
        <w:t xml:space="preserve">                border-radius: 8px;</w:t>
        <w:br/>
        <w:br/>
        <w:t xml:space="preserve">            }</w:t>
        <w:br/>
        <w:br/>
        <w:t xml:space="preserve">            .chart-wrapper-chart_75415d80 #chart-chart_75415d80 {</w:t>
        <w:br/>
        <w:t xml:space="preserve">                height: 400px !important;</w:t>
        <w:br/>
        <w:t xml:space="preserve">            }</w:t>
        <w:br/>
        <w:br/>
        <w:t xml:space="preserve">        }</w:t>
        <w:br/>
        <w:br/>
        <w:t xml:space="preserve">        /* Small Mobile */</w:t>
        <w:br/>
        <w:t xml:space="preserve">        @media screen and (max-width: 480px) {</w:t>
        <w:br/>
        <w:t xml:space="preserve">            .chart-wrapper-chart_75415d80 {</w:t>
        <w:br/>
        <w:t xml:space="preserve">                margin: 10px 0;</w:t>
        <w:br/>
        <w:br/>
        <w:t xml:space="preserve">            }</w:t>
        <w:br/>
        <w:br/>
        <w:t xml:space="preserve">            .chart-wrapper-chart_75415d80 #chart-chart_75415d80 {</w:t>
        <w:br/>
        <w:t xml:space="preserve">                height: 300px !important;</w:t>
        <w:br/>
        <w:t xml:space="preserve">            }</w:t>
        <w:br/>
        <w:br/>
        <w:t xml:space="preserve">        }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8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Arial" w:hAnsi="Arial" w:eastAsia="黑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 w:ascii="Arial" w:hAnsi="Arial" w:eastAsia="黑体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</w:pPr>
    <w:rPr>
      <w:rFonts w:ascii="Consolas" w:hAnsi="Consolas" w:eastAsia="仿宋"/>
      <w:sz w:val="20"/>
    </w:rPr>
  </w:style>
  <w:style w:type="paragraph" w:customStyle="1" w:styleId="BlockQuote">
    <w:name w:val="Block Quote"/>
    <w:pPr>
      <w:spacing w:before="120" w:after="120"/>
      <w:ind w:left="720"/>
    </w:pPr>
    <w:rPr>
      <w:rFonts w:ascii="Times New Roman" w:hAnsi="Times New Roman" w:eastAsia="宋体"/>
      <w:i/>
      <w:color w:val="66666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nku.csdn.net/doc/46075rwrho" TargetMode="External"/><Relationship Id="rId10" Type="http://schemas.openxmlformats.org/officeDocument/2006/relationships/hyperlink" Target="https://blog.csdn.net/szsdqjc/article/details/1554819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