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/>
        <w:jc w:val="center"/>
      </w:pPr>
      <w:r>
        <w:rPr>
          <w:rFonts w:ascii="Calibri" w:hAnsi="Calibri" w:eastAsia="微软雅黑"/>
          <w:b/>
          <w:sz w:val="36"/>
        </w:rPr>
        <w:t>系统详细设计文档</w:t>
      </w:r>
    </w:p>
    <w:p>
      <w:pPr>
        <w:spacing w:line="288" w:lineRule="auto"/>
        <w:jc w:val="center"/>
      </w:pPr>
      <w:r>
        <w:rPr>
          <w:rFonts w:ascii="Calibri" w:hAnsi="Calibri" w:eastAsia="微软雅黑"/>
          <w:b w:val="0"/>
          <w:sz w:val="28"/>
        </w:rPr>
        <w:t>博士生生命周期管理系统（DTLMS）</w:t>
      </w:r>
    </w:p>
    <w:p/>
    <w:p>
      <w:pPr>
        <w:pStyle w:val="Heading1"/>
        <w:spacing w:line="288" w:lineRule="auto"/>
      </w:pPr>
      <w:r>
        <w:rPr>
          <w:rFonts w:ascii="Calibri" w:hAnsi="Calibri" w:eastAsia="微软雅黑"/>
          <w:b/>
          <w:sz w:val="32"/>
        </w:rPr>
        <w:t>1. 文档概述</w:t>
      </w:r>
    </w:p>
    <w:p>
      <w:pPr>
        <w:spacing w:line="288" w:lineRule="auto"/>
      </w:pPr>
      <w:r>
        <w:rPr>
          <w:rFonts w:ascii="Calibri" w:hAnsi="Calibri" w:eastAsia="微软雅黑"/>
          <w:b w:val="0"/>
          <w:sz w:val="24"/>
        </w:rPr>
        <w:t>本文档基于需求分析报告、建设方案、招生模块截图与统一需求摘要，形成博士生生命周期管理系统的详细设计基线。设计覆盖总体架构、数据库、流程、审批、模块、网络拓扑、安全审计与实施约束。</w:t>
      </w:r>
    </w:p>
    <w:p>
      <w:pPr>
        <w:pStyle w:val="Heading1"/>
        <w:spacing w:line="288" w:lineRule="auto"/>
      </w:pPr>
      <w:r>
        <w:rPr>
          <w:rFonts w:ascii="Calibri" w:hAnsi="Calibri" w:eastAsia="微软雅黑"/>
          <w:b/>
          <w:sz w:val="32"/>
        </w:rPr>
        <w:t>2. 设计方法与原则</w:t>
      </w:r>
    </w:p>
    <w:p>
      <w:pPr>
        <w:pStyle w:val="ListBullet"/>
        <w:spacing w:line="288" w:lineRule="auto"/>
      </w:pPr>
      <w:r>
        <w:rPr>
          <w:rFonts w:ascii="Calibri" w:hAnsi="Calibri" w:eastAsia="微软雅黑"/>
          <w:b w:val="0"/>
          <w:sz w:val="24"/>
        </w:rPr>
        <w:t>Ontology: 以“博士生”为核心本体，统一学生、导师、计划、培养、学位、成果与审计实体。</w:t>
      </w:r>
    </w:p>
    <w:p>
      <w:pPr>
        <w:pStyle w:val="ListBullet"/>
        <w:spacing w:line="288" w:lineRule="auto"/>
      </w:pPr>
      <w:r>
        <w:rPr>
          <w:rFonts w:ascii="Calibri" w:hAnsi="Calibri" w:eastAsia="微软雅黑"/>
          <w:b w:val="0"/>
          <w:sz w:val="24"/>
        </w:rPr>
        <w:t>斯坦福七步法: 识别领域范围、核心概念、属性、对象关系、约束与实例化策略。</w:t>
      </w:r>
    </w:p>
    <w:p>
      <w:pPr>
        <w:pStyle w:val="ListBullet"/>
        <w:spacing w:line="288" w:lineRule="auto"/>
      </w:pPr>
      <w:r>
        <w:rPr>
          <w:rFonts w:ascii="Calibri" w:hAnsi="Calibri" w:eastAsia="微软雅黑"/>
          <w:b w:val="0"/>
          <w:sz w:val="24"/>
        </w:rPr>
        <w:t>Palantir 风格数据建模: 强调统一语义、单一事实来源、过程可追踪和跨系统联动。</w:t>
      </w:r>
    </w:p>
    <w:p>
      <w:pPr>
        <w:pStyle w:val="Heading1"/>
        <w:spacing w:line="288" w:lineRule="auto"/>
      </w:pPr>
      <w:r>
        <w:rPr>
          <w:rFonts w:ascii="Calibri" w:hAnsi="Calibri" w:eastAsia="微软雅黑"/>
          <w:b/>
          <w:sz w:val="32"/>
        </w:rPr>
        <w:t>3. 角色与治理边界</w:t>
      </w:r>
    </w:p>
    <w:p>
      <w:pPr>
        <w:pStyle w:val="Heading3"/>
        <w:spacing w:line="288" w:lineRule="auto"/>
      </w:pPr>
      <w:r>
        <w:rPr>
          <w:rFonts w:ascii="Calibri" w:hAnsi="Calibri" w:eastAsia="微软雅黑"/>
          <w:b/>
          <w:sz w:val="24"/>
        </w:rPr>
        <w:t>3.1 角色清单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角色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职责边界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学生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查看个人档案、提交科研报告、研修申请、论文和评价问卷。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导师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确认导师关系、制定培养方案、审阅科研报告、组织预答辩。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学合管理员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维护主数据、配置流程、监督招生与学位流程、执行最终治理。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评分人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承担材料评审、评分推荐与异常复核。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面试官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执行面试分组、面试评分与成绩校算。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HRBP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确认实习与外出研修状态，联动中心管理。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公寓保障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配合在离校与住宿状态联动。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党群负责人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处理思政考核与资助资格审查。</w:t>
            </w:r>
          </w:p>
        </w:tc>
      </w:tr>
    </w:tbl>
    <w:p>
      <w:pPr>
        <w:pStyle w:val="Heading1"/>
        <w:spacing w:line="288" w:lineRule="auto"/>
      </w:pPr>
      <w:r>
        <w:rPr>
          <w:rFonts w:ascii="Calibri" w:hAnsi="Calibri" w:eastAsia="微软雅黑"/>
          <w:b/>
          <w:sz w:val="32"/>
        </w:rPr>
        <w:t>4. 总体架构设计</w:t>
      </w:r>
    </w:p>
    <w:p>
      <w:pPr>
        <w:spacing w:line="288" w:lineRule="auto"/>
      </w:pPr>
      <w:r>
        <w:rPr>
          <w:rFonts w:ascii="Calibri" w:hAnsi="Calibri" w:eastAsia="微软雅黑"/>
          <w:b w:val="0"/>
          <w:sz w:val="24"/>
        </w:rPr>
        <w:t>系统采用前后端分离模式。前端使用 Vue3 + Element Plus 构建管理门户，后端使用 Python3 FastAPI 输出 API 与业务服务，数据库使用 PostgreSQL，缓存与异步任务依赖 Redis Sentinel，统一通过 RBAC 与 JWT 管理访问控制。</w:t>
      </w:r>
    </w:p>
    <w:p>
      <w:r>
        <w:drawing>
          <wp:inline xmlns:a="http://schemas.openxmlformats.org/drawingml/2006/main" xmlns:pic="http://schemas.openxmlformats.org/drawingml/2006/picture">
            <wp:extent cx="5472000" cy="3618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-module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18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center"/>
      </w:pPr>
      <w:r>
        <w:rPr>
          <w:rFonts w:ascii="Calibri" w:hAnsi="Calibri" w:eastAsia="微软雅黑"/>
          <w:b w:val="0"/>
          <w:sz w:val="20"/>
        </w:rPr>
        <w:t>图：功能模块架构图</w:t>
      </w:r>
    </w:p>
    <w:p>
      <w:pPr>
        <w:pStyle w:val="Heading2"/>
        <w:spacing w:line="288" w:lineRule="auto"/>
      </w:pPr>
      <w:r>
        <w:rPr>
          <w:rFonts w:ascii="Calibri" w:hAnsi="Calibri" w:eastAsia="微软雅黑"/>
          <w:b/>
          <w:sz w:val="28"/>
        </w:rPr>
        <w:t>4.1 功能模块说明</w:t>
      </w:r>
    </w:p>
    <w:p>
      <w:pPr>
        <w:pStyle w:val="Heading3"/>
        <w:spacing w:line="288" w:lineRule="auto"/>
      </w:pPr>
      <w:r>
        <w:rPr>
          <w:rFonts w:ascii="Calibri" w:hAnsi="Calibri" w:eastAsia="微软雅黑"/>
          <w:b/>
          <w:sz w:val="24"/>
        </w:rPr>
        <w:t>功能模块描述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模块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设计说明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学生主数据管理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建立学生唯一主档案，沉淀招生、培养、学位与就业全周期信息。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招生管理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覆盖报名列表、资格审核、评分推荐、面试安排、预录取与录取闭环。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导师关系管理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维护新生关系确认、变更审批和权限联动。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培养过程管理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实现培养方案、科研报告、师生互评与成果沉淀。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外出研修管理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覆盖申请、审批、状态同步、归来评估与月度提醒。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学位与毕业管理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处理论文查重、盲审、答辩、授位与毕业离校。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数据分析驾驶舱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汇总招生效率、培养质量、学位进展和风险预警。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权限与安全管理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实现 RBAC、JWT、字段级控制、审计与通知治理。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系统集成管理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联通招生系统、OA、飞书、科研、HR 与财务。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通知与审计中心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统一消息投递、回执追踪、日志归档和同步补偿。</w:t>
            </w:r>
          </w:p>
        </w:tc>
      </w:tr>
    </w:tbl>
    <w:p>
      <w:pPr>
        <w:pStyle w:val="Heading1"/>
        <w:spacing w:line="288" w:lineRule="auto"/>
      </w:pPr>
      <w:r>
        <w:rPr>
          <w:rFonts w:ascii="Calibri" w:hAnsi="Calibri" w:eastAsia="微软雅黑"/>
          <w:b/>
          <w:sz w:val="32"/>
        </w:rPr>
        <w:t>5. 业务流程与审批设计</w:t>
      </w:r>
    </w:p>
    <w:p>
      <w:pPr>
        <w:spacing w:line="288" w:lineRule="auto"/>
      </w:pPr>
      <w:r>
        <w:rPr>
          <w:rFonts w:ascii="Calibri" w:hAnsi="Calibri" w:eastAsia="微软雅黑"/>
          <w:b w:val="0"/>
          <w:sz w:val="24"/>
        </w:rPr>
        <w:t>业务流程以“招生 -&gt; 入学 -&gt; 培养 -&gt; 学位 -&gt; 毕业 -&gt; 就业跟踪”为主线，同时通过通知、审计和驾驶舱形成治理闭环。</w:t>
      </w:r>
    </w:p>
    <w:p>
      <w:r>
        <w:drawing>
          <wp:inline xmlns:a="http://schemas.openxmlformats.org/drawingml/2006/main" xmlns:pic="http://schemas.openxmlformats.org/drawingml/2006/picture">
            <wp:extent cx="5472000" cy="22998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-process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99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center"/>
      </w:pPr>
      <w:r>
        <w:rPr>
          <w:rFonts w:ascii="Calibri" w:hAnsi="Calibri" w:eastAsia="微软雅黑"/>
          <w:b w:val="0"/>
          <w:sz w:val="20"/>
        </w:rPr>
        <w:t>图：业务主流程图</w:t>
      </w:r>
    </w:p>
    <w:p>
      <w:pPr>
        <w:pStyle w:val="ListBullet"/>
        <w:spacing w:line="288" w:lineRule="auto"/>
      </w:pPr>
      <w:r>
        <w:rPr>
          <w:rFonts w:ascii="Calibri" w:hAnsi="Calibri" w:eastAsia="微软雅黑"/>
          <w:b w:val="0"/>
          <w:sz w:val="24"/>
        </w:rPr>
        <w:t>招生录取完成后，将录取结果与导师初始关系同步至学生主数据。</w:t>
      </w:r>
    </w:p>
    <w:p>
      <w:pPr>
        <w:pStyle w:val="ListBullet"/>
        <w:spacing w:line="288" w:lineRule="auto"/>
      </w:pPr>
      <w:r>
        <w:rPr>
          <w:rFonts w:ascii="Calibri" w:hAnsi="Calibri" w:eastAsia="微软雅黑"/>
          <w:b w:val="0"/>
          <w:sz w:val="24"/>
        </w:rPr>
        <w:t>学生入学后 15 日内导师制定培养方案，学生需在 7 日内确认。</w:t>
      </w:r>
    </w:p>
    <w:p>
      <w:pPr>
        <w:pStyle w:val="ListBullet"/>
        <w:spacing w:line="288" w:lineRule="auto"/>
      </w:pPr>
      <w:r>
        <w:rPr>
          <w:rFonts w:ascii="Calibri" w:hAnsi="Calibri" w:eastAsia="微软雅黑"/>
          <w:b w:val="0"/>
          <w:sz w:val="24"/>
        </w:rPr>
        <w:t>科研报告按照周期生成待办，逾期 7 日提醒导师，14 日升级至管理员。</w:t>
      </w:r>
    </w:p>
    <w:p>
      <w:pPr>
        <w:pStyle w:val="ListBullet"/>
        <w:spacing w:line="288" w:lineRule="auto"/>
      </w:pPr>
      <w:r>
        <w:rPr>
          <w:rFonts w:ascii="Calibri" w:hAnsi="Calibri" w:eastAsia="微软雅黑"/>
          <w:b w:val="0"/>
          <w:sz w:val="24"/>
        </w:rPr>
        <w:t>论文通过查重与盲审后，进入预答辩、正式答辩和授位审批。</w:t>
      </w:r>
    </w:p>
    <w:p>
      <w:pPr>
        <w:pStyle w:val="ListBullet"/>
        <w:spacing w:line="288" w:lineRule="auto"/>
      </w:pPr>
      <w:r>
        <w:rPr>
          <w:rFonts w:ascii="Calibri" w:hAnsi="Calibri" w:eastAsia="微软雅黑"/>
          <w:b w:val="0"/>
          <w:sz w:val="24"/>
        </w:rPr>
        <w:t>毕业离校完成后保留电子档案，并继续纳入就业跟踪分析。</w:t>
      </w:r>
    </w:p>
    <w:p>
      <w:r>
        <w:drawing>
          <wp:inline xmlns:a="http://schemas.openxmlformats.org/drawingml/2006/main" xmlns:pic="http://schemas.openxmlformats.org/drawingml/2006/picture">
            <wp:extent cx="5472000" cy="3678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7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center"/>
      </w:pPr>
      <w:r>
        <w:rPr>
          <w:rFonts w:ascii="Calibri" w:hAnsi="Calibri" w:eastAsia="微软雅黑"/>
          <w:b w:val="0"/>
          <w:sz w:val="20"/>
        </w:rPr>
        <w:t>图：审批流程图</w:t>
      </w:r>
    </w:p>
    <w:p>
      <w:pPr>
        <w:pStyle w:val="ListBullet"/>
        <w:spacing w:line="288" w:lineRule="auto"/>
      </w:pPr>
      <w:r>
        <w:rPr>
          <w:rFonts w:ascii="Calibri" w:hAnsi="Calibri" w:eastAsia="微软雅黑"/>
          <w:b w:val="0"/>
          <w:sz w:val="24"/>
        </w:rPr>
        <w:t>导师变更审批: 支持学生申请、导师发起和管理员统筹三类入口，要求全过程留痕。</w:t>
      </w:r>
    </w:p>
    <w:p>
      <w:pPr>
        <w:pStyle w:val="ListBullet"/>
        <w:spacing w:line="288" w:lineRule="auto"/>
      </w:pPr>
      <w:r>
        <w:rPr>
          <w:rFonts w:ascii="Calibri" w:hAnsi="Calibri" w:eastAsia="微软雅黑"/>
          <w:b w:val="0"/>
          <w:sz w:val="24"/>
        </w:rPr>
        <w:t>外出研修审批: 学生提交后先由导师审核，再由学合管理员备案并同步飞书/OA。</w:t>
      </w:r>
    </w:p>
    <w:p>
      <w:pPr>
        <w:pStyle w:val="ListBullet"/>
        <w:spacing w:line="288" w:lineRule="auto"/>
      </w:pPr>
      <w:r>
        <w:rPr>
          <w:rFonts w:ascii="Calibri" w:hAnsi="Calibri" w:eastAsia="微软雅黑"/>
          <w:b w:val="0"/>
          <w:sz w:val="24"/>
        </w:rPr>
        <w:t>学位申请审批: 论文查重、盲审、预答辩、正式答辩和授位审议构成严格串行链路。</w:t>
      </w:r>
    </w:p>
    <w:p>
      <w:pPr>
        <w:pStyle w:val="Heading1"/>
        <w:spacing w:line="288" w:lineRule="auto"/>
      </w:pPr>
      <w:r>
        <w:rPr>
          <w:rFonts w:ascii="Calibri" w:hAnsi="Calibri" w:eastAsia="微软雅黑"/>
          <w:b/>
          <w:sz w:val="32"/>
        </w:rPr>
        <w:t>6. 数据库设计</w:t>
      </w:r>
    </w:p>
    <w:p>
      <w:pPr>
        <w:spacing w:line="288" w:lineRule="auto"/>
      </w:pPr>
      <w:r>
        <w:rPr>
          <w:rFonts w:ascii="Calibri" w:hAnsi="Calibri" w:eastAsia="微软雅黑"/>
          <w:b w:val="0"/>
          <w:sz w:val="24"/>
        </w:rPr>
        <w:t>数据库采用 PostgreSQL 关系建模，核心策略包括：主数据唯一、关键对象版本化、日志软删除、统计视图前置和关键流程关系清晰可追溯。</w:t>
      </w:r>
    </w:p>
    <w:p>
      <w:r>
        <w:drawing>
          <wp:inline xmlns:a="http://schemas.openxmlformats.org/drawingml/2006/main" xmlns:pic="http://schemas.openxmlformats.org/drawingml/2006/picture">
            <wp:extent cx="5472000" cy="35491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-er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49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center"/>
      </w:pPr>
      <w:r>
        <w:rPr>
          <w:rFonts w:ascii="Calibri" w:hAnsi="Calibri" w:eastAsia="微软雅黑"/>
          <w:b w:val="0"/>
          <w:sz w:val="20"/>
        </w:rPr>
        <w:t>图：数据库 ER 图</w:t>
      </w:r>
    </w:p>
    <w:p>
      <w:pPr>
        <w:pStyle w:val="Heading3"/>
        <w:spacing w:line="288" w:lineRule="auto"/>
      </w:pPr>
      <w:r>
        <w:rPr>
          <w:rFonts w:ascii="Calibri" w:hAnsi="Calibri" w:eastAsia="微软雅黑"/>
          <w:b/>
          <w:sz w:val="24"/>
        </w:rPr>
        <w:t>系统治理类表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表名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用途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关键字段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dtlms_users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系统账号主表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username, password_hash, is_active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dtlms_roles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角色定义表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role_code, role_name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dtlms_permissions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权限点定义表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permission_code, module_name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dtlms_user_roles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用户角色映射表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user_id, role_id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dtlms_role_permissions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角色权限映射表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role_id, permission_id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dtlms_login_logs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登录日志表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username, login_status, login_ip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dtlms_operation_logs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操作日志表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module_name, entity_name, old_value, new_value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dtlms_data_sync_logs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数据同步日志表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source_system, target_system, sync_status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dtlms_notification_templates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通知模板表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template_code, channel, content_template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dtlms_system_configs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系统参数表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config_key, config_value</w:t>
            </w:r>
          </w:p>
        </w:tc>
      </w:tr>
    </w:tbl>
    <w:p>
      <w:pPr>
        <w:pStyle w:val="Heading3"/>
        <w:spacing w:line="288" w:lineRule="auto"/>
      </w:pPr>
      <w:r>
        <w:rPr>
          <w:rFonts w:ascii="Calibri" w:hAnsi="Calibri" w:eastAsia="微软雅黑"/>
          <w:b/>
          <w:sz w:val="24"/>
        </w:rPr>
        <w:t>学生与培养类表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表名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用途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关键字段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dtlms_advisors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导师主数据表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advisor_no, full_name, annual_quota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dtlms_students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学生主数据表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student_no, full_name, current_status, primary_advisor_id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dtlms_student_advisor_history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导师关系历史表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student_id, advisor_id, start_date, end_date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dtlms_research_projects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科研项目表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project_code, project_name, principal_advisor_id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dtlms_training_plans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培养方案表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student_id, advisor_id, version_no, plan_status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dtlms_training_plan_versions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培养方案版本表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training_plan_id, version_no, plan_snapshot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dtlms_scientific_reports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科研报告表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student_id, period_label, report_status, review_score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dtlms_outbound_studies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外出研修表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student_id, study_type, destination, approval_status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dtlms_achievements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成果记录表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student_id, achievement_type, title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dtlms_theses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学位论文表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student_id, plagiarism_rate, thesis_status, degree_granted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dtlms_thesis_reviews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盲审评审表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thesis_id, expert_name, review_score, review_status</w:t>
            </w:r>
          </w:p>
        </w:tc>
      </w:tr>
    </w:tbl>
    <w:p>
      <w:pPr>
        <w:pStyle w:val="Heading3"/>
        <w:spacing w:line="288" w:lineRule="auto"/>
      </w:pPr>
      <w:r>
        <w:rPr>
          <w:rFonts w:ascii="Calibri" w:hAnsi="Calibri" w:eastAsia="微软雅黑"/>
          <w:b/>
          <w:sz w:val="24"/>
        </w:rPr>
        <w:t>招生类表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表名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用途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关键字段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dtlms_recruitment_plans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招生计划表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plan_code, academic_year, start_date, plan_status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dtlms_research_fields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研究领域表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field_code, field_name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dtlms_recruitment_applications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报名申请表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plan_id, candidate_no, application_status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dtlms_application_materials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申请材料表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application_id, material_type, material_status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dtlms_qualification_reviews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资格审核表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application_id, reviewer_username, review_status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dtlms_reviewer_assignments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评分人分配表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application_id, reviewer_username, reviewer_role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dtlms_material_scores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材料评分表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application_id, reviewer_assignment_id, material_score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dtlms_interview_groups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面试组表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plan_id, group_code, interview_mode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dtlms_interview_schedules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面试日程表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application_id, interview_group_id, admission_ticket_no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dtlms_interview_scores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面试评分表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schedule_id, evaluator_username, interview_score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dtlms_written_exam_scores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机试成绩表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application_id, exam_score, import_batch_no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dtlms_admission_decisions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预录取与录取表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application_id, decision_status, final_score</w:t>
            </w:r>
          </w:p>
        </w:tc>
      </w:tr>
    </w:tbl>
    <w:p>
      <w:pPr>
        <w:pStyle w:val="Heading3"/>
        <w:spacing w:line="288" w:lineRule="auto"/>
      </w:pPr>
      <w:r>
        <w:rPr>
          <w:rFonts w:ascii="Calibri" w:hAnsi="Calibri" w:eastAsia="微软雅黑"/>
          <w:b/>
          <w:sz w:val="24"/>
        </w:rPr>
        <w:t>6.4 关联关系说明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关系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学生 -&gt; 导师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一对多历史关系，当前主导师通过 primary_advisor_id 指向。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学生 -&gt; 培养方案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一对多版本关系，最近生效版本参与流程计算。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学生 -&gt; 科研报告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一对多周期关系，支持周期催办和评分。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学生 -&gt; 外出研修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一对多审批记录，记录审批状态与归来评估。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学生 -&gt; 学位论文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一对多版本语义，当前论文进入盲审和答辩流程。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招生计划 -&gt; 申请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一对多，申请贯穿资格审核、评分、面试与录取。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申请 -&gt; 评分人/面试日程/录取结果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一条申请关联多个评分记录、一个日程和一个最终录取结果。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用户 -&gt; 角色 -&gt; 权限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通过映射表实现 RBAC 可配置授权。</w:t>
            </w:r>
          </w:p>
        </w:tc>
      </w:tr>
    </w:tbl>
    <w:p>
      <w:pPr>
        <w:pStyle w:val="Heading3"/>
        <w:spacing w:line="288" w:lineRule="auto"/>
      </w:pPr>
      <w:r>
        <w:rPr>
          <w:rFonts w:ascii="Calibri" w:hAnsi="Calibri" w:eastAsia="微软雅黑"/>
          <w:b/>
          <w:sz w:val="24"/>
        </w:rPr>
        <w:t>6.5 视图设计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视图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用途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dtlms_v_student_lifecycle_snapshot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学生生命周期快照视图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供驾驶舱和学生全景卡片直接读取。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dtlms_v_recruitment_dashboard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招生驾驶舱聚合视图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统计申请量、通过量、预录取量和平均材料分。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dtlms_v_training_compliance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培养合规视图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监控培养方案、科研报告与外出研修状态。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dtlms_v_degree_pipeline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学位流程视图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聚合论文、盲审、答辩与授位节点。</w:t>
            </w:r>
          </w:p>
        </w:tc>
      </w:tr>
    </w:tbl>
    <w:p>
      <w:pPr>
        <w:pStyle w:val="Heading1"/>
        <w:spacing w:line="288" w:lineRule="auto"/>
      </w:pPr>
      <w:r>
        <w:rPr>
          <w:rFonts w:ascii="Calibri" w:hAnsi="Calibri" w:eastAsia="微软雅黑"/>
          <w:b/>
          <w:sz w:val="32"/>
        </w:rPr>
        <w:t>7. 集成与驾驶舱设计</w:t>
      </w:r>
    </w:p>
    <w:p>
      <w:pPr>
        <w:spacing w:line="288" w:lineRule="auto"/>
      </w:pPr>
      <w:r>
        <w:rPr>
          <w:rFonts w:ascii="Calibri" w:hAnsi="Calibri" w:eastAsia="微软雅黑"/>
          <w:b w:val="0"/>
          <w:sz w:val="24"/>
        </w:rPr>
        <w:t>驾驶舱建设遵循“汇总指标 + 风险预警 + 责任对象 + 下钻入口”的设计思路，面向学合管理员、导师和学生提供差异化看板。</w:t>
      </w:r>
    </w:p>
    <w:p>
      <w:pPr>
        <w:pStyle w:val="Heading3"/>
        <w:spacing w:line="288" w:lineRule="auto"/>
      </w:pPr>
      <w:r>
        <w:rPr>
          <w:rFonts w:ascii="Calibri" w:hAnsi="Calibri" w:eastAsia="微软雅黑"/>
          <w:b/>
          <w:sz w:val="24"/>
        </w:rPr>
        <w:t>7.1 外部系统集成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系统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交互内容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节奏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招生系统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录取主数据导入、录取结果回传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实时 + 每日对账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实验室 OA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考勤、门禁、请假、周报同步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事件驱动 + 定时补偿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飞书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待办提醒、状态推送、回执跟踪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实时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科研系统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成果和项目共享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月度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HR / 财务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导师在岗、奖助与欠费状态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月度</w:t>
            </w:r>
          </w:p>
        </w:tc>
      </w:tr>
    </w:tbl>
    <w:p>
      <w:pPr>
        <w:pStyle w:val="Heading1"/>
        <w:spacing w:line="288" w:lineRule="auto"/>
      </w:pPr>
      <w:r>
        <w:rPr>
          <w:rFonts w:ascii="Calibri" w:hAnsi="Calibri" w:eastAsia="微软雅黑"/>
          <w:b/>
          <w:sz w:val="32"/>
        </w:rPr>
        <w:t>8. 安全、审计与运维</w:t>
      </w:r>
    </w:p>
    <w:p>
      <w:pPr>
        <w:pStyle w:val="Heading3"/>
        <w:spacing w:line="288" w:lineRule="auto"/>
      </w:pPr>
      <w:r>
        <w:rPr>
          <w:rFonts w:ascii="Calibri" w:hAnsi="Calibri" w:eastAsia="微软雅黑"/>
          <w:b/>
          <w:sz w:val="24"/>
        </w:rPr>
        <w:t>8.1 安全与审计控制项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控制项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设计说明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认证授权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JWT + RBAC + 刷新令牌，控制接口与页面访问。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日志审计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登录日志、操作日志、同步日志三层留痕，关键表保留 5 年。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数据安全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敏感字段脱敏导出，逻辑删除替代物理删除。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缓存治理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Redis Sentinel + CTDTLMS_ 统一前缀，支撑提醒和驾驶舱热点缓存。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运维监控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Prometheus/Grafana 指标监控与日志归档联动。</w:t>
            </w:r>
          </w:p>
        </w:tc>
      </w:tr>
    </w:tbl>
    <w:p>
      <w:pPr>
        <w:pStyle w:val="Heading1"/>
        <w:spacing w:line="288" w:lineRule="auto"/>
      </w:pPr>
      <w:r>
        <w:rPr>
          <w:rFonts w:ascii="Calibri" w:hAnsi="Calibri" w:eastAsia="微软雅黑"/>
          <w:b/>
          <w:sz w:val="32"/>
        </w:rPr>
        <w:t>9. 网络拓扑与部署建议</w:t>
      </w:r>
    </w:p>
    <w:p>
      <w:pPr>
        <w:spacing w:line="288" w:lineRule="auto"/>
      </w:pPr>
      <w:r>
        <w:rPr>
          <w:rFonts w:ascii="Calibri" w:hAnsi="Calibri" w:eastAsia="微软雅黑"/>
          <w:b w:val="0"/>
          <w:sz w:val="24"/>
        </w:rPr>
        <w:t>生产环境建议部署 Nginx 统一入口、FastAPI 服务实例、Celery 异步任务、PostgreSQL 数据库、Redis Sentinel 与对象存储，并接入监控与日志归档体系。</w:t>
      </w:r>
    </w:p>
    <w:p>
      <w:r>
        <w:drawing>
          <wp:inline xmlns:a="http://schemas.openxmlformats.org/drawingml/2006/main" xmlns:pic="http://schemas.openxmlformats.org/drawingml/2006/picture">
            <wp:extent cx="5472000" cy="3252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-topolog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52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center"/>
      </w:pPr>
      <w:r>
        <w:rPr>
          <w:rFonts w:ascii="Calibri" w:hAnsi="Calibri" w:eastAsia="微软雅黑"/>
          <w:b w:val="0"/>
          <w:sz w:val="20"/>
        </w:rPr>
        <w:t>图：网络拓扑图</w:t>
      </w:r>
    </w:p>
    <w:p>
      <w:pPr>
        <w:pStyle w:val="Heading1"/>
        <w:spacing w:line="288" w:lineRule="auto"/>
      </w:pPr>
      <w:r>
        <w:rPr>
          <w:rFonts w:ascii="Calibri" w:hAnsi="Calibri" w:eastAsia="微软雅黑"/>
          <w:b/>
          <w:sz w:val="32"/>
        </w:rPr>
        <w:t>10. 设计结论</w:t>
      </w:r>
    </w:p>
    <w:p>
      <w:pPr>
        <w:pStyle w:val="ListBullet"/>
        <w:spacing w:line="288" w:lineRule="auto"/>
      </w:pPr>
      <w:r>
        <w:rPr>
          <w:rFonts w:ascii="Calibri" w:hAnsi="Calibri" w:eastAsia="微软雅黑"/>
          <w:b w:val="0"/>
          <w:sz w:val="24"/>
        </w:rPr>
        <w:t>学生主数据、导师关系、培养方案和学位论文是系统最关键的四条主轴数据。</w:t>
      </w:r>
    </w:p>
    <w:p>
      <w:pPr>
        <w:pStyle w:val="ListBullet"/>
        <w:spacing w:line="288" w:lineRule="auto"/>
      </w:pPr>
      <w:r>
        <w:rPr>
          <w:rFonts w:ascii="Calibri" w:hAnsi="Calibri" w:eastAsia="微软雅黑"/>
          <w:b w:val="0"/>
          <w:sz w:val="24"/>
        </w:rPr>
        <w:t>招生、培养和学位三个业务域均要求流程节点可审计、可回放和可升级提醒。</w:t>
      </w:r>
    </w:p>
    <w:p>
      <w:pPr>
        <w:pStyle w:val="ListBullet"/>
        <w:spacing w:line="288" w:lineRule="auto"/>
      </w:pPr>
      <w:r>
        <w:rPr>
          <w:rFonts w:ascii="Calibri" w:hAnsi="Calibri" w:eastAsia="微软雅黑"/>
          <w:b w:val="0"/>
          <w:sz w:val="24"/>
        </w:rPr>
        <w:t>Redis Sentinel 统一承担缓存热点、提醒状态与异步任务状态缓存，所有 Key 使用 CTDTLMS_ 前缀。</w:t>
      </w:r>
    </w:p>
    <w:p>
      <w:pPr>
        <w:pStyle w:val="ListBullet"/>
        <w:spacing w:line="288" w:lineRule="auto"/>
      </w:pPr>
      <w:r>
        <w:rPr>
          <w:rFonts w:ascii="Calibri" w:hAnsi="Calibri" w:eastAsia="微软雅黑"/>
          <w:b w:val="0"/>
          <w:sz w:val="24"/>
        </w:rPr>
        <w:t>驾驶舱不是独立系统，而是建立在视图、日志和业务状态表之上的治理平面。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