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/>
        <w:jc w:val="center"/>
      </w:pPr>
      <w:r>
        <w:rPr>
          <w:rFonts w:ascii="微软雅黑" w:hAnsi="微软雅黑" w:eastAsia="微软雅黑"/>
          <w:b/>
          <w:sz w:val="36"/>
        </w:rPr>
        <w:t>系统详细设计文档</w:t>
      </w:r>
    </w:p>
    <w:p>
      <w:pPr>
        <w:spacing w:line="288" w:lineRule="auto"/>
        <w:jc w:val="center"/>
      </w:pPr>
      <w:r>
        <w:rPr>
          <w:rFonts w:ascii="微软雅黑" w:hAnsi="微软雅黑" w:eastAsia="微软雅黑"/>
          <w:b w:val="0"/>
          <w:sz w:val="28"/>
        </w:rPr>
        <w:t>博士生生命周期管理系统（DTLMS）</w:t>
      </w:r>
    </w:p>
    <w:p/>
    <w:p>
      <w:pPr>
        <w:pStyle w:val="Heading1"/>
        <w:spacing w:line="288" w:lineRule="auto"/>
      </w:pPr>
      <w:r>
        <w:rPr>
          <w:rFonts w:ascii="微软雅黑" w:hAnsi="微软雅黑" w:eastAsia="微软雅黑"/>
          <w:b/>
          <w:sz w:val="32"/>
        </w:rPr>
        <w:t>1. 文档概述</w:t>
      </w:r>
    </w:p>
    <w:p>
      <w:pPr>
        <w:spacing w:line="288" w:lineRule="auto"/>
      </w:pPr>
      <w:r>
        <w:rPr>
          <w:rFonts w:ascii="微软雅黑" w:hAnsi="微软雅黑" w:eastAsia="微软雅黑"/>
          <w:b w:val="0"/>
          <w:sz w:val="24"/>
        </w:rPr>
        <w:t>本文档基于需求分析报告、建设方案、招生模块截图与统一需求摘要，形成博士生生命周期管理系统的详细设计基线。设计覆盖总体架构、数据库、流程、审批、模块、网络拓扑、安全审计与实施约束。</w:t>
      </w:r>
    </w:p>
    <w:p>
      <w:pPr>
        <w:pStyle w:val="Heading1"/>
        <w:spacing w:line="288" w:lineRule="auto"/>
      </w:pPr>
      <w:r>
        <w:rPr>
          <w:rFonts w:ascii="微软雅黑" w:hAnsi="微软雅黑" w:eastAsia="微软雅黑"/>
          <w:b/>
          <w:sz w:val="32"/>
        </w:rPr>
        <w:t>2. 设计方法与原则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Ontology: 以“博士生”为核心本体，统一学生、导师、团队、计划、培养、学位、成果、字典与审计实体。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斯坦福七步法: 识别领域范围、核心概念、属性、对象关系、约束与实例化策略。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Palantir 风格数据建模: 强调统一语义、单一事实来源、过程可追踪和跨系统联动。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数据库治理原则: PostgreSQL 作为唯一运行数据源，页面选项、状态色和对象关系必须与数据库同步演进。</w:t>
      </w:r>
    </w:p>
    <w:p>
      <w:pPr>
        <w:pStyle w:val="Heading1"/>
        <w:spacing w:line="288" w:lineRule="auto"/>
      </w:pPr>
      <w:r>
        <w:rPr>
          <w:rFonts w:ascii="微软雅黑" w:hAnsi="微软雅黑" w:eastAsia="微软雅黑"/>
          <w:b/>
          <w:sz w:val="32"/>
        </w:rPr>
        <w:t>3. 角色与治理边界</w:t>
      </w:r>
    </w:p>
    <w:p>
      <w:pPr>
        <w:pStyle w:val="Heading3"/>
        <w:spacing w:line="288" w:lineRule="auto"/>
      </w:pPr>
      <w:r>
        <w:rPr>
          <w:rFonts w:ascii="微软雅黑" w:hAnsi="微软雅黑" w:eastAsia="微软雅黑"/>
          <w:b/>
          <w:sz w:val="24"/>
        </w:rPr>
        <w:t>3.1 角色清单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角色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职责边界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学生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查看个人档案、提交科研报告、研修申请、论文和评价问卷。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导师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确认导师关系、制定培养方案、审阅科研报告、组织预答辩。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学合管理员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维护主数据、配置流程、监督招生与学位流程、执行最终治理。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评分人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承担材料评审、评分推荐与异常复核。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面试官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执行面试分组、面试评分与成绩校算。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HRBP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确认实习与外出研修状态，联动中心管理。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公寓保障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配合在离校与住宿状态联动。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党群负责人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处理思政考核与资助资格审查。</w:t>
            </w:r>
          </w:p>
        </w:tc>
      </w:tr>
    </w:tbl>
    <w:p>
      <w:pPr>
        <w:pStyle w:val="Heading1"/>
        <w:spacing w:line="288" w:lineRule="auto"/>
      </w:pPr>
      <w:r>
        <w:rPr>
          <w:rFonts w:ascii="微软雅黑" w:hAnsi="微软雅黑" w:eastAsia="微软雅黑"/>
          <w:b/>
          <w:sz w:val="32"/>
        </w:rPr>
        <w:t>4. 总体架构设计</w:t>
      </w:r>
    </w:p>
    <w:p>
      <w:pPr>
        <w:spacing w:line="288" w:lineRule="auto"/>
      </w:pPr>
      <w:r>
        <w:rPr>
          <w:rFonts w:ascii="微软雅黑" w:hAnsi="微软雅黑" w:eastAsia="微软雅黑"/>
          <w:b w:val="0"/>
          <w:sz w:val="24"/>
        </w:rPr>
        <w:t>系统采用前后端分离模式。前端使用 Vue3 + Element Plus 构建管理门户，后端使用 Python3 FastAPI 输出 API 与业务服务，数据库使用 PostgreSQL，缓存与异步任务依赖 Redis Sentinel，统一通过 RBAC 与 JWT 管理访问控制，并通过字典治理保证全站状态与选项来源一致。</w:t>
      </w:r>
    </w:p>
    <w:p>
      <w:r>
        <w:drawing>
          <wp:inline xmlns:a="http://schemas.openxmlformats.org/drawingml/2006/main" xmlns:pic="http://schemas.openxmlformats.org/drawingml/2006/picture">
            <wp:extent cx="5472000" cy="36181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ctional-modul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18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/>
        <w:jc w:val="center"/>
      </w:pPr>
      <w:r>
        <w:rPr>
          <w:rFonts w:ascii="微软雅黑" w:hAnsi="微软雅黑" w:eastAsia="微软雅黑"/>
          <w:b w:val="0"/>
          <w:sz w:val="20"/>
        </w:rPr>
        <w:t>图：功能模块架构图</w:t>
      </w:r>
    </w:p>
    <w:p>
      <w:pPr>
        <w:pStyle w:val="Heading2"/>
        <w:spacing w:line="288" w:lineRule="auto"/>
      </w:pPr>
      <w:r>
        <w:rPr>
          <w:rFonts w:ascii="微软雅黑" w:hAnsi="微软雅黑" w:eastAsia="微软雅黑"/>
          <w:b/>
          <w:sz w:val="28"/>
        </w:rPr>
        <w:t>4.1 功能模块说明</w:t>
      </w:r>
    </w:p>
    <w:p>
      <w:pPr>
        <w:pStyle w:val="Heading3"/>
        <w:spacing w:line="288" w:lineRule="auto"/>
      </w:pPr>
      <w:r>
        <w:rPr>
          <w:rFonts w:ascii="微软雅黑" w:hAnsi="微软雅黑" w:eastAsia="微软雅黑"/>
          <w:b/>
          <w:sz w:val="24"/>
        </w:rPr>
        <w:t>功能模块描述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模块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设计说明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学生主数据管理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建立学生唯一主档案，并通过导师、团队、状态等受控主数据沉淀全周期信息。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招生管理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覆盖报名列表、资格审核、评分推荐、面试安排、预录取与录取闭环。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导师关系管理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维护新生关系确认、变更审批和权限联动。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团队主数据管理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围绕团队编码、负责人导师、团队导师集合、研究方向和学生归属统计进行治理。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培养过程管理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实现培养方案、科研报告、外出研修的查询筛选、字典选择、批量处理与成果沉淀。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外出研修管理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覆盖申请、审批、状态同步、归来评估与月度提醒。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学位与毕业管理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处理论文查重、盲审、答辩、授位与毕业离校。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数据分析驾驶舱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汇总招生效率、培养质量、学位进展和风险预警。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权限与安全管理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实现 RBAC、JWT、Redis 会话、字段级控制、审计与通知治理。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系统集成管理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联通招生系统、OA、飞书、科研、HR 与财务。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通知与审计中心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统一消息投递、回执追踪、日志归档和同步补偿。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字典与主数据治理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统一管理状态字典、颜色字典、枚举项和页面选择器来源，支撑全站配置收口。</w:t>
            </w:r>
          </w:p>
        </w:tc>
      </w:tr>
    </w:tbl>
    <w:p>
      <w:pPr>
        <w:pStyle w:val="Heading2"/>
        <w:spacing w:line="288" w:lineRule="auto"/>
      </w:pPr>
      <w:r>
        <w:rPr>
          <w:rFonts w:ascii="微软雅黑" w:hAnsi="微软雅黑" w:eastAsia="微软雅黑"/>
          <w:b/>
          <w:sz w:val="28"/>
        </w:rPr>
        <w:t>4.2 认证与会话运行设计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后端运行时读取 backend/.env 和 backend/.env.local，backend/.env.example 仅作为模板文件。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登录接口在用户名密码校验通过后创建 Redis 会话，并将 sid 写入 access token 与 refresh token。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前端路由守卫会记录受保护页面目标地址，登录成功后优先恢复 redirect 指向的页面。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前端在收到 401 时自动清理本地 token，跳回登录页，并保留原始页面地址供重新登录后恢复。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注销接口会撤销 Redis 会话，旧 token 会立即失效，避免仅删除前端 localStorage 造成的伪注销。</w:t>
      </w:r>
    </w:p>
    <w:p>
      <w:pPr>
        <w:pStyle w:val="Heading1"/>
        <w:spacing w:line="288" w:lineRule="auto"/>
      </w:pPr>
      <w:r>
        <w:rPr>
          <w:rFonts w:ascii="微软雅黑" w:hAnsi="微软雅黑" w:eastAsia="微软雅黑"/>
          <w:b/>
          <w:sz w:val="32"/>
        </w:rPr>
        <w:t>5. 业务流程与审批设计</w:t>
      </w:r>
    </w:p>
    <w:p>
      <w:pPr>
        <w:spacing w:line="288" w:lineRule="auto"/>
      </w:pPr>
      <w:r>
        <w:rPr>
          <w:rFonts w:ascii="微软雅黑" w:hAnsi="微软雅黑" w:eastAsia="微软雅黑"/>
          <w:b w:val="0"/>
          <w:sz w:val="24"/>
        </w:rPr>
        <w:t>业务流程以“招生 -&gt; 入学 -&gt; 培养 -&gt; 学位 -&gt; 毕业 -&gt; 就业跟踪”为主线，同时通过通知、审计和驾驶舱形成治理闭环。</w:t>
      </w:r>
    </w:p>
    <w:p>
      <w:r>
        <w:drawing>
          <wp:inline xmlns:a="http://schemas.openxmlformats.org/drawingml/2006/main" xmlns:pic="http://schemas.openxmlformats.org/drawingml/2006/picture">
            <wp:extent cx="5472000" cy="22998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iness-process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99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/>
        <w:jc w:val="center"/>
      </w:pPr>
      <w:r>
        <w:rPr>
          <w:rFonts w:ascii="微软雅黑" w:hAnsi="微软雅黑" w:eastAsia="微软雅黑"/>
          <w:b w:val="0"/>
          <w:sz w:val="20"/>
        </w:rPr>
        <w:t>图：业务主流程图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招生录取完成后，将录取结果与导师初始关系同步至学生主数据。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学生入学后 15 日内导师制定培养方案，学生需在 7 日内确认。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科研报告按照周期生成待办，逾期 7 日提醒导师，14 日升级至管理员。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论文通过查重与盲审后，进入预答辩、正式答辩和授位审批。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毕业离校完成后保留电子档案，并继续纳入就业跟踪分析。</w:t>
      </w:r>
    </w:p>
    <w:p>
      <w:r>
        <w:drawing>
          <wp:inline xmlns:a="http://schemas.openxmlformats.org/drawingml/2006/main" xmlns:pic="http://schemas.openxmlformats.org/drawingml/2006/picture">
            <wp:extent cx="5472000" cy="36788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al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7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/>
        <w:jc w:val="center"/>
      </w:pPr>
      <w:r>
        <w:rPr>
          <w:rFonts w:ascii="微软雅黑" w:hAnsi="微软雅黑" w:eastAsia="微软雅黑"/>
          <w:b w:val="0"/>
          <w:sz w:val="20"/>
        </w:rPr>
        <w:t>图：审批流程图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导师变更审批: 支持学生申请、导师发起和管理员统筹三类入口，要求全过程留痕。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外出研修审批: 学生提交后先由导师审核，再由学合管理员备案并同步飞书/OA。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学位申请审批: 论文查重、盲审、预答辩、正式答辩和授位审议构成严格串行链路。</w:t>
      </w:r>
    </w:p>
    <w:p>
      <w:pPr>
        <w:pStyle w:val="Heading2"/>
        <w:spacing w:line="288" w:lineRule="auto"/>
      </w:pPr>
      <w:r>
        <w:rPr>
          <w:rFonts w:ascii="微软雅黑" w:hAnsi="微软雅黑" w:eastAsia="微软雅黑"/>
          <w:b/>
          <w:sz w:val="28"/>
        </w:rPr>
        <w:t>5.1 培养管理治理增强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培养方案、科研报告、外出研修三类页面均提供关键字、状态、导师或审阅人等查询条件。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状态类字段统一改为字典选择，不再依赖自由文本录入。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列表页统一支持单条删除与批量删除，按钮文案按业务语义显示。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培养管理接口新增 /training/options，用于前端加载报告周期、方案状态、研修类型等字典项。</w:t>
      </w:r>
    </w:p>
    <w:p>
      <w:pPr>
        <w:pStyle w:val="Heading2"/>
        <w:spacing w:line="288" w:lineRule="auto"/>
      </w:pPr>
      <w:r>
        <w:rPr>
          <w:rFonts w:ascii="微软雅黑" w:hAnsi="微软雅黑" w:eastAsia="微软雅黑"/>
          <w:b/>
          <w:sz w:val="28"/>
        </w:rPr>
        <w:t>5.2 学生与团队主数据治理设计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学生主档新增与编辑时，所属团队和导师均改为主数据受控选择，不再允许自由文本录入。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团队实体采用本体化建模，核心属性包括团队编码、负责人导师、团队导师集合、研究方向、状态与成立日期。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团队与学生、导师形成稳定关联，保存学生主档时会校验导师是否属于所选团队。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团队管理页支持查询、状态筛选、负责人过滤、单条删除与批量删除，并实时统计团队学生数。</w:t>
      </w:r>
    </w:p>
    <w:p>
      <w:pPr>
        <w:pStyle w:val="Heading1"/>
        <w:spacing w:line="288" w:lineRule="auto"/>
      </w:pPr>
      <w:r>
        <w:rPr>
          <w:rFonts w:ascii="微软雅黑" w:hAnsi="微软雅黑" w:eastAsia="微软雅黑"/>
          <w:b/>
          <w:sz w:val="32"/>
        </w:rPr>
        <w:t>6. 数据库设计</w:t>
      </w:r>
    </w:p>
    <w:p>
      <w:pPr>
        <w:spacing w:line="288" w:lineRule="auto"/>
      </w:pPr>
      <w:r>
        <w:rPr>
          <w:rFonts w:ascii="微软雅黑" w:hAnsi="微软雅黑" w:eastAsia="微软雅黑"/>
          <w:b w:val="0"/>
          <w:sz w:val="24"/>
        </w:rPr>
        <w:t>数据库采用 PostgreSQL 关系建模，核心策略包括：主数据唯一、关键对象版本化、字典统一治理、日志软删除、统计视图前置和关键流程关系清晰可追溯。</w:t>
      </w:r>
    </w:p>
    <w:p>
      <w:r>
        <w:drawing>
          <wp:inline xmlns:a="http://schemas.openxmlformats.org/drawingml/2006/main" xmlns:pic="http://schemas.openxmlformats.org/drawingml/2006/picture">
            <wp:extent cx="5472000" cy="35491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-er-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49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/>
        <w:jc w:val="center"/>
      </w:pPr>
      <w:r>
        <w:rPr>
          <w:rFonts w:ascii="微软雅黑" w:hAnsi="微软雅黑" w:eastAsia="微软雅黑"/>
          <w:b w:val="0"/>
          <w:sz w:val="20"/>
        </w:rPr>
        <w:t>图：数据库 ER 图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关系主表与运行态镜像表共存，但业务系统运行期间只允许 PostgreSQL 作为唯一事实来源，不再依赖 JSON 演示文件。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字典设计采用“字典类型 + 字典数据”两层结构，既管理 label/value，也管理 color_type、css_class 等展示语义。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学生、导师、团队、招生、培养、学位均通过外键或历史表保持可追溯关系，避免页面层自由拼装对象关系。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运行态镜像表承载 DemoManagementStore 的统一持久化结果，确保内存状态、接口返回和数据库对象持续同步。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所有表采用 created_at、updated_at 与 is_deleted 的统一治理字段，支撑审计、回放与逻辑删除策略。</w:t>
      </w:r>
    </w:p>
    <w:p>
      <w:pPr>
        <w:pStyle w:val="Heading3"/>
        <w:spacing w:line="288" w:lineRule="auto"/>
      </w:pPr>
      <w:r>
        <w:rPr>
          <w:rFonts w:ascii="微软雅黑" w:hAnsi="微软雅黑" w:eastAsia="微软雅黑"/>
          <w:b/>
          <w:sz w:val="24"/>
        </w:rPr>
        <w:t>系统治理类表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表名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用途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关键字段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dtlms_users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系统账号主表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username, password_hash, is_active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dtlms_roles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角色定义表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role_code, role_name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dtlms_permissions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权限点定义表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permission_code, module_name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dtlms_user_roles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用户角色映射表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user_id, role_id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dtlms_role_permissions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角色权限映射表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role_id, permission_id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dtlms_login_logs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登录日志表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username, login_status, login_ip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dtlms_operation_logs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操作日志表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module_name, entity_name, old_value, new_value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dtlms_data_sync_logs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数据同步日志表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source_system, target_system, sync_status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dtlms_notification_templates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通知模板表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template_code, channel, content_template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dtlms_system_configs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系统参数表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config_key, config_value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dtlms_dict_types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字典类型表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dict_name, dict_type, status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dtlms_dict_data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字典数据表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dict_type, label, value, color_type</w:t>
            </w:r>
          </w:p>
        </w:tc>
      </w:tr>
    </w:tbl>
    <w:p>
      <w:pPr>
        <w:pStyle w:val="Heading3"/>
        <w:spacing w:line="288" w:lineRule="auto"/>
      </w:pPr>
      <w:r>
        <w:rPr>
          <w:rFonts w:ascii="微软雅黑" w:hAnsi="微软雅黑" w:eastAsia="微软雅黑"/>
          <w:b/>
          <w:sz w:val="24"/>
        </w:rPr>
        <w:t>学生与培养类表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表名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用途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关键字段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dtlms_advisors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导师主数据表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advisor_no, full_name, annual_quota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dtlms_teams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团队主数据表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team_code, team_name, department_name, lead_advisor_id, team_status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dtlms_team_advisors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团队导师映射表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team_id, advisor_id, advisor_role, joined_on, left_on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dtlms_students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学生主数据表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student_no, full_name, current_status, team_id, primary_advisor_id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dtlms_student_team_history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学生团队历史表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student_id, team_id, start_date, end_date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dtlms_student_advisor_history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导师关系历史表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student_id, advisor_id, start_date, end_date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dtlms_research_projects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科研项目表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project_code, project_name, principal_advisor_id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dtlms_training_plans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培养方案表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student_id, advisor_id, version_no, plan_status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dtlms_training_plan_versions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培养方案版本表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training_plan_id, version_no, plan_snapshot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dtlms_scientific_reports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科研报告表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student_id, period_label, report_status, review_score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dtlms_outbound_studies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外出研修表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student_id, study_type, destination, approval_status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dtlms_achievements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成果记录表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student_id, achievement_type, title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dtlms_theses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学位论文表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student_id, plagiarism_rate, thesis_status, degree_granted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dtlms_thesis_reviews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盲审评审表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thesis_id, expert_name, review_score, review_status</w:t>
            </w:r>
          </w:p>
        </w:tc>
      </w:tr>
    </w:tbl>
    <w:p>
      <w:pPr>
        <w:pStyle w:val="Heading3"/>
        <w:spacing w:line="288" w:lineRule="auto"/>
      </w:pPr>
      <w:r>
        <w:rPr>
          <w:rFonts w:ascii="微软雅黑" w:hAnsi="微软雅黑" w:eastAsia="微软雅黑"/>
          <w:b/>
          <w:sz w:val="24"/>
        </w:rPr>
        <w:t>招生类表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表名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用途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关键字段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dtlms_recruitment_plans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招生计划表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plan_code, academic_year, start_date, plan_status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dtlms_research_fields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研究领域表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field_code, field_name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dtlms_recruitment_applications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报名申请表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plan_id, candidate_no, application_status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dtlms_application_materials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申请材料表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application_id, material_type, material_status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dtlms_qualification_reviews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资格审核表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application_id, reviewer_username, review_status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dtlms_reviewer_assignments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评分人分配表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application_id, reviewer_username, reviewer_role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dtlms_material_scores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材料评分表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application_id, reviewer_assignment_id, material_score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dtlms_interview_groups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面试组表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plan_id, group_code, interview_mode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dtlms_interview_schedules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面试日程表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application_id, interview_group_id, admission_ticket_no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dtlms_interview_scores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面试评分表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schedule_id, evaluator_username, interview_score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dtlms_written_exam_scores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机试成绩表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application_id, exam_score, import_batch_no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dtlms_admission_decisions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预录取与录取表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application_id, decision_status, final_score</w:t>
            </w:r>
          </w:p>
        </w:tc>
      </w:tr>
    </w:tbl>
    <w:p>
      <w:pPr>
        <w:pStyle w:val="Heading3"/>
        <w:spacing w:line="288" w:lineRule="auto"/>
      </w:pPr>
      <w:r>
        <w:rPr>
          <w:rFonts w:ascii="微软雅黑" w:hAnsi="微软雅黑" w:eastAsia="微软雅黑"/>
          <w:b/>
          <w:sz w:val="24"/>
        </w:rPr>
        <w:t>运行态镜像与同步类表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表名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用途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关键字段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dtlms_runtime_counters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运行态计数器表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counter_name, counter_value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dtlms_runtime_profiles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运行态个人资料表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username, payload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dtlms_runtime_students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运行态学生镜像表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id, payload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dtlms_runtime_recruitment_plans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运行态招生计划镜像表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id, payload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dtlms_runtime_recruitment_applications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运行态申请镜像表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id, payload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dtlms_runtime_training_plans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运行态培养方案镜像表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id, payload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dtlms_runtime_scientific_reports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运行态科研报告镜像表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id, payload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dtlms_runtime_outbound_studies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运行态外出研修镜像表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id, payload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dtlms_runtime_theses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运行态论文镜像表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id, payload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dtlms_runtime_thesis_reviews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运行态盲审镜像表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id, payload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dtlms_runtime_roles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运行态角色镜像表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id, payload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dtlms_runtime_system_users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运行态系统用户镜像表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id, payload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dtlms_runtime_audit_policies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运行态审计策略镜像表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id, payload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dtlms_runtime_integrations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运行态集成链路镜像表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id, payload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dtlms_runtime_operation_logs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运行态操作日志镜像表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id, payload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dtlms_runtime_sync_logs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运行态同步日志镜像表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id, payload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dtlms_runtime_workflow_tasks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运行态流程任务镜像表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id, payload</w:t>
            </w:r>
          </w:p>
        </w:tc>
      </w:tr>
    </w:tbl>
    <w:p>
      <w:pPr>
        <w:pStyle w:val="Heading3"/>
        <w:spacing w:line="288" w:lineRule="auto"/>
      </w:pPr>
      <w:r>
        <w:rPr>
          <w:rFonts w:ascii="微软雅黑" w:hAnsi="微软雅黑" w:eastAsia="微软雅黑"/>
          <w:b/>
          <w:sz w:val="24"/>
        </w:rPr>
        <w:t>6.4 关联关系说明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关系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字典类型 -&gt; 字典数据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一对多关系，所有稳定枚举值、状态值和颜色值统一通过字典表治理。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团队 -&gt; 导师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多对多治理关系，lead_advisor_id 标识负责人导师，团队成员通过映射表维护。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团队 -&gt; 学生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一对多归属关系，当前归属通过 students.team_id 表达，变更过程进入历史表。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学生 -&gt; 导师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一对多历史关系，当前主导师通过 primary_advisor_id 指向。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学生 -&gt; 培养方案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一对多版本关系，最近生效版本参与流程计算。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学生 -&gt; 科研报告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一对多周期关系，支持周期催办和评分。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学生 -&gt; 外出研修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一对多审批记录，记录审批状态与归来评估。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学生 -&gt; 学位论文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一对多版本语义，当前论文进入盲审和答辩流程。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招生计划 -&gt; 申请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一对多，申请贯穿资格审核、评分、面试与录取。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申请 -&gt; 评分人/面试日程/录取结果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一条申请关联多个评分记录、一个日程和一个最终录取结果。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用户 -&gt; 角色 -&gt; 权限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通过映射表实现 RBAC 可配置授权。</w:t>
            </w:r>
          </w:p>
        </w:tc>
      </w:tr>
    </w:tbl>
    <w:p>
      <w:pPr>
        <w:pStyle w:val="Heading3"/>
        <w:spacing w:line="288" w:lineRule="auto"/>
      </w:pPr>
      <w:r>
        <w:rPr>
          <w:rFonts w:ascii="微软雅黑" w:hAnsi="微软雅黑" w:eastAsia="微软雅黑"/>
          <w:b/>
          <w:sz w:val="24"/>
        </w:rPr>
        <w:t>6.5 视图设计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视图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用途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dtlms_v_student_lifecycle_snapshot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学生生命周期快照视图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供驾驶舱和学生全景卡片直接读取。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dtlms_v_recruitment_dashboard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招生驾驶舱聚合视图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统计申请量、通过量、预录取量和平均材料分。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dtlms_v_training_compliance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培养合规视图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监控培养方案、科研报告与外出研修状态。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dtlms_v_degree_pipeline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学位流程视图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聚合论文、盲审、答辩与授位节点。</w:t>
            </w:r>
          </w:p>
        </w:tc>
      </w:tr>
    </w:tbl>
    <w:p>
      <w:pPr>
        <w:pStyle w:val="Heading1"/>
        <w:spacing w:line="288" w:lineRule="auto"/>
      </w:pPr>
      <w:r>
        <w:rPr>
          <w:rFonts w:ascii="微软雅黑" w:hAnsi="微软雅黑" w:eastAsia="微软雅黑"/>
          <w:b/>
          <w:sz w:val="32"/>
        </w:rPr>
        <w:t>7. 集成与驾驶舱设计</w:t>
      </w:r>
    </w:p>
    <w:p>
      <w:pPr>
        <w:spacing w:line="288" w:lineRule="auto"/>
      </w:pPr>
      <w:r>
        <w:rPr>
          <w:rFonts w:ascii="微软雅黑" w:hAnsi="微软雅黑" w:eastAsia="微软雅黑"/>
          <w:b w:val="0"/>
          <w:sz w:val="24"/>
        </w:rPr>
        <w:t>驾驶舱建设遵循“汇总指标 + 风险预警 + 责任对象 + 下钻入口”的设计思路，面向学合管理员、导师和学生提供差异化看板。</w:t>
      </w:r>
    </w:p>
    <w:p>
      <w:pPr>
        <w:pStyle w:val="Heading3"/>
        <w:spacing w:line="288" w:lineRule="auto"/>
      </w:pPr>
      <w:r>
        <w:rPr>
          <w:rFonts w:ascii="微软雅黑" w:hAnsi="微软雅黑" w:eastAsia="微软雅黑"/>
          <w:b/>
          <w:sz w:val="24"/>
        </w:rPr>
        <w:t>7.1 外部系统集成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系统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交互内容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节奏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招生系统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录取主数据导入、录取结果回传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实时 + 每日对账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实验室 OA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考勤、门禁、请假、周报同步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事件驱动 + 定时补偿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飞书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待办提醒、状态推送、回执跟踪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实时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科研系统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成果和项目共享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月度</w:t>
            </w:r>
          </w:p>
        </w:tc>
      </w:tr>
      <w:tr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HR / 财务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导师在岗、奖助与欠费状态</w:t>
            </w:r>
          </w:p>
        </w:tc>
        <w:tc>
          <w:tcPr>
            <w:tcW w:type="dxa" w:w="312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月度</w:t>
            </w:r>
          </w:p>
        </w:tc>
      </w:tr>
    </w:tbl>
    <w:p>
      <w:pPr>
        <w:pStyle w:val="Heading1"/>
        <w:spacing w:line="288" w:lineRule="auto"/>
      </w:pPr>
      <w:r>
        <w:rPr>
          <w:rFonts w:ascii="微软雅黑" w:hAnsi="微软雅黑" w:eastAsia="微软雅黑"/>
          <w:b/>
          <w:sz w:val="32"/>
        </w:rPr>
        <w:t>8. 安全、审计与运维</w:t>
      </w:r>
    </w:p>
    <w:p>
      <w:pPr>
        <w:pStyle w:val="Heading3"/>
        <w:spacing w:line="288" w:lineRule="auto"/>
      </w:pPr>
      <w:r>
        <w:rPr>
          <w:rFonts w:ascii="微软雅黑" w:hAnsi="微软雅黑" w:eastAsia="微软雅黑"/>
          <w:b/>
          <w:sz w:val="24"/>
        </w:rPr>
        <w:t>8.1 安全与审计控制项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控制项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设计说明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认证授权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JWT + RBAC + Redis Session，控制接口与页面访问，并支持登出后立即失效。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日志审计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登录日志、操作日志、同步日志三层留痕，关键表保留 5 年。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数据安全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敏感字段脱敏导出，逻辑删除替代物理删除。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缓存治理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Redis Sentinel + CTDTLMS_ 统一前缀，支撑登录会话、提醒状态与驾驶舱热点缓存。</w:t>
            </w:r>
          </w:p>
        </w:tc>
      </w:tr>
      <w:tr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运维监控</w:t>
            </w:r>
          </w:p>
        </w:tc>
        <w:tc>
          <w:tcPr>
            <w:tcW w:type="dxa" w:w="4680"/>
          </w:tcPr>
          <w:p>
            <w:pPr>
              <w:spacing w:line="288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Prometheus/Grafana 指标监控与日志归档联动。</w:t>
            </w:r>
          </w:p>
        </w:tc>
      </w:tr>
    </w:tbl>
    <w:p>
      <w:pPr>
        <w:pStyle w:val="Heading1"/>
        <w:spacing w:line="288" w:lineRule="auto"/>
      </w:pPr>
      <w:r>
        <w:rPr>
          <w:rFonts w:ascii="微软雅黑" w:hAnsi="微软雅黑" w:eastAsia="微软雅黑"/>
          <w:b/>
          <w:sz w:val="32"/>
        </w:rPr>
        <w:t>9. 网络拓扑与部署建议</w:t>
      </w:r>
    </w:p>
    <w:p>
      <w:pPr>
        <w:spacing w:line="288" w:lineRule="auto"/>
      </w:pPr>
      <w:r>
        <w:rPr>
          <w:rFonts w:ascii="微软雅黑" w:hAnsi="微软雅黑" w:eastAsia="微软雅黑"/>
          <w:b w:val="0"/>
          <w:sz w:val="24"/>
        </w:rPr>
        <w:t>生产环境建议部署 Nginx 统一入口、FastAPI 服务实例、Celery 异步任务、PostgreSQL 数据库、Redis Sentinel 与对象存储，并接入监控与日志归档体系。</w:t>
      </w:r>
    </w:p>
    <w:p>
      <w:r>
        <w:drawing>
          <wp:inline xmlns:a="http://schemas.openxmlformats.org/drawingml/2006/main" xmlns:pic="http://schemas.openxmlformats.org/drawingml/2006/picture">
            <wp:extent cx="5472000" cy="32521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-topolo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52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/>
        <w:jc w:val="center"/>
      </w:pPr>
      <w:r>
        <w:rPr>
          <w:rFonts w:ascii="微软雅黑" w:hAnsi="微软雅黑" w:eastAsia="微软雅黑"/>
          <w:b w:val="0"/>
          <w:sz w:val="20"/>
        </w:rPr>
        <w:t>图：网络拓扑图</w:t>
      </w:r>
    </w:p>
    <w:p>
      <w:pPr>
        <w:pStyle w:val="Heading1"/>
        <w:spacing w:line="288" w:lineRule="auto"/>
      </w:pPr>
      <w:r>
        <w:rPr>
          <w:rFonts w:ascii="微软雅黑" w:hAnsi="微软雅黑" w:eastAsia="微软雅黑"/>
          <w:b/>
          <w:sz w:val="32"/>
        </w:rPr>
        <w:t>10. 设计结论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学生主数据、导师关系、培养方案和学位论文是系统最关键的四条主轴数据。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招生、培养和学位三个业务域均要求流程节点可审计、可回放和可升级提醒。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字典类型与字典数据表已经纳入正式数据库设计，页面状态、选项与颜色均应优先由数据库字典驱动。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运行态镜像表用于承载统一持久化结果，但系统运行期间仍以 PostgreSQL 为唯一事实来源。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Redis Sentinel 统一承担缓存热点、提醒状态与异步任务状态缓存，所有 Key 使用 CTDTLMS_ 前缀。</w:t>
      </w:r>
    </w:p>
    <w:p>
      <w:pPr>
        <w:pStyle w:val="ListBullet"/>
        <w:spacing w:line="288" w:lineRule="auto"/>
      </w:pPr>
      <w:r>
        <w:rPr>
          <w:rFonts w:ascii="微软雅黑" w:hAnsi="微软雅黑" w:eastAsia="微软雅黑"/>
          <w:b w:val="0"/>
          <w:sz w:val="24"/>
        </w:rPr>
        <w:t>驾驶舱不是独立系统，而是建立在视图、日志和业务状态表之上的治理平面。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