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A7A90" w14:textId="462ED084" w:rsidR="00E056B0" w:rsidRDefault="00051692" w:rsidP="00FE4667">
      <w:pPr>
        <w:pStyle w:val="Title"/>
        <w:spacing w:after="0" w:line="360" w:lineRule="auto"/>
      </w:pPr>
      <w:r>
        <w:t xml:space="preserve">An </w:t>
      </w:r>
      <w:bookmarkStart w:id="0" w:name="_GoBack"/>
      <w:bookmarkEnd w:id="0"/>
      <w:r w:rsidR="00FE4667" w:rsidRPr="00FE4667">
        <w:t>Investigation of Fuel Type</w:t>
      </w:r>
      <w:r w:rsidR="00E55F00">
        <w:t xml:space="preserve"> Viability</w:t>
      </w:r>
      <w:r w:rsidR="00FE4667" w:rsidRPr="00FE4667">
        <w:t xml:space="preserve"> for Scramjet Combustors</w:t>
      </w:r>
    </w:p>
    <w:p w14:paraId="4F9A7A91" w14:textId="1E46F708" w:rsidR="00E056B0" w:rsidRDefault="00294E2A">
      <w:pPr>
        <w:pStyle w:val="AuthorNames"/>
      </w:pPr>
      <w:r>
        <w:t>Karl Roush</w:t>
      </w:r>
      <w:r w:rsidR="00163DE2">
        <w:rPr>
          <w:rStyle w:val="FootnoteReference"/>
        </w:rPr>
        <w:footnoteReference w:id="1"/>
      </w:r>
      <w:r w:rsidR="00163DE2">
        <w:t xml:space="preserve"> </w:t>
      </w:r>
    </w:p>
    <w:p w14:paraId="4F9A7A92" w14:textId="0E824214" w:rsidR="00E056B0" w:rsidRDefault="00294E2A">
      <w:pPr>
        <w:pStyle w:val="AuthorAffiliations"/>
      </w:pPr>
      <w:r>
        <w:t>B</w:t>
      </w:r>
      <w:r w:rsidRPr="00294E2A">
        <w:t xml:space="preserve">en </w:t>
      </w:r>
      <w:r>
        <w:t>T.</w:t>
      </w:r>
      <w:r w:rsidRPr="00294E2A">
        <w:t xml:space="preserve"> </w:t>
      </w:r>
      <w:r>
        <w:t>Z</w:t>
      </w:r>
      <w:r w:rsidRPr="00294E2A">
        <w:t xml:space="preserve">inn </w:t>
      </w:r>
      <w:r>
        <w:t>C</w:t>
      </w:r>
      <w:r w:rsidRPr="00294E2A">
        <w:t xml:space="preserve">ombustion </w:t>
      </w:r>
      <w:r>
        <w:t>L</w:t>
      </w:r>
      <w:r w:rsidRPr="00294E2A">
        <w:t>ab</w:t>
      </w:r>
      <w:r w:rsidR="00163DE2">
        <w:t xml:space="preserve">, </w:t>
      </w:r>
      <w:r>
        <w:t>Atlanta</w:t>
      </w:r>
      <w:r w:rsidR="00163DE2">
        <w:t xml:space="preserve">, </w:t>
      </w:r>
      <w:r>
        <w:t>GA</w:t>
      </w:r>
      <w:r w:rsidR="00163DE2">
        <w:t xml:space="preserve">, </w:t>
      </w:r>
      <w:r>
        <w:t>30332</w:t>
      </w:r>
    </w:p>
    <w:p w14:paraId="29763B6D" w14:textId="3D5B6BE2" w:rsidR="008F66E5" w:rsidRDefault="00163DE2" w:rsidP="00CD6381">
      <w:pPr>
        <w:pStyle w:val="Abstract"/>
        <w:spacing w:line="480" w:lineRule="auto"/>
        <w:sectPr w:rsidR="008F66E5" w:rsidSect="000050DC">
          <w:headerReference w:type="default" r:id="rId7"/>
          <w:footerReference w:type="even" r:id="rId8"/>
          <w:pgSz w:w="12240" w:h="15840"/>
          <w:pgMar w:top="720" w:right="720" w:bottom="720" w:left="720" w:header="720" w:footer="576" w:gutter="0"/>
          <w:cols w:space="720"/>
          <w:docGrid w:linePitch="272"/>
        </w:sectPr>
      </w:pPr>
      <w:r>
        <w:t>T</w:t>
      </w:r>
      <w:r w:rsidR="00112193">
        <w:t xml:space="preserve">his </w:t>
      </w:r>
      <w:r w:rsidR="00753B80">
        <w:t>paper serves</w:t>
      </w:r>
      <w:r w:rsidR="00FE4667">
        <w:t xml:space="preserve"> as the culmination of the </w:t>
      </w:r>
      <w:r w:rsidR="00753B80">
        <w:t xml:space="preserve">literary </w:t>
      </w:r>
      <w:r w:rsidR="00AE7322">
        <w:t>aspect of</w:t>
      </w:r>
      <w:r w:rsidR="00FE4667">
        <w:t xml:space="preserve"> AE</w:t>
      </w:r>
      <w:r w:rsidR="00AE7322">
        <w:t>-</w:t>
      </w:r>
      <w:r w:rsidR="00FE4667">
        <w:t>2699 (research option)</w:t>
      </w:r>
      <w:r w:rsidR="00753B80">
        <w:t>,</w:t>
      </w:r>
      <w:r w:rsidR="00FE4667">
        <w:t xml:space="preserve"> at the </w:t>
      </w:r>
      <w:r w:rsidR="00753B80">
        <w:t>Ben T. Zinn Combustion Lab, for the spring term of 2018.</w:t>
      </w:r>
      <w:r w:rsidR="00712B0E">
        <w:t xml:space="preserve"> This paper is an investigation of fuel types for scramjet combustors, specifically those of conventional fuels, solid fuels, and gelled propellants.</w:t>
      </w:r>
      <w:r w:rsidR="00CD6381">
        <w:t xml:space="preserve"> The conventional fuels covered are: m</w:t>
      </w:r>
      <w:r w:rsidR="00CD6381" w:rsidRPr="00CD6381">
        <w:t>ethane</w:t>
      </w:r>
      <w:r w:rsidR="00CD6381">
        <w:t>, e</w:t>
      </w:r>
      <w:r w:rsidR="00CD6381" w:rsidRPr="00CD6381">
        <w:t>thylene</w:t>
      </w:r>
      <w:r w:rsidR="00CD6381">
        <w:t>, h</w:t>
      </w:r>
      <w:r w:rsidR="00CD6381" w:rsidRPr="00CD6381">
        <w:t>eptane</w:t>
      </w:r>
      <w:r w:rsidR="00CD6381">
        <w:t xml:space="preserve">, </w:t>
      </w:r>
      <w:r w:rsidR="00CD6381" w:rsidRPr="00CD6381">
        <w:t>JP-10</w:t>
      </w:r>
      <w:r w:rsidR="00CD6381">
        <w:t>, h</w:t>
      </w:r>
      <w:r w:rsidR="00CD6381" w:rsidRPr="00CD6381">
        <w:t>ydrogen</w:t>
      </w:r>
      <w:r w:rsidR="00CD6381">
        <w:t xml:space="preserve">. Given the prevalence of these fuels, </w:t>
      </w:r>
      <w:r w:rsidR="00FD2C82">
        <w:t>they will be compared on their ignition time delay.</w:t>
      </w:r>
      <w:r w:rsidR="00A10160">
        <w:t xml:space="preserve"> The solid fuel analysis references a combustor composed </w:t>
      </w:r>
      <w:r w:rsidR="00277C0A">
        <w:t>of poly</w:t>
      </w:r>
      <w:r w:rsidR="00A10160" w:rsidRPr="00A10160">
        <w:t>-methyl-meth-acrylate (PMMA)</w:t>
      </w:r>
      <w:r w:rsidR="00A10160">
        <w:t xml:space="preserve"> and will focus </w:t>
      </w:r>
      <w:r w:rsidR="00277C0A">
        <w:t>on features</w:t>
      </w:r>
      <w:r w:rsidR="00A10160">
        <w:t xml:space="preserve"> specific to solid fuel, i.e.  fuel regression rate</w:t>
      </w:r>
      <w:r w:rsidR="00277C0A">
        <w:t xml:space="preserve">. </w:t>
      </w:r>
      <w:r w:rsidR="00851B69">
        <w:t xml:space="preserve"> </w:t>
      </w:r>
      <w:r w:rsidR="00A83E34">
        <w:t>Gelled propellants</w:t>
      </w:r>
      <w:r w:rsidR="00851B69">
        <w:t xml:space="preserve"> will be examined, specifically atomization and related difficulties intrinsic to gelled propellants.</w:t>
      </w:r>
      <w:r w:rsidR="004C28EB">
        <w:t xml:space="preserve"> </w:t>
      </w:r>
      <w:proofErr w:type="gramStart"/>
      <w:r w:rsidR="004C28EB">
        <w:t>As a result of</w:t>
      </w:r>
      <w:proofErr w:type="gramEnd"/>
      <w:r w:rsidR="004C28EB">
        <w:t xml:space="preserve"> this investigation, it was determined that   conventional fuel selection should be the default selection, solid fuels should </w:t>
      </w:r>
      <w:r w:rsidR="003E4A47">
        <w:t>be selected</w:t>
      </w:r>
      <w:r w:rsidR="00E77471">
        <w:t xml:space="preserve"> in cases where </w:t>
      </w:r>
      <w:r w:rsidR="005230E0">
        <w:t>the mission</w:t>
      </w:r>
      <w:r w:rsidR="00E77471">
        <w:t xml:space="preserve"> parameters are fixed (but additional research is needed in that area), and gelled propellants selection should be held off until atomization efficiency is increased.</w:t>
      </w:r>
    </w:p>
    <w:p w14:paraId="4F9A7A98" w14:textId="76B95CC8" w:rsidR="00E056B0" w:rsidRDefault="00FE3101" w:rsidP="008F66E5">
      <w:pPr>
        <w:pStyle w:val="Heading1"/>
        <w:spacing w:line="360" w:lineRule="auto"/>
      </w:pPr>
      <w:r>
        <w:t xml:space="preserve"> </w:t>
      </w:r>
      <w:r w:rsidR="008F66E5">
        <w:t>Introduction</w:t>
      </w:r>
    </w:p>
    <w:p w14:paraId="4F9A7AAA" w14:textId="110BCAD7" w:rsidR="00E056B0" w:rsidRDefault="00110063">
      <w:pPr>
        <w:pStyle w:val="Text"/>
        <w:keepNext/>
        <w:framePr w:dropCap="drop" w:lines="2" w:wrap="around" w:vAnchor="text" w:hAnchor="text"/>
        <w:spacing w:line="459" w:lineRule="exact"/>
        <w:ind w:firstLine="0"/>
        <w:rPr>
          <w:position w:val="-5"/>
          <w:sz w:val="58"/>
        </w:rPr>
      </w:pPr>
      <w:r>
        <w:rPr>
          <w:position w:val="-5"/>
          <w:sz w:val="58"/>
        </w:rPr>
        <w:t>O</w:t>
      </w:r>
    </w:p>
    <w:p w14:paraId="0ABB3FDE" w14:textId="0D5F0214" w:rsidR="000050DC" w:rsidRDefault="00110063" w:rsidP="00013542">
      <w:pPr>
        <w:pStyle w:val="Text"/>
        <w:ind w:firstLine="0"/>
        <w:rPr>
          <w:vertAlign w:val="superscript"/>
        </w:rPr>
      </w:pPr>
      <w:r>
        <w:t xml:space="preserve">perating </w:t>
      </w:r>
      <w:r w:rsidR="00163DE2">
        <w:t xml:space="preserve"> </w:t>
      </w:r>
      <w:r>
        <w:t>at supersonic speeds, a scramjet utilizes shocks to slow down incoming airflow to a speed that allows for combustion</w:t>
      </w:r>
      <w:r w:rsidR="00013542">
        <w:rPr>
          <w:vertAlign w:val="superscript"/>
        </w:rPr>
        <w:t>1, 2</w:t>
      </w:r>
      <w:r>
        <w:t>. How and where these shocks are generated is largely dependent on the geometry of the combustor.</w:t>
      </w:r>
      <w:r w:rsidR="004D7BEF">
        <w:t xml:space="preserve"> Fuel is injected into the airstream via fuel injector</w:t>
      </w:r>
      <w:r w:rsidR="00013542">
        <w:t xml:space="preserve"> </w:t>
      </w:r>
      <w:r w:rsidR="00013542" w:rsidRPr="00013542">
        <w:t>produc</w:t>
      </w:r>
      <w:r w:rsidR="00013542">
        <w:t>ing</w:t>
      </w:r>
      <w:r w:rsidR="00013542" w:rsidRPr="00013542">
        <w:t xml:space="preserve"> rapid combustion and mixing</w:t>
      </w:r>
      <w:r w:rsidR="009549B5">
        <w:t xml:space="preserve"> in a reasonable length</w:t>
      </w:r>
      <w:r w:rsidR="00013542" w:rsidRPr="009549B5">
        <w:rPr>
          <w:vertAlign w:val="superscript"/>
        </w:rPr>
        <w:t>3</w:t>
      </w:r>
      <w:r w:rsidR="004D7BEF">
        <w:t xml:space="preserve">. However, this length of injector </w:t>
      </w:r>
      <w:r w:rsidR="000D7A67">
        <w:t>must</w:t>
      </w:r>
      <w:r w:rsidR="004D7BEF">
        <w:t xml:space="preserve"> be optimized due to mechanical and thermal constraints. </w:t>
      </w:r>
      <w:r w:rsidR="000D7A67">
        <w:t>To improve</w:t>
      </w:r>
      <w:r>
        <w:t xml:space="preserve"> </w:t>
      </w:r>
      <w:r w:rsidR="000D7A67">
        <w:t>combustion efficiency, we turn instead to fuel types.</w:t>
      </w:r>
      <w:r w:rsidR="00FE3101">
        <w:t xml:space="preserve"> Most fuels that are used for this purpose are liqui</w:t>
      </w:r>
      <w:r w:rsidR="00A45E3E">
        <w:t>d due to their comparably large specific impulse, as well as the availability of storage and control systems.</w:t>
      </w:r>
      <w:r w:rsidR="00206593">
        <w:t xml:space="preserve"> Solid fuels have seen use in rockets but require a pre-determined mission profile (fuel consumption changes combustion chamber geometry and must be accounted for).</w:t>
      </w:r>
      <w:r w:rsidR="00363578">
        <w:rPr>
          <w:vertAlign w:val="superscript"/>
        </w:rPr>
        <w:t>4</w:t>
      </w:r>
      <w:r w:rsidR="00206593">
        <w:t xml:space="preserve"> Gelled propellants have seen very little use, primarily since the gel </w:t>
      </w:r>
      <w:proofErr w:type="gramStart"/>
      <w:r w:rsidR="00206593">
        <w:t>has to</w:t>
      </w:r>
      <w:proofErr w:type="gramEnd"/>
      <w:r w:rsidR="00206593">
        <w:t xml:space="preserve"> be atomized before combustion can occur.</w:t>
      </w:r>
      <w:r w:rsidR="00294E2A">
        <w:t xml:space="preserve"> </w:t>
      </w:r>
      <w:r w:rsidR="00363578">
        <w:rPr>
          <w:vertAlign w:val="superscript"/>
        </w:rPr>
        <w:t>5</w:t>
      </w:r>
    </w:p>
    <w:p w14:paraId="10DF81E0" w14:textId="77777777" w:rsidR="000050DC" w:rsidRDefault="000050DC">
      <w:pPr>
        <w:jc w:val="left"/>
        <w:rPr>
          <w:vertAlign w:val="superscript"/>
        </w:rPr>
      </w:pPr>
      <w:r>
        <w:rPr>
          <w:vertAlign w:val="superscript"/>
        </w:rPr>
        <w:br w:type="page"/>
      </w:r>
    </w:p>
    <w:p w14:paraId="5B274A6C" w14:textId="77777777" w:rsidR="00013542" w:rsidRDefault="00013542" w:rsidP="00013542">
      <w:pPr>
        <w:pStyle w:val="Text"/>
        <w:ind w:firstLine="0"/>
        <w:sectPr w:rsidR="00013542" w:rsidSect="008F66E5">
          <w:type w:val="continuous"/>
          <w:pgSz w:w="12240" w:h="15840"/>
          <w:pgMar w:top="1440" w:right="1440" w:bottom="1440" w:left="1440" w:header="720" w:footer="576" w:gutter="0"/>
          <w:cols w:space="720"/>
        </w:sectPr>
      </w:pPr>
    </w:p>
    <w:p w14:paraId="4F9A7AAF" w14:textId="69730650" w:rsidR="00E056B0" w:rsidRDefault="00E12847" w:rsidP="008F66E5">
      <w:pPr>
        <w:pStyle w:val="Heading1"/>
        <w:spacing w:before="0" w:line="360" w:lineRule="auto"/>
      </w:pPr>
      <w:r>
        <w:lastRenderedPageBreak/>
        <w:t xml:space="preserve"> </w:t>
      </w:r>
      <w:r w:rsidR="008A1E30">
        <w:t xml:space="preserve">Conventional Fuels </w:t>
      </w:r>
    </w:p>
    <w:p w14:paraId="4F344EF0" w14:textId="14C064E9" w:rsidR="00D51B4C" w:rsidRPr="00C659EB" w:rsidRDefault="00C659EB" w:rsidP="00D51B4C">
      <w:pPr>
        <w:pStyle w:val="Text"/>
      </w:pPr>
      <w:r>
        <w:t>Conventional fuels were compared by l</w:t>
      </w:r>
      <w:r w:rsidRPr="00C659EB">
        <w:t xml:space="preserve">ooking at </w:t>
      </w:r>
      <w:r>
        <w:t xml:space="preserve">the </w:t>
      </w:r>
      <w:r w:rsidRPr="00C659EB">
        <w:t>ignition delays</w:t>
      </w:r>
      <w:r>
        <w:t xml:space="preserve"> for each. This was defined as the</w:t>
      </w:r>
      <w:r w:rsidRPr="00C659EB">
        <w:t xml:space="preserve"> onset of emission from hydroxyl radicals</w:t>
      </w:r>
      <w:r w:rsidR="006610A3">
        <w:t>. As a reminder, ignition delays should be short,</w:t>
      </w:r>
      <w:r w:rsidRPr="00C659EB">
        <w:t xml:space="preserve"> </w:t>
      </w:r>
      <w:r w:rsidR="00D51B4C" w:rsidRPr="00C659EB">
        <w:t>for</w:t>
      </w:r>
      <w:r w:rsidRPr="00C659EB">
        <w:t xml:space="preserve"> efficient combustion in a practical length</w:t>
      </w:r>
      <w:r w:rsidR="006610A3">
        <w:t>.</w:t>
      </w:r>
      <w:r w:rsidR="00D51B4C">
        <w:t xml:space="preserve"> The relative ignition delay times for different fuels were found to be methane&gt;JP-10</w:t>
      </w:r>
      <m:oMath>
        <m:r>
          <w:rPr>
            <w:rFonts w:ascii="Cambria Math" w:hAnsi="Cambria Math"/>
          </w:rPr>
          <m:t>≅</m:t>
        </m:r>
      </m:oMath>
      <w:r w:rsidR="00D51B4C">
        <w:t>heptane&gt;hydrocarbon</w:t>
      </w:r>
      <w:r w:rsidR="009A09DD">
        <w:t xml:space="preserve"> </w:t>
      </w:r>
      <w:r w:rsidR="00D51B4C">
        <w:t>mixture&gt; ethylene&gt;hydrogen.</w:t>
      </w:r>
    </w:p>
    <w:p w14:paraId="4F9A7AB4" w14:textId="65BC3BC4" w:rsidR="00E056B0" w:rsidRDefault="006931FE" w:rsidP="00E23206">
      <w:pPr>
        <w:pStyle w:val="Heading2"/>
        <w:numPr>
          <w:ilvl w:val="0"/>
          <w:numId w:val="21"/>
        </w:numPr>
        <w:spacing w:before="0" w:line="360" w:lineRule="auto"/>
      </w:pPr>
      <w:r>
        <w:t>Methane</w:t>
      </w:r>
    </w:p>
    <w:p w14:paraId="5E1E3F84" w14:textId="5A976F60" w:rsidR="00E23206" w:rsidRDefault="00E23206" w:rsidP="00E23206">
      <w:pPr>
        <w:pStyle w:val="Text"/>
      </w:pPr>
      <w:r>
        <w:t>Methane (CH</w:t>
      </w:r>
      <w:r>
        <w:rPr>
          <w:vertAlign w:val="subscript"/>
        </w:rPr>
        <w:t>4</w:t>
      </w:r>
      <w:r>
        <w:t>) autoignition data</w:t>
      </w:r>
      <w:r w:rsidR="00E213EE">
        <w:rPr>
          <w:vertAlign w:val="superscript"/>
        </w:rPr>
        <w:t>6</w:t>
      </w:r>
      <w:r>
        <w:t xml:space="preserve"> was obtained from 25 previous investigations was correlated</w:t>
      </w:r>
      <w:r w:rsidR="00F7006F">
        <w:t xml:space="preserve"> </w:t>
      </w:r>
      <w:r>
        <w:t>by</w:t>
      </w:r>
      <w:r w:rsidR="00F7006F">
        <w:t xml:space="preserve"> </w:t>
      </w:r>
      <w:proofErr w:type="spellStart"/>
      <w:r>
        <w:t>Colket</w:t>
      </w:r>
      <w:proofErr w:type="spellEnd"/>
      <w:r w:rsidR="00F7006F">
        <w:t xml:space="preserve"> </w:t>
      </w:r>
      <w:r>
        <w:t>and</w:t>
      </w:r>
      <w:r w:rsidRPr="00E23206">
        <w:t xml:space="preserve"> </w:t>
      </w:r>
      <w:r>
        <w:t>Spadaccini.</w:t>
      </w:r>
      <w:r>
        <w:rPr>
          <w:vertAlign w:val="superscript"/>
        </w:rPr>
        <w:t>8</w:t>
      </w:r>
      <w:r w:rsidR="00425997">
        <w:t xml:space="preserve"> The correlation was derived from over 500 methane-oxygen ignition-delay measurements over a temperature range of 1250- 2500K. From five mixture rations, it was determined that the ignition rate of methane has a strong inverse dependence on oxygen concentration and a weak direct dependence on methane concentration. These results can be summarized with the following expression:</w:t>
      </w:r>
    </w:p>
    <w:p w14:paraId="02833E6C" w14:textId="5DBB9532" w:rsidR="00425997" w:rsidRPr="006A7BFD" w:rsidRDefault="00D51ED0" w:rsidP="00D51ED0">
      <w:pPr>
        <w:pStyle w:val="Text"/>
      </w:pPr>
      <m:oMathPara>
        <m:oMathParaPr>
          <m:jc m:val="center"/>
        </m:oMathParaPr>
        <m:oMath>
          <m:r>
            <w:rPr>
              <w:rFonts w:ascii="Cambria Math" w:hAnsi="Cambria Math"/>
            </w:rPr>
            <m:t>τ=2.21*</m:t>
          </m:r>
          <m:sSup>
            <m:sSupPr>
              <m:ctrlPr>
                <w:rPr>
                  <w:rFonts w:ascii="Cambria Math" w:hAnsi="Cambria Math"/>
                  <w:i/>
                </w:rPr>
              </m:ctrlPr>
            </m:sSupPr>
            <m:e>
              <m:r>
                <w:rPr>
                  <w:rFonts w:ascii="Cambria Math" w:hAnsi="Cambria Math"/>
                </w:rPr>
                <m:t>10</m:t>
              </m:r>
            </m:e>
            <m:sup>
              <m:r>
                <w:rPr>
                  <w:rFonts w:ascii="Cambria Math" w:hAnsi="Cambria Math"/>
                </w:rPr>
                <m:t>-14</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45000</m:t>
                      </m:r>
                    </m:num>
                    <m:den>
                      <m:r>
                        <w:rPr>
                          <w:rFonts w:ascii="Cambria Math" w:hAnsi="Cambria Math"/>
                        </w:rPr>
                        <m:t>RT</m:t>
                      </m:r>
                    </m:den>
                  </m:f>
                </m:e>
              </m:d>
            </m:e>
          </m:func>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sup>
              <m:r>
                <w:rPr>
                  <w:rFonts w:ascii="Cambria Math" w:hAnsi="Cambria Math"/>
                </w:rPr>
                <m:t>-1.05</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CH</m:t>
                      </m:r>
                    </m:e>
                    <m:sub>
                      <m:r>
                        <w:rPr>
                          <w:rFonts w:ascii="Cambria Math" w:hAnsi="Cambria Math"/>
                        </w:rPr>
                        <m:t>4</m:t>
                      </m:r>
                    </m:sub>
                  </m:sSub>
                </m:e>
              </m:d>
            </m:e>
            <m:sup>
              <m:r>
                <w:rPr>
                  <w:rFonts w:ascii="Cambria Math" w:hAnsi="Cambria Math"/>
                </w:rPr>
                <m:t>0.33</m:t>
              </m:r>
            </m:sup>
          </m:sSup>
        </m:oMath>
      </m:oMathPara>
    </w:p>
    <w:p w14:paraId="48710803" w14:textId="77777777" w:rsidR="006A7BFD" w:rsidRDefault="006A7BFD" w:rsidP="006A7BFD">
      <w:pPr>
        <w:pStyle w:val="Text"/>
        <w:keepNext/>
        <w:spacing w:line="240" w:lineRule="auto"/>
        <w:jc w:val="center"/>
      </w:pPr>
      <w:r>
        <w:rPr>
          <w:noProof/>
        </w:rPr>
        <w:drawing>
          <wp:inline distT="0" distB="0" distL="0" distR="0" wp14:anchorId="34CA3C37" wp14:editId="641578FC">
            <wp:extent cx="3200400"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430145"/>
                    </a:xfrm>
                    <a:prstGeom prst="rect">
                      <a:avLst/>
                    </a:prstGeom>
                  </pic:spPr>
                </pic:pic>
              </a:graphicData>
            </a:graphic>
          </wp:inline>
        </w:drawing>
      </w:r>
    </w:p>
    <w:p w14:paraId="00578A17" w14:textId="5412F9CC" w:rsidR="006A7BFD" w:rsidRPr="00D51ED0" w:rsidRDefault="006A7BFD" w:rsidP="006A7BFD">
      <w:pPr>
        <w:pStyle w:val="Caption"/>
        <w:spacing w:before="0"/>
        <w:jc w:val="center"/>
      </w:pPr>
      <w:r>
        <w:t xml:space="preserve">Fig. </w:t>
      </w:r>
      <w:r w:rsidR="003F1FD0">
        <w:fldChar w:fldCharType="begin"/>
      </w:r>
      <w:r w:rsidR="003F1FD0">
        <w:instrText xml:space="preserve"> SEQ Fig. \* ARABIC </w:instrText>
      </w:r>
      <w:r w:rsidR="003F1FD0">
        <w:fldChar w:fldCharType="separate"/>
      </w:r>
      <w:r w:rsidR="00C53765">
        <w:rPr>
          <w:noProof/>
        </w:rPr>
        <w:t>1</w:t>
      </w:r>
      <w:r w:rsidR="003F1FD0">
        <w:rPr>
          <w:noProof/>
        </w:rPr>
        <w:fldChar w:fldCharType="end"/>
      </w:r>
      <w:r>
        <w:t xml:space="preserve">: Methane </w:t>
      </w:r>
      <w:r w:rsidR="001824E9">
        <w:t>a</w:t>
      </w:r>
      <w:r>
        <w:t>utoignition</w:t>
      </w:r>
    </w:p>
    <w:p w14:paraId="2B6E8520" w14:textId="1E187ACD" w:rsidR="006931FE" w:rsidRDefault="006931FE" w:rsidP="006931FE">
      <w:pPr>
        <w:pStyle w:val="Heading2"/>
        <w:spacing w:before="0" w:line="360" w:lineRule="auto"/>
      </w:pPr>
      <w:r>
        <w:t>Ethylene</w:t>
      </w:r>
    </w:p>
    <w:p w14:paraId="5959D38B" w14:textId="3C7ABFF7" w:rsidR="00A53A73" w:rsidRDefault="00E213EE" w:rsidP="00A53A73">
      <w:pPr>
        <w:pStyle w:val="Text"/>
      </w:pPr>
      <w:r>
        <w:t xml:space="preserve">Ethylene </w:t>
      </w:r>
      <w:r w:rsidR="001265D0">
        <w:t>(</w:t>
      </w:r>
      <w:r w:rsidRPr="00E213EE">
        <w:t>C</w:t>
      </w:r>
      <w:r w:rsidRPr="001265D0">
        <w:rPr>
          <w:vertAlign w:val="subscript"/>
        </w:rPr>
        <w:t>2</w:t>
      </w:r>
      <w:r w:rsidRPr="00E213EE">
        <w:t>H</w:t>
      </w:r>
      <w:r w:rsidRPr="001265D0">
        <w:rPr>
          <w:vertAlign w:val="subscript"/>
        </w:rPr>
        <w:t>4</w:t>
      </w:r>
      <w:r w:rsidR="001265D0">
        <w:t>)</w:t>
      </w:r>
      <w:r w:rsidR="009027E8">
        <w:t xml:space="preserve"> was found to have a strong dependence on oxygen concentration (b&lt;-1) and a weak dependence on fuel concentration (0&lt;a&lt;0.3).</w:t>
      </w:r>
      <w:r w:rsidR="00A53A73">
        <w:t xml:space="preserve"> Mixtures of ethylene/oxygen/argon with equivalence ratios of 0.5, 0.75, and 1.0 were tested.</w:t>
      </w:r>
      <w:r w:rsidR="00B70316">
        <w:rPr>
          <w:vertAlign w:val="superscript"/>
        </w:rPr>
        <w:t>8</w:t>
      </w:r>
      <w:r w:rsidR="00A53A73">
        <w:t xml:space="preserve"> The results can be summarized with the following expression:</w:t>
      </w:r>
    </w:p>
    <w:p w14:paraId="1DDAEA86" w14:textId="591B3EF2" w:rsidR="00A53A73" w:rsidRPr="00C92436" w:rsidRDefault="00A53A73" w:rsidP="00A53A73">
      <w:pPr>
        <w:pStyle w:val="Text"/>
      </w:pPr>
      <m:oMathPara>
        <m:oMath>
          <m:r>
            <w:rPr>
              <w:rFonts w:ascii="Cambria Math" w:hAnsi="Cambria Math"/>
            </w:rPr>
            <m:t>τ=2.82*</m:t>
          </m:r>
          <m:sSup>
            <m:sSupPr>
              <m:ctrlPr>
                <w:rPr>
                  <w:rFonts w:ascii="Cambria Math" w:hAnsi="Cambria Math"/>
                  <w:i/>
                </w:rPr>
              </m:ctrlPr>
            </m:sSupPr>
            <m:e>
              <m:r>
                <w:rPr>
                  <w:rFonts w:ascii="Cambria Math" w:hAnsi="Cambria Math"/>
                </w:rPr>
                <m:t>10</m:t>
              </m:r>
            </m:e>
            <m:sup>
              <m:r>
                <w:rPr>
                  <w:rFonts w:ascii="Cambria Math" w:hAnsi="Cambria Math"/>
                </w:rPr>
                <m:t>-17</m:t>
              </m:r>
            </m:sup>
          </m:s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35000</m:t>
              </m:r>
            </m:num>
            <m:den>
              <m:r>
                <w:rPr>
                  <w:rFonts w:ascii="Cambria Math" w:hAnsi="Cambria Math"/>
                </w:rPr>
                <m:t>RT</m:t>
              </m: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sup>
              <m:r>
                <w:rPr>
                  <w:rFonts w:ascii="Cambria Math" w:hAnsi="Cambria Math"/>
                </w:rPr>
                <m:t>-1.2</m:t>
              </m:r>
            </m:sup>
          </m:sSup>
        </m:oMath>
      </m:oMathPara>
    </w:p>
    <w:p w14:paraId="63816BB5" w14:textId="77777777" w:rsidR="00C92436" w:rsidRDefault="00C92436" w:rsidP="00C92436">
      <w:pPr>
        <w:pStyle w:val="Text"/>
        <w:keepNext/>
        <w:spacing w:line="240" w:lineRule="auto"/>
        <w:jc w:val="center"/>
      </w:pPr>
      <w:r>
        <w:rPr>
          <w:noProof/>
        </w:rPr>
        <w:drawing>
          <wp:inline distT="0" distB="0" distL="0" distR="0" wp14:anchorId="2669354E" wp14:editId="68267CAD">
            <wp:extent cx="3200400" cy="2214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214245"/>
                    </a:xfrm>
                    <a:prstGeom prst="rect">
                      <a:avLst/>
                    </a:prstGeom>
                  </pic:spPr>
                </pic:pic>
              </a:graphicData>
            </a:graphic>
          </wp:inline>
        </w:drawing>
      </w:r>
    </w:p>
    <w:p w14:paraId="054A9D9D" w14:textId="0A7FE722" w:rsidR="00C92436" w:rsidRDefault="00C92436" w:rsidP="00C92436">
      <w:pPr>
        <w:pStyle w:val="Caption"/>
        <w:spacing w:before="0"/>
        <w:jc w:val="center"/>
      </w:pPr>
      <w:r>
        <w:t xml:space="preserve">Fig. </w:t>
      </w:r>
      <w:r w:rsidR="003F1FD0">
        <w:fldChar w:fldCharType="begin"/>
      </w:r>
      <w:r w:rsidR="003F1FD0">
        <w:instrText xml:space="preserve"> SEQ Fig. \* ARABIC </w:instrText>
      </w:r>
      <w:r w:rsidR="003F1FD0">
        <w:fldChar w:fldCharType="separate"/>
      </w:r>
      <w:r w:rsidR="00C53765">
        <w:rPr>
          <w:noProof/>
        </w:rPr>
        <w:t>2</w:t>
      </w:r>
      <w:r w:rsidR="003F1FD0">
        <w:rPr>
          <w:noProof/>
        </w:rPr>
        <w:fldChar w:fldCharType="end"/>
      </w:r>
      <w:r>
        <w:t xml:space="preserve">: Ethylene </w:t>
      </w:r>
      <w:r w:rsidR="001824E9">
        <w:t>a</w:t>
      </w:r>
      <w:r>
        <w:t>utoignition</w:t>
      </w:r>
    </w:p>
    <w:p w14:paraId="438EBA05" w14:textId="007D6393" w:rsidR="006931FE" w:rsidRDefault="006931FE" w:rsidP="006931FE">
      <w:pPr>
        <w:pStyle w:val="Heading2"/>
        <w:spacing w:before="0" w:line="360" w:lineRule="auto"/>
      </w:pPr>
      <w:r>
        <w:t>Heptane</w:t>
      </w:r>
    </w:p>
    <w:p w14:paraId="4F157081" w14:textId="05298C6D" w:rsidR="00E056B0" w:rsidRDefault="00A14930" w:rsidP="00466391">
      <w:pPr>
        <w:pStyle w:val="Text"/>
      </w:pPr>
      <w:r>
        <w:t xml:space="preserve">Past research </w:t>
      </w:r>
      <w:r w:rsidR="00F7006F">
        <w:t>has shown that mixtures of h</w:t>
      </w:r>
      <w:r w:rsidR="00466391">
        <w:t>eptane (</w:t>
      </w:r>
      <w:r w:rsidR="00E056B0" w:rsidRPr="00466391">
        <w:t>H</w:t>
      </w:r>
      <w:r w:rsidR="00E056B0" w:rsidRPr="00466391">
        <w:rPr>
          <w:vertAlign w:val="subscript"/>
        </w:rPr>
        <w:t>3</w:t>
      </w:r>
      <w:r w:rsidR="00E056B0" w:rsidRPr="00466391">
        <w:t>C(CH</w:t>
      </w:r>
      <w:r w:rsidR="00E056B0" w:rsidRPr="00466391">
        <w:rPr>
          <w:vertAlign w:val="subscript"/>
        </w:rPr>
        <w:t>2</w:t>
      </w:r>
      <w:r w:rsidR="00E056B0" w:rsidRPr="00466391">
        <w:t>)</w:t>
      </w:r>
      <w:r w:rsidR="00E056B0" w:rsidRPr="00466391">
        <w:rPr>
          <w:vertAlign w:val="subscript"/>
        </w:rPr>
        <w:t>5</w:t>
      </w:r>
      <w:r w:rsidR="00E056B0" w:rsidRPr="00466391">
        <w:t>CH</w:t>
      </w:r>
      <w:r w:rsidR="00E056B0" w:rsidRPr="00466391">
        <w:rPr>
          <w:vertAlign w:val="subscript"/>
        </w:rPr>
        <w:t>3</w:t>
      </w:r>
      <w:r w:rsidR="00466391">
        <w:t>)</w:t>
      </w:r>
      <w:r w:rsidR="00466391">
        <w:rPr>
          <w:vertAlign w:val="superscript"/>
        </w:rPr>
        <w:t>7</w:t>
      </w:r>
      <w:r>
        <w:t xml:space="preserve"> </w:t>
      </w:r>
      <w:r w:rsidR="00F7006F">
        <w:t xml:space="preserve">in </w:t>
      </w:r>
      <w:r w:rsidR="001F3429">
        <w:t>a</w:t>
      </w:r>
      <w:r w:rsidR="00F7006F">
        <w:t>rgon has an ignition delay</w:t>
      </w:r>
      <w:r>
        <w:t xml:space="preserve"> </w:t>
      </w:r>
      <w:r w:rsidR="00F7006F">
        <w:t xml:space="preserve">dependent on the concentration of </w:t>
      </w:r>
      <w:r w:rsidR="001F3429">
        <w:t>a</w:t>
      </w:r>
      <w:r w:rsidR="00F7006F">
        <w:t>rgon. This expression is</w:t>
      </w:r>
    </w:p>
    <w:p w14:paraId="66043263" w14:textId="3DB74C7E" w:rsidR="00F7006F" w:rsidRPr="00A14930" w:rsidRDefault="00F7006F" w:rsidP="00466391">
      <w:pPr>
        <w:pStyle w:val="Text"/>
      </w:pPr>
      <m:oMathPara>
        <m:oMath>
          <m:r>
            <w:rPr>
              <w:rFonts w:ascii="Cambria Math" w:hAnsi="Cambria Math"/>
            </w:rPr>
            <m:t>τ=3.2*</m:t>
          </m:r>
          <m:sSup>
            <m:sSupPr>
              <m:ctrlPr>
                <w:rPr>
                  <w:rFonts w:ascii="Cambria Math" w:hAnsi="Cambria Math"/>
                  <w:i/>
                </w:rPr>
              </m:ctrlPr>
            </m:sSupPr>
            <m:e>
              <m:r>
                <w:rPr>
                  <w:rFonts w:ascii="Cambria Math" w:hAnsi="Cambria Math"/>
                </w:rPr>
                <m:t>10</m:t>
              </m:r>
            </m:e>
            <m:sup>
              <m:r>
                <w:rPr>
                  <w:rFonts w:ascii="Cambria Math" w:hAnsi="Cambria Math"/>
                </w:rPr>
                <m:t>-12</m:t>
              </m:r>
            </m:sup>
          </m:s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35300</m:t>
              </m:r>
            </m:num>
            <m:den>
              <m:r>
                <w:rPr>
                  <w:rFonts w:ascii="Cambria Math" w:hAnsi="Cambria Math"/>
                </w:rPr>
                <m:t>RT</m:t>
              </m: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7</m:t>
                      </m:r>
                    </m:sub>
                  </m:sSub>
                  <m:sSub>
                    <m:sSubPr>
                      <m:ctrlPr>
                        <w:rPr>
                          <w:rFonts w:ascii="Cambria Math" w:hAnsi="Cambria Math"/>
                          <w:i/>
                        </w:rPr>
                      </m:ctrlPr>
                    </m:sSubPr>
                    <m:e>
                      <m:r>
                        <w:rPr>
                          <w:rFonts w:ascii="Cambria Math" w:hAnsi="Cambria Math"/>
                        </w:rPr>
                        <m:t>H</m:t>
                      </m:r>
                    </m:e>
                    <m:sub>
                      <m:r>
                        <w:rPr>
                          <w:rFonts w:ascii="Cambria Math" w:hAnsi="Cambria Math"/>
                        </w:rPr>
                        <m:t>16</m:t>
                      </m:r>
                    </m:sub>
                  </m:sSub>
                </m:e>
              </m:d>
            </m:e>
            <m:sup>
              <m:r>
                <w:rPr>
                  <w:rFonts w:ascii="Cambria Math" w:hAnsi="Cambria Math"/>
                </w:rPr>
                <m:t>0.2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sup>
              <m:r>
                <w:rPr>
                  <w:rFonts w:ascii="Cambria Math" w:hAnsi="Cambria Math"/>
                </w:rPr>
                <m:t>-1.1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Ar</m:t>
                  </m:r>
                </m:e>
              </m:d>
            </m:e>
            <m:sup>
              <m:r>
                <w:rPr>
                  <w:rFonts w:ascii="Cambria Math" w:hAnsi="Cambria Math"/>
                </w:rPr>
                <m:t>0.6</m:t>
              </m:r>
            </m:sup>
          </m:sSup>
        </m:oMath>
      </m:oMathPara>
    </w:p>
    <w:p w14:paraId="70D7B4E6" w14:textId="71408A49" w:rsidR="006931FE" w:rsidRDefault="001824E9" w:rsidP="006931FE">
      <w:pPr>
        <w:pStyle w:val="Text"/>
        <w:rPr>
          <w:noProof/>
        </w:rPr>
      </w:pPr>
      <w:r>
        <w:t>Experimental</w:t>
      </w:r>
      <w:r w:rsidR="001F3429">
        <w:t xml:space="preserve"> data from </w:t>
      </w:r>
      <w:proofErr w:type="spellStart"/>
      <w:r w:rsidR="001F3429">
        <w:t>Colket</w:t>
      </w:r>
      <w:proofErr w:type="spellEnd"/>
      <w:r w:rsidR="001F3429">
        <w:t xml:space="preserve"> and</w:t>
      </w:r>
      <w:r w:rsidR="001F3429" w:rsidRPr="00E23206">
        <w:t xml:space="preserve"> </w:t>
      </w:r>
      <w:r w:rsidR="001F3429" w:rsidRPr="001F3429">
        <w:t>Spadaccini8</w:t>
      </w:r>
      <w:r w:rsidR="001F3429">
        <w:t xml:space="preserve"> shows a weak dependence on argon (-0.2). As such, the </w:t>
      </w:r>
      <w:r>
        <w:t>modified</w:t>
      </w:r>
      <w:r w:rsidR="001F3429">
        <w:t xml:space="preserve"> ignition-delay correlation for heptane was found to be</w:t>
      </w:r>
      <w:r w:rsidR="00F7006F" w:rsidRPr="00F7006F">
        <w:rPr>
          <w:noProof/>
        </w:rPr>
        <w:t xml:space="preserve"> </w:t>
      </w:r>
    </w:p>
    <w:p w14:paraId="3E871B86" w14:textId="08BE2CE3" w:rsidR="001824E9" w:rsidRPr="001824E9" w:rsidRDefault="001824E9" w:rsidP="006931FE">
      <w:pPr>
        <w:pStyle w:val="Text"/>
      </w:pPr>
      <m:oMathPara>
        <m:oMath>
          <m:r>
            <w:rPr>
              <w:rFonts w:ascii="Cambria Math" w:hAnsi="Cambria Math"/>
            </w:rPr>
            <m:t>τ=6.76*</m:t>
          </m:r>
          <m:sSup>
            <m:sSupPr>
              <m:ctrlPr>
                <w:rPr>
                  <w:rFonts w:ascii="Cambria Math" w:hAnsi="Cambria Math"/>
                  <w:i/>
                </w:rPr>
              </m:ctrlPr>
            </m:sSupPr>
            <m:e>
              <m:r>
                <w:rPr>
                  <w:rFonts w:ascii="Cambria Math" w:hAnsi="Cambria Math"/>
                </w:rPr>
                <m:t>10</m:t>
              </m:r>
            </m:e>
            <m:sup>
              <m:r>
                <w:rPr>
                  <w:rFonts w:ascii="Cambria Math" w:hAnsi="Cambria Math"/>
                </w:rPr>
                <m:t>-15</m:t>
              </m:r>
            </m:sup>
          </m:sSup>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40160</m:t>
              </m:r>
            </m:num>
            <m:den>
              <m:r>
                <w:rPr>
                  <w:rFonts w:ascii="Cambria Math" w:hAnsi="Cambria Math"/>
                </w:rPr>
                <m:t>RT</m:t>
              </m: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7</m:t>
                      </m:r>
                    </m:sub>
                  </m:sSub>
                  <m:sSub>
                    <m:sSubPr>
                      <m:ctrlPr>
                        <w:rPr>
                          <w:rFonts w:ascii="Cambria Math" w:hAnsi="Cambria Math"/>
                          <w:i/>
                        </w:rPr>
                      </m:ctrlPr>
                    </m:sSubPr>
                    <m:e>
                      <m:r>
                        <w:rPr>
                          <w:rFonts w:ascii="Cambria Math" w:hAnsi="Cambria Math"/>
                        </w:rPr>
                        <m:t>H</m:t>
                      </m:r>
                    </m:e>
                    <m:sub>
                      <m:r>
                        <w:rPr>
                          <w:rFonts w:ascii="Cambria Math" w:hAnsi="Cambria Math"/>
                        </w:rPr>
                        <m:t>16</m:t>
                      </m:r>
                    </m:sub>
                  </m:sSub>
                </m:e>
              </m:d>
            </m:e>
            <m:sup>
              <m:r>
                <w:rPr>
                  <w:rFonts w:ascii="Cambria Math" w:hAnsi="Cambria Math"/>
                </w:rPr>
                <m:t>0.4</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e>
            <m:sup>
              <m:r>
                <w:rPr>
                  <w:rFonts w:ascii="Cambria Math" w:hAnsi="Cambria Math"/>
                </w:rPr>
                <m:t>-1.2</m:t>
              </m:r>
            </m:sup>
          </m:sSup>
        </m:oMath>
      </m:oMathPara>
    </w:p>
    <w:p w14:paraId="29C04A74" w14:textId="77777777" w:rsidR="001824E9" w:rsidRDefault="001824E9" w:rsidP="00AB179D">
      <w:pPr>
        <w:pStyle w:val="Text"/>
        <w:keepNext/>
        <w:spacing w:line="240" w:lineRule="auto"/>
      </w:pPr>
      <w:r>
        <w:rPr>
          <w:noProof/>
        </w:rPr>
        <w:lastRenderedPageBreak/>
        <w:drawing>
          <wp:inline distT="0" distB="0" distL="0" distR="0" wp14:anchorId="7C21933C" wp14:editId="42CFDA66">
            <wp:extent cx="3200400" cy="229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291715"/>
                    </a:xfrm>
                    <a:prstGeom prst="rect">
                      <a:avLst/>
                    </a:prstGeom>
                  </pic:spPr>
                </pic:pic>
              </a:graphicData>
            </a:graphic>
          </wp:inline>
        </w:drawing>
      </w:r>
    </w:p>
    <w:p w14:paraId="02CCA3FC" w14:textId="6957DA4F" w:rsidR="001824E9" w:rsidRDefault="001824E9" w:rsidP="00AB179D">
      <w:pPr>
        <w:pStyle w:val="Caption"/>
        <w:spacing w:before="0"/>
        <w:jc w:val="center"/>
      </w:pPr>
      <w:r>
        <w:t xml:space="preserve">Fig. </w:t>
      </w:r>
      <w:r w:rsidR="003F1FD0">
        <w:fldChar w:fldCharType="begin"/>
      </w:r>
      <w:r w:rsidR="003F1FD0">
        <w:instrText xml:space="preserve"> SEQ Fig. \* ARABIC </w:instrText>
      </w:r>
      <w:r w:rsidR="003F1FD0">
        <w:fldChar w:fldCharType="separate"/>
      </w:r>
      <w:r w:rsidR="00C53765">
        <w:rPr>
          <w:noProof/>
        </w:rPr>
        <w:t>3</w:t>
      </w:r>
      <w:r w:rsidR="003F1FD0">
        <w:rPr>
          <w:noProof/>
        </w:rPr>
        <w:fldChar w:fldCharType="end"/>
      </w:r>
      <w:r>
        <w:t>: Heptane autoignition</w:t>
      </w:r>
    </w:p>
    <w:p w14:paraId="0C93166C" w14:textId="773180B2" w:rsidR="006931FE" w:rsidRDefault="006931FE" w:rsidP="006931FE">
      <w:pPr>
        <w:pStyle w:val="Heading2"/>
        <w:spacing w:before="0" w:line="360" w:lineRule="auto"/>
      </w:pPr>
      <w:r>
        <w:t>JP-10</w:t>
      </w:r>
    </w:p>
    <w:p w14:paraId="01CFE9C8" w14:textId="1592E34C" w:rsidR="006931FE" w:rsidRDefault="00084F08" w:rsidP="00084F08">
      <w:pPr>
        <w:pStyle w:val="Text"/>
        <w:jc w:val="left"/>
      </w:pPr>
      <w:r>
        <w:t xml:space="preserve">JP-10, a mixture of </w:t>
      </w:r>
      <w:r w:rsidRPr="00084F08">
        <w:t>(in decreasing order) endo-</w:t>
      </w:r>
      <w:proofErr w:type="spellStart"/>
      <w:r w:rsidRPr="00084F08">
        <w:t>tetrahydrodicyclopentadiene</w:t>
      </w:r>
      <w:proofErr w:type="spellEnd"/>
      <w:r w:rsidRPr="00084F08">
        <w:t xml:space="preserve">, </w:t>
      </w:r>
      <w:proofErr w:type="spellStart"/>
      <w:r w:rsidRPr="00084F08">
        <w:t>exo-tetrahydrodicyclopentadiene</w:t>
      </w:r>
      <w:proofErr w:type="spellEnd"/>
      <w:r w:rsidRPr="00084F08">
        <w:t>, and adamantane</w:t>
      </w:r>
      <w:r w:rsidR="00E056B0">
        <w:t xml:space="preserve">, is primarily used in volume-limited </w:t>
      </w:r>
      <w:r w:rsidR="00C659EB">
        <w:t xml:space="preserve">applications due to its high density. JP-10 also has a very low vapor pressure, so without the aid of a heated shock tube and premixing system, only a few conditions could be tested. Tests were </w:t>
      </w:r>
      <w:proofErr w:type="spellStart"/>
      <w:r w:rsidR="00C659EB">
        <w:t>preformed</w:t>
      </w:r>
      <w:proofErr w:type="spellEnd"/>
      <w:r w:rsidR="00C659EB">
        <w:t xml:space="preserve"> with mixtures of JP-10 and oxygen in argon at equivalence ratios of 0.5, 0.75, 1.0, and 1.5.</w:t>
      </w:r>
      <w:r w:rsidR="00830636">
        <w:rPr>
          <w:vertAlign w:val="superscript"/>
        </w:rPr>
        <w:t>8</w:t>
      </w:r>
      <w:r w:rsidR="006610A3">
        <w:t xml:space="preserve"> The </w:t>
      </w:r>
      <w:r w:rsidR="001404EE">
        <w:t xml:space="preserve">expression for ignition time was </w:t>
      </w:r>
      <w:proofErr w:type="gramStart"/>
      <w:r w:rsidR="001404EE">
        <w:t>similar to</w:t>
      </w:r>
      <w:proofErr w:type="gramEnd"/>
      <w:r w:rsidR="001404EE">
        <w:t xml:space="preserve"> heptane and is defined as</w:t>
      </w:r>
    </w:p>
    <w:p w14:paraId="7CE3336C" w14:textId="57534041" w:rsidR="001404EE" w:rsidRDefault="001404EE" w:rsidP="00084F08">
      <w:pPr>
        <w:pStyle w:val="Text"/>
        <w:jc w:val="left"/>
      </w:pPr>
      <w:r>
        <w:rPr>
          <w:noProof/>
        </w:rPr>
        <w:drawing>
          <wp:inline distT="0" distB="0" distL="0" distR="0" wp14:anchorId="6226E4A1" wp14:editId="091DCD22">
            <wp:extent cx="313372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247650"/>
                    </a:xfrm>
                    <a:prstGeom prst="rect">
                      <a:avLst/>
                    </a:prstGeom>
                  </pic:spPr>
                </pic:pic>
              </a:graphicData>
            </a:graphic>
          </wp:inline>
        </w:drawing>
      </w:r>
    </w:p>
    <w:p w14:paraId="5251AA6C" w14:textId="77777777" w:rsidR="001404EE" w:rsidRDefault="001404EE" w:rsidP="001404EE">
      <w:pPr>
        <w:pStyle w:val="Text"/>
        <w:keepNext/>
        <w:spacing w:line="240" w:lineRule="auto"/>
        <w:jc w:val="center"/>
      </w:pPr>
      <w:r>
        <w:rPr>
          <w:noProof/>
        </w:rPr>
        <w:drawing>
          <wp:inline distT="0" distB="0" distL="0" distR="0" wp14:anchorId="588606CD" wp14:editId="01E239F1">
            <wp:extent cx="3200400" cy="2468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68245"/>
                    </a:xfrm>
                    <a:prstGeom prst="rect">
                      <a:avLst/>
                    </a:prstGeom>
                  </pic:spPr>
                </pic:pic>
              </a:graphicData>
            </a:graphic>
          </wp:inline>
        </w:drawing>
      </w:r>
    </w:p>
    <w:p w14:paraId="2FD4F294" w14:textId="70707A07" w:rsidR="001404EE" w:rsidRPr="006931FE" w:rsidRDefault="001404EE" w:rsidP="001404EE">
      <w:pPr>
        <w:pStyle w:val="Caption"/>
        <w:spacing w:before="0"/>
        <w:jc w:val="center"/>
      </w:pPr>
      <w:r>
        <w:t xml:space="preserve">Fig. </w:t>
      </w:r>
      <w:r w:rsidR="003F1FD0">
        <w:fldChar w:fldCharType="begin"/>
      </w:r>
      <w:r w:rsidR="003F1FD0">
        <w:instrText xml:space="preserve"> SEQ Fig. \* ARABIC </w:instrText>
      </w:r>
      <w:r w:rsidR="003F1FD0">
        <w:fldChar w:fldCharType="separate"/>
      </w:r>
      <w:r w:rsidR="00C53765">
        <w:rPr>
          <w:noProof/>
        </w:rPr>
        <w:t>4</w:t>
      </w:r>
      <w:r w:rsidR="003F1FD0">
        <w:rPr>
          <w:noProof/>
        </w:rPr>
        <w:fldChar w:fldCharType="end"/>
      </w:r>
      <w:r>
        <w:t>: JP-10 autoignition</w:t>
      </w:r>
    </w:p>
    <w:p w14:paraId="20484825" w14:textId="2C418AB5" w:rsidR="006931FE" w:rsidRDefault="00C659EB" w:rsidP="006931FE">
      <w:pPr>
        <w:pStyle w:val="Heading2"/>
        <w:spacing w:before="0" w:line="360" w:lineRule="auto"/>
      </w:pPr>
      <w:r>
        <w:t>Hydrogen</w:t>
      </w:r>
    </w:p>
    <w:p w14:paraId="1004668C" w14:textId="026E6444" w:rsidR="006931FE" w:rsidRDefault="00197C54" w:rsidP="006931FE">
      <w:pPr>
        <w:pStyle w:val="Text"/>
      </w:pPr>
      <w:r>
        <w:t xml:space="preserve">There were no </w:t>
      </w:r>
      <w:proofErr w:type="spellStart"/>
      <w:r>
        <w:t>expirements</w:t>
      </w:r>
      <w:proofErr w:type="spellEnd"/>
      <w:r>
        <w:t xml:space="preserve"> testing the ignition delay times of hydrogen- the data was instead sourced from literature.</w:t>
      </w:r>
      <w:r>
        <w:rPr>
          <w:vertAlign w:val="superscript"/>
        </w:rPr>
        <w:t>8</w:t>
      </w:r>
      <w:r>
        <w:t xml:space="preserve"> The literature results show that the ignition time for hydrogen can be modeled by</w:t>
      </w:r>
    </w:p>
    <w:p w14:paraId="60093481" w14:textId="5089E4FF" w:rsidR="00197C54" w:rsidRDefault="00197C54" w:rsidP="00197C54">
      <w:pPr>
        <w:pStyle w:val="Text"/>
        <w:jc w:val="center"/>
      </w:pPr>
      <w:r>
        <w:rPr>
          <w:noProof/>
        </w:rPr>
        <w:drawing>
          <wp:inline distT="0" distB="0" distL="0" distR="0" wp14:anchorId="7EE61B98" wp14:editId="5CBD9359">
            <wp:extent cx="242887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266700"/>
                    </a:xfrm>
                    <a:prstGeom prst="rect">
                      <a:avLst/>
                    </a:prstGeom>
                  </pic:spPr>
                </pic:pic>
              </a:graphicData>
            </a:graphic>
          </wp:inline>
        </w:drawing>
      </w:r>
    </w:p>
    <w:p w14:paraId="5522EA2B" w14:textId="65200662" w:rsidR="00197C54" w:rsidRPr="004F19B5" w:rsidRDefault="00197C54" w:rsidP="00197C54">
      <w:pPr>
        <w:pStyle w:val="Text"/>
      </w:pPr>
      <w:r w:rsidRPr="00197C54">
        <w:t>However,</w:t>
      </w:r>
      <w:r w:rsidR="000055A3">
        <w:t xml:space="preserve"> </w:t>
      </w:r>
      <w:r w:rsidR="00F46C48" w:rsidRPr="00197C54">
        <w:t>at lower</w:t>
      </w:r>
      <w:r w:rsidR="000055A3">
        <w:t xml:space="preserve"> </w:t>
      </w:r>
      <w:r w:rsidRPr="00197C54">
        <w:t>temperatures</w:t>
      </w:r>
      <w:r w:rsidR="000055A3">
        <w:t xml:space="preserve"> </w:t>
      </w:r>
      <w:r w:rsidRPr="00197C54">
        <w:t>and    relatively</w:t>
      </w:r>
      <w:r w:rsidR="000055A3">
        <w:t xml:space="preserve"> </w:t>
      </w:r>
      <w:r w:rsidRPr="00197C54">
        <w:t>high</w:t>
      </w:r>
      <w:r w:rsidR="000055A3">
        <w:t xml:space="preserve"> </w:t>
      </w:r>
      <w:r w:rsidRPr="00197C54">
        <w:t>pressures</w:t>
      </w:r>
      <w:r w:rsidR="000055A3">
        <w:t xml:space="preserve">, </w:t>
      </w:r>
      <w:r w:rsidRPr="00197C54">
        <w:t>the</w:t>
      </w:r>
      <w:r w:rsidR="000055A3">
        <w:t xml:space="preserve"> </w:t>
      </w:r>
      <w:r w:rsidRPr="00197C54">
        <w:t>pressure</w:t>
      </w:r>
      <w:r w:rsidR="000055A3">
        <w:t xml:space="preserve"> </w:t>
      </w:r>
      <w:r w:rsidRPr="00197C54">
        <w:t>dependence</w:t>
      </w:r>
      <w:r w:rsidR="000055A3">
        <w:t xml:space="preserve"> </w:t>
      </w:r>
      <w:r w:rsidRPr="00197C54">
        <w:t>of   the    ignition</w:t>
      </w:r>
      <w:r w:rsidR="000055A3">
        <w:t xml:space="preserve"> </w:t>
      </w:r>
      <w:r w:rsidRPr="00197C54">
        <w:t>delay</w:t>
      </w:r>
      <w:r w:rsidR="000055A3">
        <w:t xml:space="preserve"> </w:t>
      </w:r>
      <w:r w:rsidRPr="00197C54">
        <w:t>becomes</w:t>
      </w:r>
      <w:r w:rsidR="000055A3">
        <w:t xml:space="preserve"> </w:t>
      </w:r>
      <w:r w:rsidRPr="00197C54">
        <w:t>nonlinear</w:t>
      </w:r>
      <w:r w:rsidR="000055A3">
        <w:t xml:space="preserve"> </w:t>
      </w:r>
      <w:r w:rsidRPr="00197C54">
        <w:t>and</w:t>
      </w:r>
      <w:r w:rsidR="000055A3">
        <w:t xml:space="preserve"> </w:t>
      </w:r>
      <w:r w:rsidRPr="00197C54">
        <w:t>shifts</w:t>
      </w:r>
      <w:r w:rsidR="000055A3">
        <w:t xml:space="preserve"> </w:t>
      </w:r>
      <w:r w:rsidRPr="00197C54">
        <w:t>from</w:t>
      </w:r>
      <w:r w:rsidR="000055A3">
        <w:t xml:space="preserve"> </w:t>
      </w:r>
      <w:r w:rsidRPr="00197C54">
        <w:t>an    inverse</w:t>
      </w:r>
      <w:r w:rsidR="000055A3">
        <w:t xml:space="preserve"> </w:t>
      </w:r>
      <w:r w:rsidRPr="00197C54">
        <w:t>proportionality</w:t>
      </w:r>
      <w:r w:rsidR="000055A3">
        <w:t xml:space="preserve"> </w:t>
      </w:r>
      <w:r w:rsidRPr="00197C54">
        <w:t>to a nearly</w:t>
      </w:r>
      <w:r w:rsidR="000055A3">
        <w:t xml:space="preserve"> </w:t>
      </w:r>
      <w:r w:rsidR="000055A3" w:rsidRPr="00197C54">
        <w:t>direct</w:t>
      </w:r>
      <w:r w:rsidR="000055A3">
        <w:t xml:space="preserve"> </w:t>
      </w:r>
      <w:r w:rsidR="000055A3" w:rsidRPr="00197C54">
        <w:t>proportionality</w:t>
      </w:r>
      <w:r w:rsidR="000055A3">
        <w:t xml:space="preserve">. </w:t>
      </w:r>
      <w:r w:rsidRPr="00197C54">
        <w:t>This</w:t>
      </w:r>
      <w:r w:rsidR="000055A3">
        <w:t xml:space="preserve"> </w:t>
      </w:r>
      <w:r w:rsidRPr="00197C54">
        <w:t>can be explained</w:t>
      </w:r>
      <w:r w:rsidR="000055A3">
        <w:t xml:space="preserve"> </w:t>
      </w:r>
      <w:r w:rsidRPr="00197C54">
        <w:t>by the   removal</w:t>
      </w:r>
      <w:r w:rsidR="000055A3">
        <w:t xml:space="preserve"> </w:t>
      </w:r>
      <w:r w:rsidRPr="00197C54">
        <w:t>of active</w:t>
      </w:r>
      <w:r w:rsidR="000055A3">
        <w:t xml:space="preserve"> </w:t>
      </w:r>
      <w:r w:rsidRPr="00197C54">
        <w:t>hydrogen</w:t>
      </w:r>
      <w:r w:rsidR="000055A3">
        <w:t xml:space="preserve"> </w:t>
      </w:r>
      <w:r w:rsidRPr="00197C54">
        <w:t>atoms</w:t>
      </w:r>
      <w:r w:rsidR="000055A3">
        <w:t xml:space="preserve"> </w:t>
      </w:r>
      <w:r w:rsidRPr="00197C54">
        <w:t>through</w:t>
      </w:r>
      <w:r w:rsidR="000055A3">
        <w:t xml:space="preserve"> </w:t>
      </w:r>
      <w:r w:rsidRPr="00197C54">
        <w:t>the formation</w:t>
      </w:r>
      <w:r w:rsidR="000055A3">
        <w:t xml:space="preserve"> </w:t>
      </w:r>
      <w:r w:rsidRPr="00197C54">
        <w:t>of the    HO</w:t>
      </w:r>
      <w:r w:rsidRPr="000055A3">
        <w:rPr>
          <w:vertAlign w:val="subscript"/>
        </w:rPr>
        <w:t>2</w:t>
      </w:r>
      <w:r w:rsidR="000055A3">
        <w:t xml:space="preserve"> </w:t>
      </w:r>
      <w:r w:rsidRPr="00197C54">
        <w:t>radical</w:t>
      </w:r>
      <w:r w:rsidR="000055A3">
        <w:t xml:space="preserve"> </w:t>
      </w:r>
      <w:r w:rsidRPr="00197C54">
        <w:t>which</w:t>
      </w:r>
      <w:r w:rsidR="000055A3">
        <w:t xml:space="preserve"> </w:t>
      </w:r>
      <w:r w:rsidR="000055A3" w:rsidRPr="00197C54">
        <w:t>doe</w:t>
      </w:r>
      <w:r w:rsidR="000055A3">
        <w:t>s</w:t>
      </w:r>
      <w:r w:rsidR="000055A3" w:rsidRPr="00197C54">
        <w:t xml:space="preserve"> not</w:t>
      </w:r>
      <w:r w:rsidRPr="00197C54">
        <w:t xml:space="preserve"> participate</w:t>
      </w:r>
      <w:r w:rsidR="000055A3">
        <w:t xml:space="preserve"> </w:t>
      </w:r>
      <w:r w:rsidRPr="00197C54">
        <w:t>in chain</w:t>
      </w:r>
      <w:r w:rsidR="000055A3">
        <w:t xml:space="preserve"> </w:t>
      </w:r>
      <w:r w:rsidRPr="00197C54">
        <w:t>propagation.</w:t>
      </w:r>
      <w:r w:rsidR="000055A3">
        <w:t xml:space="preserve"> </w:t>
      </w:r>
      <w:r w:rsidRPr="00197C54">
        <w:t>Because</w:t>
      </w:r>
      <w:r w:rsidR="000055A3">
        <w:t xml:space="preserve"> </w:t>
      </w:r>
      <w:r w:rsidRPr="00197C54">
        <w:t>this reaction</w:t>
      </w:r>
      <w:r w:rsidR="000055A3">
        <w:t xml:space="preserve"> </w:t>
      </w:r>
      <w:r w:rsidRPr="00197C54">
        <w:t>is</w:t>
      </w:r>
      <w:r w:rsidR="000055A3">
        <w:t xml:space="preserve"> </w:t>
      </w:r>
      <w:r w:rsidRPr="00197C54">
        <w:t>weakly</w:t>
      </w:r>
      <w:r w:rsidR="000055A3">
        <w:t xml:space="preserve"> </w:t>
      </w:r>
      <w:r w:rsidRPr="00197C54">
        <w:t>dependent</w:t>
      </w:r>
      <w:r w:rsidR="000055A3">
        <w:t xml:space="preserve"> </w:t>
      </w:r>
      <w:r w:rsidRPr="00197C54">
        <w:t>on temperature,</w:t>
      </w:r>
      <w:r w:rsidR="000055A3">
        <w:t xml:space="preserve"> </w:t>
      </w:r>
      <w:r w:rsidRPr="00197C54">
        <w:t>it   is   kinetically</w:t>
      </w:r>
      <w:r w:rsidR="000055A3">
        <w:t xml:space="preserve"> </w:t>
      </w:r>
      <w:r w:rsidRPr="00197C54">
        <w:t>favored</w:t>
      </w:r>
      <w:r w:rsidR="000055A3">
        <w:t xml:space="preserve"> </w:t>
      </w:r>
      <w:r w:rsidRPr="00197C54">
        <w:t>at low</w:t>
      </w:r>
      <w:r w:rsidR="000055A3">
        <w:t xml:space="preserve"> </w:t>
      </w:r>
      <w:r w:rsidRPr="00197C54">
        <w:t>temperatures</w:t>
      </w:r>
      <w:r w:rsidR="000055A3">
        <w:t xml:space="preserve"> </w:t>
      </w:r>
      <w:r w:rsidRPr="00197C54">
        <w:t>where</w:t>
      </w:r>
      <w:r w:rsidR="000055A3">
        <w:t xml:space="preserve"> </w:t>
      </w:r>
      <w:r w:rsidRPr="00197C54">
        <w:t>the</w:t>
      </w:r>
      <w:r w:rsidR="000055A3">
        <w:t xml:space="preserve"> </w:t>
      </w:r>
      <w:r w:rsidRPr="00197C54">
        <w:t>other</w:t>
      </w:r>
      <w:r w:rsidR="000055A3">
        <w:t xml:space="preserve"> </w:t>
      </w:r>
      <w:r w:rsidRPr="00197C54">
        <w:t>chain-carrying</w:t>
      </w:r>
      <w:r w:rsidR="000055A3">
        <w:t xml:space="preserve"> </w:t>
      </w:r>
      <w:r w:rsidRPr="00197C54">
        <w:t>reactions</w:t>
      </w:r>
      <w:r w:rsidR="000055A3">
        <w:t xml:space="preserve"> </w:t>
      </w:r>
      <w:r w:rsidRPr="00197C54">
        <w:t>ar</w:t>
      </w:r>
      <w:r w:rsidR="000055A3">
        <w:t xml:space="preserve">e </w:t>
      </w:r>
      <w:r w:rsidR="000055A3" w:rsidRPr="00197C54">
        <w:t>slower</w:t>
      </w:r>
      <w:r w:rsidR="000055A3">
        <w:t>.</w:t>
      </w:r>
      <w:r w:rsidR="00F46C48">
        <w:rPr>
          <w:vertAlign w:val="superscript"/>
        </w:rPr>
        <w:t>8</w:t>
      </w:r>
      <w:r w:rsidR="004F19B5">
        <w:t xml:space="preserve"> </w:t>
      </w:r>
    </w:p>
    <w:p w14:paraId="352A5CBE" w14:textId="0FD87B2D" w:rsidR="006931FE" w:rsidRDefault="00E056B0" w:rsidP="006931FE">
      <w:pPr>
        <w:pStyle w:val="Heading2"/>
        <w:spacing w:before="0" w:line="360" w:lineRule="auto"/>
      </w:pPr>
      <w:r w:rsidRPr="006931FE">
        <w:t xml:space="preserve">Hydrocarbon mixture </w:t>
      </w:r>
    </w:p>
    <w:p w14:paraId="59863459" w14:textId="49673DDF" w:rsidR="006931FE" w:rsidRPr="00A13B57" w:rsidRDefault="00F46C48" w:rsidP="006931FE">
      <w:pPr>
        <w:pStyle w:val="Text"/>
      </w:pPr>
      <w:r>
        <w:t xml:space="preserve">Consisting of 30/60/10 relative molar ratios of methane, ethylene, and heptane, this mixture sought to test the hypothesis </w:t>
      </w:r>
      <w:r w:rsidR="004F19B5">
        <w:t xml:space="preserve">that the addition of hydrocarbon </w:t>
      </w:r>
      <w:r w:rsidR="00A13B57">
        <w:t>contaminants</w:t>
      </w:r>
      <w:r w:rsidR="004F19B5">
        <w:t xml:space="preserve"> significantly reduced ignition delay.</w:t>
      </w:r>
      <w:r w:rsidR="004F19B5">
        <w:rPr>
          <w:vertAlign w:val="superscript"/>
        </w:rPr>
        <w:t>8</w:t>
      </w:r>
      <w:r w:rsidR="00A13B57">
        <w:rPr>
          <w:vertAlign w:val="superscript"/>
        </w:rPr>
        <w:t xml:space="preserve"> </w:t>
      </w:r>
      <w:r w:rsidR="00A13B57">
        <w:t>No singular equation was derived, and the full data table is listed in the appendix. However, the results indicated that ignition delay times were ~50-70% of that of heptane. This time was not driven by the constituent with the lowest delay (i.e. ethylene), nor did small changes in constituent concentration drastically change the ignition time.</w:t>
      </w:r>
    </w:p>
    <w:p w14:paraId="3D3D38B1" w14:textId="377E69F7" w:rsidR="002D42EB" w:rsidRDefault="002D42EB" w:rsidP="0050364C">
      <w:pPr>
        <w:pStyle w:val="Heading1"/>
        <w:spacing w:before="0" w:after="0" w:line="360" w:lineRule="auto"/>
      </w:pPr>
      <w:r>
        <w:t xml:space="preserve"> Solid Fuels</w:t>
      </w:r>
    </w:p>
    <w:p w14:paraId="07B4093E" w14:textId="742B6247" w:rsidR="002D42EB" w:rsidRDefault="0050364C" w:rsidP="0050364C">
      <w:pPr>
        <w:pStyle w:val="Heading2"/>
        <w:numPr>
          <w:ilvl w:val="0"/>
          <w:numId w:val="28"/>
        </w:numPr>
        <w:spacing w:before="0" w:line="360" w:lineRule="auto"/>
      </w:pPr>
      <w:r>
        <w:t>Prior Research and Experimental Setup</w:t>
      </w:r>
    </w:p>
    <w:p w14:paraId="10983EEF" w14:textId="3DB2210E" w:rsidR="0050364C" w:rsidRDefault="0050364C" w:rsidP="0050364C">
      <w:pPr>
        <w:pStyle w:val="Text"/>
      </w:pPr>
      <w:r>
        <w:t>Previous research has shown that combustion of solid fuel at good combustion efficiencies is possible. Additionally, there is evidence of spontaneous ignition and stable supersonic combustion with no external aid.</w:t>
      </w:r>
    </w:p>
    <w:p w14:paraId="75AAE848" w14:textId="41EB63CF" w:rsidR="009D3923" w:rsidRDefault="009D3923" w:rsidP="0050364C">
      <w:pPr>
        <w:pStyle w:val="Text"/>
      </w:pPr>
      <w:r>
        <w:lastRenderedPageBreak/>
        <w:t xml:space="preserve">The experiment used a combustor composed of translucent </w:t>
      </w:r>
      <w:r w:rsidRPr="009D3923">
        <w:t>poly-methyl-methacrylate</w:t>
      </w:r>
      <w:r>
        <w:t xml:space="preserve">. Test conditions simulated the conditions at Mach 5.5, 1500K, and 50 atm. </w:t>
      </w:r>
      <w:r w:rsidR="0048782A">
        <w:t>The purpose of the experiment was to examine features inherent to solid fuel, namely fuel regression rate.</w:t>
      </w:r>
      <w:r w:rsidR="0048782A">
        <w:rPr>
          <w:vertAlign w:val="superscript"/>
        </w:rPr>
        <w:t>4</w:t>
      </w:r>
    </w:p>
    <w:p w14:paraId="44EDF056" w14:textId="77777777" w:rsidR="00DE6CC3" w:rsidRDefault="00DE6CC3" w:rsidP="00DE6CC3">
      <w:pPr>
        <w:pStyle w:val="Text"/>
        <w:keepNext/>
        <w:spacing w:line="240" w:lineRule="auto"/>
      </w:pPr>
      <w:r>
        <w:rPr>
          <w:noProof/>
        </w:rPr>
        <w:drawing>
          <wp:inline distT="0" distB="0" distL="0" distR="0" wp14:anchorId="3189B17C" wp14:editId="5FF3FE39">
            <wp:extent cx="3200400" cy="2014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014220"/>
                    </a:xfrm>
                    <a:prstGeom prst="rect">
                      <a:avLst/>
                    </a:prstGeom>
                  </pic:spPr>
                </pic:pic>
              </a:graphicData>
            </a:graphic>
          </wp:inline>
        </w:drawing>
      </w:r>
    </w:p>
    <w:p w14:paraId="7E60DE47" w14:textId="7C6B578D" w:rsidR="00DE6CC3" w:rsidRPr="00DE6CC3" w:rsidRDefault="00DE6CC3" w:rsidP="00DE6CC3">
      <w:pPr>
        <w:pStyle w:val="Caption"/>
        <w:spacing w:before="0"/>
        <w:jc w:val="center"/>
      </w:pPr>
      <w:r>
        <w:t xml:space="preserve">Fig. </w:t>
      </w:r>
      <w:r w:rsidR="003F1FD0">
        <w:fldChar w:fldCharType="begin"/>
      </w:r>
      <w:r w:rsidR="003F1FD0">
        <w:instrText xml:space="preserve"> SEQ Fig. \* ARABIC </w:instrText>
      </w:r>
      <w:r w:rsidR="003F1FD0">
        <w:fldChar w:fldCharType="separate"/>
      </w:r>
      <w:r w:rsidR="00C53765">
        <w:rPr>
          <w:noProof/>
        </w:rPr>
        <w:t>5</w:t>
      </w:r>
      <w:r w:rsidR="003F1FD0">
        <w:rPr>
          <w:noProof/>
        </w:rPr>
        <w:fldChar w:fldCharType="end"/>
      </w:r>
      <w:r>
        <w:t>: Schematic of test facility</w:t>
      </w:r>
    </w:p>
    <w:p w14:paraId="2A81FEA9" w14:textId="77777777" w:rsidR="003F0C34" w:rsidRDefault="003F0C34" w:rsidP="003F0C34">
      <w:pPr>
        <w:pStyle w:val="Text"/>
        <w:keepNext/>
        <w:spacing w:line="240" w:lineRule="auto"/>
      </w:pPr>
      <w:r>
        <w:rPr>
          <w:noProof/>
        </w:rPr>
        <w:drawing>
          <wp:inline distT="0" distB="0" distL="0" distR="0" wp14:anchorId="386A1B50" wp14:editId="49BDD0AB">
            <wp:extent cx="3200400" cy="1903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903095"/>
                    </a:xfrm>
                    <a:prstGeom prst="rect">
                      <a:avLst/>
                    </a:prstGeom>
                  </pic:spPr>
                </pic:pic>
              </a:graphicData>
            </a:graphic>
          </wp:inline>
        </w:drawing>
      </w:r>
    </w:p>
    <w:p w14:paraId="34A733C1" w14:textId="2C9A5E28" w:rsidR="003F0C34" w:rsidRPr="003F0C34" w:rsidRDefault="00840BAA" w:rsidP="003F0C34">
      <w:pPr>
        <w:pStyle w:val="Caption"/>
        <w:spacing w:before="0"/>
        <w:jc w:val="center"/>
      </w:pPr>
      <w:r>
        <w:t xml:space="preserve">          </w:t>
      </w:r>
      <w:r w:rsidR="003F0C34">
        <w:t xml:space="preserve">Fig. </w:t>
      </w:r>
      <w:r w:rsidR="003F1FD0">
        <w:fldChar w:fldCharType="begin"/>
      </w:r>
      <w:r w:rsidR="003F1FD0">
        <w:instrText xml:space="preserve"> SEQ Fig. \* ARABIC </w:instrText>
      </w:r>
      <w:r w:rsidR="003F1FD0">
        <w:fldChar w:fldCharType="separate"/>
      </w:r>
      <w:r w:rsidR="00C53765">
        <w:rPr>
          <w:noProof/>
        </w:rPr>
        <w:t>6</w:t>
      </w:r>
      <w:r w:rsidR="003F1FD0">
        <w:rPr>
          <w:noProof/>
        </w:rPr>
        <w:fldChar w:fldCharType="end"/>
      </w:r>
      <w:r w:rsidR="003F0C34">
        <w:t>: Schematic of solid fuel combustor</w:t>
      </w:r>
    </w:p>
    <w:p w14:paraId="2679075C" w14:textId="2402079F" w:rsidR="00CD4E23" w:rsidRDefault="00CD4E23" w:rsidP="00CD4E23">
      <w:pPr>
        <w:pStyle w:val="Heading2"/>
        <w:spacing w:before="0" w:line="360" w:lineRule="auto"/>
      </w:pPr>
      <w:r>
        <w:t>Results</w:t>
      </w:r>
    </w:p>
    <w:p w14:paraId="7CEB2AE3" w14:textId="65731FCC" w:rsidR="00CD4E23" w:rsidRDefault="00CD4E23" w:rsidP="00CD4E23">
      <w:pPr>
        <w:pStyle w:val="Text"/>
      </w:pPr>
      <w:r>
        <w:t>The</w:t>
      </w:r>
      <w:r w:rsidRPr="00CD4E23">
        <w:t xml:space="preserve"> </w:t>
      </w:r>
      <w:r>
        <w:t>in</w:t>
      </w:r>
      <w:r w:rsidRPr="00CD4E23">
        <w:t>itial stage of operation ha</w:t>
      </w:r>
      <w:r>
        <w:t>d</w:t>
      </w:r>
      <w:r w:rsidRPr="00CD4E23">
        <w:t xml:space="preserve"> very little of evaporating fuel being burned</w:t>
      </w:r>
      <w:r>
        <w:t>, or in other words, the</w:t>
      </w:r>
      <w:r w:rsidRPr="00CD4E23">
        <w:t xml:space="preserve"> thermal efficiency start</w:t>
      </w:r>
      <w:r>
        <w:t>ed</w:t>
      </w:r>
      <w:r w:rsidRPr="00CD4E23">
        <w:t xml:space="preserve"> near zero</w:t>
      </w:r>
      <w:r>
        <w:t>. This transition period of inefficiency due to high velocities and insufficient mixing is n</w:t>
      </w:r>
      <w:r w:rsidRPr="00CD4E23">
        <w:t xml:space="preserve">egligibly </w:t>
      </w:r>
      <w:r>
        <w:t xml:space="preserve">short in realistic propulsion </w:t>
      </w:r>
      <w:r w:rsidR="00840BAA">
        <w:t>systems but</w:t>
      </w:r>
      <w:r>
        <w:t xml:space="preserve"> would have to be considered for short operating times.</w:t>
      </w:r>
      <w:r w:rsidR="00284C97">
        <w:t xml:space="preserve"> Overall, there was a decrease in thermal efficiency if any of the parameters were to be increased. This could be addressed by increasing the ratio between bore circumference and </w:t>
      </w:r>
      <w:r w:rsidR="00672529">
        <w:t>cross-sectional</w:t>
      </w:r>
      <w:r w:rsidR="00284C97">
        <w:t xml:space="preserve"> area (multiple bores).</w:t>
      </w:r>
    </w:p>
    <w:p w14:paraId="4C6AE585" w14:textId="7F29201A" w:rsidR="00284C97" w:rsidRDefault="00284C97" w:rsidP="00CD4E23">
      <w:pPr>
        <w:pStyle w:val="Text"/>
      </w:pPr>
      <w:r>
        <w:t xml:space="preserve">During testing, the shock boundary layer interaction developed surface roughness, adding in fuel mixing. </w:t>
      </w:r>
      <w:r w:rsidR="009F4C24">
        <w:t>Also,</w:t>
      </w:r>
      <w:r w:rsidR="00672529">
        <w:t xml:space="preserve"> combustion initially took place outside the motor on the downstream end, but quickly was drawn back inside the motor.</w:t>
      </w:r>
      <w:r w:rsidR="009F4C24">
        <w:t xml:space="preserve"> Diversion angles were also tested and indicated that larger diversion angles led to a decrease in fuel regression rate. The optimal diversion angle was found to be 3 degrees.</w:t>
      </w:r>
    </w:p>
    <w:p w14:paraId="67C1760F" w14:textId="76705019" w:rsidR="00156C42" w:rsidRPr="00156C42" w:rsidRDefault="00156C42" w:rsidP="00CD4E23">
      <w:pPr>
        <w:pStyle w:val="Text"/>
        <w:rPr>
          <w:vertAlign w:val="superscript"/>
        </w:rPr>
      </w:pPr>
      <w:r>
        <w:t>In summary, fuel regression rate, which was the critical feature, was calculated as a combination of inlet mass flow rate, inlet air temperature, and inlet air pressure. All of which when increased also increased fuel regression rate and therefore fuel mass flow rate. However, more fuel led to a limited change in burn rate and therefore a decrease in combustion efficiency.</w:t>
      </w:r>
      <w:r>
        <w:rPr>
          <w:vertAlign w:val="superscript"/>
        </w:rPr>
        <w:t>4</w:t>
      </w:r>
    </w:p>
    <w:p w14:paraId="5AB0CD89" w14:textId="7C0E2E17" w:rsidR="002D42EB" w:rsidRDefault="002D42EB" w:rsidP="00AE2236">
      <w:pPr>
        <w:pStyle w:val="Heading1"/>
        <w:spacing w:before="0" w:after="0" w:line="360" w:lineRule="auto"/>
      </w:pPr>
      <w:r>
        <w:t>Gelled Propellants</w:t>
      </w:r>
    </w:p>
    <w:p w14:paraId="470B1766" w14:textId="36BC94E2" w:rsidR="002D42EB" w:rsidRDefault="00AE2236" w:rsidP="00AE2236">
      <w:pPr>
        <w:pStyle w:val="Heading2"/>
        <w:numPr>
          <w:ilvl w:val="0"/>
          <w:numId w:val="29"/>
        </w:numPr>
        <w:spacing w:before="0" w:line="360" w:lineRule="auto"/>
      </w:pPr>
      <w:r>
        <w:t>Overview</w:t>
      </w:r>
    </w:p>
    <w:p w14:paraId="7BA862B0" w14:textId="372A9CB1" w:rsidR="00D33C7A" w:rsidRDefault="00D33C7A" w:rsidP="00D33C7A">
      <w:pPr>
        <w:pStyle w:val="Text"/>
      </w:pPr>
      <w:r>
        <w:t>Gelled propellants are a liquid fuel with additives to change the consistency. Sometimes an oxidizer is included as an additive, but this depends on the type of gel.</w:t>
      </w:r>
      <w:r w:rsidR="00AC1394">
        <w:t xml:space="preserve"> A list of examples of gelled propellants can be found in the appendix.</w:t>
      </w:r>
    </w:p>
    <w:p w14:paraId="78CA14AE" w14:textId="2CF7CA35" w:rsidR="00172AD4" w:rsidRPr="00CE33FB" w:rsidRDefault="00172AD4" w:rsidP="00AC37A1">
      <w:pPr>
        <w:pStyle w:val="Text"/>
        <w:rPr>
          <w:vertAlign w:val="superscript"/>
        </w:rPr>
      </w:pPr>
      <w:r>
        <w:t xml:space="preserve">The advantages </w:t>
      </w:r>
      <w:r w:rsidR="00237835">
        <w:t xml:space="preserve">of gelled propellants </w:t>
      </w:r>
      <w:r w:rsidR="00DF67F9">
        <w:t>are</w:t>
      </w:r>
      <w:r w:rsidR="00237835">
        <w:t xml:space="preserve"> that they have aspects of both solid and liquid fuels. </w:t>
      </w:r>
      <w:r w:rsidR="00DF67F9">
        <w:t>They are sol</w:t>
      </w:r>
      <w:r w:rsidR="00C9621F">
        <w:t>id when stored and liquify upon injection for combustion.</w:t>
      </w:r>
      <w:r w:rsidR="00EE03D1">
        <w:t xml:space="preserve"> Additionally, gels such as </w:t>
      </w:r>
      <w:r w:rsidR="00342DC5">
        <w:t>h</w:t>
      </w:r>
      <w:r w:rsidR="00342DC5" w:rsidRPr="00EE03D1">
        <w:t>igh-test</w:t>
      </w:r>
      <w:r w:rsidR="00EE03D1" w:rsidRPr="00EE03D1">
        <w:t xml:space="preserve"> hydrogen peroxide (HPE)/Boron </w:t>
      </w:r>
      <w:r w:rsidR="00845FD6" w:rsidRPr="00EE03D1">
        <w:t>carbide based</w:t>
      </w:r>
      <w:r w:rsidR="00EE03D1" w:rsidRPr="00EE03D1">
        <w:t xml:space="preserve"> - SiO</w:t>
      </w:r>
      <w:r w:rsidR="00342DC5" w:rsidRPr="00EE03D1">
        <w:t>2 induced</w:t>
      </w:r>
      <w:r w:rsidR="00342DC5">
        <w:t xml:space="preserve"> </w:t>
      </w:r>
      <w:r w:rsidR="00EE03D1" w:rsidRPr="00EE03D1">
        <w:t xml:space="preserve">gel </w:t>
      </w:r>
      <w:r w:rsidR="00AC37A1">
        <w:t>and h</w:t>
      </w:r>
      <w:r w:rsidR="00EE03D1" w:rsidRPr="00EE03D1">
        <w:t>ydroxyl ammonium nitrate (HAN)</w:t>
      </w:r>
      <w:r w:rsidR="00AC37A1">
        <w:t xml:space="preserve"> also serve as more eco-friendly fuels.</w:t>
      </w:r>
      <w:r w:rsidR="00CE33FB">
        <w:t xml:space="preserve"> </w:t>
      </w:r>
      <w:r w:rsidR="00CE33FB">
        <w:rPr>
          <w:vertAlign w:val="superscript"/>
        </w:rPr>
        <w:t>5</w:t>
      </w:r>
    </w:p>
    <w:p w14:paraId="6776BAE8" w14:textId="4DCA7498" w:rsidR="00845FD6" w:rsidRDefault="00CE33FB" w:rsidP="00CE33FB">
      <w:pPr>
        <w:pStyle w:val="Heading2"/>
        <w:spacing w:before="0" w:line="360" w:lineRule="auto"/>
      </w:pPr>
      <w:r>
        <w:t>Atomization</w:t>
      </w:r>
    </w:p>
    <w:p w14:paraId="6AE7C654" w14:textId="35EE8999" w:rsidR="00CE33FB" w:rsidRDefault="00CE33FB" w:rsidP="00CE33FB">
      <w:pPr>
        <w:pStyle w:val="Text"/>
      </w:pPr>
      <w:r>
        <w:t xml:space="preserve">Since the gels must be liquified </w:t>
      </w:r>
      <w:r w:rsidR="004444A5">
        <w:t>for</w:t>
      </w:r>
      <w:r>
        <w:t xml:space="preserve"> efficient combustion</w:t>
      </w:r>
      <w:r w:rsidR="004444A5">
        <w:t>, a technique called atomization is used.</w:t>
      </w:r>
      <w:r w:rsidR="005F49FD">
        <w:t xml:space="preserve"> An area of high pressure is generated in the small angle of the injection jet. This forces the gel into </w:t>
      </w:r>
      <w:r w:rsidR="000F42D4">
        <w:t>small droplets</w:t>
      </w:r>
      <w:r w:rsidR="005F49FD">
        <w:t xml:space="preserve"> as it exits the injector.</w:t>
      </w:r>
      <w:r w:rsidR="000F42D4">
        <w:t xml:space="preserve"> Prior research </w:t>
      </w:r>
      <w:r w:rsidR="000F42D4">
        <w:lastRenderedPageBreak/>
        <w:t xml:space="preserve">suggests gelled propellants </w:t>
      </w:r>
      <w:r w:rsidR="00BB16C1">
        <w:t xml:space="preserve">are unable to form adequate jet and have significant variation in atomization characteristics. </w:t>
      </w:r>
    </w:p>
    <w:p w14:paraId="1B219318" w14:textId="692C8DF7" w:rsidR="00BB16C1" w:rsidRDefault="00BB16C1" w:rsidP="00CE33FB">
      <w:pPr>
        <w:pStyle w:val="Text"/>
      </w:pPr>
      <w:r>
        <w:t xml:space="preserve">Recently, a NASA study showed feasibility of a coaxial injector for gel injection. </w:t>
      </w:r>
    </w:p>
    <w:p w14:paraId="31534559" w14:textId="05C129E5" w:rsidR="00C53765" w:rsidRDefault="00C53765" w:rsidP="00C53765">
      <w:pPr>
        <w:pStyle w:val="Text"/>
      </w:pPr>
      <w:r w:rsidRPr="00CC7AEB">
        <w:rPr>
          <w:noProof/>
        </w:rPr>
        <w:drawing>
          <wp:inline distT="0" distB="0" distL="0" distR="0" wp14:anchorId="12AA5003" wp14:editId="2ACC4135">
            <wp:extent cx="3200400" cy="2058670"/>
            <wp:effectExtent l="0" t="0" r="0" b="0"/>
            <wp:docPr id="19" name="Picture 3">
              <a:extLst xmlns:a="http://schemas.openxmlformats.org/drawingml/2006/main">
                <a:ext uri="{FF2B5EF4-FFF2-40B4-BE49-F238E27FC236}">
                  <a16:creationId xmlns:a16="http://schemas.microsoft.com/office/drawing/2014/main" id="{A474412E-193F-4A36-A71D-3F5B701680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474412E-193F-4A36-A71D-3F5B7016801A}"/>
                        </a:ext>
                      </a:extLst>
                    </pic:cNvPr>
                    <pic:cNvPicPr>
                      <a:picLocks noChangeAspect="1"/>
                    </pic:cNvPicPr>
                  </pic:nvPicPr>
                  <pic:blipFill>
                    <a:blip r:embed="rId17"/>
                    <a:stretch>
                      <a:fillRect/>
                    </a:stretch>
                  </pic:blipFill>
                  <pic:spPr>
                    <a:xfrm>
                      <a:off x="0" y="0"/>
                      <a:ext cx="3200400" cy="2058670"/>
                    </a:xfrm>
                    <a:prstGeom prst="rect">
                      <a:avLst/>
                    </a:prstGeom>
                  </pic:spPr>
                </pic:pic>
              </a:graphicData>
            </a:graphic>
          </wp:inline>
        </w:drawing>
      </w:r>
    </w:p>
    <w:p w14:paraId="62983F4C" w14:textId="41E95DA6" w:rsidR="00C53765" w:rsidRPr="00CE33FB" w:rsidRDefault="00C53765" w:rsidP="00C53765">
      <w:pPr>
        <w:pStyle w:val="Caption"/>
        <w:spacing w:before="0"/>
        <w:jc w:val="center"/>
      </w:pPr>
      <w:r>
        <w:t xml:space="preserve">Fig. </w:t>
      </w:r>
      <w:r w:rsidR="003F1FD0">
        <w:fldChar w:fldCharType="begin"/>
      </w:r>
      <w:r w:rsidR="003F1FD0">
        <w:instrText xml:space="preserve"> SEQ Fig. \* ARABIC </w:instrText>
      </w:r>
      <w:r w:rsidR="003F1FD0">
        <w:fldChar w:fldCharType="separate"/>
      </w:r>
      <w:r>
        <w:rPr>
          <w:noProof/>
        </w:rPr>
        <w:t>7</w:t>
      </w:r>
      <w:r w:rsidR="003F1FD0">
        <w:rPr>
          <w:noProof/>
        </w:rPr>
        <w:fldChar w:fldCharType="end"/>
      </w:r>
      <w:r>
        <w:t>: Schematic of a coaxial injector</w:t>
      </w:r>
    </w:p>
    <w:p w14:paraId="394471D6" w14:textId="5E70DD27" w:rsidR="00CC7AEB" w:rsidRDefault="00CC7AEB" w:rsidP="00CE33FB">
      <w:pPr>
        <w:pStyle w:val="Text"/>
      </w:pPr>
      <w:r>
        <w:t xml:space="preserve">The NASA study showed that higher viscosity gel propellants can exhibit spray characteristics </w:t>
      </w:r>
      <w:proofErr w:type="gramStart"/>
      <w:r>
        <w:t>similar to</w:t>
      </w:r>
      <w:proofErr w:type="gramEnd"/>
      <w:r>
        <w:t xml:space="preserve"> that of water (which has a significantly lower viscosity). Furthermore, they concluded that atomization improves with liquid flow rate and overall flow rate.</w:t>
      </w:r>
    </w:p>
    <w:p w14:paraId="0E4054AC" w14:textId="77777777" w:rsidR="00C53765" w:rsidRDefault="00C53765" w:rsidP="00C53765">
      <w:pPr>
        <w:pStyle w:val="Text"/>
        <w:keepNext/>
      </w:pPr>
      <w:r w:rsidRPr="00C53765">
        <w:rPr>
          <w:noProof/>
        </w:rPr>
        <w:drawing>
          <wp:inline distT="0" distB="0" distL="0" distR="0" wp14:anchorId="250F18BC" wp14:editId="03336341">
            <wp:extent cx="2951480" cy="1197773"/>
            <wp:effectExtent l="0" t="0" r="1270" b="2540"/>
            <wp:docPr id="20" name="Picture 6">
              <a:extLst xmlns:a="http://schemas.openxmlformats.org/drawingml/2006/main">
                <a:ext uri="{FF2B5EF4-FFF2-40B4-BE49-F238E27FC236}">
                  <a16:creationId xmlns:a16="http://schemas.microsoft.com/office/drawing/2014/main" id="{AB240F6D-1821-4E96-9B25-30EE60467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B240F6D-1821-4E96-9B25-30EE60467D37}"/>
                        </a:ext>
                      </a:extLst>
                    </pic:cNvPr>
                    <pic:cNvPicPr>
                      <a:picLocks noChangeAspect="1"/>
                    </pic:cNvPicPr>
                  </pic:nvPicPr>
                  <pic:blipFill rotWithShape="1">
                    <a:blip r:embed="rId18"/>
                    <a:srcRect b="13763"/>
                    <a:stretch/>
                  </pic:blipFill>
                  <pic:spPr bwMode="auto">
                    <a:xfrm>
                      <a:off x="0" y="0"/>
                      <a:ext cx="3012589" cy="1222572"/>
                    </a:xfrm>
                    <a:prstGeom prst="rect">
                      <a:avLst/>
                    </a:prstGeom>
                    <a:ln>
                      <a:noFill/>
                    </a:ln>
                    <a:extLst>
                      <a:ext uri="{53640926-AAD7-44D8-BBD7-CCE9431645EC}">
                        <a14:shadowObscured xmlns:a14="http://schemas.microsoft.com/office/drawing/2010/main"/>
                      </a:ext>
                    </a:extLst>
                  </pic:spPr>
                </pic:pic>
              </a:graphicData>
            </a:graphic>
          </wp:inline>
        </w:drawing>
      </w:r>
    </w:p>
    <w:p w14:paraId="2AE10C64" w14:textId="2D7260C8" w:rsidR="00C53765" w:rsidRDefault="00C53765" w:rsidP="00C53765">
      <w:pPr>
        <w:pStyle w:val="Caption"/>
      </w:pPr>
      <w:r>
        <w:t xml:space="preserve">Fig. </w:t>
      </w:r>
      <w:r w:rsidR="003F1FD0">
        <w:fldChar w:fldCharType="begin"/>
      </w:r>
      <w:r w:rsidR="003F1FD0">
        <w:instrText xml:space="preserve"> SEQ Fig. \* ARABIC </w:instrText>
      </w:r>
      <w:r w:rsidR="003F1FD0">
        <w:fldChar w:fldCharType="separate"/>
      </w:r>
      <w:r>
        <w:rPr>
          <w:noProof/>
        </w:rPr>
        <w:t>8</w:t>
      </w:r>
      <w:r w:rsidR="003F1FD0">
        <w:rPr>
          <w:noProof/>
        </w:rPr>
        <w:fldChar w:fldCharType="end"/>
      </w:r>
      <w:r>
        <w:t>: Images of the coaxial injector at varying total mass flow rate for O/F=1.0</w:t>
      </w:r>
    </w:p>
    <w:p w14:paraId="4F9A7B0A" w14:textId="49392BD4" w:rsidR="00E056B0" w:rsidRDefault="00163DE2" w:rsidP="008F66E5">
      <w:pPr>
        <w:pStyle w:val="Heading1"/>
        <w:spacing w:before="0" w:line="360" w:lineRule="auto"/>
      </w:pPr>
      <w:r>
        <w:t>Conclusion</w:t>
      </w:r>
    </w:p>
    <w:p w14:paraId="6FFF9828" w14:textId="185EFC6E" w:rsidR="00C53765" w:rsidRDefault="009E4607" w:rsidP="0032647B">
      <w:pPr>
        <w:pStyle w:val="Text"/>
        <w:sectPr w:rsidR="00C53765" w:rsidSect="00C53765">
          <w:type w:val="continuous"/>
          <w:pgSz w:w="12240" w:h="15840"/>
          <w:pgMar w:top="720" w:right="720" w:bottom="720" w:left="720" w:header="720" w:footer="576" w:gutter="0"/>
          <w:cols w:num="2" w:space="720"/>
          <w:docGrid w:linePitch="272"/>
        </w:sectPr>
      </w:pPr>
      <w:r>
        <w:t xml:space="preserve">The viability of conventional liquid/gaseous fuels has already been cemented. Previous research and testing have proven their application for general use. They are also the easiest to control and present the easiest </w:t>
      </w:r>
      <w:r w:rsidR="0032647B">
        <w:t>interchangeability</w:t>
      </w:r>
      <w:r>
        <w:t xml:space="preserve"> of fuels.</w:t>
      </w:r>
      <w:r w:rsidR="0032647B">
        <w:t xml:space="preserve"> Solid fuels have possible viability in specialized cases. Their usage requires that the flight profile and conditions be pre-</w:t>
      </w:r>
      <w:r w:rsidR="00D71477">
        <w:t>determined but</w:t>
      </w:r>
      <w:r w:rsidR="0032647B">
        <w:t xml:space="preserve"> offer a higher density and simpler control systems (at the cost of a lower specific impulse). </w:t>
      </w:r>
      <w:r w:rsidR="006D61EC">
        <w:t>However,</w:t>
      </w:r>
      <w:r w:rsidR="0032647B">
        <w:t xml:space="preserve"> improvements to their efficiency needs to be made before solid fuel can see viability on the level of current conventional fuels.</w:t>
      </w:r>
      <w:r w:rsidR="002B22C2">
        <w:t xml:space="preserve"> Gelled propellants seem to be primarily in the stages of </w:t>
      </w:r>
      <w:proofErr w:type="gramStart"/>
      <w:r w:rsidR="002B22C2">
        <w:t>testing  and</w:t>
      </w:r>
      <w:proofErr w:type="gramEnd"/>
      <w:r w:rsidR="002B22C2">
        <w:t xml:space="preserve"> without improvements in atomization quality or injection scheme , they are simply too inefficient when compared to  conventional or solid fuels.</w:t>
      </w:r>
    </w:p>
    <w:p w14:paraId="17EB8658" w14:textId="77777777" w:rsidR="00C53765" w:rsidRDefault="00C53765">
      <w:pPr>
        <w:jc w:val="left"/>
        <w:rPr>
          <w:b/>
          <w:kern w:val="32"/>
          <w:sz w:val="22"/>
        </w:rPr>
      </w:pPr>
      <w:r>
        <w:br w:type="page"/>
      </w:r>
    </w:p>
    <w:p w14:paraId="07703594" w14:textId="65736B62" w:rsidR="00CC7AEB" w:rsidRPr="00AE0C74" w:rsidRDefault="00CC7AEB" w:rsidP="00CC7AEB">
      <w:pPr>
        <w:pStyle w:val="Heading1"/>
        <w:numPr>
          <w:ilvl w:val="0"/>
          <w:numId w:val="0"/>
        </w:numPr>
        <w:spacing w:before="0" w:line="360" w:lineRule="auto"/>
      </w:pPr>
      <w:r>
        <w:lastRenderedPageBreak/>
        <w:t>Appendix</w:t>
      </w:r>
    </w:p>
    <w:p w14:paraId="43AEF3F1" w14:textId="2554CDB4" w:rsidR="00CA2C39" w:rsidRPr="00CA2C39" w:rsidRDefault="00CC7AEB" w:rsidP="00CC7AEB">
      <w:pPr>
        <w:pStyle w:val="Text"/>
        <w:rPr>
          <w:vertAlign w:val="superscript"/>
        </w:rPr>
        <w:sectPr w:rsidR="00CA2C39" w:rsidRPr="00CA2C39" w:rsidSect="00C53765">
          <w:type w:val="continuous"/>
          <w:pgSz w:w="12240" w:h="15840"/>
          <w:pgMar w:top="720" w:right="720" w:bottom="720" w:left="720" w:header="720" w:footer="576" w:gutter="0"/>
          <w:cols w:space="720"/>
          <w:docGrid w:linePitch="272"/>
        </w:sectPr>
      </w:pPr>
      <w:r>
        <w:t xml:space="preserve">The data regarding the ignition delay times for the hydrocarbon mixture are included due to the lack of an overarching correlation equation. For additional conventional fuel data, refer to </w:t>
      </w:r>
      <w:proofErr w:type="spellStart"/>
      <w:r>
        <w:t>Colket</w:t>
      </w:r>
      <w:proofErr w:type="spellEnd"/>
      <w:r>
        <w:t xml:space="preserve"> and Spadaccini.</w:t>
      </w:r>
      <w:r w:rsidR="00CA2C39">
        <w:rPr>
          <w:vertAlign w:val="superscript"/>
        </w:rPr>
        <w:t>8</w:t>
      </w:r>
    </w:p>
    <w:p w14:paraId="5B5633DF" w14:textId="7E64925B" w:rsidR="00795E59" w:rsidRDefault="00CA2C39" w:rsidP="00CA2C39">
      <w:pPr>
        <w:pStyle w:val="Text"/>
        <w:ind w:firstLine="0"/>
        <w:jc w:val="center"/>
        <w:rPr>
          <w:vertAlign w:val="superscript"/>
        </w:rPr>
      </w:pPr>
      <w:r>
        <w:rPr>
          <w:noProof/>
        </w:rPr>
        <w:drawing>
          <wp:inline distT="0" distB="0" distL="0" distR="0" wp14:anchorId="734FAEFB" wp14:editId="298E18C1">
            <wp:extent cx="4867275" cy="77769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3315" cy="7818520"/>
                    </a:xfrm>
                    <a:prstGeom prst="rect">
                      <a:avLst/>
                    </a:prstGeom>
                  </pic:spPr>
                </pic:pic>
              </a:graphicData>
            </a:graphic>
          </wp:inline>
        </w:drawing>
      </w:r>
    </w:p>
    <w:p w14:paraId="4DDB96AD" w14:textId="16686E5C" w:rsidR="00CA2C39" w:rsidRDefault="00CA2C39" w:rsidP="00CA2C39">
      <w:pPr>
        <w:pStyle w:val="Caption"/>
        <w:keepNext/>
        <w:spacing w:after="0"/>
        <w:jc w:val="center"/>
        <w:rPr>
          <w:vertAlign w:val="superscript"/>
        </w:rPr>
      </w:pPr>
      <w:r>
        <w:lastRenderedPageBreak/>
        <w:t xml:space="preserve">Table </w:t>
      </w:r>
      <w:r w:rsidR="003F1FD0">
        <w:fldChar w:fldCharType="begin"/>
      </w:r>
      <w:r w:rsidR="003F1FD0">
        <w:instrText xml:space="preserve"> SEQ Table \* ARABIC </w:instrText>
      </w:r>
      <w:r w:rsidR="003F1FD0">
        <w:fldChar w:fldCharType="separate"/>
      </w:r>
      <w:r>
        <w:rPr>
          <w:noProof/>
        </w:rPr>
        <w:t>1</w:t>
      </w:r>
      <w:r w:rsidR="003F1FD0">
        <w:rPr>
          <w:noProof/>
        </w:rPr>
        <w:fldChar w:fldCharType="end"/>
      </w:r>
      <w:r>
        <w:t xml:space="preserve">: </w:t>
      </w:r>
      <w:r w:rsidRPr="00F21A59">
        <w:t xml:space="preserve">Various </w:t>
      </w:r>
      <w:r>
        <w:t>g</w:t>
      </w:r>
      <w:r w:rsidRPr="00F21A59">
        <w:t xml:space="preserve">el </w:t>
      </w:r>
      <w:r>
        <w:t>p</w:t>
      </w:r>
      <w:r w:rsidRPr="00F21A59">
        <w:t>ropellants &amp;</w:t>
      </w:r>
      <w:r>
        <w:t xml:space="preserve"> g</w:t>
      </w:r>
      <w:r w:rsidRPr="00F21A59">
        <w:t>ellants</w:t>
      </w:r>
      <w:r>
        <w:rPr>
          <w:vertAlign w:val="superscript"/>
        </w:rPr>
        <w:t>5</w:t>
      </w:r>
    </w:p>
    <w:p w14:paraId="42A5D6D2" w14:textId="055E5620" w:rsidR="00CA2C39" w:rsidRDefault="002D4F53" w:rsidP="00CA2C39">
      <w:pPr>
        <w:jc w:val="center"/>
      </w:pPr>
      <w:r>
        <w:t xml:space="preserve">      </w:t>
      </w:r>
      <w:r w:rsidR="00CA2C39">
        <w:rPr>
          <w:noProof/>
        </w:rPr>
        <w:drawing>
          <wp:inline distT="0" distB="0" distL="0" distR="0" wp14:anchorId="6410812D" wp14:editId="6630CC03">
            <wp:extent cx="3171825" cy="21968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44"/>
                    <a:stretch/>
                  </pic:blipFill>
                  <pic:spPr bwMode="auto">
                    <a:xfrm>
                      <a:off x="0" y="0"/>
                      <a:ext cx="3210573" cy="2223701"/>
                    </a:xfrm>
                    <a:prstGeom prst="rect">
                      <a:avLst/>
                    </a:prstGeom>
                    <a:ln>
                      <a:noFill/>
                    </a:ln>
                    <a:extLst>
                      <a:ext uri="{53640926-AAD7-44D8-BBD7-CCE9431645EC}">
                        <a14:shadowObscured xmlns:a14="http://schemas.microsoft.com/office/drawing/2010/main"/>
                      </a:ext>
                    </a:extLst>
                  </pic:spPr>
                </pic:pic>
              </a:graphicData>
            </a:graphic>
          </wp:inline>
        </w:drawing>
      </w:r>
    </w:p>
    <w:p w14:paraId="23093A19" w14:textId="6F2F01F4" w:rsidR="00CA2C39" w:rsidRPr="00CA2C39" w:rsidRDefault="00CA2C39" w:rsidP="002D4F53">
      <w:pPr>
        <w:pStyle w:val="Text"/>
        <w:spacing w:line="240" w:lineRule="auto"/>
        <w:jc w:val="center"/>
        <w:sectPr w:rsidR="00CA2C39" w:rsidRPr="00CA2C39" w:rsidSect="00CA2C39">
          <w:type w:val="continuous"/>
          <w:pgSz w:w="12240" w:h="15840"/>
          <w:pgMar w:top="720" w:right="720" w:bottom="720" w:left="720" w:header="720" w:footer="576" w:gutter="0"/>
          <w:cols w:space="720"/>
          <w:docGrid w:linePitch="272"/>
        </w:sectPr>
      </w:pPr>
      <w:r>
        <w:rPr>
          <w:noProof/>
        </w:rPr>
        <w:drawing>
          <wp:inline distT="0" distB="0" distL="0" distR="0" wp14:anchorId="796AF016" wp14:editId="2D118608">
            <wp:extent cx="3267075" cy="63675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64"/>
                    <a:stretch/>
                  </pic:blipFill>
                  <pic:spPr bwMode="auto">
                    <a:xfrm>
                      <a:off x="0" y="0"/>
                      <a:ext cx="3282572" cy="6397773"/>
                    </a:xfrm>
                    <a:prstGeom prst="rect">
                      <a:avLst/>
                    </a:prstGeom>
                    <a:ln>
                      <a:noFill/>
                    </a:ln>
                    <a:extLst>
                      <a:ext uri="{53640926-AAD7-44D8-BBD7-CCE9431645EC}">
                        <a14:shadowObscured xmlns:a14="http://schemas.microsoft.com/office/drawing/2010/main"/>
                      </a:ext>
                    </a:extLst>
                  </pic:spPr>
                </pic:pic>
              </a:graphicData>
            </a:graphic>
          </wp:inline>
        </w:drawing>
      </w:r>
    </w:p>
    <w:p w14:paraId="4B763564" w14:textId="1EFC263C" w:rsidR="00C53765" w:rsidRDefault="00C53765" w:rsidP="00CA2C39">
      <w:pPr>
        <w:pStyle w:val="Heading1"/>
        <w:numPr>
          <w:ilvl w:val="0"/>
          <w:numId w:val="0"/>
        </w:numPr>
        <w:spacing w:before="0" w:line="360" w:lineRule="auto"/>
        <w:jc w:val="both"/>
        <w:sectPr w:rsidR="00C53765" w:rsidSect="00CA2C39">
          <w:type w:val="continuous"/>
          <w:pgSz w:w="12240" w:h="15840"/>
          <w:pgMar w:top="720" w:right="720" w:bottom="720" w:left="720" w:header="720" w:footer="576" w:gutter="0"/>
          <w:cols w:space="720"/>
          <w:docGrid w:linePitch="272"/>
        </w:sectPr>
      </w:pPr>
    </w:p>
    <w:p w14:paraId="07CA4127" w14:textId="3B7D280C" w:rsidR="00CC7AEB" w:rsidRDefault="00CC7AEB" w:rsidP="00CC7AEB">
      <w:pPr>
        <w:pStyle w:val="Heading1"/>
        <w:numPr>
          <w:ilvl w:val="0"/>
          <w:numId w:val="0"/>
        </w:numPr>
        <w:spacing w:before="0" w:line="360" w:lineRule="auto"/>
      </w:pPr>
      <w:r>
        <w:lastRenderedPageBreak/>
        <w:t>Acknowledgments</w:t>
      </w:r>
    </w:p>
    <w:p w14:paraId="75321742" w14:textId="70050E4B" w:rsidR="00CC7AEB" w:rsidRDefault="00074E55" w:rsidP="00CC7AEB">
      <w:pPr>
        <w:pStyle w:val="Text"/>
        <w:rPr>
          <w:i/>
        </w:rPr>
      </w:pPr>
      <w:r>
        <w:t>Special thanks to the many graduate students of the Ben T. Zinn combustion lab for their guidance through some of the more advanced topics I came across while doing research.</w:t>
      </w:r>
      <w:r w:rsidR="00E20AF0">
        <w:t xml:space="preserve"> Additional thanks to Research Engineer, David Wu for additional guidance.</w:t>
      </w:r>
    </w:p>
    <w:p w14:paraId="1DB3319F" w14:textId="77777777" w:rsidR="00CC7AEB" w:rsidRDefault="00CC7AEB" w:rsidP="00CC7AEB">
      <w:pPr>
        <w:pStyle w:val="Heading1"/>
        <w:numPr>
          <w:ilvl w:val="0"/>
          <w:numId w:val="0"/>
        </w:numPr>
        <w:spacing w:before="0" w:line="360" w:lineRule="auto"/>
      </w:pPr>
      <w:r>
        <w:t>References</w:t>
      </w:r>
    </w:p>
    <w:p w14:paraId="7E8350F0" w14:textId="77777777" w:rsidR="00CC7AEB" w:rsidRPr="002A3754" w:rsidRDefault="00CC7AEB" w:rsidP="00CC7AEB">
      <w:pPr>
        <w:pStyle w:val="References"/>
        <w:spacing w:line="480" w:lineRule="auto"/>
        <w:ind w:left="288" w:hanging="288"/>
      </w:pPr>
      <w:r w:rsidRPr="002A3754">
        <w:t>[1]</w:t>
      </w:r>
      <w:r w:rsidRPr="002A3754">
        <w:tab/>
        <w:t>Drummond, J., Diskin, G. and Cutler, A. (2002). Fuel-Air Mixing and Combustion in Scramjets. </w:t>
      </w:r>
      <w:r w:rsidRPr="002A3754">
        <w:rPr>
          <w:i/>
          <w:iCs/>
        </w:rPr>
        <w:t>AIAA</w:t>
      </w:r>
      <w:r w:rsidRPr="002A3754">
        <w:t>, 2002(3878).</w:t>
      </w:r>
    </w:p>
    <w:p w14:paraId="0EC4FF87" w14:textId="77777777" w:rsidR="00CC7AEB" w:rsidRPr="002A3754" w:rsidRDefault="00CC7AEB" w:rsidP="00CC7AEB">
      <w:pPr>
        <w:pStyle w:val="References"/>
        <w:spacing w:line="480" w:lineRule="auto"/>
        <w:ind w:left="288" w:hanging="288"/>
      </w:pPr>
      <w:r w:rsidRPr="002A3754">
        <w:t>[2]</w:t>
      </w:r>
      <w:r w:rsidRPr="002A3754">
        <w:tab/>
        <w:t xml:space="preserve">Epstein, M. and </w:t>
      </w:r>
      <w:proofErr w:type="spellStart"/>
      <w:r w:rsidRPr="002A3754">
        <w:t>Kutschenreuter</w:t>
      </w:r>
      <w:proofErr w:type="spellEnd"/>
      <w:r w:rsidRPr="002A3754">
        <w:t>, P. (1994). </w:t>
      </w:r>
      <w:r w:rsidRPr="002A3754">
        <w:rPr>
          <w:i/>
          <w:iCs/>
        </w:rPr>
        <w:t>Fuel Injection System for Scramjet Engines</w:t>
      </w:r>
      <w:r w:rsidRPr="002A3754">
        <w:t>. 5,280,705.</w:t>
      </w:r>
    </w:p>
    <w:p w14:paraId="368B86BB" w14:textId="77777777" w:rsidR="00CC7AEB" w:rsidRPr="002A3754" w:rsidRDefault="00CC7AEB" w:rsidP="00CC7AEB">
      <w:pPr>
        <w:pStyle w:val="References"/>
        <w:spacing w:line="480" w:lineRule="auto"/>
        <w:ind w:left="288" w:hanging="288"/>
      </w:pPr>
      <w:r w:rsidRPr="002A3754">
        <w:t>[3]</w:t>
      </w:r>
      <w:r w:rsidRPr="002A3754">
        <w:tab/>
      </w:r>
      <w:proofErr w:type="spellStart"/>
      <w:r w:rsidRPr="002A3754">
        <w:t>Baurle</w:t>
      </w:r>
      <w:proofErr w:type="spellEnd"/>
      <w:r w:rsidRPr="002A3754">
        <w:t xml:space="preserve">, R., Fuller, R., White, J., Chen, T., Gruber, M. and </w:t>
      </w:r>
      <w:proofErr w:type="spellStart"/>
      <w:r w:rsidRPr="002A3754">
        <w:t>Nejad</w:t>
      </w:r>
      <w:proofErr w:type="spellEnd"/>
      <w:r w:rsidRPr="002A3754">
        <w:t xml:space="preserve">, A. (1997). An Investigation of Advanced Fuel </w:t>
      </w:r>
      <w:r w:rsidRPr="002A3754">
        <w:tab/>
        <w:t xml:space="preserve">Injection Schemes for Scramjet Combustion. 36th AIAA Aerospace Sciences Meeting and Exhibit. </w:t>
      </w:r>
    </w:p>
    <w:p w14:paraId="21BC7F9D" w14:textId="77777777" w:rsidR="00CC7AEB" w:rsidRPr="002A3754" w:rsidRDefault="00CC7AEB" w:rsidP="00CC7AEB">
      <w:pPr>
        <w:pStyle w:val="References"/>
        <w:spacing w:line="480" w:lineRule="auto"/>
        <w:ind w:left="288" w:hanging="288"/>
      </w:pPr>
      <w:r w:rsidRPr="002A3754">
        <w:t>[4]</w:t>
      </w:r>
      <w:r w:rsidRPr="002A3754">
        <w:tab/>
        <w:t>Cohen-</w:t>
      </w:r>
      <w:proofErr w:type="spellStart"/>
      <w:r w:rsidRPr="002A3754">
        <w:t>Zur</w:t>
      </w:r>
      <w:proofErr w:type="spellEnd"/>
      <w:r w:rsidRPr="002A3754">
        <w:t xml:space="preserve">, A. and </w:t>
      </w:r>
      <w:proofErr w:type="spellStart"/>
      <w:r w:rsidRPr="002A3754">
        <w:t>Natan</w:t>
      </w:r>
      <w:proofErr w:type="spellEnd"/>
      <w:r w:rsidRPr="002A3754">
        <w:t xml:space="preserve">, B. (1998). Experimental Investigation of a Supersonic Combustion Solid Fuel Ramjet. </w:t>
      </w:r>
      <w:r w:rsidRPr="002A3754">
        <w:tab/>
        <w:t>Journal of Propulsion and Power, 14(6), pp.880-889.</w:t>
      </w:r>
    </w:p>
    <w:p w14:paraId="57786F0B" w14:textId="77777777" w:rsidR="00CC7AEB" w:rsidRPr="002A3754" w:rsidRDefault="00CC7AEB" w:rsidP="00CC7AEB">
      <w:pPr>
        <w:pStyle w:val="References"/>
        <w:spacing w:line="480" w:lineRule="auto"/>
        <w:ind w:left="288" w:hanging="288"/>
      </w:pPr>
      <w:r w:rsidRPr="002A3754">
        <w:t>[5]</w:t>
      </w:r>
      <w:r w:rsidRPr="002A3754">
        <w:tab/>
        <w:t>Aggarwal, R., Patel, I. and Sharma, P. (2015). A COMPREHENSIVE STUDY ON GELLED PROPELLANTS. International Journal of Research in Engineering and Technology, 04(09), pp.286-290.</w:t>
      </w:r>
    </w:p>
    <w:p w14:paraId="4248DE00" w14:textId="77777777" w:rsidR="00CC7AEB" w:rsidRPr="002A3754" w:rsidRDefault="00CC7AEB" w:rsidP="00CC7AEB">
      <w:pPr>
        <w:pStyle w:val="References"/>
        <w:spacing w:line="480" w:lineRule="auto"/>
        <w:ind w:left="288" w:hanging="288"/>
      </w:pPr>
      <w:r w:rsidRPr="002A3754">
        <w:t>[6]</w:t>
      </w:r>
      <w:r w:rsidRPr="002A3754">
        <w:tab/>
        <w:t xml:space="preserve">Molnar, M. and Marek, C. (2003). Reduced Equations for Calculating the Combustion Rates of Jet-A and Methane </w:t>
      </w:r>
      <w:r w:rsidRPr="002A3754">
        <w:tab/>
        <w:t xml:space="preserve">Fuel. NASA STI Program Office. </w:t>
      </w:r>
    </w:p>
    <w:p w14:paraId="00797A26" w14:textId="77777777" w:rsidR="00CC7AEB" w:rsidRPr="002A3754" w:rsidRDefault="00CC7AEB" w:rsidP="00CC7AEB">
      <w:pPr>
        <w:pStyle w:val="References"/>
        <w:spacing w:line="480" w:lineRule="auto"/>
        <w:ind w:left="288" w:hanging="288"/>
      </w:pPr>
      <w:r w:rsidRPr="002A3754">
        <w:t>[7]</w:t>
      </w:r>
      <w:r w:rsidRPr="002A3754">
        <w:tab/>
        <w:t xml:space="preserve">Ye, J., </w:t>
      </w:r>
      <w:proofErr w:type="spellStart"/>
      <w:r w:rsidRPr="002A3754">
        <w:t>Medwell</w:t>
      </w:r>
      <w:proofErr w:type="spellEnd"/>
      <w:r w:rsidRPr="002A3754">
        <w:t xml:space="preserve">, P., Evans, M. and Dally, B. (2017). Characteristics of turbulent n -heptane jet flames in a hot and </w:t>
      </w:r>
      <w:r w:rsidRPr="002A3754">
        <w:tab/>
        <w:t xml:space="preserve">diluted </w:t>
      </w:r>
      <w:proofErr w:type="spellStart"/>
      <w:r w:rsidRPr="002A3754">
        <w:t>coflow</w:t>
      </w:r>
      <w:proofErr w:type="spellEnd"/>
      <w:r w:rsidRPr="002A3754">
        <w:t>. Combustion and Flame, 183, pp.330-342.</w:t>
      </w:r>
    </w:p>
    <w:p w14:paraId="4F4FB69B" w14:textId="77777777" w:rsidR="00CC7AEB" w:rsidRPr="002A3754" w:rsidRDefault="00CC7AEB" w:rsidP="00CC7AEB">
      <w:pPr>
        <w:pStyle w:val="References"/>
        <w:spacing w:line="480" w:lineRule="auto"/>
        <w:ind w:left="288" w:hanging="288"/>
      </w:pPr>
      <w:r w:rsidRPr="002A3754">
        <w:t>[8]</w:t>
      </w:r>
      <w:r w:rsidRPr="002A3754">
        <w:tab/>
      </w:r>
      <w:proofErr w:type="spellStart"/>
      <w:r w:rsidRPr="002A3754">
        <w:t>Colket</w:t>
      </w:r>
      <w:proofErr w:type="spellEnd"/>
      <w:r w:rsidRPr="002A3754">
        <w:t xml:space="preserve">, M. and </w:t>
      </w:r>
      <w:proofErr w:type="spellStart"/>
      <w:r w:rsidRPr="002A3754">
        <w:t>Spadaccini</w:t>
      </w:r>
      <w:proofErr w:type="spellEnd"/>
      <w:r w:rsidRPr="002A3754">
        <w:t xml:space="preserve">, L. (2001). Scramjet Fuels Autoignition Study. Journal of Propulsion and Power, 17(2), </w:t>
      </w:r>
      <w:r w:rsidRPr="002A3754">
        <w:tab/>
        <w:t>pp.315-323.</w:t>
      </w:r>
    </w:p>
    <w:p w14:paraId="401D37FE" w14:textId="77777777" w:rsidR="00CC7AEB" w:rsidRPr="00E42AB5" w:rsidRDefault="00CC7AEB" w:rsidP="00CC7AEB">
      <w:pPr>
        <w:pStyle w:val="References"/>
        <w:spacing w:line="480" w:lineRule="auto"/>
        <w:ind w:left="288" w:hanging="288"/>
      </w:pPr>
      <w:r w:rsidRPr="002A3754">
        <w:t>[9]</w:t>
      </w:r>
      <w:r w:rsidRPr="002A3754">
        <w:tab/>
        <w:t xml:space="preserve">Green, J., Rapp, D. and </w:t>
      </w:r>
      <w:proofErr w:type="spellStart"/>
      <w:r w:rsidRPr="002A3754">
        <w:t>Roncace</w:t>
      </w:r>
      <w:proofErr w:type="spellEnd"/>
      <w:r w:rsidRPr="002A3754">
        <w:t xml:space="preserve">, J. (1991). Flow Visualization of a Rocket Injector Spray Using Gelled Propellant Simulants. AIAA, 2198. </w:t>
      </w:r>
    </w:p>
    <w:p w14:paraId="794BF14A" w14:textId="556B67E7" w:rsidR="003666F7" w:rsidRDefault="003666F7" w:rsidP="009771C8">
      <w:pPr>
        <w:pStyle w:val="Text"/>
        <w:spacing w:line="240" w:lineRule="auto"/>
        <w:ind w:firstLine="0"/>
        <w:sectPr w:rsidR="003666F7" w:rsidSect="00CA2C39">
          <w:type w:val="nextColumn"/>
          <w:pgSz w:w="12240" w:h="15840"/>
          <w:pgMar w:top="720" w:right="720" w:bottom="720" w:left="720" w:header="720" w:footer="576" w:gutter="0"/>
          <w:cols w:space="720"/>
          <w:docGrid w:linePitch="272"/>
        </w:sectPr>
      </w:pPr>
    </w:p>
    <w:p w14:paraId="147DDB7E" w14:textId="77777777" w:rsidR="00CC7AEB" w:rsidRPr="00E42AB5" w:rsidRDefault="00CC7AEB" w:rsidP="009771C8">
      <w:pPr>
        <w:pStyle w:val="References"/>
        <w:spacing w:line="480" w:lineRule="auto"/>
        <w:ind w:firstLine="0"/>
      </w:pPr>
    </w:p>
    <w:sectPr w:rsidR="00CC7AEB" w:rsidRPr="00E42AB5" w:rsidSect="00CA2C39">
      <w:type w:val="nextColumn"/>
      <w:pgSz w:w="12240" w:h="15840"/>
      <w:pgMar w:top="720" w:right="720" w:bottom="720" w:left="720" w:header="72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7AB31" w14:textId="77777777" w:rsidR="003F1FD0" w:rsidRDefault="003F1FD0">
      <w:r>
        <w:separator/>
      </w:r>
    </w:p>
  </w:endnote>
  <w:endnote w:type="continuationSeparator" w:id="0">
    <w:p w14:paraId="6FB44694" w14:textId="77777777" w:rsidR="003F1FD0" w:rsidRDefault="003F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A7B46" w14:textId="77777777" w:rsidR="00E056B0" w:rsidRDefault="00E056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9A7B47" w14:textId="77777777" w:rsidR="00E056B0" w:rsidRDefault="00E0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AF734" w14:textId="77777777" w:rsidR="003F1FD0" w:rsidRDefault="003F1FD0">
      <w:r>
        <w:separator/>
      </w:r>
    </w:p>
  </w:footnote>
  <w:footnote w:type="continuationSeparator" w:id="0">
    <w:p w14:paraId="2764AC66" w14:textId="77777777" w:rsidR="003F1FD0" w:rsidRDefault="003F1FD0">
      <w:r>
        <w:continuationSeparator/>
      </w:r>
    </w:p>
  </w:footnote>
  <w:footnote w:id="1">
    <w:p w14:paraId="4F9A7B48" w14:textId="2E379861" w:rsidR="00E056B0" w:rsidRPr="00EC3971" w:rsidRDefault="00E056B0">
      <w:pPr>
        <w:rPr>
          <w:b/>
          <w:i/>
        </w:rPr>
      </w:pPr>
      <w:r>
        <w:rPr>
          <w:rStyle w:val="FootnoteReference"/>
        </w:rPr>
        <w:footnoteRef/>
      </w:r>
      <w:r>
        <w:t xml:space="preserve"> Aerospace Engineering student, Georgia Tech </w:t>
      </w:r>
      <w:r w:rsidRPr="00294E2A">
        <w:t>Daniel Guggenheim School of Aerospace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345624"/>
      <w:docPartObj>
        <w:docPartGallery w:val="Page Numbers (Top of Page)"/>
        <w:docPartUnique/>
      </w:docPartObj>
    </w:sdtPr>
    <w:sdtEndPr>
      <w:rPr>
        <w:noProof/>
      </w:rPr>
    </w:sdtEndPr>
    <w:sdtContent>
      <w:p w14:paraId="4F9A7B44" w14:textId="77777777" w:rsidR="00E056B0" w:rsidRDefault="00E056B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4F9A7B45" w14:textId="77777777" w:rsidR="00E056B0" w:rsidRDefault="00E05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69E606C2"/>
    <w:lvl w:ilvl="0" w:tplc="9A2AB85C">
      <w:start w:val="1"/>
      <w:numFmt w:val="upperLetter"/>
      <w:pStyle w:val="Heading2"/>
      <w:lvlText w:val="%1."/>
      <w:lvlJc w:val="left"/>
      <w:pPr>
        <w:tabs>
          <w:tab w:val="num" w:pos="360"/>
        </w:tabs>
        <w:ind w:left="0" w:firstLine="0"/>
      </w:pPr>
      <w:rPr>
        <w:rFonts w:ascii="Times New Roman" w:hAnsi="Times New Roman" w:hint="default"/>
        <w:vertAlign w:val="baseline"/>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679282C"/>
    <w:multiLevelType w:val="hybridMultilevel"/>
    <w:tmpl w:val="ABCAF0A8"/>
    <w:lvl w:ilvl="0" w:tplc="FB1E475E">
      <w:start w:val="1"/>
      <w:numFmt w:val="bullet"/>
      <w:lvlText w:val=""/>
      <w:lvlJc w:val="left"/>
      <w:pPr>
        <w:tabs>
          <w:tab w:val="num" w:pos="720"/>
        </w:tabs>
        <w:ind w:left="720" w:hanging="360"/>
      </w:pPr>
      <w:rPr>
        <w:rFonts w:ascii="Wingdings 3" w:hAnsi="Wingdings 3" w:hint="default"/>
      </w:rPr>
    </w:lvl>
    <w:lvl w:ilvl="1" w:tplc="5128E4D6">
      <w:start w:val="1"/>
      <w:numFmt w:val="bullet"/>
      <w:lvlText w:val=""/>
      <w:lvlJc w:val="left"/>
      <w:pPr>
        <w:tabs>
          <w:tab w:val="num" w:pos="1440"/>
        </w:tabs>
        <w:ind w:left="1440" w:hanging="360"/>
      </w:pPr>
      <w:rPr>
        <w:rFonts w:ascii="Wingdings 3" w:hAnsi="Wingdings 3" w:hint="default"/>
      </w:rPr>
    </w:lvl>
    <w:lvl w:ilvl="2" w:tplc="6A628AF0" w:tentative="1">
      <w:start w:val="1"/>
      <w:numFmt w:val="bullet"/>
      <w:lvlText w:val=""/>
      <w:lvlJc w:val="left"/>
      <w:pPr>
        <w:tabs>
          <w:tab w:val="num" w:pos="2160"/>
        </w:tabs>
        <w:ind w:left="2160" w:hanging="360"/>
      </w:pPr>
      <w:rPr>
        <w:rFonts w:ascii="Wingdings 3" w:hAnsi="Wingdings 3" w:hint="default"/>
      </w:rPr>
    </w:lvl>
    <w:lvl w:ilvl="3" w:tplc="A6B6FCA4" w:tentative="1">
      <w:start w:val="1"/>
      <w:numFmt w:val="bullet"/>
      <w:lvlText w:val=""/>
      <w:lvlJc w:val="left"/>
      <w:pPr>
        <w:tabs>
          <w:tab w:val="num" w:pos="2880"/>
        </w:tabs>
        <w:ind w:left="2880" w:hanging="360"/>
      </w:pPr>
      <w:rPr>
        <w:rFonts w:ascii="Wingdings 3" w:hAnsi="Wingdings 3" w:hint="default"/>
      </w:rPr>
    </w:lvl>
    <w:lvl w:ilvl="4" w:tplc="C622B03C" w:tentative="1">
      <w:start w:val="1"/>
      <w:numFmt w:val="bullet"/>
      <w:lvlText w:val=""/>
      <w:lvlJc w:val="left"/>
      <w:pPr>
        <w:tabs>
          <w:tab w:val="num" w:pos="3600"/>
        </w:tabs>
        <w:ind w:left="3600" w:hanging="360"/>
      </w:pPr>
      <w:rPr>
        <w:rFonts w:ascii="Wingdings 3" w:hAnsi="Wingdings 3" w:hint="default"/>
      </w:rPr>
    </w:lvl>
    <w:lvl w:ilvl="5" w:tplc="A308ECE4" w:tentative="1">
      <w:start w:val="1"/>
      <w:numFmt w:val="bullet"/>
      <w:lvlText w:val=""/>
      <w:lvlJc w:val="left"/>
      <w:pPr>
        <w:tabs>
          <w:tab w:val="num" w:pos="4320"/>
        </w:tabs>
        <w:ind w:left="4320" w:hanging="360"/>
      </w:pPr>
      <w:rPr>
        <w:rFonts w:ascii="Wingdings 3" w:hAnsi="Wingdings 3" w:hint="default"/>
      </w:rPr>
    </w:lvl>
    <w:lvl w:ilvl="6" w:tplc="ADA642D4" w:tentative="1">
      <w:start w:val="1"/>
      <w:numFmt w:val="bullet"/>
      <w:lvlText w:val=""/>
      <w:lvlJc w:val="left"/>
      <w:pPr>
        <w:tabs>
          <w:tab w:val="num" w:pos="5040"/>
        </w:tabs>
        <w:ind w:left="5040" w:hanging="360"/>
      </w:pPr>
      <w:rPr>
        <w:rFonts w:ascii="Wingdings 3" w:hAnsi="Wingdings 3" w:hint="default"/>
      </w:rPr>
    </w:lvl>
    <w:lvl w:ilvl="7" w:tplc="0A223A42" w:tentative="1">
      <w:start w:val="1"/>
      <w:numFmt w:val="bullet"/>
      <w:lvlText w:val=""/>
      <w:lvlJc w:val="left"/>
      <w:pPr>
        <w:tabs>
          <w:tab w:val="num" w:pos="5760"/>
        </w:tabs>
        <w:ind w:left="5760" w:hanging="360"/>
      </w:pPr>
      <w:rPr>
        <w:rFonts w:ascii="Wingdings 3" w:hAnsi="Wingdings 3" w:hint="default"/>
      </w:rPr>
    </w:lvl>
    <w:lvl w:ilvl="8" w:tplc="5DF4CA4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84732B"/>
    <w:multiLevelType w:val="hybridMultilevel"/>
    <w:tmpl w:val="1116C1E2"/>
    <w:lvl w:ilvl="0" w:tplc="71F06B38">
      <w:start w:val="1"/>
      <w:numFmt w:val="bullet"/>
      <w:lvlText w:val=""/>
      <w:lvlJc w:val="left"/>
      <w:pPr>
        <w:tabs>
          <w:tab w:val="num" w:pos="720"/>
        </w:tabs>
        <w:ind w:left="720" w:hanging="360"/>
      </w:pPr>
      <w:rPr>
        <w:rFonts w:ascii="Wingdings 3" w:hAnsi="Wingdings 3" w:hint="default"/>
      </w:rPr>
    </w:lvl>
    <w:lvl w:ilvl="1" w:tplc="C938F866" w:tentative="1">
      <w:start w:val="1"/>
      <w:numFmt w:val="bullet"/>
      <w:lvlText w:val=""/>
      <w:lvlJc w:val="left"/>
      <w:pPr>
        <w:tabs>
          <w:tab w:val="num" w:pos="1440"/>
        </w:tabs>
        <w:ind w:left="1440" w:hanging="360"/>
      </w:pPr>
      <w:rPr>
        <w:rFonts w:ascii="Wingdings 3" w:hAnsi="Wingdings 3" w:hint="default"/>
      </w:rPr>
    </w:lvl>
    <w:lvl w:ilvl="2" w:tplc="FE9C3162" w:tentative="1">
      <w:start w:val="1"/>
      <w:numFmt w:val="bullet"/>
      <w:lvlText w:val=""/>
      <w:lvlJc w:val="left"/>
      <w:pPr>
        <w:tabs>
          <w:tab w:val="num" w:pos="2160"/>
        </w:tabs>
        <w:ind w:left="2160" w:hanging="360"/>
      </w:pPr>
      <w:rPr>
        <w:rFonts w:ascii="Wingdings 3" w:hAnsi="Wingdings 3" w:hint="default"/>
      </w:rPr>
    </w:lvl>
    <w:lvl w:ilvl="3" w:tplc="E8CA2C5E" w:tentative="1">
      <w:start w:val="1"/>
      <w:numFmt w:val="bullet"/>
      <w:lvlText w:val=""/>
      <w:lvlJc w:val="left"/>
      <w:pPr>
        <w:tabs>
          <w:tab w:val="num" w:pos="2880"/>
        </w:tabs>
        <w:ind w:left="2880" w:hanging="360"/>
      </w:pPr>
      <w:rPr>
        <w:rFonts w:ascii="Wingdings 3" w:hAnsi="Wingdings 3" w:hint="default"/>
      </w:rPr>
    </w:lvl>
    <w:lvl w:ilvl="4" w:tplc="56AA0E9E" w:tentative="1">
      <w:start w:val="1"/>
      <w:numFmt w:val="bullet"/>
      <w:lvlText w:val=""/>
      <w:lvlJc w:val="left"/>
      <w:pPr>
        <w:tabs>
          <w:tab w:val="num" w:pos="3600"/>
        </w:tabs>
        <w:ind w:left="3600" w:hanging="360"/>
      </w:pPr>
      <w:rPr>
        <w:rFonts w:ascii="Wingdings 3" w:hAnsi="Wingdings 3" w:hint="default"/>
      </w:rPr>
    </w:lvl>
    <w:lvl w:ilvl="5" w:tplc="3FA8978C" w:tentative="1">
      <w:start w:val="1"/>
      <w:numFmt w:val="bullet"/>
      <w:lvlText w:val=""/>
      <w:lvlJc w:val="left"/>
      <w:pPr>
        <w:tabs>
          <w:tab w:val="num" w:pos="4320"/>
        </w:tabs>
        <w:ind w:left="4320" w:hanging="360"/>
      </w:pPr>
      <w:rPr>
        <w:rFonts w:ascii="Wingdings 3" w:hAnsi="Wingdings 3" w:hint="default"/>
      </w:rPr>
    </w:lvl>
    <w:lvl w:ilvl="6" w:tplc="397CC29E" w:tentative="1">
      <w:start w:val="1"/>
      <w:numFmt w:val="bullet"/>
      <w:lvlText w:val=""/>
      <w:lvlJc w:val="left"/>
      <w:pPr>
        <w:tabs>
          <w:tab w:val="num" w:pos="5040"/>
        </w:tabs>
        <w:ind w:left="5040" w:hanging="360"/>
      </w:pPr>
      <w:rPr>
        <w:rFonts w:ascii="Wingdings 3" w:hAnsi="Wingdings 3" w:hint="default"/>
      </w:rPr>
    </w:lvl>
    <w:lvl w:ilvl="7" w:tplc="E3329B6E" w:tentative="1">
      <w:start w:val="1"/>
      <w:numFmt w:val="bullet"/>
      <w:lvlText w:val=""/>
      <w:lvlJc w:val="left"/>
      <w:pPr>
        <w:tabs>
          <w:tab w:val="num" w:pos="5760"/>
        </w:tabs>
        <w:ind w:left="5760" w:hanging="360"/>
      </w:pPr>
      <w:rPr>
        <w:rFonts w:ascii="Wingdings 3" w:hAnsi="Wingdings 3" w:hint="default"/>
      </w:rPr>
    </w:lvl>
    <w:lvl w:ilvl="8" w:tplc="44B64B2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19"/>
  </w:num>
  <w:num w:numId="27">
    <w:abstractNumId w:val="6"/>
  </w:num>
  <w:num w:numId="28">
    <w:abstractNumId w:val="2"/>
    <w:lvlOverride w:ilvl="0">
      <w:startOverride w:val="1"/>
    </w:lvlOverride>
  </w:num>
  <w:num w:numId="2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6C"/>
    <w:rsid w:val="000050DC"/>
    <w:rsid w:val="000055A3"/>
    <w:rsid w:val="00005765"/>
    <w:rsid w:val="00013542"/>
    <w:rsid w:val="00051692"/>
    <w:rsid w:val="00074E55"/>
    <w:rsid w:val="00084F08"/>
    <w:rsid w:val="000A0790"/>
    <w:rsid w:val="000D7A67"/>
    <w:rsid w:val="000F42D4"/>
    <w:rsid w:val="00110063"/>
    <w:rsid w:val="00112193"/>
    <w:rsid w:val="001265D0"/>
    <w:rsid w:val="001404EE"/>
    <w:rsid w:val="00156C42"/>
    <w:rsid w:val="00163DE2"/>
    <w:rsid w:val="00172AD4"/>
    <w:rsid w:val="001824E9"/>
    <w:rsid w:val="00197C54"/>
    <w:rsid w:val="001D32A6"/>
    <w:rsid w:val="001E7A6A"/>
    <w:rsid w:val="001F3429"/>
    <w:rsid w:val="002022A2"/>
    <w:rsid w:val="00206593"/>
    <w:rsid w:val="00237835"/>
    <w:rsid w:val="00277C0A"/>
    <w:rsid w:val="00284C97"/>
    <w:rsid w:val="00294E2A"/>
    <w:rsid w:val="002A3754"/>
    <w:rsid w:val="002B22C2"/>
    <w:rsid w:val="002D42EB"/>
    <w:rsid w:val="002D4F53"/>
    <w:rsid w:val="0032647B"/>
    <w:rsid w:val="00342DC5"/>
    <w:rsid w:val="00363578"/>
    <w:rsid w:val="003666F7"/>
    <w:rsid w:val="003C2F8B"/>
    <w:rsid w:val="003E4A47"/>
    <w:rsid w:val="003F0C34"/>
    <w:rsid w:val="003F1FD0"/>
    <w:rsid w:val="00425997"/>
    <w:rsid w:val="004444A5"/>
    <w:rsid w:val="00466391"/>
    <w:rsid w:val="0048782A"/>
    <w:rsid w:val="004C28EB"/>
    <w:rsid w:val="004D7BEF"/>
    <w:rsid w:val="004F19B5"/>
    <w:rsid w:val="0050364C"/>
    <w:rsid w:val="005230E0"/>
    <w:rsid w:val="00540E81"/>
    <w:rsid w:val="005F49FD"/>
    <w:rsid w:val="006610A3"/>
    <w:rsid w:val="00672529"/>
    <w:rsid w:val="006931FE"/>
    <w:rsid w:val="006A7BFD"/>
    <w:rsid w:val="006B1AC1"/>
    <w:rsid w:val="006D61EC"/>
    <w:rsid w:val="00712B0E"/>
    <w:rsid w:val="00753B80"/>
    <w:rsid w:val="00795E59"/>
    <w:rsid w:val="007B04D5"/>
    <w:rsid w:val="00830636"/>
    <w:rsid w:val="00840BAA"/>
    <w:rsid w:val="00845FD6"/>
    <w:rsid w:val="00851B69"/>
    <w:rsid w:val="008A1E30"/>
    <w:rsid w:val="008F66E5"/>
    <w:rsid w:val="009027E8"/>
    <w:rsid w:val="0092227E"/>
    <w:rsid w:val="009549B5"/>
    <w:rsid w:val="00962077"/>
    <w:rsid w:val="00971E11"/>
    <w:rsid w:val="009771C8"/>
    <w:rsid w:val="009A09DD"/>
    <w:rsid w:val="009C3F1D"/>
    <w:rsid w:val="009D3923"/>
    <w:rsid w:val="009E4607"/>
    <w:rsid w:val="009F4234"/>
    <w:rsid w:val="009F4C24"/>
    <w:rsid w:val="00A10160"/>
    <w:rsid w:val="00A13B57"/>
    <w:rsid w:val="00A14930"/>
    <w:rsid w:val="00A45E3E"/>
    <w:rsid w:val="00A53A73"/>
    <w:rsid w:val="00A83E34"/>
    <w:rsid w:val="00AB179D"/>
    <w:rsid w:val="00AC1394"/>
    <w:rsid w:val="00AC37A1"/>
    <w:rsid w:val="00AE2236"/>
    <w:rsid w:val="00AE7322"/>
    <w:rsid w:val="00B70316"/>
    <w:rsid w:val="00BB16C1"/>
    <w:rsid w:val="00C16AC4"/>
    <w:rsid w:val="00C53765"/>
    <w:rsid w:val="00C659EB"/>
    <w:rsid w:val="00C92436"/>
    <w:rsid w:val="00C9621F"/>
    <w:rsid w:val="00CA2C39"/>
    <w:rsid w:val="00CB0D6C"/>
    <w:rsid w:val="00CC7AEB"/>
    <w:rsid w:val="00CD4E23"/>
    <w:rsid w:val="00CD6381"/>
    <w:rsid w:val="00CE33FB"/>
    <w:rsid w:val="00D33C7A"/>
    <w:rsid w:val="00D51B4C"/>
    <w:rsid w:val="00D51ED0"/>
    <w:rsid w:val="00D71477"/>
    <w:rsid w:val="00DE6CC3"/>
    <w:rsid w:val="00DF3543"/>
    <w:rsid w:val="00DF67F9"/>
    <w:rsid w:val="00E056B0"/>
    <w:rsid w:val="00E12847"/>
    <w:rsid w:val="00E20AF0"/>
    <w:rsid w:val="00E213EE"/>
    <w:rsid w:val="00E23206"/>
    <w:rsid w:val="00E42AB5"/>
    <w:rsid w:val="00E55F00"/>
    <w:rsid w:val="00E76A16"/>
    <w:rsid w:val="00E77471"/>
    <w:rsid w:val="00EC3971"/>
    <w:rsid w:val="00EE03D1"/>
    <w:rsid w:val="00EF7109"/>
    <w:rsid w:val="00F447C0"/>
    <w:rsid w:val="00F46C48"/>
    <w:rsid w:val="00F7006F"/>
    <w:rsid w:val="00FD2C82"/>
    <w:rsid w:val="00FE3101"/>
    <w:rsid w:val="00FE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4F9A7A90"/>
  <w15:docId w15:val="{7E860071-A251-404A-9764-70F5B87F5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Text"/>
    <w:qFormat/>
    <w:pPr>
      <w:keepNext/>
      <w:numPr>
        <w:numId w:val="2"/>
      </w:numPr>
      <w:tabs>
        <w:tab w:val="clear" w:pos="360"/>
        <w:tab w:val="num" w:pos="288"/>
      </w:tabs>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basedOn w:val="DefaultParagraphFont"/>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basedOn w:val="DefaultParagraphFont"/>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character" w:styleId="FollowedHyperlink">
    <w:name w:val="FollowedHyperlink"/>
    <w:basedOn w:val="DefaultParagraphFont"/>
    <w:rPr>
      <w:color w:val="800080"/>
      <w:u w:val="single"/>
    </w:rPr>
  </w:style>
  <w:style w:type="paragraph" w:styleId="Caption">
    <w:name w:val="caption"/>
    <w:basedOn w:val="Normal"/>
    <w:next w:val="Normal"/>
    <w:qFormat/>
    <w:pPr>
      <w:spacing w:before="120" w:after="120"/>
    </w:pPr>
    <w:rPr>
      <w:b/>
    </w:rPr>
  </w:style>
  <w:style w:type="paragraph" w:styleId="BalloonText">
    <w:name w:val="Balloon Text"/>
    <w:basedOn w:val="Normal"/>
    <w:link w:val="BalloonTextChar"/>
    <w:uiPriority w:val="99"/>
    <w:semiHidden/>
    <w:unhideWhenUsed/>
    <w:rsid w:val="006B1AC1"/>
    <w:rPr>
      <w:rFonts w:ascii="Tahoma" w:hAnsi="Tahoma" w:cs="Tahoma"/>
      <w:sz w:val="16"/>
      <w:szCs w:val="16"/>
    </w:rPr>
  </w:style>
  <w:style w:type="character" w:customStyle="1" w:styleId="BalloonTextChar">
    <w:name w:val="Balloon Text Char"/>
    <w:basedOn w:val="DefaultParagraphFont"/>
    <w:link w:val="BalloonText"/>
    <w:uiPriority w:val="99"/>
    <w:semiHidden/>
    <w:rsid w:val="006B1AC1"/>
    <w:rPr>
      <w:rFonts w:ascii="Tahoma" w:hAnsi="Tahoma" w:cs="Tahoma"/>
      <w:sz w:val="16"/>
      <w:szCs w:val="16"/>
    </w:rPr>
  </w:style>
  <w:style w:type="character" w:customStyle="1" w:styleId="HeaderChar">
    <w:name w:val="Header Char"/>
    <w:basedOn w:val="DefaultParagraphFont"/>
    <w:link w:val="Header"/>
    <w:uiPriority w:val="99"/>
    <w:rsid w:val="00971E11"/>
  </w:style>
  <w:style w:type="paragraph" w:styleId="ListParagraph">
    <w:name w:val="List Paragraph"/>
    <w:basedOn w:val="Normal"/>
    <w:uiPriority w:val="34"/>
    <w:qFormat/>
    <w:rsid w:val="006931FE"/>
    <w:pPr>
      <w:ind w:left="720"/>
      <w:contextualSpacing/>
      <w:jc w:val="left"/>
    </w:pPr>
    <w:rPr>
      <w:sz w:val="24"/>
      <w:szCs w:val="24"/>
    </w:rPr>
  </w:style>
  <w:style w:type="character" w:styleId="PlaceholderText">
    <w:name w:val="Placeholder Text"/>
    <w:basedOn w:val="DefaultParagraphFont"/>
    <w:uiPriority w:val="99"/>
    <w:semiHidden/>
    <w:rsid w:val="00425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84389">
      <w:bodyDiv w:val="1"/>
      <w:marLeft w:val="0"/>
      <w:marRight w:val="0"/>
      <w:marTop w:val="0"/>
      <w:marBottom w:val="0"/>
      <w:divBdr>
        <w:top w:val="none" w:sz="0" w:space="0" w:color="auto"/>
        <w:left w:val="none" w:sz="0" w:space="0" w:color="auto"/>
        <w:bottom w:val="none" w:sz="0" w:space="0" w:color="auto"/>
        <w:right w:val="none" w:sz="0" w:space="0" w:color="auto"/>
      </w:divBdr>
      <w:divsChild>
        <w:div w:id="1185707664">
          <w:marLeft w:val="1166"/>
          <w:marRight w:val="0"/>
          <w:marTop w:val="200"/>
          <w:marBottom w:val="0"/>
          <w:divBdr>
            <w:top w:val="none" w:sz="0" w:space="0" w:color="auto"/>
            <w:left w:val="none" w:sz="0" w:space="0" w:color="auto"/>
            <w:bottom w:val="none" w:sz="0" w:space="0" w:color="auto"/>
            <w:right w:val="none" w:sz="0" w:space="0" w:color="auto"/>
          </w:divBdr>
        </w:div>
      </w:divsChild>
    </w:div>
    <w:div w:id="961694188">
      <w:bodyDiv w:val="1"/>
      <w:marLeft w:val="0"/>
      <w:marRight w:val="0"/>
      <w:marTop w:val="0"/>
      <w:marBottom w:val="0"/>
      <w:divBdr>
        <w:top w:val="none" w:sz="0" w:space="0" w:color="auto"/>
        <w:left w:val="none" w:sz="0" w:space="0" w:color="auto"/>
        <w:bottom w:val="none" w:sz="0" w:space="0" w:color="auto"/>
        <w:right w:val="none" w:sz="0" w:space="0" w:color="auto"/>
      </w:divBdr>
      <w:divsChild>
        <w:div w:id="1580287493">
          <w:marLeft w:val="1166"/>
          <w:marRight w:val="0"/>
          <w:marTop w:val="200"/>
          <w:marBottom w:val="0"/>
          <w:divBdr>
            <w:top w:val="none" w:sz="0" w:space="0" w:color="auto"/>
            <w:left w:val="none" w:sz="0" w:space="0" w:color="auto"/>
            <w:bottom w:val="none" w:sz="0" w:space="0" w:color="auto"/>
            <w:right w:val="none" w:sz="0" w:space="0" w:color="auto"/>
          </w:divBdr>
        </w:div>
      </w:divsChild>
    </w:div>
    <w:div w:id="1742678633">
      <w:bodyDiv w:val="1"/>
      <w:marLeft w:val="0"/>
      <w:marRight w:val="0"/>
      <w:marTop w:val="0"/>
      <w:marBottom w:val="0"/>
      <w:divBdr>
        <w:top w:val="none" w:sz="0" w:space="0" w:color="auto"/>
        <w:left w:val="none" w:sz="0" w:space="0" w:color="auto"/>
        <w:bottom w:val="none" w:sz="0" w:space="0" w:color="auto"/>
        <w:right w:val="none" w:sz="0" w:space="0" w:color="auto"/>
      </w:divBdr>
    </w:div>
    <w:div w:id="1854034399">
      <w:bodyDiv w:val="1"/>
      <w:marLeft w:val="0"/>
      <w:marRight w:val="0"/>
      <w:marTop w:val="0"/>
      <w:marBottom w:val="0"/>
      <w:divBdr>
        <w:top w:val="none" w:sz="0" w:space="0" w:color="auto"/>
        <w:left w:val="none" w:sz="0" w:space="0" w:color="auto"/>
        <w:bottom w:val="none" w:sz="0" w:space="0" w:color="auto"/>
        <w:right w:val="none" w:sz="0" w:space="0" w:color="auto"/>
      </w:divBdr>
      <w:divsChild>
        <w:div w:id="927542795">
          <w:marLeft w:val="1166"/>
          <w:marRight w:val="0"/>
          <w:marTop w:val="200"/>
          <w:marBottom w:val="0"/>
          <w:divBdr>
            <w:top w:val="none" w:sz="0" w:space="0" w:color="auto"/>
            <w:left w:val="none" w:sz="0" w:space="0" w:color="auto"/>
            <w:bottom w:val="none" w:sz="0" w:space="0" w:color="auto"/>
            <w:right w:val="none" w:sz="0" w:space="0" w:color="auto"/>
          </w:divBdr>
        </w:div>
      </w:divsChild>
    </w:div>
    <w:div w:id="2134591905">
      <w:bodyDiv w:val="1"/>
      <w:marLeft w:val="0"/>
      <w:marRight w:val="0"/>
      <w:marTop w:val="0"/>
      <w:marBottom w:val="0"/>
      <w:divBdr>
        <w:top w:val="none" w:sz="0" w:space="0" w:color="auto"/>
        <w:left w:val="none" w:sz="0" w:space="0" w:color="auto"/>
        <w:bottom w:val="none" w:sz="0" w:space="0" w:color="auto"/>
        <w:right w:val="none" w:sz="0" w:space="0" w:color="auto"/>
      </w:divBdr>
      <w:divsChild>
        <w:div w:id="5979051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myp\LOCALS~1\Temp\journals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journalstemp.dot</Template>
  <TotalTime>536</TotalTime>
  <Pages>9</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Company>AIAA</Company>
  <LinksUpToDate>false</LinksUpToDate>
  <CharactersWithSpaces>12396</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creator>Amy Pritchett</dc:creator>
  <cp:keywords>Journal template 2008</cp:keywords>
  <dc:description>Based on technical papers template by Erich Knausenberger.</dc:description>
  <cp:lastModifiedBy>PC User</cp:lastModifiedBy>
  <cp:revision>90</cp:revision>
  <cp:lastPrinted>2008-03-19T14:51:00Z</cp:lastPrinted>
  <dcterms:created xsi:type="dcterms:W3CDTF">2018-04-19T19:20:00Z</dcterms:created>
  <dcterms:modified xsi:type="dcterms:W3CDTF">2018-05-08T20:44:00Z</dcterms:modified>
</cp:coreProperties>
</file>