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A8" w:rsidRPr="0045715F" w:rsidRDefault="00747EA8" w:rsidP="00747EA8">
      <w:pPr>
        <w:pStyle w:val="Default"/>
        <w:rPr>
          <w:lang w:val="hu-HU"/>
        </w:rPr>
      </w:pP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sz w:val="23"/>
          <w:szCs w:val="23"/>
          <w:lang w:val="hu-HU"/>
        </w:rPr>
        <w:t>Villamos terek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 xml:space="preserve"> </w:t>
      </w:r>
      <w:r w:rsidRPr="0045715F">
        <w:rPr>
          <w:sz w:val="23"/>
          <w:szCs w:val="23"/>
          <w:lang w:val="hu-HU"/>
        </w:rPr>
        <w:t>Mágneses terek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 mágneses terek hatásai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Soros kapcsolás eredő ellenállása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Párhuzamos kapcsolás eredő ellenállása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Ellenálláshálózatok eredő ellenállása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Feszültségek és áramok alakulása ellenálláshálózatokon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Ellenállások villamos teljesítménye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Ellenálláshálózatok táplálása, generátorok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 szuperpozíció elve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Egyenáramú mérések műszerei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Tranziens jelenségek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Váltakozó áramú hálózatok, egyfázisú hálózatok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Soros és párhuzamos rezgőkör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Háromfázisú hálózatok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 villamos teljesítmény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Félvezetők vezetése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p-n átmenet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Diódák és Zener-diódák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Egyfázisú egyutas együtemű kapcsolás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Egyfázisú egyutas kétütemű kapcsolás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Háromfázisú egyutas háromütemű kapcsolás</w:t>
      </w:r>
    </w:p>
    <w:p w:rsidR="00747EA8" w:rsidRPr="0045715F" w:rsidRDefault="00747EA8" w:rsidP="00747EA8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Egyenirányított jelek simítása</w:t>
      </w:r>
    </w:p>
    <w:p w:rsidR="00747EA8" w:rsidRPr="0045715F" w:rsidRDefault="00747EA8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Bipoláris tranzisztorok</w:t>
      </w:r>
      <w:r w:rsidR="0045715F" w:rsidRPr="0045715F">
        <w:rPr>
          <w:lang w:val="hu-HU"/>
        </w:rPr>
        <w:t>: Felépítés, működési elv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Bipoláris tranzisztorok alkalmazása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 bipoláris tranzisztorok kapcsolóüzeme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Térvezérlésű tranzisztor felépítése, alkalmazása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Logikai alapkapcsolások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Alapvető kapcsolások megvalósítása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 kapcsolások kimenete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 logikai kapcsolások zavartávolsága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Erősítők tulajdonságai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Erősítők visszacsatolása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Műveleti erősítők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Alapkapcsolások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Invertáló műveleti erősítő vizsgálata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Oszcilloszkópok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Jelgenerátorok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Mérési kiegészítők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 transzformátor</w:t>
      </w:r>
    </w:p>
    <w:p w:rsid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Egyenáramú gépek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Kefés motorok</w:t>
      </w:r>
      <w:bookmarkStart w:id="0" w:name="_GoBack"/>
      <w:bookmarkEnd w:id="0"/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Az aszinkron gép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Szinkron gépek</w:t>
      </w:r>
    </w:p>
    <w:p w:rsidR="0045715F" w:rsidRPr="0045715F" w:rsidRDefault="0045715F" w:rsidP="0045715F">
      <w:pPr>
        <w:pStyle w:val="ListParagraph"/>
        <w:numPr>
          <w:ilvl w:val="0"/>
          <w:numId w:val="1"/>
        </w:numPr>
        <w:rPr>
          <w:lang w:val="hu-HU"/>
        </w:rPr>
      </w:pPr>
      <w:r w:rsidRPr="0045715F">
        <w:rPr>
          <w:lang w:val="hu-HU"/>
        </w:rPr>
        <w:t>Kefe nélküli egyenáramú motorok</w:t>
      </w:r>
    </w:p>
    <w:sectPr w:rsidR="0045715F" w:rsidRPr="0045715F" w:rsidSect="00F742B8">
      <w:type w:val="continuous"/>
      <w:pgSz w:w="11905" w:h="16840"/>
      <w:pgMar w:top="835" w:right="1037" w:bottom="864" w:left="128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7EA6"/>
    <w:multiLevelType w:val="hybridMultilevel"/>
    <w:tmpl w:val="9A6E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A8"/>
    <w:rsid w:val="0045715F"/>
    <w:rsid w:val="00747EA8"/>
    <w:rsid w:val="00A174B4"/>
    <w:rsid w:val="00B50472"/>
    <w:rsid w:val="00F7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C9C1"/>
  <w15:chartTrackingRefBased/>
  <w15:docId w15:val="{A90249FC-2BE3-4B06-A52C-FA42F71C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7E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Odry</dc:creator>
  <cp:keywords/>
  <dc:description/>
  <cp:lastModifiedBy>Peter Odry</cp:lastModifiedBy>
  <cp:revision>1</cp:revision>
  <dcterms:created xsi:type="dcterms:W3CDTF">2017-11-16T17:51:00Z</dcterms:created>
  <dcterms:modified xsi:type="dcterms:W3CDTF">2017-11-16T18:10:00Z</dcterms:modified>
</cp:coreProperties>
</file>