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993775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251661703"/>
      <w:bookmarkStart w:id="1" w:name="_Toc251916218"/>
      <w:bookmarkStart w:id="2" w:name="_Toc251661703"/>
      <w:bookmarkStart w:id="3" w:name="_Toc251916218"/>
      <w:bookmarkEnd w:id="2"/>
      <w:bookmarkEnd w:id="3"/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" w:hAnsi="Arial" w:cs="Arial"/>
          <w:b/>
          <w:b/>
          <w:bCs/>
          <w:caps/>
        </w:rPr>
      </w:pPr>
      <w:r>
        <w:rPr>
          <w:rFonts w:cs="Arial" w:ascii="Arial" w:hAnsi="Arial"/>
          <w:b/>
          <w:bCs/>
          <w:caps/>
        </w:rPr>
        <w:t>Óbudai Egyetem</w:t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________________________________</w:t>
      </w:r>
    </w:p>
    <w:p>
      <w:pPr>
        <w:pStyle w:val="Normal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Bánki Donát Gépész és Biztonságtechnikai Mérnöki Kar</w:t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overflowPunct w:val="true"/>
        <w:spacing w:lineRule="auto" w:line="240" w:before="3200" w:after="4800"/>
        <w:jc w:val="center"/>
        <w:textAlignment w:val="baseline"/>
        <w:rPr>
          <w:rFonts w:ascii="Arial Narrow" w:hAnsi="Arial Narrow"/>
          <w:b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OE-BGK</w:t>
      </w:r>
      <w:r>
        <w:rPr>
          <w:rFonts w:ascii="Arial Narrow" w:hAnsi="Arial Narrow"/>
          <w:b/>
          <w:sz w:val="36"/>
          <w:szCs w:val="36"/>
        </w:rPr>
        <w:t xml:space="preserve"> </w:t>
        <w:tab/>
        <w:tab/>
        <w:tab/>
      </w:r>
      <w:r>
        <w:rPr>
          <w:rFonts w:ascii="Arial Narrow" w:hAnsi="Arial Narrow"/>
        </w:rPr>
        <w:t>Hallgató neve:</w:t>
        <w:tab/>
      </w:r>
      <w:r>
        <w:rPr>
          <w:rFonts w:ascii="Arial Narrow" w:hAnsi="Arial Narrow"/>
          <w:sz w:val="36"/>
          <w:szCs w:val="36"/>
        </w:rPr>
        <w:tab/>
        <w:tab/>
      </w:r>
      <w:r>
        <w:rPr>
          <w:rFonts w:ascii="Arial Narrow" w:hAnsi="Arial Narrow"/>
          <w:b/>
          <w:sz w:val="28"/>
          <w:szCs w:val="28"/>
        </w:rPr>
        <w:t>Kovács Árpád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</w:t>
      </w:r>
      <w:r>
        <w:rPr>
          <w:rFonts w:ascii="Arial Narrow" w:hAnsi="Arial Narrow"/>
          <w:b/>
          <w:sz w:val="28"/>
          <w:szCs w:val="28"/>
        </w:rPr>
        <w:t>2021.</w:t>
        <w:tab/>
      </w:r>
      <w:r>
        <w:rPr>
          <w:rFonts w:ascii="Arial Narrow" w:hAnsi="Arial Narrow"/>
          <w:b/>
          <w:sz w:val="36"/>
          <w:szCs w:val="36"/>
        </w:rPr>
        <w:tab/>
        <w:tab/>
      </w:r>
      <w:r>
        <w:rPr>
          <w:rFonts w:ascii="Arial Narrow" w:hAnsi="Arial Narrow"/>
        </w:rPr>
        <w:t>Hallgató törzskönyvi száma:</w:t>
      </w:r>
      <w:r>
        <w:rPr>
          <w:rFonts w:ascii="Arial Narrow" w:hAnsi="Arial Narrow"/>
          <w:sz w:val="36"/>
          <w:szCs w:val="36"/>
        </w:rPr>
        <w:tab/>
      </w:r>
      <w:r>
        <w:rPr>
          <w:rFonts w:ascii="Arial Narrow" w:hAnsi="Arial Narrow"/>
          <w:b/>
          <w:sz w:val="36"/>
          <w:szCs w:val="36"/>
        </w:rPr>
        <w:tab/>
      </w:r>
      <w:r>
        <w:rPr>
          <w:rFonts w:ascii="Arial Narrow" w:hAnsi="Arial Narrow"/>
          <w:b/>
          <w:sz w:val="28"/>
          <w:szCs w:val="28"/>
        </w:rPr>
        <w:t>/KVI</w:t>
        <w:tab/>
      </w:r>
    </w:p>
    <w:p>
      <w:pPr>
        <w:pStyle w:val="Normal"/>
        <w:spacing w:lineRule="auto" w:line="240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" w:hAnsi="Arial" w:cs="Arial"/>
          <w:b/>
          <w:b/>
          <w:bCs/>
          <w:cap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1260475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Image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  <w:bCs/>
          <w:caps/>
        </w:rPr>
        <w:t>Óbudai Egyetem</w:t>
      </w:r>
    </w:p>
    <w:p>
      <w:pPr>
        <w:pStyle w:val="Normal"/>
        <w:tabs>
          <w:tab w:val="clear" w:pos="708"/>
          <w:tab w:val="left" w:pos="0" w:leader="none"/>
        </w:tabs>
        <w:spacing w:lineRule="auto" w:line="240"/>
        <w:ind w:firstLine="708"/>
        <w:jc w:val="right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sz w:val="52"/>
          <w:szCs w:val="52"/>
        </w:rPr>
        <w:t>_______________________________</w:t>
      </w:r>
    </w:p>
    <w:p>
      <w:pPr>
        <w:pStyle w:val="Normal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Bánki Donát Gépész és Biztonságtechnikai Mérnöki Kar</w:t>
      </w:r>
    </w:p>
    <w:p>
      <w:pPr>
        <w:pStyle w:val="Normal"/>
        <w:spacing w:lineRule="auto" w:line="240" w:before="600" w:after="0"/>
        <w:jc w:val="center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HALLGATÓI NYILATKOZAT</w:t>
      </w:r>
    </w:p>
    <w:p>
      <w:pPr>
        <w:pStyle w:val="Normal"/>
        <w:overflowPunct w:val="true"/>
        <w:spacing w:lineRule="auto" w:line="240" w:before="0" w:after="600"/>
        <w:ind w:left="432" w:hanging="0"/>
        <w:jc w:val="center"/>
        <w:textAlignment w:val="baseline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Normal"/>
        <w:overflowPunct w:val="true"/>
        <w:spacing w:before="0" w:after="400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>
      <w:pPr>
        <w:pStyle w:val="Normal"/>
        <w:overflowPunct w:val="true"/>
        <w:spacing w:lineRule="auto" w:line="240" w:before="0" w:after="30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>Budapest, 2020.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>..................................................</w:t>
      </w:r>
    </w:p>
    <w:p>
      <w:pPr>
        <w:pStyle w:val="Normal"/>
        <w:overflowPunct w:val="true"/>
        <w:spacing w:lineRule="auto" w:line="240"/>
        <w:ind w:left="426" w:hanging="0"/>
        <w:jc w:val="left"/>
        <w:textAlignment w:val="baseline"/>
        <w:rPr>
          <w:rFonts w:ascii="Arial Narrow" w:hAnsi="Arial Narrow"/>
        </w:rPr>
      </w:pPr>
      <w:r>
        <w:rPr>
          <w:rFonts w:ascii="Arial Narrow" w:hAnsi="Arial Narrow"/>
        </w:rPr>
        <w:tab/>
        <w:tab/>
        <w:tab/>
        <w:tab/>
        <w:tab/>
        <w:tab/>
        <w:tab/>
        <w:tab/>
        <w:t>hallgató aláírása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418" w:header="1134" w:top="2268" w:footer="709" w:bottom="1418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/>
        <w:jc w:val="left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Tartalomjegyzék</w:t>
      </w:r>
    </w:p>
    <w:p>
      <w:pPr>
        <w:pStyle w:val="Normal"/>
        <w:rPr>
          <w:rFonts w:ascii="Arial" w:hAnsi="Arial"/>
          <w:sz w:val="20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92627580">
            <w:commentRangeStart w:id="0"/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Bevezetés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Szakirodalom elemző feldolgozása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2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Hivatkozások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3">
            <w:r>
              <w:rPr>
                <w:webHidden/>
                <w:rStyle w:val="IndexLink"/>
              </w:rPr>
              <w:t>2.1.1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Hivatkozások sorrendje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4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Saját munka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5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Rajzok, képek, diagramok, ábrák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6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Képletek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7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Felsorolás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8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Összefoglalás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89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Idegen nyelvű tartalmi összefoglaló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90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Felhasznált irodalom vagy Irodalomjegyzék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8493" w:leader="dot"/>
            </w:tabs>
            <w:rPr>
              <w:rFonts w:ascii="Calibri" w:hAnsi="Calibri"/>
              <w:sz w:val="22"/>
              <w:szCs w:val="22"/>
            </w:rPr>
          </w:pPr>
          <w:hyperlink w:anchor="_Toc492627591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rStyle w:val="IndexLink"/>
              </w:rPr>
              <w:t>Mellékletek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_Toc492627591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jc w:val="both"/>
        <w:rPr>
          <w:sz w:val="24"/>
          <w:szCs w:val="24"/>
          <w:lang w:val="hu-HU" w:eastAsia="hu-HU"/>
        </w:rPr>
      </w:pPr>
      <w:commentRangeEnd w:id="0"/>
      <w:r>
        <w:commentReference w:id="0"/>
      </w:r>
      <w:r>
        <w:rPr>
          <w:sz w:val="24"/>
          <w:szCs w:val="24"/>
          <w:lang w:val="hu-HU" w:eastAsia="hu-H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Toc492627580"/>
      <w:commentRangeStart w:id="1"/>
      <w:r>
        <w:rPr/>
        <w:t>Bevezetés</w:t>
      </w:r>
      <w:bookmarkEnd w:id="4"/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>
      <w:pPr>
        <w:pStyle w:val="Normal"/>
        <w:rPr/>
      </w:pPr>
      <w:r>
        <w:rPr/>
        <w:t>A feladatot úgy kell megoldani, hogy Raspberry PI mikroszámítógépen is futtatható legyen.</w:t>
      </w:r>
    </w:p>
    <w:p>
      <w:pPr>
        <w:pStyle w:val="Normal"/>
        <w:rPr/>
      </w:pPr>
      <w:r>
        <w:rPr/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>
      <w:pPr>
        <w:pStyle w:val="LONormal"/>
        <w:rPr>
          <w:sz w:val="24"/>
          <w:szCs w:val="24"/>
        </w:rPr>
      </w:pPr>
      <w:r>
        <w:rPr>
          <w:color w:val="000000"/>
          <w:sz w:val="24"/>
          <w:szCs w:val="24"/>
          <w:lang w:val="hu-HU"/>
        </w:rPr>
        <w:t>A feladat eredménye egy olyan alkalmazás létrejötte mely távolról is engedi a felhasználónak, hogy távolról is dolgozhasson.</w:t>
      </w:r>
      <w:r>
        <w:br w:type="page"/>
      </w:r>
    </w:p>
    <w:p>
      <w:pPr>
        <w:pStyle w:val="Heading1"/>
        <w:rPr/>
      </w:pPr>
      <w:bookmarkStart w:id="5" w:name="_Toc492627581"/>
      <w:r>
        <w:rPr/>
        <w:t xml:space="preserve">Szakirodalom elemző </w:t>
      </w:r>
      <w:commentRangeStart w:id="2"/>
      <w:r>
        <w:rPr/>
        <w:t>feldolgozása</w:t>
      </w:r>
      <w:bookmarkEnd w:id="5"/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90800" cy="2132965"/>
            <wp:effectExtent l="0" t="0" r="0" b="0"/>
            <wp:docPr id="3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6" w:name="_Toc492627582"/>
      <w:r>
        <w:rPr/>
        <w:t>Hivatkozások</w:t>
      </w:r>
      <w:bookmarkEnd w:id="6"/>
    </w:p>
    <w:p>
      <w:pPr>
        <w:pStyle w:val="Normal"/>
        <w:rPr/>
      </w:pPr>
      <w:r>
        <w:rPr/>
        <w:drawing>
          <wp:inline distT="0" distB="0" distL="0" distR="0">
            <wp:extent cx="2466975" cy="1859280"/>
            <wp:effectExtent l="0" t="0" r="0" b="0"/>
            <wp:docPr id="4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9405" cy="3333750"/>
            <wp:effectExtent l="0" t="0" r="0" b="0"/>
            <wp:docPr id="5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 </w:t>
      </w:r>
    </w:p>
    <w:p>
      <w:pPr>
        <w:pStyle w:val="Normal"/>
        <w:rPr/>
      </w:pPr>
      <w:r>
        <w:rPr/>
        <w:drawing>
          <wp:inline distT="0" distB="0" distL="0" distR="0">
            <wp:extent cx="5399405" cy="2658110"/>
            <wp:effectExtent l="0" t="0" r="0" b="0"/>
            <wp:docPr id="6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990725" cy="1990725"/>
            <wp:effectExtent l="0" t="0" r="0" b="0"/>
            <wp:docPr id="7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alapján keletkeztek. Szó szerint átvett anyagrészeket idézőjelben, a forrás megjelölésével kell szerepeltetni. A szakirodalomra való hivatkozás úgy történik, hogy a dolgozat végén a felhasznált forrásmunkákat sorszámozva közlik, és a szövegben csak a vonatkozó irodalom sorszámot jelzik, szögletes zárójelben. Pl. A kérdés megközelítése [1] szerint .... A fejezetcímhez szakirodalmi hivatkozást tenni nem szabad.</w:t>
      </w:r>
    </w:p>
    <w:p>
      <w:pPr>
        <w:pStyle w:val="Normal"/>
        <w:rPr/>
      </w:pPr>
      <w:r>
        <w:rPr/>
        <w:t>Eszköz regisztráció</w:t>
      </w:r>
    </w:p>
    <w:p>
      <w:pPr>
        <w:pStyle w:val="Normal"/>
        <w:rPr/>
      </w:pPr>
      <w:r>
        <w:rPr/>
        <w:t>Az eszközön lévő kód</w:t>
      </w:r>
    </w:p>
    <w:tbl>
      <w:tblPr>
        <w:tblStyle w:val="TableGrid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3"/>
      </w:tblGrid>
      <w:tr>
        <w:trPr/>
        <w:tc>
          <w:tcPr>
            <w:tcW w:w="8493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</w:t>
            </w:r>
            <w:r>
              <w:rPr>
                <w:rFonts w:eastAsia="Times New Roman" w:cs="Times New Roman"/>
                <w:kern w:val="0"/>
                <w:lang w:bidi="ar-SA"/>
              </w:rPr>
              <w:t>if(esp32_pass=="")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</w:t>
            </w:r>
            <w:r>
              <w:rPr>
                <w:rFonts w:eastAsia="Times New Roman" w:cs="Times New Roman"/>
                <w:kern w:val="0"/>
                <w:lang w:bidi="ar-SA"/>
              </w:rPr>
              <w:t>JSONVar tmp1;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tmpaddress=web_server+"?ajax&amp;esp32_welcome=reg";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 xml:space="preserve">Serial.println(tmpaddress);  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res=http_sys(tmpaddress);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tmp1=JSON.parse(res);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Serial.println(JSON.stringify(tmp1));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configobj["esp32pass"]=tmp1["pass"];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Serial.println(JSON.stringify(configobj));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save_config();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  <w:r>
              <w:rPr>
                <w:rFonts w:eastAsia="Times New Roman" w:cs="Times New Roman"/>
                <w:kern w:val="0"/>
                <w:lang w:bidi="ar-SA"/>
              </w:rPr>
              <w:t>ESP.restart();}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 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  </w:t>
            </w:r>
            <w:r>
              <w:rPr>
                <w:rFonts w:eastAsia="Times New Roman" w:cs="Times New Roman"/>
                <w:kern w:val="0"/>
                <w:lang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_Toc492627583"/>
      <w:r>
        <w:rPr/>
        <w:t>Hivatkozások sorrendje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Felhasznált irodalomban szereplő publikációkat nem betűrendi sorrendbe, nem a 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 hivatkozni kell egy már számozott publikációra, megtehető.</w:t>
      </w:r>
    </w:p>
    <w:p>
      <w:pPr>
        <w:pStyle w:val="Normal"/>
        <w:rPr/>
      </w:pPr>
      <w:r>
        <w:rPr/>
        <w:t>https://github.com/google/blockly</w:t>
      </w:r>
      <w:r>
        <w:rPr/>
        <w:t>[1]</w:t>
      </w:r>
      <w:r>
        <w:br w:type="page"/>
      </w:r>
    </w:p>
    <w:p>
      <w:pPr>
        <w:pStyle w:val="Heading1"/>
        <w:rPr/>
      </w:pPr>
      <w:bookmarkStart w:id="8" w:name="_Toc492627584"/>
      <w:r>
        <w:rPr/>
        <w:t>Saját munka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dolgozat további fejezeteiben kell összeállítani a Szakdolgozat kiírásban felsorolt feladatokat, a Bevezetésben meghatározott célkitűzésekkel összhangban. Terjedelemben az egész Szakdolgozat legalább 50%-a legyen. A témától függően több fejezetre is bontható a saját munka bemutatása, azonban sem a fejezetek, sem az alfejezetek számát nem célszerű túlzottan megnövelni. A fejezetek címeit a kiírt témának megfelelően kell megválasztani! </w:t>
      </w:r>
    </w:p>
    <w:p>
      <w:pPr>
        <w:pStyle w:val="Normal"/>
        <w:rPr/>
      </w:pPr>
      <w:r>
        <w:rPr/>
        <w:t>A szöveg szerkesztése legyen A4-es méretű oldalon: fent 4 cm, lent 2,5 cm, bal és jobb 2,5 mm, 1 cm kötésmargóval, Times New Roman betűtípussal, 12 pontméretű betűvel, 1,5-es sortávolsággal. A szöveg igazítása sorkizárt.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Toc492627585"/>
      <w:r>
        <w:rPr/>
        <w:t>Rajzok, képek, diagramok, ábrák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rajzokat, táblázatokat és egyéb illusztrációkat a szöveg közben ott, ahol szóba kerülnek, vagy mellékletként kell elhelyezni. A megjelenítés a következőképpen történik.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38500" cy="2971165"/>
            <wp:effectExtent l="0" t="0" r="0" b="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Bracm"/>
        <w:rPr/>
      </w:pPr>
      <w:r>
        <w:rPr/>
        <w:t>1. ábra. Az ábra elhelyezés mintája [6]</w:t>
      </w:r>
    </w:p>
    <w:p>
      <w:pPr>
        <w:pStyle w:val="Normal"/>
        <w:rPr/>
      </w:pPr>
      <w:r>
        <w:rPr/>
        <w:t xml:space="preserve">Az ábrát (legyen az diagram, kép vagy rajz) középre szerkesztve, ábraszámmal és megnevezéssel kell ellátni, amely a beállított margón nem nyúlhat túl. Az ábra számára a szövegben hivatkozni kell (1. ábra). Ha az ábra egy megjelent publikációból származik, tehát nem saját készítésű, akkor a megfelelő szakirodalomra hivatkozni kell a minta szerint. </w:t>
      </w:r>
    </w:p>
    <w:p>
      <w:pPr>
        <w:pStyle w:val="Normal"/>
        <w:rPr/>
      </w:pPr>
      <w:r>
        <w:rPr/>
        <w:t>A táblázatok szerkesztésénél az alábbi szempontokat kell figyelembe venni. A táblázat középre szerkesztve, számmal és megnevezéssel ellátva. Számozás és megnevezés a minta szerint történjen, jobb oldalra igazítva, dőlt betűtípussal.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i/>
          <w:i/>
        </w:rPr>
      </w:pPr>
      <w:r>
        <w:rPr>
          <w:i/>
        </w:rPr>
        <w:t>1. táblázat: A táblázat elhelyezés mintája [7]</w:t>
      </w:r>
    </w:p>
    <w:tbl>
      <w:tblPr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701"/>
        <w:gridCol w:w="1697"/>
        <w:gridCol w:w="1692"/>
        <w:gridCol w:w="1704"/>
        <w:gridCol w:w="1699"/>
      </w:tblGrid>
      <w:tr>
        <w:trPr/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Szöveg legyen olvasható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Szöveg legyen olvasható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táblázat számára a szövegben hivatkozni kell (1. táblázat). Ha egy megjelent publikációból származik, akkor a megfelelő szakirodalomra hivatkozni kell a minta szerint. A táblázat szerkesztésénél ügyelni kell arra, hogy a tartalma olvasható és átlátható legyen. Szkennelt ábrát és táblázatot nem tartalmazhat a dolgozat, a hallgatónak kell megszerkesztenie táblázatkezelő, rajzkészítő stb. programok segítségével úgy, hogy jól láthatóak legyenek. </w:t>
      </w:r>
    </w:p>
    <w:p>
      <w:pPr>
        <w:pStyle w:val="Normal"/>
        <w:rPr/>
      </w:pPr>
      <w:r>
        <w:rPr/>
        <w:t>A nagyobb terjedelműeket a Mellékletek tartalmazzák melyek, ha egységesen A4 formátumúak, akkor a dolgozattal együtt köthetőek, ha nagyobb méretűek, akkor szabályosan összehajtva a hátsó borítólap belső oldalán kialakított tasakba kell tenni.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" w:name="_Toc492627586"/>
      <w:r>
        <w:rPr/>
        <w:t>Képletek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Számítások elvégzéséhez vagy egyéb esetekben képletek megjelenítésére kerülhet sor, melyet az alábbiak szerint kell megszerkeszteni. A képlet kerüljön középre, irodalomhivatkozással és sorszámozással. Továbbá az összefüggésben lévő elemeket meg kell nevezni mértékegységükkel feltűntetve a minta szerint.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 képességindex számításánál alkalmazott összefüggés [8]: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FTH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ATH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TM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den>
        </m:f>
      </m:oMath>
      <w:r>
        <w:rPr/>
        <w:t xml:space="preserve"> </w:t>
      </w:r>
      <w:r>
        <w:rPr/>
        <w:t>(3.1)</w:t>
      </w:r>
    </w:p>
    <w:p>
      <w:pPr>
        <w:pStyle w:val="Normal"/>
        <w:rPr/>
      </w:pPr>
      <w:r>
        <w:rPr/>
        <w:t xml:space="preserve">ahol: </w:t>
      </w:r>
      <w:r>
        <w:rPr>
          <w:i/>
        </w:rPr>
        <w:t>C</w:t>
      </w:r>
      <w:r>
        <w:rPr>
          <w:i/>
          <w:vertAlign w:val="subscript"/>
        </w:rPr>
        <w:t>x</w:t>
      </w:r>
      <w:r>
        <w:rPr/>
        <w:t>: képességindex (capability);</w:t>
      </w:r>
    </w:p>
    <w:p>
      <w:pPr>
        <w:pStyle w:val="Normal"/>
        <w:rPr/>
      </w:pPr>
      <w:r>
        <w:rPr/>
        <w:t xml:space="preserve">        </w:t>
      </w:r>
      <w:r>
        <w:rPr>
          <w:i/>
        </w:rPr>
        <w:t>FTH</w:t>
      </w:r>
      <w:r>
        <w:rPr/>
        <w:t>: felső tűréshatár;</w:t>
      </w:r>
    </w:p>
    <w:p>
      <w:pPr>
        <w:pStyle w:val="Normal"/>
        <w:rPr/>
      </w:pPr>
      <w:r>
        <w:rPr/>
        <w:t xml:space="preserve">        </w:t>
      </w:r>
      <w:r>
        <w:rPr>
          <w:i/>
        </w:rPr>
        <w:t>ATH</w:t>
      </w:r>
      <w:r>
        <w:rPr/>
        <w:t>: alsó tűréshatár;</w:t>
      </w:r>
    </w:p>
    <w:p>
      <w:pPr>
        <w:pStyle w:val="Normal"/>
        <w:rPr/>
      </w:pPr>
      <w:r>
        <w:rPr/>
        <w:t xml:space="preserve">          </w:t>
      </w:r>
      <w:r>
        <w:rPr>
          <w:i/>
        </w:rPr>
        <w:t>TM</w:t>
      </w:r>
      <w:r>
        <w:rPr/>
        <w:t>: tűrésmező;</w:t>
      </w:r>
    </w:p>
    <w:p>
      <w:pPr>
        <w:pStyle w:val="Normal"/>
        <w:rPr/>
      </w:pPr>
      <w:r>
        <w:rPr/>
        <w:t xml:space="preserve">        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σ</m:t>
            </m:r>
          </m:e>
        </m:acc>
      </m:oMath>
      <w:r>
        <w:rPr/>
        <w:t>: a folyamat elméleti szórásának becslése.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szerkesztéshez Egyenletszerkesztő alkalmazását javasoljuk.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elméleti érdesség értéke a Brammertz-féle formula szerint [13]: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eBr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ε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ε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min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)</m:t>
        </m:r>
      </m:oMath>
      <w:r>
        <w:rPr/>
        <w:t>(3.2)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84</m:t>
        </m:r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0,7</m:t>
            </m:r>
          </m:sup>
        </m:sSubSup>
        <m:r>
          <w:rPr>
            <w:rFonts w:ascii="Cambria Math" w:hAnsi="Cambria Math"/>
          </w:rPr>
          <m:t xml:space="preserve">⋅</m:t>
        </m:r>
        <m:sSubSup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sup>
        </m:sSubSup>
      </m:oMath>
      <w:r>
        <w:rPr/>
        <w:t>(3.3)</w:t>
      </w:r>
    </w:p>
    <w:p>
      <w:pPr>
        <w:pStyle w:val="Normal"/>
        <w:rPr/>
      </w:pPr>
      <w:r>
        <w:rPr>
          <w:iCs/>
        </w:rPr>
        <w:t xml:space="preserve">ahol: </w:t>
        <w:tab/>
      </w:r>
      <w:r>
        <w:rPr>
          <w:i/>
          <w:iCs/>
        </w:rPr>
        <w:t>R</w:t>
      </w:r>
      <w:r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>
        <w:rPr/>
        <w:t>elméleti érdesség [μm],</w:t>
      </w:r>
    </w:p>
    <w:p>
      <w:pPr>
        <w:pStyle w:val="Normal"/>
        <w:ind w:firstLine="708"/>
        <w:rPr/>
      </w:pPr>
      <w:r>
        <w:rPr>
          <w:i/>
          <w:iCs/>
        </w:rPr>
        <w:t>f:</w:t>
      </w:r>
      <w:r>
        <w:rPr/>
        <w:t xml:space="preserve"> előtolás [mm/ford],</w:t>
      </w:r>
    </w:p>
    <w:p>
      <w:pPr>
        <w:pStyle w:val="Normal"/>
        <w:ind w:firstLine="708"/>
        <w:rPr/>
      </w:pPr>
      <w:r>
        <w:rPr>
          <w:i/>
          <w:iCs/>
        </w:rPr>
        <w:t>r</w:t>
      </w:r>
      <w:r>
        <w:rPr>
          <w:i/>
          <w:iCs/>
          <w:vertAlign w:val="subscript"/>
        </w:rPr>
        <w:t>ε</w:t>
      </w:r>
      <w:r>
        <w:rPr>
          <w:i/>
          <w:iCs/>
        </w:rPr>
        <w:t>:</w:t>
      </w:r>
      <w:r>
        <w:rPr/>
        <w:t xml:space="preserve"> a lapka csúcssugara [mm],</w:t>
      </w:r>
    </w:p>
    <w:p>
      <w:pPr>
        <w:pStyle w:val="Normal"/>
        <w:ind w:firstLine="708"/>
        <w:rPr/>
      </w:pPr>
      <w:r>
        <w:rPr>
          <w:i/>
          <w:iCs/>
        </w:rPr>
        <w:t>h</w:t>
      </w:r>
      <w:r>
        <w:rPr>
          <w:i/>
          <w:iCs/>
          <w:vertAlign w:val="subscript"/>
        </w:rPr>
        <w:t>min</w:t>
      </w:r>
      <w:r>
        <w:rPr>
          <w:i/>
          <w:iCs/>
        </w:rPr>
        <w:t>:</w:t>
      </w:r>
      <w:r>
        <w:rPr/>
        <w:t xml:space="preserve"> a leválasztható minimális forgács- </w:t>
        <w:tab/>
        <w:t>vastagság [μm],</w:t>
      </w:r>
    </w:p>
    <w:p>
      <w:pPr>
        <w:pStyle w:val="Normal"/>
        <w:ind w:firstLine="708"/>
        <w:rPr/>
      </w:pPr>
      <w:r>
        <w:rPr>
          <w:i/>
          <w:iCs/>
        </w:rPr>
        <w:t>v</w:t>
      </w:r>
      <w:r>
        <w:rPr>
          <w:i/>
          <w:iCs/>
          <w:vertAlign w:val="subscript"/>
        </w:rPr>
        <w:t>c</w:t>
      </w:r>
      <w:r>
        <w:rPr>
          <w:i/>
          <w:iCs/>
        </w:rPr>
        <w:t>:</w:t>
      </w:r>
      <w:r>
        <w:rPr/>
        <w:t xml:space="preserve"> forgácsolósebesség [m/min],</w:t>
      </w:r>
    </w:p>
    <w:p>
      <w:pPr>
        <w:pStyle w:val="Normal"/>
        <w:ind w:firstLine="708"/>
        <w:rPr/>
      </w:pPr>
      <w:r>
        <w:rPr>
          <w:i/>
          <w:iCs/>
        </w:rPr>
        <w:t>r</w:t>
      </w:r>
      <w:r>
        <w:rPr>
          <w:i/>
          <w:iCs/>
          <w:vertAlign w:val="subscript"/>
        </w:rPr>
        <w:t>n</w:t>
      </w:r>
      <w:r>
        <w:rPr>
          <w:i/>
          <w:iCs/>
        </w:rPr>
        <w:t xml:space="preserve">: </w:t>
      </w:r>
      <w:r>
        <w:rPr/>
        <w:t>éllekerekedés [μm].</w:t>
      </w:r>
    </w:p>
    <w:p>
      <w:pPr>
        <w:pStyle w:val="Normal"/>
        <w:rPr/>
      </w:pPr>
      <w:r>
        <w:rPr/>
        <w:drawing>
          <wp:inline distT="0" distB="0" distL="0" distR="0">
            <wp:extent cx="4953000" cy="2066925"/>
            <wp:effectExtent l="0" t="0" r="0" b="0"/>
            <wp:docPr id="9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 szerkesztéshez Egyenletszerkesztő alkalmazását javasoljuk.</w:t>
      </w:r>
    </w:p>
    <w:p>
      <w:pPr>
        <w:pStyle w:val="Normal"/>
        <w:rPr/>
      </w:pPr>
      <w:r>
        <w:rPr/>
        <w:t>A szövegben az összefüggésre (3.2) történő hivatkozás, hasonlóan az ábrára, táblázatra való hivatkozáshoz történjen. A számozást fejezetenként újra kell kezdeni.</w:t>
      </w:r>
    </w:p>
    <w:p>
      <w:pPr>
        <w:pStyle w:val="Normal"/>
        <w:rPr/>
      </w:pPr>
      <w:r>
        <w:rPr/>
      </w:r>
    </w:p>
    <w:tbl>
      <w:tblPr>
        <w:tblStyle w:val="TableGrid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3"/>
      </w:tblGrid>
      <w:tr>
        <w:trPr/>
        <w:tc>
          <w:tcPr>
            <w:tcW w:w="8493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</w:t>
            </w:r>
            <w:r>
              <w:rPr>
                <w:rFonts w:eastAsia="Times New Roman" w:cs="Times New Roman"/>
                <w:kern w:val="0"/>
                <w:lang w:bidi="ar-SA"/>
              </w:rPr>
              <w:t>Alias /escape_room "E:/Github/obudai_diplomamunka/server_part"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</w:t>
            </w:r>
            <w:r>
              <w:rPr>
                <w:rFonts w:eastAsia="Times New Roman" w:cs="Times New Roman"/>
                <w:kern w:val="0"/>
                <w:lang w:bidi="ar-SA"/>
              </w:rPr>
              <w:t>&lt;Directory "E:/Github/obudai_diplomamunka/server_part"&gt;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AllowOverride AuthConfig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Require local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    </w:t>
            </w:r>
            <w:r>
              <w:rPr>
                <w:rFonts w:eastAsia="Times New Roman" w:cs="Times New Roman"/>
                <w:kern w:val="0"/>
                <w:lang w:bidi="ar-SA"/>
              </w:rPr>
              <w:t>ErrorDocument 403 /error/XAMPP_FORBIDDEN.html.var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 w:eastAsia="Times New Roman" w:cs="Times New Roman"/>
                <w:kern w:val="0"/>
                <w:lang w:bidi="ar-SA"/>
              </w:rPr>
            </w:pPr>
            <w:r>
              <w:rPr>
                <w:rFonts w:eastAsia="Times New Roman" w:cs="Times New Roman"/>
                <w:kern w:val="0"/>
                <w:lang w:bidi="ar-SA"/>
              </w:rPr>
              <w:t xml:space="preserve">    </w:t>
            </w:r>
            <w:r>
              <w:rPr>
                <w:rFonts w:eastAsia="Times New Roman" w:cs="Times New Roman"/>
                <w:kern w:val="0"/>
                <w:lang w:bidi="ar-SA"/>
              </w:rPr>
              <w:t>&lt;/Directory&gt;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492627587"/>
      <w:r>
        <w:rPr/>
        <w:t>Felsorolás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szakdolgozat szövege folyamatos, azonban felsorolás kismértékben, ahol szükséges alkalmazható. A felsorolások szerkesztésénél ügyelni kell a jelölésekre és a mondatjelekre. A felsorolás szerkezetileg egy mondat, tehát van eleje, közepe és vége, melyeket írásjelekkel tudunk meghatározni. Ennek megfelelően a helyesen megszerkesztett felsorolást mutatja az alábbi példa. </w:t>
      </w:r>
    </w:p>
    <w:p>
      <w:pPr>
        <w:pStyle w:val="Normal"/>
        <w:rPr/>
      </w:pPr>
      <w:r>
        <w:rPr/>
        <w:t>A felsorolásnál alkalmazható jelölések szintenként:</w:t>
      </w:r>
    </w:p>
    <w:p>
      <w:pPr>
        <w:pStyle w:val="Normal"/>
        <w:numPr>
          <w:ilvl w:val="0"/>
          <w:numId w:val="2"/>
        </w:numPr>
        <w:rPr/>
      </w:pPr>
      <w:r>
        <w:rPr/>
        <w:t>gondolatjel;</w:t>
      </w:r>
    </w:p>
    <w:p>
      <w:pPr>
        <w:pStyle w:val="Normal"/>
        <w:numPr>
          <w:ilvl w:val="1"/>
          <w:numId w:val="2"/>
        </w:numPr>
        <w:rPr/>
      </w:pPr>
      <w:r>
        <w:rPr/>
        <w:t>pontjel;</w:t>
      </w:r>
    </w:p>
    <w:p>
      <w:pPr>
        <w:pStyle w:val="Normal"/>
        <w:numPr>
          <w:ilvl w:val="2"/>
          <w:numId w:val="2"/>
        </w:numPr>
        <w:rPr/>
      </w:pPr>
      <w:r>
        <w:rPr/>
        <w:t>négyszögjel.</w:t>
      </w:r>
    </w:p>
    <w:p>
      <w:pPr>
        <w:pStyle w:val="Normal"/>
        <w:rPr/>
      </w:pPr>
      <w:r>
        <w:rPr/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Néhány kiegészítés a Szakdolgozat szerkesztéséhez:</w:t>
      </w:r>
    </w:p>
    <w:p>
      <w:pPr>
        <w:pStyle w:val="Normal"/>
        <w:numPr>
          <w:ilvl w:val="0"/>
          <w:numId w:val="2"/>
        </w:numPr>
        <w:rPr/>
      </w:pPr>
      <w:r>
        <w:rPr/>
        <w:t>A szakdolgozat terjedelme 40-70 oldal legyen (mellékletek nélkül értendő).</w:t>
      </w:r>
    </w:p>
    <w:p>
      <w:pPr>
        <w:pStyle w:val="Normal"/>
        <w:numPr>
          <w:ilvl w:val="0"/>
          <w:numId w:val="2"/>
        </w:numPr>
        <w:rPr/>
      </w:pPr>
      <w:r>
        <w:rPr/>
        <w:t>A szöveg szerkesztésekor ne használjuk idegenszavakat, kivéve ha nincs magyar megfelelője.</w:t>
      </w:r>
    </w:p>
    <w:p>
      <w:pPr>
        <w:pStyle w:val="Normal"/>
        <w:numPr>
          <w:ilvl w:val="0"/>
          <w:numId w:val="2"/>
        </w:numPr>
        <w:rPr/>
      </w:pPr>
      <w:r>
        <w:rPr/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>
      <w:pPr>
        <w:pStyle w:val="Normal"/>
        <w:numPr>
          <w:ilvl w:val="0"/>
          <w:numId w:val="2"/>
        </w:numPr>
        <w:rPr/>
      </w:pPr>
      <w:r>
        <w:rPr/>
        <w:t>Fogalmazzunk egyszerű, de kerek, egész mondatokkal.</w:t>
      </w:r>
    </w:p>
    <w:p>
      <w:pPr>
        <w:pStyle w:val="Normal"/>
        <w:numPr>
          <w:ilvl w:val="0"/>
          <w:numId w:val="2"/>
        </w:numPr>
        <w:rPr/>
      </w:pPr>
      <w:r>
        <w:rPr/>
        <w:t>Ne tagoljuk a szöveget üres sorokkal vagy úgy, hogy minden mondat külön bekezdésben szerepel. Ez nem célszerű!</w:t>
      </w:r>
    </w:p>
    <w:p>
      <w:pPr>
        <w:pStyle w:val="Normal"/>
        <w:numPr>
          <w:ilvl w:val="0"/>
          <w:numId w:val="2"/>
        </w:numPr>
        <w:rPr/>
      </w:pPr>
      <w:r>
        <w:rPr/>
        <w:t>Az ábrákat, táblázatokat illusztrációként használjuk, melyek tartalmát a dolgozatban le kell írni.</w:t>
      </w:r>
    </w:p>
    <w:p>
      <w:pPr>
        <w:pStyle w:val="Normal"/>
        <w:rPr/>
      </w:pPr>
      <w:r>
        <w:rPr/>
        <w:t>Természetesen számokkal vagy betűkkel is jelölhetjük a felsorolást az alábbiak szerint.</w:t>
      </w:r>
    </w:p>
    <w:p>
      <w:pPr>
        <w:pStyle w:val="Normal"/>
        <w:rPr/>
      </w:pPr>
      <w:r>
        <w:rPr/>
        <w:t>A szakdolgozat összeállításának szabályai bekötésnél:</w:t>
      </w:r>
    </w:p>
    <w:p>
      <w:pPr>
        <w:pStyle w:val="Normal"/>
        <w:numPr>
          <w:ilvl w:val="0"/>
          <w:numId w:val="3"/>
        </w:numPr>
        <w:rPr/>
      </w:pPr>
      <w:r>
        <w:rPr/>
        <w:t>Az első oldal a SZAKDOLGOZAT címlap.</w:t>
      </w:r>
    </w:p>
    <w:p>
      <w:pPr>
        <w:pStyle w:val="Normal"/>
        <w:numPr>
          <w:ilvl w:val="0"/>
          <w:numId w:val="3"/>
        </w:numPr>
        <w:rPr/>
      </w:pPr>
      <w:r>
        <w:rPr/>
        <w:t>A második oldal a Szakdolgozat kiírási lap, amely az Intézetigazgató által valamint a konzulens(ek) által aláírt.</w:t>
      </w:r>
    </w:p>
    <w:p>
      <w:pPr>
        <w:pStyle w:val="Normal"/>
        <w:numPr>
          <w:ilvl w:val="0"/>
          <w:numId w:val="3"/>
        </w:numPr>
        <w:rPr/>
      </w:pPr>
      <w:r>
        <w:rPr/>
        <w:t>A harmadik oldalra kerül a Hallgatói nyilatkozat.</w:t>
      </w:r>
    </w:p>
    <w:p>
      <w:pPr>
        <w:pStyle w:val="Normal"/>
        <w:numPr>
          <w:ilvl w:val="0"/>
          <w:numId w:val="3"/>
        </w:numPr>
        <w:rPr/>
      </w:pPr>
      <w:r>
        <w:rPr/>
        <w:t>Ezt követi a Tartalomjegyzék és a dolgozat többi fejezete a szerkesztés szerint.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492627588"/>
      <w:r>
        <w:rPr/>
        <w:t>Összefoglalás</w:t>
      </w:r>
      <w:bookmarkEnd w:id="1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>
        <w:br w:type="page"/>
      </w:r>
    </w:p>
    <w:p>
      <w:pPr>
        <w:pStyle w:val="Heading1"/>
        <w:rPr/>
      </w:pPr>
      <w:bookmarkStart w:id="13" w:name="_Toc492627589"/>
      <w:r>
        <w:rPr/>
        <w:t>Idegen nyelvű tartalmi összefoglaló</w:t>
      </w:r>
      <w:bookmarkEnd w:id="13"/>
    </w:p>
    <w:p>
      <w:pPr>
        <w:pStyle w:val="Normal"/>
        <w:rPr/>
      </w:pPr>
      <w:r>
        <w:rPr/>
        <w:t xml:space="preserve">Escape room management software which is based on ESP32, contains admin user interface, and multiple features for easier setup, reset, and for measuring time. </w:t>
      </w:r>
    </w:p>
    <w:p>
      <w:pPr>
        <w:pStyle w:val="Normal"/>
        <w:rPr/>
      </w:pPr>
      <w:r>
        <w:rPr/>
        <w:t xml:space="preserve">A magyar nyelvű összefoglalás idegen nyelven történő közlését tartalmazza. Az idegen nyelvű tartalmi összefoglaló elkészítése történhet: </w:t>
      </w:r>
      <w:r>
        <w:rPr>
          <w:bCs/>
        </w:rPr>
        <w:t>angolul, németül, oroszul vagy franciául.</w:t>
      </w:r>
      <w:r>
        <w:br w:type="page"/>
      </w:r>
    </w:p>
    <w:p>
      <w:pPr>
        <w:pStyle w:val="Heading1"/>
        <w:rPr/>
      </w:pPr>
      <w:bookmarkStart w:id="14" w:name="_Toc492627590"/>
      <w:r>
        <w:rPr/>
        <w:t>Felhasznált irodalom vagy Irodalomjegyzék</w:t>
      </w:r>
      <w:bookmarkEnd w:id="1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Példák az egyes publikációk megnevezésére.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>
      <w:pPr>
        <w:pStyle w:val="Normal"/>
        <w:rPr/>
      </w:pPr>
      <w:r>
        <w:rPr/>
        <w:t>[1] M. Csizmadia Béla: Modell-alkotás. Nemzeti Tankönyvkiadó. Budapest, 2003. p. 21-24.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>
      <w:pPr>
        <w:pStyle w:val="Normal"/>
        <w:rPr/>
      </w:pPr>
      <w:r>
        <w:rPr/>
        <w:t>[2] Hervay Péter – Csesznok Sándor: Marási környezet szimulációjának alkalmazása az oktatásban. Gépgyártás XLVII. évfolyam, 2007. 2-3. szám p. 15-17.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>
      <w:pPr>
        <w:pStyle w:val="Normal"/>
        <w:rPr/>
      </w:pPr>
      <w:r>
        <w:rPr/>
        <w:t>[3] Ambrusné dr. Alady Márta – Galla Jánosné – dr. Sipos Sándor: A Gépgyártástechnológia alapjai. BMF jegyzet. Budapest, 1995. p. 50-55.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>
      <w:pPr>
        <w:pStyle w:val="Normal"/>
        <w:rPr/>
      </w:pPr>
      <w:r>
        <w:rPr/>
        <w:t>[4] Miko, B.: Hybrid inteligence system for mold cost estination. VI. International tools conference (ITC) 2007. Zlin, May 22-23, 2007. CD. ISBN-978-80-7318-572-5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>
      <w:pPr>
        <w:pStyle w:val="Normal"/>
        <w:rPr/>
      </w:pPr>
      <w:r>
        <w:rPr/>
        <w:t>[5] Dr. Szabó László: Forgácsolás, hegesztés. Miskolc 2000.</w:t>
      </w:r>
    </w:p>
    <w:p>
      <w:pPr>
        <w:pStyle w:val="Normal"/>
        <w:rPr/>
      </w:pPr>
      <w:hyperlink r:id="rId13">
        <w:r>
          <w:rPr>
            <w:rStyle w:val="InternetLink"/>
          </w:rPr>
          <w:t>http://mek.oszk.hu/01200/01200/html/html</w:t>
        </w:r>
      </w:hyperlink>
      <w:r>
        <w:br w:type="page"/>
      </w:r>
    </w:p>
    <w:p>
      <w:pPr>
        <w:pStyle w:val="Heading1"/>
        <w:rPr/>
      </w:pPr>
      <w:bookmarkStart w:id="15" w:name="_Toc492627591"/>
      <w:r>
        <w:rPr/>
        <w:t>Mellékletek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Minden mellékletet sorszámmal, megnevezéssel kell ellátni. A szakdolgozat szövegi részében hivatkozni kell (1. sz. melléklet).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sz. melléklet: Az alkatrész összeállítási rajza.</w:t>
      </w:r>
    </w:p>
    <w:p>
      <w:pPr>
        <w:pStyle w:val="Normal"/>
        <w:rPr/>
      </w:pPr>
      <w:r>
        <w:rPr/>
        <w:t>2. sz. melléklet: A termékvisszahívás folyamata.</w:t>
      </w:r>
    </w:p>
    <w:p>
      <w:pPr>
        <w:pStyle w:val="Normal"/>
        <w:rPr/>
      </w:pPr>
      <w:r>
        <w:rPr/>
        <w:t>https://medium.com/@fmacedoo/standalone-application-with-electron-react-and-sqlite-stack-9536a8b5a7b9</w:t>
      </w:r>
    </w:p>
    <w:p>
      <w:pPr>
        <w:pStyle w:val="Normal"/>
        <w:rPr/>
      </w:pPr>
      <w:r>
        <w:rPr/>
        <w:t>https://lastminuteengineers.com/oled-display-esp32-tutorial/</w:t>
      </w:r>
    </w:p>
    <w:p>
      <w:pPr>
        <w:pStyle w:val="Normal"/>
        <w:rPr/>
      </w:pPr>
      <w:r>
        <w:rPr/>
        <w:t>https://lastminuteengineers.com/multiple-ds18b20-esp32-web-server-tutorial/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18" w:right="1418" w:header="1134" w:top="226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Árpád Kovács" w:date="2021-02-01T16:02:00Z" w:initials="ÁK">
    <w:p>
      <w:r>
        <w:rPr>
          <w:rFonts w:ascii="Liberation Serif" w:hAnsi="Liberation Serif" w:eastAsia="DejaVu Sans" w:cs="Noto Sans Arabic UI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</w:comment>
  <w:comment w:id="1" w:author="Árpád Kovács" w:date="2021-02-01T16:03:00Z" w:initials="ÁK"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Ezen kívül kitérhet a cég, vállalkozás, munkahely rövid bemutatására.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>Oldalszám elhelyezése: felül, lapközépen, lapszéltől 20 mm-re, melyet az első oldalon (Tartalomjegyzéknél) nem kell feltüntetni.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</w:comment>
  <w:comment w:id="2" w:author="Árpád Kovács" w:date="2021-02-01T16:03:00Z" w:initials="ÁK">
    <w:p>
      <w:r>
        <w:rPr>
          <w:rFonts w:ascii="Liberation Serif" w:hAnsi="Liberation Serif" w:eastAsia="DejaVu Sans" w:cs="Noto Sans Arabic UI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  <w:p>
      <w:r>
        <w:rPr>
          <w:rFonts w:ascii="Liberation Serif" w:hAnsi="Liberation Serif" w:eastAsia="DejaVu Sans" w:cs="Noto Sans Arabic UI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669c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94765b"/>
    <w:pPr>
      <w:keepNext w:val="true"/>
      <w:numPr>
        <w:ilvl w:val="0"/>
        <w:numId w:val="1"/>
      </w:numPr>
      <w:spacing w:before="120" w:after="120"/>
      <w:jc w:val="center"/>
      <w:outlineLvl w:val="0"/>
    </w:pPr>
    <w:rPr>
      <w:rFonts w:cs="Arial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 w:val="true"/>
      <w:numPr>
        <w:ilvl w:val="1"/>
        <w:numId w:val="1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 w:val="true"/>
      <w:numPr>
        <w:ilvl w:val="2"/>
        <w:numId w:val="1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b23c0"/>
    <w:rPr/>
  </w:style>
  <w:style w:type="character" w:styleId="InternetLink">
    <w:name w:val="Hyperlink"/>
    <w:uiPriority w:val="99"/>
    <w:rsid w:val="00b1164f"/>
    <w:rPr>
      <w:color w:val="0000FF"/>
      <w:u w:val="single"/>
    </w:rPr>
  </w:style>
  <w:style w:type="character" w:styleId="HeaderChar" w:customStyle="1">
    <w:name w:val="Header Char"/>
    <w:link w:val="Header"/>
    <w:uiPriority w:val="99"/>
    <w:qFormat/>
    <w:rsid w:val="0094765b"/>
    <w:rPr>
      <w:sz w:val="24"/>
      <w:szCs w:val="24"/>
    </w:rPr>
  </w:style>
  <w:style w:type="character" w:styleId="BodyText2Char" w:customStyle="1">
    <w:name w:val="Body Text 2 Char"/>
    <w:link w:val="BodyText2"/>
    <w:qFormat/>
    <w:rsid w:val="00041e3d"/>
    <w:rPr>
      <w:rFonts w:ascii="Arial" w:hAnsi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029c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029c9"/>
    <w:rPr>
      <w:lang w:val="hu-HU" w:eastAsia="hu-HU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029c9"/>
    <w:rPr>
      <w:b/>
      <w:bCs/>
      <w:lang w:val="hu-HU" w:eastAsia="hu-H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cm" w:customStyle="1">
    <w:name w:val="Főcím"/>
    <w:basedOn w:val="Normal"/>
    <w:qFormat/>
    <w:rsid w:val="00c06101"/>
    <w:pPr>
      <w:jc w:val="center"/>
    </w:pPr>
    <w:rPr>
      <w:b/>
      <w:caps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c0610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c0610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racm" w:customStyle="1">
    <w:name w:val="ábracím"/>
    <w:basedOn w:val="Normal"/>
    <w:qFormat/>
    <w:rsid w:val="003679ec"/>
    <w:pPr>
      <w:jc w:val="center"/>
    </w:pPr>
    <w:rPr>
      <w:i/>
    </w:rPr>
  </w:style>
  <w:style w:type="paragraph" w:styleId="Contents1">
    <w:name w:val="TOC 1"/>
    <w:basedOn w:val="Normal"/>
    <w:next w:val="Normal"/>
    <w:autoRedefine/>
    <w:uiPriority w:val="39"/>
    <w:rsid w:val="00b1164f"/>
    <w:pPr/>
    <w:rPr/>
  </w:style>
  <w:style w:type="paragraph" w:styleId="Contents2">
    <w:name w:val="TOC 2"/>
    <w:basedOn w:val="Normal"/>
    <w:next w:val="Normal"/>
    <w:autoRedefine/>
    <w:uiPriority w:val="39"/>
    <w:rsid w:val="00b1164f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a57768"/>
    <w:pPr>
      <w:ind w:left="480" w:hanging="0"/>
    </w:pPr>
    <w:rPr/>
  </w:style>
  <w:style w:type="paragraph" w:styleId="BodyText2">
    <w:name w:val="Body Text 2"/>
    <w:basedOn w:val="Normal"/>
    <w:link w:val="BodyText2Char"/>
    <w:qFormat/>
    <w:rsid w:val="00041e3d"/>
    <w:pPr>
      <w:overflowPunct w:val="true"/>
      <w:spacing w:lineRule="auto" w:line="240"/>
      <w:textAlignment w:val="baseline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029c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029c9"/>
    <w:pPr/>
    <w:rPr>
      <w:b/>
      <w:bCs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6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zh-CN" w:bidi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chart" Target="charts/chart1.xml"/><Relationship Id="rId12" Type="http://schemas.openxmlformats.org/officeDocument/2006/relationships/image" Target="media/image8.png"/><Relationship Id="rId13" Type="http://schemas.openxmlformats.org/officeDocument/2006/relationships/hyperlink" Target="http://mek.oszk.hu/01200/01200/html/html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comments" Target="comment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i="1" lang="hu-HU" sz="1200" spc="-1" strike="noStrike">
                <a:solidFill>
                  <a:srgbClr val="000000"/>
                </a:solidFill>
                <a:latin typeface="Calibri"/>
              </a:defRPr>
            </a:pPr>
            <a:r>
              <a:rPr b="1" i="1" lang="hu-HU" sz="1200" spc="-1" strike="noStrike">
                <a:solidFill>
                  <a:srgbClr val="000000"/>
                </a:solidFill>
                <a:latin typeface="Calibri"/>
              </a:rPr>
              <a:t>vc = 400 m/min; f = 0,2 mm/ford; a = 1 mm; 
C lapka</a:t>
            </a:r>
          </a:p>
        </c:rich>
      </c:tx>
      <c:overlay val="0"/>
      <c:spPr>
        <a:noFill/>
        <a:ln w="2556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875"/>
          <c:y val="0.222333333333333"/>
          <c:w val="0.6994375"/>
          <c:h val="0.509666666666667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PEEK</c:v>
                </c:pt>
              </c:strCache>
            </c:strRef>
          </c:tx>
          <c:spPr>
            <a:solidFill>
              <a:srgbClr val="000080"/>
            </a:solidFill>
            <a:ln w="28440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3"/>
              </c:numCache>
            </c:numRef>
          </c:xVal>
          <c:yVal>
            <c:numRef>
              <c:f>0</c:f>
              <c:numCache>
                <c:formatCode>General</c:formatCode>
                <c:ptCount val="3"/>
              </c:numCache>
            </c:numRef>
          </c:yVal>
          <c:smooth val="0"/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Series4</c:v>
                </c:pt>
              </c:strCache>
            </c:strRef>
          </c:tx>
          <c:spPr>
            <a:solidFill>
              <a:srgbClr val="000080"/>
            </a:solidFill>
            <a:ln w="28440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25560">
                <a:solidFill>
                  <a:srgbClr val="000000"/>
                </a:solidFill>
                <a:prstDash val="sysDash"/>
                <a:round/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3</c:f>
              <c:numCache>
                <c:formatCode>General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3"/>
                <c:pt idx="0">
                  <c:v>1.68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</c:ser>
        <c:axId val="84866692"/>
        <c:axId val="52850436"/>
      </c:scatterChart>
      <c:valAx>
        <c:axId val="84866692"/>
        <c:scaling>
          <c:orientation val="minMax"/>
          <c:max val="4000"/>
          <c:min val="3000"/>
        </c:scaling>
        <c:delete val="0"/>
        <c:axPos val="b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i="1" lang="hu-HU" sz="12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i="1" lang="hu-HU" sz="1200" spc="-1" strike="noStrike">
                    <a:solidFill>
                      <a:srgbClr val="000000"/>
                    </a:solidFill>
                    <a:latin typeface="Calibri"/>
                  </a:rPr>
                  <a:t>E, rugalmassági modulusz (N/mm2)</a:t>
                </a:r>
              </a:p>
            </c:rich>
          </c:tx>
          <c:overlay val="0"/>
          <c:spPr>
            <a:noFill/>
            <a:ln w="25560">
              <a:noFill/>
            </a:ln>
          </c:spPr>
        </c:title>
        <c:numFmt formatCode="0" sourceLinked="0"/>
        <c:majorTickMark val="in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  <a:ea typeface="Calibri"/>
              </a:defRPr>
            </a:pPr>
          </a:p>
        </c:txPr>
        <c:crossAx val="52850436"/>
        <c:crosses val="autoZero"/>
        <c:crossBetween val="midCat"/>
        <c:majorUnit val="300"/>
      </c:valAx>
      <c:valAx>
        <c:axId val="52850436"/>
        <c:scaling>
          <c:orientation val="minMax"/>
          <c:max val="8"/>
          <c:min val="1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i="1" lang="hu-HU" sz="12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0" i="1" lang="hu-HU" sz="1200" spc="-1" strike="noStrike">
                    <a:solidFill>
                      <a:srgbClr val="000000"/>
                    </a:solidFill>
                    <a:latin typeface="Calibri"/>
                  </a:rPr>
                  <a:t>Ra (µm)</a:t>
                </a:r>
              </a:p>
            </c:rich>
          </c:tx>
          <c:layout>
            <c:manualLayout>
              <c:xMode val="edge"/>
              <c:yMode val="edge"/>
              <c:x val="0.0247915508615898"/>
              <c:y val="0.0997333979641299"/>
            </c:manualLayout>
          </c:layout>
          <c:overlay val="0"/>
          <c:spPr>
            <a:noFill/>
            <a:ln w="25560">
              <a:noFill/>
            </a:ln>
          </c:spPr>
        </c:title>
        <c:numFmt formatCode="0.000" sourceLinked="0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4866692"/>
        <c:crosses val="autoZero"/>
        <c:crossBetween val="midCat"/>
      </c:valAx>
      <c:spPr>
        <a:solidFill>
          <a:srgbClr val="ffffff"/>
        </a:solidFill>
        <a:ln w="0">
          <a:noFill/>
        </a:ln>
      </c:spPr>
    </c:plotArea>
    <c:plotVisOnly val="1"/>
    <c:dispBlanksAs val="gap"/>
  </c:chart>
  <c:spPr>
    <a:solidFill>
      <a:srgbClr val="e7e6e6"/>
    </a:solidFill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Application>LibreOffice/7.0.3.1$Linux_X86_64 LibreOffice_project/00$Build-1</Application>
  <Pages>17</Pages>
  <Words>1412</Words>
  <Characters>10261</Characters>
  <CharactersWithSpaces>11763</CharactersWithSpaces>
  <Paragraphs>150</Paragraphs>
  <Company>BMF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2021-01-27T18:35:00Z</dcterms:created>
  <dc:creator>Kovács Árpád</dc:creator>
  <dc:description/>
  <dc:language>en-US</dc:language>
  <cp:lastModifiedBy/>
  <cp:lastPrinted>2007-06-08T14:14:00Z</cp:lastPrinted>
  <dcterms:modified xsi:type="dcterms:W3CDTF">2021-02-10T12:17:38Z</dcterms:modified>
  <cp:revision>48</cp:revision>
  <dc:subject/>
  <dc:title>Diplomamunka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