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3CA4B633" w:rsidR="00041E3D" w:rsidRPr="00085907" w:rsidRDefault="007F2D7A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63872" behindDoc="0" locked="0" layoutInCell="1" allowOverlap="1" wp14:anchorId="15EE84D7" wp14:editId="33AB5FBD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CB266A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</w:rPr>
      </w:pPr>
      <w:r w:rsidRPr="00CB266A">
        <w:rPr>
          <w:rFonts w:ascii="Arial" w:hAnsi="Arial" w:cs="Arial"/>
          <w:b/>
          <w:bCs/>
        </w:rPr>
        <w:t>Óbudai Egyetem</w:t>
      </w:r>
    </w:p>
    <w:p w14:paraId="327C5143" w14:textId="6FAA5353" w:rsidR="00041E3D" w:rsidRPr="00AB219B" w:rsidRDefault="00680206" w:rsidP="00680206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</w:t>
      </w:r>
      <w:r w:rsidR="00AB219B" w:rsidRPr="00AB219B">
        <w:rPr>
          <w:rFonts w:ascii="Arial Narrow" w:hAnsi="Arial Narrow"/>
          <w:sz w:val="52"/>
          <w:szCs w:val="52"/>
        </w:rPr>
        <w:t>_______________________________</w:t>
      </w: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656611D8" w14:textId="77777777" w:rsidR="00041E3D" w:rsidRPr="00085907" w:rsidRDefault="00554033" w:rsidP="00A17F37">
      <w:pPr>
        <w:overflowPunct w:val="0"/>
        <w:autoSpaceDE w:val="0"/>
        <w:autoSpaceDN w:val="0"/>
        <w:adjustRightInd w:val="0"/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112B84B4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</w:t>
      </w:r>
      <w:r w:rsidR="00680206">
        <w:rPr>
          <w:rFonts w:ascii="Arial Narrow" w:hAnsi="Arial Narrow"/>
          <w:b/>
          <w:sz w:val="28"/>
          <w:szCs w:val="28"/>
        </w:rPr>
        <w:t>1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D4BE086" w:rsidR="003E1400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</w:p>
    <w:p w14:paraId="3C8AF5A1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lastRenderedPageBreak/>
        <w:t>ÓBUDAI EGYETEM</w:t>
      </w:r>
    </w:p>
    <w:p w14:paraId="46E1BBC0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48A57362" w14:textId="23CACFBD" w:rsidR="00041E3D" w:rsidRPr="00085907" w:rsidRDefault="00041E3D" w:rsidP="00A17F37">
      <w:pPr>
        <w:tabs>
          <w:tab w:val="left" w:pos="0"/>
        </w:tabs>
        <w:spacing w:before="1200" w:line="240" w:lineRule="auto"/>
        <w:ind w:firstLine="706"/>
        <w:jc w:val="center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600" w:line="240" w:lineRule="auto"/>
        <w:ind w:left="432"/>
        <w:jc w:val="center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40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2DF8B03B" w:rsidR="00B05828" w:rsidRDefault="00B05828">
      <w:pPr>
        <w:spacing w:line="240" w:lineRule="auto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9533D9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9533D9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9533D9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9533D9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9533D9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9533D9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3F4D2D3C" w:rsidR="00317E2C" w:rsidRDefault="00317E2C">
      <w:pPr>
        <w:spacing w:line="240" w:lineRule="auto"/>
        <w:jc w:val="left"/>
      </w:pPr>
      <w:r>
        <w:br w:type="page"/>
      </w:r>
    </w:p>
    <w:p w14:paraId="4D877DA3" w14:textId="77777777" w:rsidR="00703F8A" w:rsidRPr="0094765B" w:rsidRDefault="00703F8A" w:rsidP="00BE1A09">
      <w:pPr>
        <w:pStyle w:val="Heading1"/>
      </w:pPr>
      <w:bookmarkStart w:id="2" w:name="_Toc492627580"/>
      <w:r w:rsidRPr="0094765B">
        <w:lastRenderedPageBreak/>
        <w:t>Bevezetés</w:t>
      </w:r>
      <w:bookmarkEnd w:id="2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3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3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19935878" w:rsidR="0094765B" w:rsidRDefault="00510D5A" w:rsidP="00BE1A09">
      <w:r>
        <w:t xml:space="preserve"> </w:t>
      </w:r>
      <w:r>
        <w:rPr>
          <w:noProof/>
        </w:rPr>
        <w:drawing>
          <wp:inline distT="0" distB="0" distL="0" distR="0" wp14:anchorId="49C54958" wp14:editId="7FBFC105">
            <wp:extent cx="2590800" cy="2133166"/>
            <wp:effectExtent l="0" t="0" r="0" b="63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0" cy="21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4" w:name="_Toc492627582"/>
      <w:r w:rsidRPr="0094765B">
        <w:lastRenderedPageBreak/>
        <w:t>Hivatkozások</w:t>
      </w:r>
      <w:bookmarkEnd w:id="4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28B35834">
            <wp:extent cx="2466975" cy="1859436"/>
            <wp:effectExtent l="0" t="0" r="0" b="7620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2" cy="18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lastRenderedPageBreak/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5" w:name="_Toc492627583"/>
      <w:r>
        <w:t>Hivatkozások sorrendje</w:t>
      </w:r>
      <w:bookmarkEnd w:id="5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6" w:name="_Toc492627584"/>
      <w:r w:rsidR="00925E9E">
        <w:lastRenderedPageBreak/>
        <w:t>Saját munka</w:t>
      </w:r>
      <w:bookmarkEnd w:id="6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7" w:name="_Toc492627585"/>
      <w:r w:rsidRPr="008836FD">
        <w:t>Rajzok, képek, diagramok, ábrák</w:t>
      </w:r>
      <w:bookmarkEnd w:id="7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8" w:name="_Toc492627586"/>
      <w:r>
        <w:t>Képletek</w:t>
      </w:r>
      <w:bookmarkEnd w:id="8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pt;height:31.05pt" o:ole="">
            <v:imagedata r:id="rId17" o:title=""/>
          </v:shape>
          <o:OLEObject Type="Embed" ProgID="Equation.3" ShapeID="_x0000_i1025" DrawAspect="Content" ObjectID="_1673697770" r:id="rId18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.4pt;height:13.65pt" o:ole="">
            <v:imagedata r:id="rId19" o:title=""/>
          </v:shape>
          <o:OLEObject Type="Embed" ProgID="Equation.3" ShapeID="_x0000_i1026" DrawAspect="Content" ObjectID="_1673697771" r:id="rId20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8.9pt;height:34.75pt" o:ole="">
            <v:imagedata r:id="rId21" o:title=""/>
          </v:shape>
          <o:OLEObject Type="Embed" ProgID="Equation.3" ShapeID="_x0000_i1027" DrawAspect="Content" ObjectID="_1673697772" r:id="rId22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5pt;height:18.6pt" o:ole="">
            <v:imagedata r:id="rId23" o:title=""/>
          </v:shape>
          <o:OLEObject Type="Embed" ProgID="Equation.3" ShapeID="_x0000_i1028" DrawAspect="Content" ObjectID="_1673697773" r:id="rId24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9" w:name="_Toc492627587"/>
      <w:r>
        <w:t>Felsorolás</w:t>
      </w:r>
      <w:bookmarkEnd w:id="9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0" w:name="_Toc492627588"/>
      <w:r>
        <w:lastRenderedPageBreak/>
        <w:t>Összefoglalás</w:t>
      </w:r>
      <w:bookmarkEnd w:id="10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1" w:name="_Toc492627589"/>
      <w:r w:rsidR="0038053B">
        <w:lastRenderedPageBreak/>
        <w:t>Idegen nyelvű tartalmi összefoglaló</w:t>
      </w:r>
      <w:bookmarkEnd w:id="11"/>
    </w:p>
    <w:p w14:paraId="41C85417" w14:textId="7DEC423D" w:rsidR="0038053B" w:rsidRDefault="00E52B6A" w:rsidP="0038053B">
      <w:r>
        <w:t>Escape room management software which is based on ESP32, contains admin user interface, and multiple features for easier setup</w:t>
      </w:r>
      <w:r w:rsidR="00E575BE">
        <w:t>, reset, and for measuring time</w:t>
      </w:r>
      <w:r>
        <w:t xml:space="preserve">. </w:t>
      </w:r>
    </w:p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2" w:name="_Toc492627590"/>
      <w:r w:rsidR="00A01B69">
        <w:lastRenderedPageBreak/>
        <w:t>Felhasznált irodalom</w:t>
      </w:r>
      <w:r>
        <w:t xml:space="preserve"> vagy Irodalomjegyzék</w:t>
      </w:r>
      <w:bookmarkEnd w:id="12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9533D9" w:rsidP="00C06101">
      <w:hyperlink r:id="rId26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3" w:name="_Toc492627591"/>
      <w:r w:rsidR="00BC63E4">
        <w:lastRenderedPageBreak/>
        <w:t>Mellékletek</w:t>
      </w:r>
      <w:bookmarkEnd w:id="13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C8F9E" w14:textId="77777777" w:rsidR="009533D9" w:rsidRDefault="009533D9">
      <w:pPr>
        <w:spacing w:line="240" w:lineRule="auto"/>
      </w:pPr>
      <w:r>
        <w:separator/>
      </w:r>
    </w:p>
  </w:endnote>
  <w:endnote w:type="continuationSeparator" w:id="0">
    <w:p w14:paraId="65A01A61" w14:textId="77777777" w:rsidR="009533D9" w:rsidRDefault="0095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1998A" w14:textId="77777777" w:rsidR="009533D9" w:rsidRDefault="009533D9">
      <w:pPr>
        <w:spacing w:line="240" w:lineRule="auto"/>
      </w:pPr>
      <w:r>
        <w:separator/>
      </w:r>
    </w:p>
  </w:footnote>
  <w:footnote w:type="continuationSeparator" w:id="0">
    <w:p w14:paraId="06EE6705" w14:textId="77777777" w:rsidR="009533D9" w:rsidRDefault="00953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95A44"/>
    <w:rsid w:val="002A10BA"/>
    <w:rsid w:val="002F342C"/>
    <w:rsid w:val="00317E2C"/>
    <w:rsid w:val="0036099F"/>
    <w:rsid w:val="003679EC"/>
    <w:rsid w:val="0038053B"/>
    <w:rsid w:val="00387D74"/>
    <w:rsid w:val="003940E9"/>
    <w:rsid w:val="003E1400"/>
    <w:rsid w:val="004328EF"/>
    <w:rsid w:val="00442ED6"/>
    <w:rsid w:val="0045325F"/>
    <w:rsid w:val="004B229C"/>
    <w:rsid w:val="004B3505"/>
    <w:rsid w:val="004C07C4"/>
    <w:rsid w:val="004C0A1C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0206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7F2D7A"/>
    <w:rsid w:val="00810CA3"/>
    <w:rsid w:val="00820451"/>
    <w:rsid w:val="00823FD6"/>
    <w:rsid w:val="00827EBB"/>
    <w:rsid w:val="008836FD"/>
    <w:rsid w:val="008B6757"/>
    <w:rsid w:val="008E7583"/>
    <w:rsid w:val="00907A70"/>
    <w:rsid w:val="00923943"/>
    <w:rsid w:val="00925E9E"/>
    <w:rsid w:val="009308AD"/>
    <w:rsid w:val="00940D38"/>
    <w:rsid w:val="0094765B"/>
    <w:rsid w:val="009533D9"/>
    <w:rsid w:val="00962528"/>
    <w:rsid w:val="009705F6"/>
    <w:rsid w:val="00983FAC"/>
    <w:rsid w:val="009B044F"/>
    <w:rsid w:val="009B23C0"/>
    <w:rsid w:val="009F4F59"/>
    <w:rsid w:val="00A01B69"/>
    <w:rsid w:val="00A17F37"/>
    <w:rsid w:val="00A57768"/>
    <w:rsid w:val="00AB219B"/>
    <w:rsid w:val="00AC13A3"/>
    <w:rsid w:val="00AC1D2E"/>
    <w:rsid w:val="00AE1C38"/>
    <w:rsid w:val="00AE6A2F"/>
    <w:rsid w:val="00B05828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647EF"/>
    <w:rsid w:val="00CB266A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2B6A"/>
    <w:rsid w:val="00E5580C"/>
    <w:rsid w:val="00E558BD"/>
    <w:rsid w:val="00E575BE"/>
    <w:rsid w:val="00E660C9"/>
    <w:rsid w:val="00E8219A"/>
    <w:rsid w:val="00E85A21"/>
    <w:rsid w:val="00E97220"/>
    <w:rsid w:val="00EA2381"/>
    <w:rsid w:val="00EB3B25"/>
    <w:rsid w:val="00EE384B"/>
    <w:rsid w:val="00F15D53"/>
    <w:rsid w:val="00F162A9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://mek.oszk.hu/01200/01200/html/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16</Pages>
  <Words>2121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14189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29</cp:revision>
  <cp:lastPrinted>2007-06-08T14:14:00Z</cp:lastPrinted>
  <dcterms:created xsi:type="dcterms:W3CDTF">2021-01-27T18:35:00Z</dcterms:created>
  <dcterms:modified xsi:type="dcterms:W3CDTF">2021-02-01T14:15:00Z</dcterms:modified>
</cp:coreProperties>
</file>