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1722A" w14:textId="77777777" w:rsidR="00D00D7A" w:rsidRPr="00D00D7A" w:rsidRDefault="00D00D7A" w:rsidP="00D00D7A">
      <w:pPr>
        <w:rPr>
          <w:rFonts w:ascii="Times New Roman" w:hAnsi="Times New Roman" w:cs="Times New Roman"/>
          <w:b/>
          <w:bCs/>
        </w:rPr>
      </w:pPr>
      <w:r w:rsidRPr="00D00D7A">
        <w:rPr>
          <w:rFonts w:ascii="Times New Roman" w:hAnsi="Times New Roman" w:cs="Times New Roman"/>
          <w:b/>
          <w:bCs/>
        </w:rPr>
        <w:t>Research Questions</w:t>
      </w:r>
    </w:p>
    <w:p w14:paraId="6E5573D2" w14:textId="77777777" w:rsidR="00D00D7A" w:rsidRPr="00D00D7A" w:rsidRDefault="00D00D7A" w:rsidP="00D00D7A">
      <w:pPr>
        <w:rPr>
          <w:rFonts w:ascii="Times New Roman" w:hAnsi="Times New Roman" w:cs="Times New Roman"/>
        </w:rPr>
      </w:pPr>
      <w:r w:rsidRPr="00D00D7A">
        <w:rPr>
          <w:rFonts w:ascii="Times New Roman" w:hAnsi="Times New Roman" w:cs="Times New Roman"/>
          <w:b/>
          <w:bCs/>
        </w:rPr>
        <w:t>RQ1.</w:t>
      </w:r>
      <w:r w:rsidRPr="00D00D7A">
        <w:rPr>
          <w:rFonts w:ascii="Times New Roman" w:hAnsi="Times New Roman" w:cs="Times New Roman"/>
        </w:rPr>
        <w:t xml:space="preserve"> How did the profile of newly placed undergraduate students in EMI and TMI programmes in Türkiye differ across the 2023–2025 admission cycles in terms of:</w:t>
      </w:r>
      <w:r w:rsidRPr="00D00D7A">
        <w:rPr>
          <w:rFonts w:ascii="Times New Roman" w:hAnsi="Times New Roman" w:cs="Times New Roman"/>
        </w:rPr>
        <w:br/>
        <w:t>a) gender,</w:t>
      </w:r>
      <w:r w:rsidRPr="00D00D7A">
        <w:rPr>
          <w:rFonts w:ascii="Times New Roman" w:hAnsi="Times New Roman" w:cs="Times New Roman"/>
        </w:rPr>
        <w:br/>
        <w:t>b) disability, and</w:t>
      </w:r>
      <w:r w:rsidRPr="00D00D7A">
        <w:rPr>
          <w:rFonts w:ascii="Times New Roman" w:hAnsi="Times New Roman" w:cs="Times New Roman"/>
        </w:rPr>
        <w:br/>
        <w:t>c) socioeconomic tier?</w:t>
      </w:r>
    </w:p>
    <w:p w14:paraId="5F4932D4" w14:textId="77777777" w:rsidR="00D00D7A" w:rsidRPr="00D00D7A" w:rsidRDefault="00D00D7A" w:rsidP="00D00D7A">
      <w:pPr>
        <w:rPr>
          <w:rFonts w:ascii="Times New Roman" w:hAnsi="Times New Roman" w:cs="Times New Roman"/>
        </w:rPr>
      </w:pPr>
      <w:r w:rsidRPr="00D00D7A">
        <w:rPr>
          <w:rFonts w:ascii="Times New Roman" w:hAnsi="Times New Roman" w:cs="Times New Roman"/>
          <w:b/>
          <w:bCs/>
        </w:rPr>
        <w:t>RQ2.</w:t>
      </w:r>
      <w:r w:rsidRPr="00D00D7A">
        <w:rPr>
          <w:rFonts w:ascii="Times New Roman" w:hAnsi="Times New Roman" w:cs="Times New Roman"/>
        </w:rPr>
        <w:t xml:space="preserve"> How do students describe the role of gender, disability, and socioeconomic background in shaping access to EMI and TMI programmes in Türkiye?</w:t>
      </w:r>
    </w:p>
    <w:p w14:paraId="162FCC74" w14:textId="77777777" w:rsidR="00D00D7A" w:rsidRPr="00D00D7A" w:rsidRDefault="00D00D7A" w:rsidP="00D00D7A">
      <w:pPr>
        <w:rPr>
          <w:rFonts w:ascii="Times New Roman" w:hAnsi="Times New Roman" w:cs="Times New Roman"/>
          <w:b/>
          <w:bCs/>
        </w:rPr>
      </w:pPr>
      <w:r w:rsidRPr="00D00D7A">
        <w:rPr>
          <w:rFonts w:ascii="Times New Roman" w:hAnsi="Times New Roman" w:cs="Times New Roman"/>
          <w:b/>
          <w:bCs/>
        </w:rPr>
        <w:t>II. Methodology</w:t>
      </w:r>
    </w:p>
    <w:p w14:paraId="42C34506"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This study examines equity, diversity, and inclusion in Turkish higher education by investigating whether newly placed undergraduate students in English-medium instruction (EMI) and Turkish-medium instruction (TMI) programmes displayed different profiles across the 2023–2025 admission cycles. The analysis focuses on three dimensions closely related to questions of access and representation: gender, disability, and socioeconomic tier. Within this framework, TMI serves as the comparative baseline against which the inclusiveness of EMI can be evaluated.</w:t>
      </w:r>
    </w:p>
    <w:p w14:paraId="583BCA93"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To address these aims, the study adopts an explanatory sequential mixed-methods design, in which quantitative analysis is followed by qualitative inquiry (Heigham &amp; Croker, 2009; Riazi, 2016). This design is appropriate because the first research question requires a descriptive and comparative analysis of national placement patterns, whereas the second calls for an interpretive exploration of how students understand the social factors shaping access to EMI and TMI. Accordingly, the quantitative phase establishes the broad distributional patterns, and the qualitative phase adds explanatory depth by examining students’ perceptions and experiences.</w:t>
      </w:r>
    </w:p>
    <w:p w14:paraId="08D7499D" w14:textId="77777777" w:rsidR="00D00D7A" w:rsidRPr="00D00D7A" w:rsidRDefault="00D00D7A" w:rsidP="00D00D7A">
      <w:pPr>
        <w:rPr>
          <w:rFonts w:ascii="Times New Roman" w:hAnsi="Times New Roman" w:cs="Times New Roman"/>
          <w:b/>
          <w:bCs/>
        </w:rPr>
      </w:pPr>
      <w:r w:rsidRPr="00D00D7A">
        <w:rPr>
          <w:rFonts w:ascii="Times New Roman" w:hAnsi="Times New Roman" w:cs="Times New Roman"/>
          <w:b/>
          <w:bCs/>
        </w:rPr>
        <w:t>Context of the study</w:t>
      </w:r>
    </w:p>
    <w:p w14:paraId="462FC834"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Over the last two decades, English-medium instruction (EMI) has expanded rapidly across higher education systems worldwide and has increasingly shifted from a relatively limited institutional practice to a major international trend associated with globalisation, internationalisation, and academic competitiveness (Dearden, 2014; Macaro et al., 2018). As EMI has grown in scale and visibility, scholarly attention has also moved beyond questions of pedagogy and language proficiency to broader concerns related to access, participation, and social justice. In this respect, EMI is now widely understood not only as a linguistic or curricular choice but also as a policy and institutional phenomenon with implications for equity, diversity, and inclusion.</w:t>
      </w:r>
    </w:p>
    <w:p w14:paraId="32204743"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Within the Turkish higher education context, this broader debate has become increasingly relevant as EMI has continued to expand across universities and disciplinary fields. Recent work has drawn attention to the need to examine EMI in Türkiye not merely through the lenses of internationalisation and prestige, but also in relation to questions of access, inequality, and representation within the national higher education system (Yüksel et al., 2025). Since Turkish-medium instruction (TMI) remains the dominant mode of undergraduate education, it provides an important comparative basis for assessing whether EMI reflects a similar student profile or whether it appears to be associated with more differentiated patterns in terms of gender, disability, and socioeconomic background. It is within this context that the present study examines EMI and TMI comparatively through a social justice perspective.</w:t>
      </w:r>
    </w:p>
    <w:p w14:paraId="1B5A9D0C" w14:textId="77777777" w:rsidR="00D00D7A" w:rsidRPr="00D00D7A" w:rsidRDefault="00D00D7A" w:rsidP="00D00D7A">
      <w:pPr>
        <w:rPr>
          <w:rFonts w:ascii="Times New Roman" w:hAnsi="Times New Roman" w:cs="Times New Roman"/>
          <w:b/>
          <w:bCs/>
        </w:rPr>
      </w:pPr>
      <w:r w:rsidRPr="00D00D7A">
        <w:rPr>
          <w:rFonts w:ascii="Times New Roman" w:hAnsi="Times New Roman" w:cs="Times New Roman"/>
          <w:b/>
          <w:bCs/>
        </w:rPr>
        <w:t>Research design</w:t>
      </w:r>
    </w:p>
    <w:p w14:paraId="7E47A8AD"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The study follows an explanatory sequential mixed-methods design (Heigham &amp; Croker, 2009; Riazi, 2016). In the first phase, quantitative data were analysed to determine how newly placed undergraduate students in EMI and TMI programmes were distributed across gender, disability, and </w:t>
      </w:r>
      <w:r w:rsidRPr="00D00D7A">
        <w:rPr>
          <w:rFonts w:ascii="Times New Roman" w:hAnsi="Times New Roman" w:cs="Times New Roman"/>
        </w:rPr>
        <w:lastRenderedPageBreak/>
        <w:t>socioeconomic tier between 2023 and 2025. In the second phase, semi-structured interviews were conducted to explore how students interpreted the role of these factors in shaping access to the two instructional tracks.</w:t>
      </w:r>
    </w:p>
    <w:p w14:paraId="1E1EF474"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This design was selected because it enables the study to move from observable national-level patterns to participant-based interpretation. The quantitative strand provides a macro-level account of representation across EMI and TMI, while the qualitative strand helps explain how such patterns may be experienced, perceived, or understood by students themselves. In this way, the two phases are treated as complementary components of an integrated research design rather than as isolated methodological strands.</w:t>
      </w:r>
    </w:p>
    <w:p w14:paraId="2494C682" w14:textId="77777777" w:rsidR="00D00D7A" w:rsidRPr="00D00D7A" w:rsidRDefault="00D00D7A" w:rsidP="00D00D7A">
      <w:pPr>
        <w:rPr>
          <w:rFonts w:ascii="Times New Roman" w:hAnsi="Times New Roman" w:cs="Times New Roman"/>
          <w:b/>
          <w:bCs/>
        </w:rPr>
      </w:pPr>
      <w:r w:rsidRPr="00D00D7A">
        <w:rPr>
          <w:rFonts w:ascii="Times New Roman" w:hAnsi="Times New Roman" w:cs="Times New Roman"/>
          <w:b/>
          <w:bCs/>
        </w:rPr>
        <w:t>Participants</w:t>
      </w:r>
    </w:p>
    <w:p w14:paraId="7A901DD3"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The quantitative phase did not involve direct participant recruitment, as it relied on nationally available placement data. The unit of analysis in this phase consisted of newly placed undergraduate students in EMI and TMI programmes in Türkiye across the 2023, 2024, and 2025 admission cycles.</w:t>
      </w:r>
    </w:p>
    <w:p w14:paraId="05D51520"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The qualitative phase involved undergraduate students enrolled in EMI and TMI programmes. Since the purpose of the interview strand was to examine how students understood the role of gender, disability, and socioeconomic background in access to higher education pathways, participants were selected on the basis of their potential to provide insight into programme choice, placement experiences, and perceived opportunity structures. Purposeful sampling was therefore employed in order to ensure variation across categories relevant to the study (Dörnyei, 2001). Efforts were made to include students from both EMI and TMI contexts and, where feasible, from different gender groups, socioeconomic backgrounds, and disability-related experiences.</w:t>
      </w:r>
    </w:p>
    <w:p w14:paraId="5A982EA3"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Qualitative sampling proceeded iteratively, and data collection continued until thematic saturation was reached, that is, until no substantially new patterns emerged from the interview data (Dörnyei, 2001).</w:t>
      </w:r>
    </w:p>
    <w:p w14:paraId="1B41FE08" w14:textId="77777777" w:rsidR="00D00D7A" w:rsidRPr="00D00D7A" w:rsidRDefault="00D00D7A" w:rsidP="00D00D7A">
      <w:pPr>
        <w:rPr>
          <w:rFonts w:ascii="Times New Roman" w:hAnsi="Times New Roman" w:cs="Times New Roman"/>
          <w:b/>
          <w:bCs/>
        </w:rPr>
      </w:pPr>
      <w:r w:rsidRPr="00D00D7A">
        <w:rPr>
          <w:rFonts w:ascii="Times New Roman" w:hAnsi="Times New Roman" w:cs="Times New Roman"/>
          <w:b/>
          <w:bCs/>
        </w:rPr>
        <w:t>Data collection</w:t>
      </w:r>
    </w:p>
    <w:p w14:paraId="4DBB3213"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The quantitative data were obtained from YÖK Atlas, the official database of the Turkish Council of Higher Education, which provides nationally standardised information on higher education programmes, institutions, and student placements. For the purposes of this study, the dataset was compiled for the 2023, 2024, and 2025 admission cycles and organised according to medium of instruction, distinguishing undergraduate EMI and TMI programmes.</w:t>
      </w:r>
    </w:p>
    <w:p w14:paraId="217CF372"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In constructing the dataset, language-related programmes were purposefully excluded. This decision was based on the widely adopted understanding of EMI as the teaching of academic content subjects through English, rather than the teaching of English language itself (Dearden, 2014; Macaro et al., 2018). Accordingly, programmes primarily centred on English language, foreign language education, translation and interpreting, linguistics, and related language-focused fields were not included in the EMI–TMI comparison. This exclusion was intended to preserve the conceptual consistency of the study by restricting the analysis to content-based instructional contexts. In addition, limited case-by-case exclusions were made where necessary in response to occasional data loss or incomplete information in particular domains of the dataset. Such exclusions were applied cautiously and only where the available records did not allow reliable categorisation or comparison.</w:t>
      </w:r>
    </w:p>
    <w:p w14:paraId="51942F82" w14:textId="4B470F70"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Three indicators were used in the quantitative phase. The first indicator concerned the gender distribution of newly placed students. The second focused on the number and distribution of newly placed disabled students. The third concerned students’ socioeconomic distribution based on a tiered provincial classification. For this part of the analysis, provinces were grouped according to the </w:t>
      </w:r>
      <w:r w:rsidRPr="00D00D7A">
        <w:rPr>
          <w:rFonts w:ascii="Times New Roman" w:hAnsi="Times New Roman" w:cs="Times New Roman"/>
          <w:i/>
          <w:iCs/>
        </w:rPr>
        <w:t>Research on the Socio-Economic Development Ranking of Provinces and Regions (SEGE-2025)</w:t>
      </w:r>
      <w:r w:rsidRPr="00D00D7A">
        <w:rPr>
          <w:rFonts w:ascii="Times New Roman" w:hAnsi="Times New Roman" w:cs="Times New Roman"/>
        </w:rPr>
        <w:t xml:space="preserve"> prepared by the Ministry of Industry and Technology. The report states that the SEGE-2025 study evaluated provincial and regional development on the basis of 52 variables organised under eight main </w:t>
      </w:r>
      <w:r w:rsidRPr="00D00D7A">
        <w:rPr>
          <w:rFonts w:ascii="Times New Roman" w:hAnsi="Times New Roman" w:cs="Times New Roman"/>
        </w:rPr>
        <w:lastRenderedPageBreak/>
        <w:t>themes and classified provinces into six development tiers. These tiers were used in the present study as a socioeconomic grouping framework for comparing EMI and TMI placements.</w:t>
      </w:r>
    </w:p>
    <w:p w14:paraId="3CEF78ED" w14:textId="2171D486" w:rsidR="00D00D7A" w:rsidRPr="00D00D7A" w:rsidRDefault="00D00D7A" w:rsidP="00D00D7A">
      <w:pPr>
        <w:rPr>
          <w:rFonts w:ascii="Times New Roman" w:hAnsi="Times New Roman" w:cs="Times New Roman"/>
        </w:rPr>
      </w:pPr>
      <w:r w:rsidRPr="00D00D7A">
        <w:rPr>
          <w:rFonts w:ascii="Times New Roman" w:hAnsi="Times New Roman" w:cs="Times New Roman"/>
        </w:rPr>
        <w:t>In order to interpret placement counts in relation to the likely university-candidate population base of each tier, population denominators were compiled from the Population Statistics Portal of the Turkish Statistical Institute (TURKSTAT), using the Population by Age Group data interface. Since the portal reports the 15–19 and 20–24 age groups separately, these two groups were combined in the present study to represent the 15–24 age population. This combined age bracket was preferred because it captures the main age range from which undergraduate applicants are typically drawn. Provincial 15–24 population figures were then aggregated within each SEGE tier, and EMI and TMI placement counts were interpreted in relation to the total 15–24 population of the corresponding tier.</w:t>
      </w:r>
    </w:p>
    <w:p w14:paraId="49FEE8C0"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The qualitative data were collected through semi-structured interviews. This form of interviewing was preferred because it allows participants to elaborate on their experiences and perceptions while still ensuring alignment with the research questions (Heigham &amp; Croker, 2009). The interview protocol focused on how students understood the role of gender, disability, and socioeconomic background in shaping access to EMI and TMI. The interviews also explored perceived opportunities, barriers, fairness, family influence, educational background, and the broader meanings associated with the two instructional pathways. Interviews were conducted in Turkish or English depending on participant preference, audio-recorded with informed consent, and transcribed verbatim for analysis.</w:t>
      </w:r>
    </w:p>
    <w:p w14:paraId="5333E09F" w14:textId="77777777" w:rsidR="00D00D7A" w:rsidRPr="00D00D7A" w:rsidRDefault="00D00D7A" w:rsidP="00D00D7A">
      <w:pPr>
        <w:rPr>
          <w:rFonts w:ascii="Times New Roman" w:hAnsi="Times New Roman" w:cs="Times New Roman"/>
          <w:b/>
          <w:bCs/>
        </w:rPr>
      </w:pPr>
      <w:r w:rsidRPr="00D00D7A">
        <w:rPr>
          <w:rFonts w:ascii="Times New Roman" w:hAnsi="Times New Roman" w:cs="Times New Roman"/>
          <w:b/>
          <w:bCs/>
        </w:rPr>
        <w:t>The analysis of data</w:t>
      </w:r>
    </w:p>
    <w:p w14:paraId="083D098F"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The quantitative data were analysed using descriptive statistics and comparative tabulations. This analytical approach was appropriate because the primary aim was to identify patterns of representation across EMI and TMI rather than to test causal relationships. Frequencies and percentages were calculated for each admission cycle in relation to gender, disability, and socioeconomic tier. These procedures allowed the study to compare the composition of newly placed students across the two instructional categories and to observe whether distributional patterns remained stable or changed over time (Agresti &amp; Franklin, 2014; Field, 2013).</w:t>
      </w:r>
    </w:p>
    <w:p w14:paraId="28A4659A"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For the socioeconomic-tier analysis, the distribution of EMI and TMI placements was examined not only in absolute terms but also in relation to the aggregated 15–24 population of each tier. This made it possible to interpret placement volume alongside the approximate candidate-age population base represented within each socioeconomic grouping. Because the tier structure was derived from the SEGE-2025 classification, the analysis was able to compare placement patterns across provinces grouped according to a multidimensional measure of socio-economic development rather than through a single economic indicator.</w:t>
      </w:r>
    </w:p>
    <w:p w14:paraId="45DA96B1"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At the same time, the quantitative results should be interpreted with reference to the scope and boundaries of the compiled dataset. Since language-related programmes were excluded on conceptual grounds and a small number of additional records were omitted in cases of incomplete or inconsistent data, the findings represent a curated national dataset designed to ensure comparability across EMI and TMI rather than an unfiltered extraction of all available programme records.</w:t>
      </w:r>
    </w:p>
    <w:p w14:paraId="6DD3E4A8"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To facilitate interpretation, the quantitative findings were also presented through visual displays. Such visualisations made it easier to identify longitudinal patterns and proportional differences across years and categories and supported a clearer comparison between EMI and TMI.</w:t>
      </w:r>
    </w:p>
    <w:p w14:paraId="74F7F17F"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The qualitative data were analysed thematically using Braun and Clarke’s (2006) six-phase framework. The analysis began with repeated reading of the interview transcripts in order to develop familiarity with the dataset. Initial codes were then generated inductively, allowing patterns to emerge from participants’ own accounts rather than being imposed in advance. Related codes were subsequently grouped into broader themes concerning access, inclusion, opportunity, exclusion, and </w:t>
      </w:r>
      <w:r w:rsidRPr="00D00D7A">
        <w:rPr>
          <w:rFonts w:ascii="Times New Roman" w:hAnsi="Times New Roman" w:cs="Times New Roman"/>
        </w:rPr>
        <w:lastRenderedPageBreak/>
        <w:t>structural constraint. To enhance analytical credibility, coding decisions were reviewed carefully and themes were refined through repeated comparison with the original data.</w:t>
      </w:r>
    </w:p>
    <w:p w14:paraId="66F887B3"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At the stage of interpretation, the quantitative and qualitative findings were brought together to provide a more comprehensive account of equity and inclusion in EMI and TMI. The statistical analysis identified the overall profile of newly placed students, while the interview data helped explain how students understood the social dynamics associated with access to these two instructional pathways. This integration made it possible to move beyond numerical comparison and to examine EMI within a broader social justice perspective.</w:t>
      </w:r>
    </w:p>
    <w:p w14:paraId="677AD3E3" w14:textId="77777777" w:rsidR="00D00D7A" w:rsidRPr="00D00D7A" w:rsidRDefault="00D00D7A" w:rsidP="00D00D7A">
      <w:pPr>
        <w:rPr>
          <w:rFonts w:ascii="Times New Roman" w:hAnsi="Times New Roman" w:cs="Times New Roman"/>
          <w:b/>
          <w:bCs/>
        </w:rPr>
      </w:pPr>
      <w:r w:rsidRPr="00D00D7A">
        <w:rPr>
          <w:rFonts w:ascii="Times New Roman" w:hAnsi="Times New Roman" w:cs="Times New Roman"/>
          <w:b/>
          <w:bCs/>
        </w:rPr>
        <w:t>References</w:t>
      </w:r>
    </w:p>
    <w:p w14:paraId="6E1FA0F3"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Agresti, A., &amp; Franklin, C. (2014). </w:t>
      </w:r>
      <w:r w:rsidRPr="00D00D7A">
        <w:rPr>
          <w:rFonts w:ascii="Times New Roman" w:hAnsi="Times New Roman" w:cs="Times New Roman"/>
          <w:i/>
          <w:iCs/>
        </w:rPr>
        <w:t>Statistics: The art and science of learning from data</w:t>
      </w:r>
      <w:r w:rsidRPr="00D00D7A">
        <w:rPr>
          <w:rFonts w:ascii="Times New Roman" w:hAnsi="Times New Roman" w:cs="Times New Roman"/>
        </w:rPr>
        <w:t xml:space="preserve"> (4th ed.). Pearson.</w:t>
      </w:r>
    </w:p>
    <w:p w14:paraId="4E6E8349"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Braun, V., &amp; Clarke, V. (2006). Using thematic analysis in psychology. </w:t>
      </w:r>
      <w:r w:rsidRPr="00D00D7A">
        <w:rPr>
          <w:rFonts w:ascii="Times New Roman" w:hAnsi="Times New Roman" w:cs="Times New Roman"/>
          <w:i/>
          <w:iCs/>
        </w:rPr>
        <w:t>Qualitative Research in Psychology, 3</w:t>
      </w:r>
      <w:r w:rsidRPr="00D00D7A">
        <w:rPr>
          <w:rFonts w:ascii="Times New Roman" w:hAnsi="Times New Roman" w:cs="Times New Roman"/>
        </w:rPr>
        <w:t>(2), 77–101.</w:t>
      </w:r>
    </w:p>
    <w:p w14:paraId="00AF6EDA"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Dearden, J. (2014). </w:t>
      </w:r>
      <w:r w:rsidRPr="00D00D7A">
        <w:rPr>
          <w:rFonts w:ascii="Times New Roman" w:hAnsi="Times New Roman" w:cs="Times New Roman"/>
          <w:i/>
          <w:iCs/>
        </w:rPr>
        <w:t>English as a medium of instruction: A growing global phenomenon</w:t>
      </w:r>
      <w:r w:rsidRPr="00D00D7A">
        <w:rPr>
          <w:rFonts w:ascii="Times New Roman" w:hAnsi="Times New Roman" w:cs="Times New Roman"/>
        </w:rPr>
        <w:t>. British Council.</w:t>
      </w:r>
    </w:p>
    <w:p w14:paraId="653C40D0"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Dörnyei, Z. (2001). </w:t>
      </w:r>
      <w:r w:rsidRPr="00D00D7A">
        <w:rPr>
          <w:rFonts w:ascii="Times New Roman" w:hAnsi="Times New Roman" w:cs="Times New Roman"/>
          <w:i/>
          <w:iCs/>
        </w:rPr>
        <w:t>Teaching and researching motivation</w:t>
      </w:r>
      <w:r w:rsidRPr="00D00D7A">
        <w:rPr>
          <w:rFonts w:ascii="Times New Roman" w:hAnsi="Times New Roman" w:cs="Times New Roman"/>
        </w:rPr>
        <w:t>. Longman.</w:t>
      </w:r>
    </w:p>
    <w:p w14:paraId="538F5E6E"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Field, A. (2013). </w:t>
      </w:r>
      <w:r w:rsidRPr="00D00D7A">
        <w:rPr>
          <w:rFonts w:ascii="Times New Roman" w:hAnsi="Times New Roman" w:cs="Times New Roman"/>
          <w:i/>
          <w:iCs/>
        </w:rPr>
        <w:t>Discovering statistics using IBM SPSS statistics</w:t>
      </w:r>
      <w:r w:rsidRPr="00D00D7A">
        <w:rPr>
          <w:rFonts w:ascii="Times New Roman" w:hAnsi="Times New Roman" w:cs="Times New Roman"/>
        </w:rPr>
        <w:t xml:space="preserve"> (4th ed.). Sage.</w:t>
      </w:r>
    </w:p>
    <w:p w14:paraId="3E26725C"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Heigham, J., &amp; Croker, R. A. (Eds.). (2009). </w:t>
      </w:r>
      <w:r w:rsidRPr="00D00D7A">
        <w:rPr>
          <w:rFonts w:ascii="Times New Roman" w:hAnsi="Times New Roman" w:cs="Times New Roman"/>
          <w:i/>
          <w:iCs/>
        </w:rPr>
        <w:t>Qualitative research in applied linguistics: A practical introduction</w:t>
      </w:r>
      <w:r w:rsidRPr="00D00D7A">
        <w:rPr>
          <w:rFonts w:ascii="Times New Roman" w:hAnsi="Times New Roman" w:cs="Times New Roman"/>
        </w:rPr>
        <w:t>. Palgrave Macmillan.</w:t>
      </w:r>
    </w:p>
    <w:p w14:paraId="63FE0970"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Macaro, E., Curle, S., Pun, J., An, J., &amp; Dearden, J. (2018). A systematic review of English medium instruction in higher education. </w:t>
      </w:r>
      <w:r w:rsidRPr="00D00D7A">
        <w:rPr>
          <w:rFonts w:ascii="Times New Roman" w:hAnsi="Times New Roman" w:cs="Times New Roman"/>
          <w:i/>
          <w:iCs/>
        </w:rPr>
        <w:t>Language Teaching, 51</w:t>
      </w:r>
      <w:r w:rsidRPr="00D00D7A">
        <w:rPr>
          <w:rFonts w:ascii="Times New Roman" w:hAnsi="Times New Roman" w:cs="Times New Roman"/>
        </w:rPr>
        <w:t>(1), 36–76.</w:t>
      </w:r>
    </w:p>
    <w:p w14:paraId="23BCFB9C"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Ministry of Industry and Technology. (2025). </w:t>
      </w:r>
      <w:r w:rsidRPr="00D00D7A">
        <w:rPr>
          <w:rFonts w:ascii="Times New Roman" w:hAnsi="Times New Roman" w:cs="Times New Roman"/>
          <w:i/>
          <w:iCs/>
        </w:rPr>
        <w:t>Research on the socio-economic development ranking of provinces and regions (SEGE-2025)</w:t>
      </w:r>
      <w:r w:rsidRPr="00D00D7A">
        <w:rPr>
          <w:rFonts w:ascii="Times New Roman" w:hAnsi="Times New Roman" w:cs="Times New Roman"/>
        </w:rPr>
        <w:t xml:space="preserve"> [İllerin ve bölgelerin sosyo-ekonomik gelişmişlik sıralaması araştırması]. Republic of Türkiye Ministry of Industry and Technology.</w:t>
      </w:r>
    </w:p>
    <w:p w14:paraId="240D550F"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Riazi, A. M. (2016). </w:t>
      </w:r>
      <w:r w:rsidRPr="00D00D7A">
        <w:rPr>
          <w:rFonts w:ascii="Times New Roman" w:hAnsi="Times New Roman" w:cs="Times New Roman"/>
          <w:i/>
          <w:iCs/>
        </w:rPr>
        <w:t>The Routledge encyclopedia of research methods in applied linguistics: Quantitative, qualitative, and mixed-methods research</w:t>
      </w:r>
      <w:r w:rsidRPr="00D00D7A">
        <w:rPr>
          <w:rFonts w:ascii="Times New Roman" w:hAnsi="Times New Roman" w:cs="Times New Roman"/>
        </w:rPr>
        <w:t>. Routledge.</w:t>
      </w:r>
    </w:p>
    <w:p w14:paraId="2E84DB92" w14:textId="77777777" w:rsidR="00D00D7A" w:rsidRPr="00D00D7A" w:rsidRDefault="00D00D7A" w:rsidP="00D00D7A">
      <w:pPr>
        <w:rPr>
          <w:rFonts w:ascii="Times New Roman" w:hAnsi="Times New Roman" w:cs="Times New Roman"/>
        </w:rPr>
      </w:pPr>
      <w:r w:rsidRPr="00D00D7A">
        <w:rPr>
          <w:rFonts w:ascii="Times New Roman" w:hAnsi="Times New Roman" w:cs="Times New Roman"/>
        </w:rPr>
        <w:t xml:space="preserve">Turkish Statistical Institute. (2025). </w:t>
      </w:r>
      <w:r w:rsidRPr="00D00D7A">
        <w:rPr>
          <w:rFonts w:ascii="Times New Roman" w:hAnsi="Times New Roman" w:cs="Times New Roman"/>
          <w:i/>
          <w:iCs/>
        </w:rPr>
        <w:t>Population Statistics Portal: Population by age group</w:t>
      </w:r>
      <w:r w:rsidRPr="00D00D7A">
        <w:rPr>
          <w:rFonts w:ascii="Times New Roman" w:hAnsi="Times New Roman" w:cs="Times New Roman"/>
        </w:rPr>
        <w:t xml:space="preserve"> [Nüfus İstatistikleri Portalı: Yaş grubuna göre nüfus].</w:t>
      </w:r>
    </w:p>
    <w:p w14:paraId="07F946F5" w14:textId="1D687138" w:rsidR="007603FE" w:rsidRPr="00D00D7A" w:rsidRDefault="00D00D7A" w:rsidP="00D00D7A">
      <w:pPr>
        <w:rPr>
          <w:rFonts w:ascii="Times New Roman" w:hAnsi="Times New Roman" w:cs="Times New Roman"/>
        </w:rPr>
      </w:pPr>
      <w:r w:rsidRPr="00D00D7A">
        <w:rPr>
          <w:rFonts w:ascii="Times New Roman" w:hAnsi="Times New Roman" w:cs="Times New Roman"/>
        </w:rPr>
        <w:t>Yüksel, B., Altay, M., &amp; Curle, S. (2025). [Complete reference to be added according to the exact source details].</w:t>
      </w:r>
    </w:p>
    <w:sectPr w:rsidR="007603FE" w:rsidRPr="00D00D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531"/>
    <w:rsid w:val="00027566"/>
    <w:rsid w:val="0017534B"/>
    <w:rsid w:val="001E1D58"/>
    <w:rsid w:val="00235531"/>
    <w:rsid w:val="004C0CD6"/>
    <w:rsid w:val="00554005"/>
    <w:rsid w:val="007603FE"/>
    <w:rsid w:val="00763ECA"/>
    <w:rsid w:val="008626F0"/>
    <w:rsid w:val="009516E0"/>
    <w:rsid w:val="00BD0D04"/>
    <w:rsid w:val="00CD15F4"/>
    <w:rsid w:val="00D00D7A"/>
    <w:rsid w:val="00DC4206"/>
    <w:rsid w:val="00DD66C0"/>
    <w:rsid w:val="00E84719"/>
    <w:rsid w:val="00E86280"/>
    <w:rsid w:val="00F60104"/>
    <w:rsid w:val="00F65F1F"/>
    <w:rsid w:val="00F819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B584C"/>
  <w15:chartTrackingRefBased/>
  <w15:docId w15:val="{14CD492F-0F7F-4DE3-9F58-DCF864298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basedOn w:val="Normal"/>
    <w:next w:val="Normal"/>
    <w:link w:val="Balk1Char"/>
    <w:uiPriority w:val="9"/>
    <w:qFormat/>
    <w:rsid w:val="00235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35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3553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3553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3553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3553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3553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3553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3553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3553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3553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3553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3553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3553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3553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3553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3553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35531"/>
    <w:rPr>
      <w:rFonts w:eastAsiaTheme="majorEastAsia" w:cstheme="majorBidi"/>
      <w:color w:val="272727" w:themeColor="text1" w:themeTint="D8"/>
    </w:rPr>
  </w:style>
  <w:style w:type="paragraph" w:styleId="KonuBal">
    <w:name w:val="Title"/>
    <w:basedOn w:val="Normal"/>
    <w:next w:val="Normal"/>
    <w:link w:val="KonuBalChar"/>
    <w:uiPriority w:val="10"/>
    <w:qFormat/>
    <w:rsid w:val="00235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3553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3553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3553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3553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35531"/>
    <w:rPr>
      <w:i/>
      <w:iCs/>
      <w:color w:val="404040" w:themeColor="text1" w:themeTint="BF"/>
    </w:rPr>
  </w:style>
  <w:style w:type="paragraph" w:styleId="ListeParagraf">
    <w:name w:val="List Paragraph"/>
    <w:basedOn w:val="Normal"/>
    <w:uiPriority w:val="34"/>
    <w:qFormat/>
    <w:rsid w:val="00235531"/>
    <w:pPr>
      <w:ind w:left="720"/>
      <w:contextualSpacing/>
    </w:pPr>
  </w:style>
  <w:style w:type="character" w:styleId="GlVurgulama">
    <w:name w:val="Intense Emphasis"/>
    <w:basedOn w:val="VarsaylanParagrafYazTipi"/>
    <w:uiPriority w:val="21"/>
    <w:qFormat/>
    <w:rsid w:val="00235531"/>
    <w:rPr>
      <w:i/>
      <w:iCs/>
      <w:color w:val="0F4761" w:themeColor="accent1" w:themeShade="BF"/>
    </w:rPr>
  </w:style>
  <w:style w:type="paragraph" w:styleId="GlAlnt">
    <w:name w:val="Intense Quote"/>
    <w:basedOn w:val="Normal"/>
    <w:next w:val="Normal"/>
    <w:link w:val="GlAlntChar"/>
    <w:uiPriority w:val="30"/>
    <w:qFormat/>
    <w:rsid w:val="00235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35531"/>
    <w:rPr>
      <w:i/>
      <w:iCs/>
      <w:color w:val="0F4761" w:themeColor="accent1" w:themeShade="BF"/>
    </w:rPr>
  </w:style>
  <w:style w:type="character" w:styleId="GlBavuru">
    <w:name w:val="Intense Reference"/>
    <w:basedOn w:val="VarsaylanParagrafYazTipi"/>
    <w:uiPriority w:val="32"/>
    <w:qFormat/>
    <w:rsid w:val="00235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1979</Words>
  <Characters>12172</Characters>
  <Application>Microsoft Office Word</Application>
  <DocSecurity>0</DocSecurity>
  <Lines>169</Lines>
  <Paragraphs>47</Paragraphs>
  <ScaleCrop>false</ScaleCrop>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ALTAY</dc:creator>
  <cp:keywords/>
  <dc:description/>
  <cp:lastModifiedBy>Mehmet ALTAY</cp:lastModifiedBy>
  <cp:revision>3</cp:revision>
  <dcterms:created xsi:type="dcterms:W3CDTF">2026-03-08T14:22:00Z</dcterms:created>
  <dcterms:modified xsi:type="dcterms:W3CDTF">2026-03-08T14:51:00Z</dcterms:modified>
</cp:coreProperties>
</file>