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Adaptive Computerized Dynamic Assessment: Synthesizing Eye-Tracking and Reader Profiles for Inclusive English Reading Comprehension</w:t>
      </w:r>
    </w:p>
    <w:p>
      <w:pPr>
        <w:jc w:val="center"/>
      </w:pPr>
      <w:r>
        <w:rPr>
          <w:i/>
        </w:rPr>
        <w:t>Full Research Proposal — Cambridge English Funded Research Programme (Round 14)</w:t>
      </w:r>
    </w:p>
    <w:p>
      <w:pPr>
        <w:pStyle w:val="Heading1"/>
      </w:pPr>
      <w:r>
        <w:t>Alignment with the Round 14 call</w:t>
      </w:r>
    </w:p>
    <w:p>
      <w:r>
        <w:t>This proposal responds to the Round 14 theme of exploring emerging constructs in language assessment by operationalising “construct-relevant process evidence” alongside product scores. Rather than treating comprehension as a single latent trait inferred only from item responses, the project models reading as a dynamic interaction among text features, learner profiles, and moment-to-moment processing behaviours that can be indexed through eye-movement metrics and responsiveness to calibrated mediation. The design therefore targets construct representation and explanatory fairness in digital reading assessment: it connects observable processing signatures to adaptive scaffolding aligned with the Zone of Proximal Development (ZPD), supporting more inclusive inferences for diverse EFL readers.</w:t>
      </w:r>
    </w:p>
    <w:p>
      <w:pPr>
        <w:pStyle w:val="Heading1"/>
      </w:pPr>
      <w:r>
        <w:t>Background and context of the study</w:t>
      </w:r>
    </w:p>
    <w:p>
      <w:r>
        <w:t>Over a decade ago, McNamara (2014) argued that language assessment was facing a moment of crisis, driven by technological advances and shifting communicative realities. Today, that call for re-evaluation is more urgent. As educational landscapes evolve, assessment must move from static snapshots toward innovative, inclusive practices that reflect the complexity of learning. A productive framework is Vygotskyan Dynamic Assessment (DA), which reconceptualises testing and teaching as a single, dialectically integrated activity (Lantolf &amp; Poehner, 2010; Poehner &amp; Wang, 2021). Rooted in sociocultural theory and the ZPD, DA integrates assessment and instruction so that the goal is not only to measure independent performance but to evaluate emerging abilities through cooperative mediation (Poehner &amp; Lantolf, 2005). In EFL reading comprehension, DA identifies where a reader struggles and provides immediate, calibrated support.</w:t>
        <w:br/>
        <w:br/>
        <w:t>Historically, DA divides into Interactionist and Interventionist traditions (Lantolf &amp; Poehner, 2004). Interactionist DA is highly responsive but labour-intensive; Interventionist DA scales through standardised prompts. Computerised formats (C-DA) extend Interventionist models to larger cohorts (Poehner et al., 2015). Recent work on hybrid computerised DA further shows how principled mediation design can combine interactionist insights with scalable delivery in L2 reading contexts (Jin &amp; Liu, 2024). However, conventional C-DA still largely delivers fixed mediation sequences and therefore under-uses information about how individual learners process text in real time.</w:t>
        <w:br/>
        <w:br/>
        <w:t>Eye-tracking provides millisecond-level evidence of allocation of attention during reading and has become a mainstream complement to outcome measures in second language research (Godfroid, Winke, &amp; Conklin, 2020). Large-scale corpora such as MECO L2 also demonstrate substantial heterogeneity in the determinants of L2 reading fluency versus comprehension accuracy across diverse L1 backgrounds, underscoring the need for assessment models that recognise multiple reader profiles rather than a single developmental pathway (Kuperman et al., 2023). Integrating eye-movement features with reader profiles therefore offers a credible route toward adaptive mediation without requiring continuous human–learner dialogues.</w:t>
        <w:br/>
        <w:br/>
        <w:t>From a validity standpoint, the proposal treats process data as auxiliary evidence that constrains interpretation of mediated performance: gaze indices are not proposed as standalone proficiency scores, but as evidence that helps explain why particular mediations are warranted for particular learners on particular items. This distinction matters for programme priorities around fairness and transparency in digital assessment, where claims about “emerging abilities” should be traceable to observable behaviours and principled mediation rules (Poehner &amp; Wang, 2021).</w:t>
      </w:r>
    </w:p>
    <w:p>
      <w:pPr>
        <w:pStyle w:val="Heading1"/>
      </w:pPr>
      <w:r>
        <w:t>Research gap</w:t>
      </w:r>
    </w:p>
    <w:p>
      <w:r>
        <w:t>A critical gap separates the scalability of Interventionist C-DA from the responsiveness of Interactionist DA. Current platforms rarely use continuous process evidence to adapt mediation; cues typically follow predetermined ladders. Parallel gaps exist between product-only scoring and construct-relevant process data that can explain why a response is (in)correct for a given learner.</w:t>
        <w:br/>
        <w:br/>
        <w:t>This project proposes Adaptive Interventionist Dynamic Assessment (A-IDA): a synthesis in which eye-tracking metrics and reader-profile classifications jointly trigger individualised scaffolding during computerised reading tests. The objective is to approximate the diagnostic richness of interactionist mediation within a scalable workflow suitable for empirical comparison against traditional C-DA and non-mediated control conditions.</w:t>
      </w:r>
    </w:p>
    <w:p>
      <w:pPr>
        <w:pStyle w:val="Heading1"/>
      </w:pPr>
      <w:r>
        <w:t>Research questions</w:t>
      </w:r>
    </w:p>
    <w:p>
      <w:r>
        <w:t>1. Are there significant differences in reading comprehension outcomes and response times among participants assigned to A-IDA, a traditional computerised Interventionist DA sequence, and a non-mediated control condition?</w:t>
        <w:br/>
        <w:br/>
        <w:t>2. How do comprehension outcomes and response times vary across reader profiles (e.g., highly competent, effortful, challenged) under A-IDA compared with traditional C-DA?</w:t>
        <w:br/>
        <w:br/>
        <w:t>3. What relationships obtain between eye-movement parameters (e.g., fixation measures, regressive saccades) and the type and frequency of scaffolding cues triggered during testing?</w:t>
      </w:r>
    </w:p>
    <w:p>
      <w:pPr>
        <w:pStyle w:val="Heading1"/>
      </w:pPr>
      <w:r>
        <w:t>Research design</w:t>
      </w:r>
    </w:p>
    <w:p>
      <w:r>
        <w:t>The study follows design-based research (DBR) using the ADDIE cycle (Analysis, Design, Development, Implementation, Evaluation) to build, pilot, and refine A-IDA across iterative micro-cycles. DBR is appropriate because the artefact (an adaptive testing interface) and its instrumentation are co-developed with evidence from authentic learner use (McNamara, 2014; Poehner &amp; Wang, 2021).</w:t>
        <w:br/>
        <w:br/>
        <w:t>Figure 1 summarises the processing architecture. In live operation, gaze streams are segmented into fixations and saccades; features feed a profile-aware decision layer that selects mediation from a validated bank mapped to item-level skills (e.g., inferencing, cohesion). This figure should appear as a simple flowchart in the final Word file (Insert → SmartArt → Process, or an exported diagram from your design tool).</w:t>
        <w:br/>
        <w:br/>
        <w:t>Table 1 outlines a 12-month timeline aligned to the programme window (December 2026–December 2027). Months are indicative; exact dates will be anchored to institutional calendars and ethics approval.</w:t>
      </w:r>
    </w:p>
    <w:p/>
    <w:tbl>
      <w:tblPr>
        <w:tblW w:type="auto" w:w="0"/>
        <w:tblLook w:firstColumn="1" w:firstRow="1" w:lastColumn="0" w:lastRow="0" w:noHBand="0" w:noVBand="1" w:val="04A0"/>
      </w:tblPr>
      <w:tblGrid>
        <w:gridCol w:w="2160"/>
        <w:gridCol w:w="2160"/>
        <w:gridCol w:w="2160"/>
        <w:gridCol w:w="2160"/>
      </w:tblGrid>
      <w:tr>
        <w:tc>
          <w:tcPr>
            <w:tcW w:type="dxa" w:w="2160"/>
          </w:tcPr>
          <w:p>
            <w:r>
              <w:t>Phase (ADDIE)</w:t>
            </w:r>
          </w:p>
        </w:tc>
        <w:tc>
          <w:tcPr>
            <w:tcW w:type="dxa" w:w="2160"/>
          </w:tcPr>
          <w:p>
            <w:r>
              <w:t>Period</w:t>
            </w:r>
          </w:p>
        </w:tc>
        <w:tc>
          <w:tcPr>
            <w:tcW w:type="dxa" w:w="2160"/>
          </w:tcPr>
          <w:p>
            <w:r>
              <w:t>Primary outputs</w:t>
            </w:r>
          </w:p>
        </w:tc>
        <w:tc>
          <w:tcPr>
            <w:tcW w:type="dxa" w:w="2160"/>
          </w:tcPr>
          <w:p>
            <w:r>
              <w:t>Evaluation focus</w:t>
            </w:r>
          </w:p>
        </w:tc>
      </w:tr>
      <w:tr>
        <w:tc>
          <w:tcPr>
            <w:tcW w:type="dxa" w:w="2160"/>
          </w:tcPr>
          <w:p>
            <w:r>
              <w:t>Analysis</w:t>
            </w:r>
          </w:p>
        </w:tc>
        <w:tc>
          <w:tcPr>
            <w:tcW w:type="dxa" w:w="2160"/>
          </w:tcPr>
          <w:p>
            <w:r>
              <w:t>Dec 2026 – Jan 2027</w:t>
            </w:r>
          </w:p>
        </w:tc>
        <w:tc>
          <w:tcPr>
            <w:tcW w:type="dxa" w:w="2160"/>
          </w:tcPr>
          <w:p>
            <w:r>
              <w:t>Needs analysis; risk register; mediation taxonomy draft</w:t>
            </w:r>
          </w:p>
        </w:tc>
        <w:tc>
          <w:tcPr>
            <w:tcW w:type="dxa" w:w="2160"/>
          </w:tcPr>
          <w:p>
            <w:r>
              <w:t>Construct map ↔ Cambridge item types</w:t>
            </w:r>
          </w:p>
        </w:tc>
      </w:tr>
      <w:tr>
        <w:tc>
          <w:tcPr>
            <w:tcW w:type="dxa" w:w="2160"/>
          </w:tcPr>
          <w:p>
            <w:r>
              <w:t>Design</w:t>
            </w:r>
          </w:p>
        </w:tc>
        <w:tc>
          <w:tcPr>
            <w:tcW w:type="dxa" w:w="2160"/>
          </w:tcPr>
          <w:p>
            <w:r>
              <w:t>Feb – Mar 2027</w:t>
            </w:r>
          </w:p>
        </w:tc>
        <w:tc>
          <w:tcPr>
            <w:tcW w:type="dxa" w:w="2160"/>
          </w:tcPr>
          <w:p>
            <w:r>
              <w:t>Wireframes; cue database v1; pilot items; preregistration plan</w:t>
            </w:r>
          </w:p>
        </w:tc>
        <w:tc>
          <w:tcPr>
            <w:tcW w:type="dxa" w:w="2160"/>
          </w:tcPr>
          <w:p>
            <w:r>
              <w:t>Expert panel review (n = 5)</w:t>
            </w:r>
          </w:p>
        </w:tc>
      </w:tr>
      <w:tr>
        <w:tc>
          <w:tcPr>
            <w:tcW w:type="dxa" w:w="2160"/>
          </w:tcPr>
          <w:p>
            <w:r>
              <w:t>Development</w:t>
            </w:r>
          </w:p>
        </w:tc>
        <w:tc>
          <w:tcPr>
            <w:tcW w:type="dxa" w:w="2160"/>
          </w:tcPr>
          <w:p>
            <w:r>
              <w:t>Apr – Jul 2027</w:t>
            </w:r>
          </w:p>
        </w:tc>
        <w:tc>
          <w:tcPr>
            <w:tcW w:type="dxa" w:w="2160"/>
          </w:tcPr>
          <w:p>
            <w:r>
              <w:t>EyeLink–PsychoPy/PyQt integration; real-time feature pipeline; classifier v1</w:t>
            </w:r>
          </w:p>
        </w:tc>
        <w:tc>
          <w:tcPr>
            <w:tcW w:type="dxa" w:w="2160"/>
          </w:tcPr>
          <w:p>
            <w:r>
              <w:t>Latency benchmarks; debugging logs</w:t>
            </w:r>
          </w:p>
        </w:tc>
      </w:tr>
      <w:tr>
        <w:tc>
          <w:tcPr>
            <w:tcW w:type="dxa" w:w="2160"/>
          </w:tcPr>
          <w:p>
            <w:r>
              <w:t>Implementation</w:t>
            </w:r>
          </w:p>
        </w:tc>
        <w:tc>
          <w:tcPr>
            <w:tcW w:type="dxa" w:w="2160"/>
          </w:tcPr>
          <w:p>
            <w:r>
              <w:t>Aug – Sep 2027</w:t>
            </w:r>
          </w:p>
        </w:tc>
        <w:tc>
          <w:tcPr>
            <w:tcW w:type="dxa" w:w="2160"/>
          </w:tcPr>
          <w:p>
            <w:r>
              <w:t>Pilot (n ≈ 20–30); refine mediation rules</w:t>
            </w:r>
          </w:p>
        </w:tc>
        <w:tc>
          <w:tcPr>
            <w:tcW w:type="dxa" w:w="2160"/>
          </w:tcPr>
          <w:p>
            <w:r>
              <w:t>Usability; mediation validity checks</w:t>
            </w:r>
          </w:p>
        </w:tc>
      </w:tr>
      <w:tr>
        <w:tc>
          <w:tcPr>
            <w:tcW w:type="dxa" w:w="2160"/>
          </w:tcPr>
          <w:p>
            <w:r>
              <w:t>Evaluation</w:t>
            </w:r>
          </w:p>
        </w:tc>
        <w:tc>
          <w:tcPr>
            <w:tcW w:type="dxa" w:w="2160"/>
          </w:tcPr>
          <w:p>
            <w:r>
              <w:t>Oct – Dec 2027</w:t>
            </w:r>
          </w:p>
        </w:tc>
        <w:tc>
          <w:tcPr>
            <w:tcW w:type="dxa" w:w="2160"/>
          </w:tcPr>
          <w:p>
            <w:r>
              <w:t>Main study; analysis; report; dissemination package</w:t>
            </w:r>
          </w:p>
        </w:tc>
        <w:tc>
          <w:tcPr>
            <w:tcW w:type="dxa" w:w="2160"/>
          </w:tcPr>
          <w:p>
            <w:r>
              <w:t>Effect sizes; process–outcome models</w:t>
            </w:r>
          </w:p>
        </w:tc>
      </w:tr>
    </w:tbl>
    <w:p/>
    <w:p>
      <w:r>
        <w:t>Figure 1. A-IDA live cycle: gaze acquisition → event detection (fixations, regressions) → profile-aware mediation selection → delivery via the testing UI → logged outcomes for analysis.</w:t>
      </w:r>
    </w:p>
    <w:p>
      <w:pPr>
        <w:pStyle w:val="Heading1"/>
      </w:pPr>
      <w:r>
        <w:t>Methodology</w:t>
      </w:r>
    </w:p>
    <w:p>
      <w:pPr>
        <w:pStyle w:val="Heading2"/>
      </w:pPr>
      <w:r>
        <w:t>Rationale for proposed methods</w:t>
      </w:r>
    </w:p>
    <w:p>
      <w:r>
        <w:t>Eye-tracking is included because it captures how comprehension unfolds, not only whether an item is answered correctly (Godfroid, Winke, &amp; Conklin, 2020). Fixation- and regression-based features provide proxies for difficulty and strategic reanalysis that can be computed within trial windows compatible with mediated items. Profile classification (Alexander, 2005; Dinsmore et al., 2018) supplies stable priors that prevent overfitting idiosyncratic noise in gaze data. The learning potential score (LPS) framework remains appropriate because it quantifies responsiveness to mediation relative to unassisted performance (Poehner et al., 2015). Finally, scikit-learn decision rules offer an interpretable first-generation mapping from features to mediation levels—transparent to auditors and teachers—while remaining fast enough for classroom/lab deployment; more complex models can be explored in later iterations once trace data are logged.</w:t>
      </w:r>
    </w:p>
    <w:p>
      <w:pPr>
        <w:pStyle w:val="Heading2"/>
      </w:pPr>
      <w:r>
        <w:t>Participants and research team</w:t>
      </w:r>
    </w:p>
    <w:p>
      <w:r>
        <w:t>Participants will be EFL undergraduates enrolled in English-medium coursework at a public university in Türkiye. A vocabulary-size screening will target intermediate–upper intermediate readers (approximately 5,000–6,000 word families) to align texts with Cambridge-level tasks. Reader profiles will be operationalised using the Alexander (2005) competence framework as informed by interest/prior knowledge indicators (Dinsmore et al., 2018). Target recruitment for the main phase is approximately 60–90 participants (20–30 per arm), with a preceding pilot to stabilise mediation thresholds. The team includes applied linguists/assessment researchers and a software engineer responsible for the adaptive interface, aligning with Jin and Liu’s (2024) emphasis on principled mediation design in computerised DA.</w:t>
      </w:r>
    </w:p>
    <w:p>
      <w:pPr>
        <w:pStyle w:val="Heading2"/>
      </w:pPr>
      <w:r>
        <w:t>Instruments and data collection</w:t>
      </w:r>
    </w:p>
    <w:p>
      <w:r>
        <w:t>Reading materials and items will be drawn from validated Cambridge English examinations (e.g., B2 First, C1 Advanced, or IELTS Academic reading), ensuring construct alignment with Cambridge constructs and score interpretations. An expert panel (five applied linguists) will review text–mediation coupling before pilots.</w:t>
        <w:br/>
        <w:br/>
        <w:t>Eye-tracking will use the SR Research EyeLink Portable Duo already available in the lab. The software stack (pylink, PsychoPy, PyQt5; NumPy/Pandas for online feature extraction) prioritises timing fidelity and reproducibility. Mediation banks will follow graduated prompting consistent with Interventionist DA while allowing profile-conditioned branches—an implementation parallel to hybrid C-DA rationales (Jin &amp; Liu, 2024).</w:t>
      </w:r>
    </w:p>
    <w:p>
      <w:pPr>
        <w:pStyle w:val="Heading2"/>
      </w:pPr>
      <w:r>
        <w:t>Procedure and analysis</w:t>
      </w:r>
    </w:p>
    <w:p>
      <w:r>
        <w:t>Participants will be randomly assigned to A-IDA, standard C-DA, or control. Dependent variables include accuracy, response time, mediation level required, and LPS contrasts. Omnibus tests (e.g., one-way ANOVA or robust alternatives if assumptions fail) will compare arms; exploratory moderation by reader profile will use factorial or regression models; relationships between gaze features and mediation will be examined via correlational and regression frameworks, with multiple-comparison control as appropriate.</w:t>
        <w:br/>
        <w:br/>
        <w:t>Ethics: institutional ethics approval, informed consent, right to withdraw, secure storage of gaze and behavioural logs, and clear protocols for incidental findings. Data management will follow least-privilege access and pseudonymised identifiers.</w:t>
        <w:br/>
        <w:br/>
        <w:t>Limitations and delimitations: eye-tracking requires laboratory-quality calibration; findings will generalise first to similar proficiency bands and task types rather than all Cambridge products. Mediation rules will be versioned (A-IDA v1) to support replication. Finally, while the decision layer begins with interpretable rules, future work may explore richer sequence models under strict governance for high-stakes use.</w:t>
        <w:br/>
        <w:br/>
        <w:t>Transparency outputs: alongside peer-targeted dissemination, the team will prepare a mediation codebook (cue functions, triggering thresholds, and profile logic), anonymised analysis scripts, and a summary of alignment between gaze features and item-level skills. Where copyright permits, de-identified process aggregates may be shared to support secondary analysis; otherwise, synthetic illustrations will document the approach for Cambridge stakeholders.</w:t>
      </w:r>
    </w:p>
    <w:p>
      <w:pPr>
        <w:pStyle w:val="Heading1"/>
      </w:pPr>
      <w:r>
        <w:t>Potential implications for Cambridge University Press &amp; Assessment and the wider field</w:t>
      </w:r>
    </w:p>
    <w:p>
      <w:r>
        <w:t>For Cambridge English, the project offers a research pathway toward digital assessments and learning products that combine high-quality items with transparent, profile-sensitive feedback—supporting fairness arguments where learners differ in processing signatures yet demonstrate similar emerging abilities when appropriately mediated. Because materials come from Cambridge examinations, results can speak directly to how diverse profiles engage with existing tasks, informing future item development and automated tutoring overlays. If process-sensitive mediation improves score meaning without inflating construct-irrelevant variance, the model also aligns with programme interests in assessment for learning and responsible innovation in computer-delivered testing.</w:t>
        <w:br/>
        <w:br/>
        <w:t>For the wider field, the work contributes an empirically grounded synthesis of DA, eye-tracking process data, and adaptive testing. It demonstrates how “emerging construct” claims can be evidenced through linked process–product modelling rather than outcome-only inference (cf. Kuperman et al., 2023; Poehner &amp; Wang, 2021). Finally, documenting mediation rules and gaze-derived features advances open, auditable pathways for inclusive assessment design beyond one-size-fits-all adaptive algorithms, including potential transfer of cueing logic to settings where specialised hardware is unavailable (e.g., using simplified behavioural proxies in standard computer-based tests).</w:t>
      </w:r>
    </w:p>
    <w:p>
      <w:pPr>
        <w:pStyle w:val="Heading1"/>
      </w:pPr>
      <w:r>
        <w:t>References</w:t>
      </w:r>
    </w:p>
    <w:p>
      <w:pPr>
        <w:ind w:left="360" w:hanging="360"/>
      </w:pPr>
      <w:r>
        <w:t>Alexander, P. A. (2005). The path to competence: A lifespan developmental perspective on reading. Journal of Literacy Research, 37(4), 413–436.</w:t>
      </w:r>
    </w:p>
    <w:p>
      <w:pPr>
        <w:ind w:left="360" w:hanging="360"/>
      </w:pPr>
      <w:r>
        <w:t>Dinsmore, D. L., Fox, E., Parkinson, M. M., &amp; Bilgili, F. (2018). The interplay of prior knowledge, interest, and reading comprehension. Learning and Individual Differences, 65, 477–490.</w:t>
      </w:r>
    </w:p>
    <w:p>
      <w:pPr>
        <w:ind w:left="360" w:hanging="360"/>
      </w:pPr>
      <w:r>
        <w:t>Godfroid, A., Winke, P., &amp; Conklin, K. (2020). Exploring the depths of second language processing with eye tracking: An introduction. Second Language Research, 36(3), 243–256. https://doi.org/10.1177/0267658320922578</w:t>
      </w:r>
    </w:p>
    <w:p>
      <w:pPr>
        <w:ind w:left="360" w:hanging="360"/>
      </w:pPr>
      <w:r>
        <w:t>Jin, C., &amp; Liu, Y. (2024). Diagnosing and promoting learners’ L2 inferential reading development through hybrid computerised dynamic assessment in the Chinese EFL classroom. Computer Assisted Language Learning. Advance online publication. https://doi.org/10.1080/09588221.2024.2421521</w:t>
      </w:r>
    </w:p>
    <w:p>
      <w:pPr>
        <w:ind w:left="360" w:hanging="360"/>
      </w:pPr>
      <w:r>
        <w:t>Kozulin, A., &amp; Garb, E. (2002). Dynamic assessment of EFL text comprehension. School Psychology International, 23(1), 112–127.</w:t>
      </w:r>
    </w:p>
    <w:p>
      <w:pPr>
        <w:ind w:left="360" w:hanging="360"/>
      </w:pPr>
      <w:r>
        <w:t>Kuperman, V., Siegelman, N., Schroeder, S., Acartürk, C., Alexeeva, S., Amenta, S., Bertram, R., Bonandrini, R., Brysbaert, M., Chernova, D., Da Fonseca, S. M., Dirix, N., Duyck, W., Fella, A., Frost, R., Gattei, C. A., Kalaitzi, A., Lõo, K., Marelli, M., … Usal, K. A. (2023). Text reading in English as a second language: Evidence from the Multilingual Eye-Movements Corpus. Studies in Second Language Acquisition, 45(1), 3–37. https://doi.org/10.1017/S0272263121000954</w:t>
      </w:r>
    </w:p>
    <w:p>
      <w:pPr>
        <w:ind w:left="360" w:hanging="360"/>
      </w:pPr>
      <w:r>
        <w:t>Lantolf, J. P., &amp; Poehner, M. E. (2004). Dynamic assessment of L2 development: Bringing the past into the future. Journal of Applied Linguistics, 1(1), 49–72.</w:t>
      </w:r>
    </w:p>
    <w:p>
      <w:pPr>
        <w:ind w:left="360" w:hanging="360"/>
      </w:pPr>
      <w:r>
        <w:t>Lantolf, J. P., &amp; Poehner, M. E. (2010). Dynamic assessment in the classroom: Vygotskian praxis for second language development. Language Teaching Research, 15(1), 11–33.</w:t>
      </w:r>
    </w:p>
    <w:p>
      <w:pPr>
        <w:ind w:left="360" w:hanging="360"/>
      </w:pPr>
      <w:r>
        <w:t>McNamara, T. (2014). 30 years on—Evolution or revolution? Language Assessment Quarterly, 11(2), 226–232.</w:t>
      </w:r>
    </w:p>
    <w:p>
      <w:pPr>
        <w:ind w:left="360" w:hanging="360"/>
      </w:pPr>
      <w:r>
        <w:t>Poehner, M. E., &amp; Lantolf, J. P. (2005). Dynamic assessment in the language classroom. Language Teaching Research, 9(3), 233–265.</w:t>
      </w:r>
    </w:p>
    <w:p>
      <w:pPr>
        <w:ind w:left="360" w:hanging="360"/>
      </w:pPr>
      <w:r>
        <w:t>Poehner, M. E., &amp; Lantolf, J. P. (2013). Bringing the ZPD into the equation: Capturing L2 development during Computerized Dynamic Assessment (C-DA). Language Teaching Research, 17(3), 323–342.</w:t>
      </w:r>
    </w:p>
    <w:p>
      <w:pPr>
        <w:ind w:left="360" w:hanging="360"/>
      </w:pPr>
      <w:r>
        <w:t>Poehner, M. E., &amp; Wang, Z. (2021). Dynamic Assessment and second language development. Language Teaching, 54(4), 472–490. https://doi.org/10.1017/S0261444820000555</w:t>
      </w:r>
    </w:p>
    <w:p>
      <w:pPr>
        <w:ind w:left="360" w:hanging="360"/>
      </w:pPr>
      <w:r>
        <w:t>Poehner, M. E., Zhang, J., &amp; Lu, X. (2015). Computerized dynamic assessment (C-DA): Diagnosing L2 development according to learner responsiveness to mediation. Language Testing, 32(3), 337–357.</w:t>
      </w:r>
    </w:p>
    <w:p>
      <w:pPr>
        <w:ind w:left="360" w:hanging="360"/>
      </w:pPr>
      <w:r>
        <w:t>Vygotsky, L. S. (1978). Mind in society: The development of higher psychological processes. Harvard University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