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3865" w14:textId="77777777" w:rsidR="00BA5251" w:rsidRPr="00F549B3" w:rsidRDefault="00000000">
      <w:pPr>
        <w:pStyle w:val="Balk1"/>
        <w:rPr>
          <w:rFonts w:ascii="Times New Roman" w:hAnsi="Times New Roman" w:cs="Times New Roman"/>
          <w:sz w:val="24"/>
          <w:szCs w:val="24"/>
        </w:rPr>
      </w:pPr>
      <w:bookmarkStart w:id="0" w:name="Xc473967ff68449734f4dd3aceac25c57ce5e578"/>
      <w:r w:rsidRPr="00F549B3">
        <w:rPr>
          <w:rFonts w:ascii="Times New Roman" w:hAnsi="Times New Roman" w:cs="Times New Roman"/>
          <w:sz w:val="24"/>
          <w:szCs w:val="24"/>
        </w:rPr>
        <w:t>Equity, Diversity, and Inclusion in English- and Turkish-Medium Undergraduate Placements in Türkiye: National Evidence from Administrative Data (2023–2025)</w:t>
      </w:r>
    </w:p>
    <w:p w14:paraId="12BB5B0D"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i/>
          <w:iCs/>
        </w:rPr>
        <w:t>Draft journal article. Target length including references, tables, and abstract: approximately 8,000 words or less.</w:t>
      </w:r>
    </w:p>
    <w:p w14:paraId="38A0CBD4" w14:textId="77777777" w:rsidR="00BA5251" w:rsidRPr="00F549B3" w:rsidRDefault="0091725F">
      <w:pPr>
        <w:rPr>
          <w:rFonts w:ascii="Times New Roman" w:hAnsi="Times New Roman" w:cs="Times New Roman"/>
        </w:rPr>
      </w:pPr>
      <w:r w:rsidRPr="0091725F">
        <w:rPr>
          <w:rFonts w:ascii="Times New Roman" w:hAnsi="Times New Roman" w:cs="Times New Roman"/>
          <w:noProof/>
        </w:rPr>
        <w:pict w14:anchorId="23C6D077">
          <v:rect id="_x0000_i1033" alt="" style="width:453.6pt;height:.05pt;mso-width-percent:0;mso-height-percent:0;mso-width-percent:0;mso-height-percent:0" o:hralign="center" o:hrstd="t" o:hr="t"/>
        </w:pict>
      </w:r>
    </w:p>
    <w:p w14:paraId="0BB85025" w14:textId="77777777" w:rsidR="00BA5251" w:rsidRPr="00F549B3" w:rsidRDefault="00000000">
      <w:pPr>
        <w:pStyle w:val="Balk2"/>
        <w:rPr>
          <w:rFonts w:ascii="Times New Roman" w:hAnsi="Times New Roman" w:cs="Times New Roman"/>
          <w:sz w:val="24"/>
          <w:szCs w:val="24"/>
        </w:rPr>
      </w:pPr>
      <w:bookmarkStart w:id="1" w:name="abstract"/>
      <w:r w:rsidRPr="00F549B3">
        <w:rPr>
          <w:rFonts w:ascii="Times New Roman" w:hAnsi="Times New Roman" w:cs="Times New Roman"/>
          <w:sz w:val="24"/>
          <w:szCs w:val="24"/>
        </w:rPr>
        <w:t>Abstract</w:t>
      </w:r>
    </w:p>
    <w:p w14:paraId="38E763E6"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English-medium instruction (EMI) in Türkiye has expanded alongside internationalisation, yet limited evidence shows whether EMI </w:t>
      </w:r>
      <w:r w:rsidRPr="00F549B3">
        <w:rPr>
          <w:rFonts w:ascii="Times New Roman" w:hAnsi="Times New Roman" w:cs="Times New Roman"/>
          <w:i/>
          <w:iCs/>
        </w:rPr>
        <w:t>replicates</w:t>
      </w:r>
      <w:r w:rsidRPr="00F549B3">
        <w:rPr>
          <w:rFonts w:ascii="Times New Roman" w:hAnsi="Times New Roman" w:cs="Times New Roman"/>
        </w:rPr>
        <w:t xml:space="preserve"> or </w:t>
      </w:r>
      <w:r w:rsidRPr="00F549B3">
        <w:rPr>
          <w:rFonts w:ascii="Times New Roman" w:hAnsi="Times New Roman" w:cs="Times New Roman"/>
          <w:i/>
          <w:iCs/>
        </w:rPr>
        <w:t>reshapes</w:t>
      </w:r>
      <w:r w:rsidRPr="00F549B3">
        <w:rPr>
          <w:rFonts w:ascii="Times New Roman" w:hAnsi="Times New Roman" w:cs="Times New Roman"/>
        </w:rPr>
        <w:t xml:space="preserve"> access for diverse students relative to Turkish-medium instruction (TMI). Framed by equity, diversity, and inclusion (EDI), this study analyses nationally standardised placement data (YÖK Atlas, 2023–2025) for undergraduate EMI and TMI programmes, excluding language-focused degrees to preserve a content-EMI definition. Indicators are gender, disability among placed students, and provincial socioeconomic tier (SEGE-2025), with tier-level 15–24 population denominators (TURKSTAT). EMI intakes were near gender parity while TMI showed a stable female majority; disability representation was very low in both tracks and lower in EMI throughout; EMI placements concentrated in the highest socioeconomic tier, with weaker population-adjusted reach in lower tiers than TMI. The article contributes national, placement-level evidence on who enters EMI versus TMI—complementing classroom- and achievement-focused EMI research—and discusses implications for monitoring, widening participation, and inclusive EMI policy. Complementary qualitative analysis of student accounts is reported as it becomes available.</w:t>
      </w:r>
    </w:p>
    <w:p w14:paraId="1FF03AD5"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Keywords:</w:t>
      </w:r>
      <w:r w:rsidRPr="00F549B3">
        <w:rPr>
          <w:rFonts w:ascii="Times New Roman" w:hAnsi="Times New Roman" w:cs="Times New Roman"/>
        </w:rPr>
        <w:t xml:space="preserve"> English-medium instruction; Turkish-medium instruction; equity; inclusion; disability; socioeconomic development; Türkiye; higher education placement; administrative data</w:t>
      </w:r>
    </w:p>
    <w:p w14:paraId="5E0DD3C5" w14:textId="77777777" w:rsidR="00BA5251" w:rsidRPr="00F549B3" w:rsidRDefault="0091725F">
      <w:pPr>
        <w:rPr>
          <w:rFonts w:ascii="Times New Roman" w:hAnsi="Times New Roman" w:cs="Times New Roman"/>
        </w:rPr>
      </w:pPr>
      <w:r w:rsidRPr="0091725F">
        <w:rPr>
          <w:rFonts w:ascii="Times New Roman" w:hAnsi="Times New Roman" w:cs="Times New Roman"/>
          <w:noProof/>
        </w:rPr>
        <w:pict w14:anchorId="1D43599B">
          <v:rect id="_x0000_i1032" alt="" style="width:453.6pt;height:.05pt;mso-width-percent:0;mso-height-percent:0;mso-width-percent:0;mso-height-percent:0" o:hralign="center" o:hrstd="t" o:hr="t"/>
        </w:pict>
      </w:r>
    </w:p>
    <w:p w14:paraId="538216F7" w14:textId="77777777" w:rsidR="00BA5251" w:rsidRPr="00F549B3" w:rsidRDefault="00000000">
      <w:pPr>
        <w:pStyle w:val="Balk2"/>
        <w:rPr>
          <w:rFonts w:ascii="Times New Roman" w:hAnsi="Times New Roman" w:cs="Times New Roman"/>
          <w:sz w:val="24"/>
          <w:szCs w:val="24"/>
        </w:rPr>
      </w:pPr>
      <w:bookmarkStart w:id="2" w:name="introduction"/>
      <w:bookmarkEnd w:id="1"/>
      <w:r w:rsidRPr="00F549B3">
        <w:rPr>
          <w:rFonts w:ascii="Times New Roman" w:hAnsi="Times New Roman" w:cs="Times New Roman"/>
          <w:sz w:val="24"/>
          <w:szCs w:val="24"/>
        </w:rPr>
        <w:t>1. Introduction</w:t>
      </w:r>
    </w:p>
    <w:p w14:paraId="40B7D8DF"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English-medium instruction (EMI) is frequently justified through competitiveness, employability, and research connectivity (Dearden, 2014; Macaro et al., 2018). Those rationales intersect with distributional questions: EMI can function as gatekeeping when English proficiency, examinations, private preparation, and geography sort students before coursework begins (Piller, 2016; Macaro et al., 2018). EMI is therefore not only pedagogy but a structuring feature of opportunity in systems where the national language remains the default medium for most degrees.</w:t>
      </w:r>
    </w:p>
    <w:p w14:paraId="6807C65D"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In Türkiye, programme-level EMI growth and uneven disciplinary spread coexist with debates on internationalisation, prestige, and Turkish-medium provision (Altay, 2025; Curle et al., 2020). Despite a substantial body of work on language proficiency, academic achievement, and classroom processes after admission, comparatively little is known at national scale about whether </w:t>
      </w:r>
      <w:r w:rsidRPr="00F549B3">
        <w:rPr>
          <w:rFonts w:ascii="Times New Roman" w:hAnsi="Times New Roman" w:cs="Times New Roman"/>
          <w:b/>
          <w:bCs/>
        </w:rPr>
        <w:t>newly placed</w:t>
      </w:r>
      <w:r w:rsidRPr="00F549B3">
        <w:rPr>
          <w:rFonts w:ascii="Times New Roman" w:hAnsi="Times New Roman" w:cs="Times New Roman"/>
        </w:rPr>
        <w:t xml:space="preserve"> EMI cohorts mirror the demographic and socioeconomic composition of Turkish-medium instruction (TMI), which remains the dominant undergraduate track. Without placement-level profiles, claims about equity, diversity, and inclusion (EDI) in access to EMI risk relying on institutional illustration or designs that do not generalise to the system.</w:t>
      </w:r>
    </w:p>
    <w:p w14:paraId="0D51D872"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lastRenderedPageBreak/>
        <w:t xml:space="preserve">This article addresses that gap by documenting how profiles of newly placed undergraduates in EMI and TMI differed in </w:t>
      </w:r>
      <w:r w:rsidRPr="00F549B3">
        <w:rPr>
          <w:rFonts w:ascii="Times New Roman" w:hAnsi="Times New Roman" w:cs="Times New Roman"/>
          <w:b/>
          <w:bCs/>
        </w:rPr>
        <w:t>2023–2025</w:t>
      </w:r>
      <w:r w:rsidRPr="00F549B3">
        <w:rPr>
          <w:rFonts w:ascii="Times New Roman" w:hAnsi="Times New Roman" w:cs="Times New Roman"/>
        </w:rPr>
        <w:t xml:space="preserve"> on </w:t>
      </w:r>
      <w:r w:rsidRPr="00F549B3">
        <w:rPr>
          <w:rFonts w:ascii="Times New Roman" w:hAnsi="Times New Roman" w:cs="Times New Roman"/>
          <w:b/>
          <w:bCs/>
        </w:rPr>
        <w:t>gender</w:t>
      </w:r>
      <w:r w:rsidRPr="00F549B3">
        <w:rPr>
          <w:rFonts w:ascii="Times New Roman" w:hAnsi="Times New Roman" w:cs="Times New Roman"/>
        </w:rPr>
        <w:t xml:space="preserve">, </w:t>
      </w:r>
      <w:r w:rsidRPr="00F549B3">
        <w:rPr>
          <w:rFonts w:ascii="Times New Roman" w:hAnsi="Times New Roman" w:cs="Times New Roman"/>
          <w:b/>
          <w:bCs/>
        </w:rPr>
        <w:t>administratively recorded disability</w:t>
      </w:r>
      <w:r w:rsidRPr="00F549B3">
        <w:rPr>
          <w:rFonts w:ascii="Times New Roman" w:hAnsi="Times New Roman" w:cs="Times New Roman"/>
        </w:rPr>
        <w:t xml:space="preserve">, and </w:t>
      </w:r>
      <w:r w:rsidRPr="00F549B3">
        <w:rPr>
          <w:rFonts w:ascii="Times New Roman" w:hAnsi="Times New Roman" w:cs="Times New Roman"/>
          <w:b/>
          <w:bCs/>
        </w:rPr>
        <w:t>provincial socioeconomic tier</w:t>
      </w:r>
      <w:r w:rsidRPr="00F549B3">
        <w:rPr>
          <w:rFonts w:ascii="Times New Roman" w:hAnsi="Times New Roman" w:cs="Times New Roman"/>
        </w:rPr>
        <w:t xml:space="preserve">. Its contributions are threefold: </w:t>
      </w:r>
      <w:r w:rsidRPr="00F549B3">
        <w:rPr>
          <w:rFonts w:ascii="Times New Roman" w:hAnsi="Times New Roman" w:cs="Times New Roman"/>
          <w:b/>
          <w:bCs/>
        </w:rPr>
        <w:t>(1)</w:t>
      </w:r>
      <w:r w:rsidRPr="00F549B3">
        <w:rPr>
          <w:rFonts w:ascii="Times New Roman" w:hAnsi="Times New Roman" w:cs="Times New Roman"/>
        </w:rPr>
        <w:t xml:space="preserve"> national </w:t>
      </w:r>
      <w:r w:rsidRPr="00F549B3">
        <w:rPr>
          <w:rFonts w:ascii="Times New Roman" w:hAnsi="Times New Roman" w:cs="Times New Roman"/>
          <w:b/>
          <w:bCs/>
        </w:rPr>
        <w:t>placement demography</w:t>
      </w:r>
      <w:r w:rsidRPr="00F549B3">
        <w:rPr>
          <w:rFonts w:ascii="Times New Roman" w:hAnsi="Times New Roman" w:cs="Times New Roman"/>
        </w:rPr>
        <w:t xml:space="preserve"> contrasting EMI with TMI under a consistent content-EMI definition; </w:t>
      </w:r>
      <w:r w:rsidRPr="00F549B3">
        <w:rPr>
          <w:rFonts w:ascii="Times New Roman" w:hAnsi="Times New Roman" w:cs="Times New Roman"/>
          <w:b/>
          <w:bCs/>
        </w:rPr>
        <w:t>(2)</w:t>
      </w:r>
      <w:r w:rsidRPr="00F549B3">
        <w:rPr>
          <w:rFonts w:ascii="Times New Roman" w:hAnsi="Times New Roman" w:cs="Times New Roman"/>
        </w:rPr>
        <w:t xml:space="preserve"> explicit attention to </w:t>
      </w:r>
      <w:r w:rsidRPr="00F549B3">
        <w:rPr>
          <w:rFonts w:ascii="Times New Roman" w:hAnsi="Times New Roman" w:cs="Times New Roman"/>
          <w:b/>
          <w:bCs/>
        </w:rPr>
        <w:t>disability representation</w:t>
      </w:r>
      <w:r w:rsidRPr="00F549B3">
        <w:rPr>
          <w:rFonts w:ascii="Times New Roman" w:hAnsi="Times New Roman" w:cs="Times New Roman"/>
        </w:rPr>
        <w:t xml:space="preserve"> alongside gender and geography; and </w:t>
      </w:r>
      <w:r w:rsidRPr="00F549B3">
        <w:rPr>
          <w:rFonts w:ascii="Times New Roman" w:hAnsi="Times New Roman" w:cs="Times New Roman"/>
          <w:b/>
          <w:bCs/>
        </w:rPr>
        <w:t>(3)</w:t>
      </w:r>
      <w:r w:rsidRPr="00F549B3">
        <w:rPr>
          <w:rFonts w:ascii="Times New Roman" w:hAnsi="Times New Roman" w:cs="Times New Roman"/>
        </w:rPr>
        <w:t xml:space="preserve"> tier-level patterns contextualised with </w:t>
      </w:r>
      <w:r w:rsidRPr="00F549B3">
        <w:rPr>
          <w:rFonts w:ascii="Times New Roman" w:hAnsi="Times New Roman" w:cs="Times New Roman"/>
          <w:b/>
          <w:bCs/>
        </w:rPr>
        <w:t>youth population denominators</w:t>
      </w:r>
      <w:r w:rsidRPr="00F549B3">
        <w:rPr>
          <w:rFonts w:ascii="Times New Roman" w:hAnsi="Times New Roman" w:cs="Times New Roman"/>
        </w:rPr>
        <w:t>, thereby reducing misinterpretation of raw counts in populous regions. The following sections review relevant scholarship, specify methods and data, present results, and discuss implications for policy and research.</w:t>
      </w:r>
    </w:p>
    <w:p w14:paraId="17E94E28" w14:textId="77777777" w:rsidR="00BA5251" w:rsidRPr="00F549B3" w:rsidRDefault="0091725F">
      <w:pPr>
        <w:rPr>
          <w:rFonts w:ascii="Times New Roman" w:hAnsi="Times New Roman" w:cs="Times New Roman"/>
        </w:rPr>
      </w:pPr>
      <w:r w:rsidRPr="0091725F">
        <w:rPr>
          <w:rFonts w:ascii="Times New Roman" w:hAnsi="Times New Roman" w:cs="Times New Roman"/>
          <w:noProof/>
        </w:rPr>
        <w:pict w14:anchorId="156CB32F">
          <v:rect id="_x0000_i1031" alt="" style="width:453.6pt;height:.05pt;mso-width-percent:0;mso-height-percent:0;mso-width-percent:0;mso-height-percent:0" o:hralign="center" o:hrstd="t" o:hr="t"/>
        </w:pict>
      </w:r>
    </w:p>
    <w:p w14:paraId="6C68059B" w14:textId="77777777" w:rsidR="00BA5251" w:rsidRPr="00F549B3" w:rsidRDefault="00000000">
      <w:pPr>
        <w:pStyle w:val="Balk2"/>
        <w:rPr>
          <w:rFonts w:ascii="Times New Roman" w:hAnsi="Times New Roman" w:cs="Times New Roman"/>
          <w:sz w:val="24"/>
          <w:szCs w:val="24"/>
        </w:rPr>
      </w:pPr>
      <w:bookmarkStart w:id="3" w:name="literature-review"/>
      <w:bookmarkEnd w:id="2"/>
      <w:r w:rsidRPr="00F549B3">
        <w:rPr>
          <w:rFonts w:ascii="Times New Roman" w:hAnsi="Times New Roman" w:cs="Times New Roman"/>
          <w:sz w:val="24"/>
          <w:szCs w:val="24"/>
        </w:rPr>
        <w:t>2. Literature review</w:t>
      </w:r>
    </w:p>
    <w:p w14:paraId="6DAC0A89" w14:textId="77777777" w:rsidR="00BA5251" w:rsidRPr="00F549B3" w:rsidRDefault="00000000">
      <w:pPr>
        <w:pStyle w:val="Balk3"/>
        <w:rPr>
          <w:rFonts w:ascii="Times New Roman" w:hAnsi="Times New Roman" w:cs="Times New Roman"/>
          <w:sz w:val="24"/>
          <w:szCs w:val="24"/>
        </w:rPr>
      </w:pPr>
      <w:bookmarkStart w:id="4" w:name="Xd7eecdaaf175be2e8eb561769bb2576a638fbd4"/>
      <w:r w:rsidRPr="00F549B3">
        <w:rPr>
          <w:rFonts w:ascii="Times New Roman" w:hAnsi="Times New Roman" w:cs="Times New Roman"/>
          <w:sz w:val="24"/>
          <w:szCs w:val="24"/>
        </w:rPr>
        <w:t>2.1 Equity, diversity, and inclusion in higher education and language education</w:t>
      </w:r>
    </w:p>
    <w:p w14:paraId="7C1D13F1"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Equity, diversity, and inclusion (EDI) have become central terms in higher-education policy and institutional self-description. Their analytical utility, however, depends on specifying what is being equalised, which differences matter, and inclusion into </w:t>
      </w:r>
      <w:r w:rsidRPr="00F549B3">
        <w:rPr>
          <w:rFonts w:ascii="Times New Roman" w:hAnsi="Times New Roman" w:cs="Times New Roman"/>
          <w:i/>
          <w:iCs/>
        </w:rPr>
        <w:t>what</w:t>
      </w:r>
      <w:r w:rsidRPr="00F549B3">
        <w:rPr>
          <w:rFonts w:ascii="Times New Roman" w:hAnsi="Times New Roman" w:cs="Times New Roman"/>
        </w:rPr>
        <w:t xml:space="preserve">—questions that connect policy language to structures of stratification in mass systems (Marginson, 2016; Ortaçtepe Hart, 2023). In practice, universities allocate scarce places, certify competence, and mediate labour-market signals; those functions are neither socially neutral nor evenly distributed across regions, languages, and bodies. Applied linguistics has long argued that language education is implicated in stratification: communicative repertoires interact with institutional norms about legitimacy, “standard” language, and academic voice (Piller, 2016). Ortaçtepe Hart (2023) synthesises resources for </w:t>
      </w:r>
      <w:r w:rsidRPr="00F549B3">
        <w:rPr>
          <w:rFonts w:ascii="Times New Roman" w:hAnsi="Times New Roman" w:cs="Times New Roman"/>
          <w:b/>
          <w:bCs/>
        </w:rPr>
        <w:t>social justice in the language classroom</w:t>
      </w:r>
      <w:r w:rsidRPr="00F549B3">
        <w:rPr>
          <w:rFonts w:ascii="Times New Roman" w:hAnsi="Times New Roman" w:cs="Times New Roman"/>
        </w:rPr>
        <w:t xml:space="preserve">, emphasising reflection, action, and transformation rather than treating instruction as a technical delivery problem. Related work on </w:t>
      </w:r>
      <w:r w:rsidRPr="00F549B3">
        <w:rPr>
          <w:rFonts w:ascii="Times New Roman" w:hAnsi="Times New Roman" w:cs="Times New Roman"/>
          <w:b/>
          <w:bCs/>
        </w:rPr>
        <w:t>expansive language access</w:t>
      </w:r>
      <w:r w:rsidRPr="00F549B3">
        <w:rPr>
          <w:rFonts w:ascii="Times New Roman" w:hAnsi="Times New Roman" w:cs="Times New Roman"/>
        </w:rPr>
        <w:t xml:space="preserve"> argues that race, language, and dis/ability should be examined together across policy, programme, and practice, so that multiply marginalised learners are not addressed only through siloed administrative categories (Cioè-Peña et al., 2025). These perspectives establish EDI as a substantive research problem prior to any particular medium of instruction.</w:t>
      </w:r>
    </w:p>
    <w:p w14:paraId="0292ED3B" w14:textId="77777777" w:rsidR="00BA5251" w:rsidRPr="00F549B3" w:rsidRDefault="00000000">
      <w:pPr>
        <w:pStyle w:val="Balk3"/>
        <w:rPr>
          <w:rFonts w:ascii="Times New Roman" w:hAnsi="Times New Roman" w:cs="Times New Roman"/>
          <w:sz w:val="24"/>
          <w:szCs w:val="24"/>
        </w:rPr>
      </w:pPr>
      <w:bookmarkStart w:id="5" w:name="X2e349bdd30870337204df8e98592af141048ca9"/>
      <w:bookmarkEnd w:id="4"/>
      <w:r w:rsidRPr="00F549B3">
        <w:rPr>
          <w:rFonts w:ascii="Times New Roman" w:hAnsi="Times New Roman" w:cs="Times New Roman"/>
          <w:sz w:val="24"/>
          <w:szCs w:val="24"/>
        </w:rPr>
        <w:t>2.2 Internationalisation, EMI, and questions of access</w:t>
      </w:r>
    </w:p>
    <w:p w14:paraId="59A39A78"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Internationalisation agendas have intensified the spread of English-medium instruction (EMI) and reshaped the symbolic economy of degrees (Altbach &amp; Knight, 2007; Dearden, 2014). Cross-national volumes document that EMI expansion raises common challenges—implementation variability, stakeholder readiness, and tensions between internationalisation rhetoric and local academic cultures—even as national responses diverge (Doiz et al., 2013; Dimova et al., 2015). Systematic reviews likewise underline heterogeneous EMI models and uneven evidence on language and content outcomes (Macaro et al., 2018). At the same time, research on </w:t>
      </w:r>
      <w:r w:rsidRPr="00F549B3">
        <w:rPr>
          <w:rFonts w:ascii="Times New Roman" w:hAnsi="Times New Roman" w:cs="Times New Roman"/>
          <w:b/>
          <w:bCs/>
        </w:rPr>
        <w:t>English as a lingua franca</w:t>
      </w:r>
      <w:r w:rsidRPr="00F549B3">
        <w:rPr>
          <w:rFonts w:ascii="Times New Roman" w:hAnsi="Times New Roman" w:cs="Times New Roman"/>
        </w:rPr>
        <w:t xml:space="preserve"> in the international university stresses that choices about academic English are politically consequential: they can reproduce native-speakerist hierarchies or, alternatively, inform more plural norms of participation (Jenkins, 2014). Sociolinguistic accounts connect EMI to </w:t>
      </w:r>
      <w:r w:rsidRPr="00F549B3">
        <w:rPr>
          <w:rFonts w:ascii="Times New Roman" w:hAnsi="Times New Roman" w:cs="Times New Roman"/>
          <w:b/>
          <w:bCs/>
        </w:rPr>
        <w:t>linguistic justice</w:t>
      </w:r>
      <w:r w:rsidRPr="00F549B3">
        <w:rPr>
          <w:rFonts w:ascii="Times New Roman" w:hAnsi="Times New Roman" w:cs="Times New Roman"/>
        </w:rPr>
        <w:t xml:space="preserve">—who bears the costs of Englishisation, which languages count as academic, and whether multilingual repertoires are recognised (Piller, 2016; Soler, 2024). Empirical and conceptual contributions further link EMI programmes to </w:t>
      </w:r>
      <w:r w:rsidRPr="00F549B3">
        <w:rPr>
          <w:rFonts w:ascii="Times New Roman" w:hAnsi="Times New Roman" w:cs="Times New Roman"/>
          <w:b/>
          <w:bCs/>
        </w:rPr>
        <w:t>language rights</w:t>
      </w:r>
      <w:r w:rsidRPr="00F549B3">
        <w:rPr>
          <w:rFonts w:ascii="Times New Roman" w:hAnsi="Times New Roman" w:cs="Times New Roman"/>
        </w:rPr>
        <w:t xml:space="preserve"> and structural inequity for users of English as an additional language (Alhamami, 2023). Critical EMI scholarship examines how Englishisation interacts with power, pedagogy, and institutional practice (Wang, </w:t>
      </w:r>
      <w:r w:rsidRPr="00F549B3">
        <w:rPr>
          <w:rFonts w:ascii="Times New Roman" w:hAnsi="Times New Roman" w:cs="Times New Roman"/>
        </w:rPr>
        <w:lastRenderedPageBreak/>
        <w:t>2025). Multilingual and planning-oriented responses propose that EMI need not collapse into monolingual English-only models if policy deliberately supports heterogeneous repertoires (Dafouz &amp; Smit, 2022; Ou et al., 2022).</w:t>
      </w:r>
    </w:p>
    <w:p w14:paraId="7469C39C"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Taken together, this literature suggests that EMI should be studied as both </w:t>
      </w:r>
      <w:r w:rsidRPr="00F549B3">
        <w:rPr>
          <w:rFonts w:ascii="Times New Roman" w:hAnsi="Times New Roman" w:cs="Times New Roman"/>
          <w:b/>
          <w:bCs/>
        </w:rPr>
        <w:t>pedagogy</w:t>
      </w:r>
      <w:r w:rsidRPr="00F549B3">
        <w:rPr>
          <w:rFonts w:ascii="Times New Roman" w:hAnsi="Times New Roman" w:cs="Times New Roman"/>
        </w:rPr>
        <w:t xml:space="preserve"> and </w:t>
      </w:r>
      <w:r w:rsidRPr="00F549B3">
        <w:rPr>
          <w:rFonts w:ascii="Times New Roman" w:hAnsi="Times New Roman" w:cs="Times New Roman"/>
          <w:b/>
          <w:bCs/>
        </w:rPr>
        <w:t>access structure</w:t>
      </w:r>
      <w:r w:rsidRPr="00F549B3">
        <w:rPr>
          <w:rFonts w:ascii="Times New Roman" w:hAnsi="Times New Roman" w:cs="Times New Roman"/>
        </w:rPr>
        <w:t xml:space="preserve">: proficiency thresholds, assessment formats, information flows, and regional programme supply can sort students before coursework begins. What remains less visible in many national systems is </w:t>
      </w:r>
      <w:r w:rsidRPr="00F549B3">
        <w:rPr>
          <w:rFonts w:ascii="Times New Roman" w:hAnsi="Times New Roman" w:cs="Times New Roman"/>
          <w:b/>
          <w:bCs/>
        </w:rPr>
        <w:t>administrative evidence on who obtains placement</w:t>
      </w:r>
      <w:r w:rsidRPr="00F549B3">
        <w:rPr>
          <w:rFonts w:ascii="Times New Roman" w:hAnsi="Times New Roman" w:cs="Times New Roman"/>
        </w:rPr>
        <w:t xml:space="preserve"> in EMI relative to the default national-language track.</w:t>
      </w:r>
    </w:p>
    <w:p w14:paraId="18823C99" w14:textId="77777777" w:rsidR="00BA5251" w:rsidRPr="00F549B3" w:rsidRDefault="00000000">
      <w:pPr>
        <w:pStyle w:val="Balk3"/>
        <w:rPr>
          <w:rFonts w:ascii="Times New Roman" w:hAnsi="Times New Roman" w:cs="Times New Roman"/>
          <w:sz w:val="24"/>
          <w:szCs w:val="24"/>
        </w:rPr>
      </w:pPr>
      <w:bookmarkStart w:id="6" w:name="X26ca2a4f9ce8d0b815d2e2a8c95f9e8fc0154b4"/>
      <w:bookmarkEnd w:id="5"/>
      <w:r w:rsidRPr="00F549B3">
        <w:rPr>
          <w:rFonts w:ascii="Times New Roman" w:hAnsi="Times New Roman" w:cs="Times New Roman"/>
          <w:sz w:val="24"/>
          <w:szCs w:val="24"/>
        </w:rPr>
        <w:t>2.3 EMI in Türkiye: proficiency, geography, and the placement gap</w:t>
      </w:r>
    </w:p>
    <w:p w14:paraId="575B75E6"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In the Turkish context, English proficiency and prior educational pathways predict academic success in EMI after admission (Curle et al., 2020), and longitudinal work documents co-development of language proficiency and achievement during degree study (Yüksel et al., 2021; Soruç et al., 2021). Such evidence is indispensable for understanding experiences </w:t>
      </w:r>
      <w:r w:rsidRPr="00F549B3">
        <w:rPr>
          <w:rFonts w:ascii="Times New Roman" w:hAnsi="Times New Roman" w:cs="Times New Roman"/>
          <w:i/>
          <w:iCs/>
        </w:rPr>
        <w:t>inside</w:t>
      </w:r>
      <w:r w:rsidRPr="00F549B3">
        <w:rPr>
          <w:rFonts w:ascii="Times New Roman" w:hAnsi="Times New Roman" w:cs="Times New Roman"/>
        </w:rPr>
        <w:t xml:space="preserve"> programmes, but it does not substitute for population-level description of </w:t>
      </w:r>
      <w:r w:rsidRPr="00F549B3">
        <w:rPr>
          <w:rFonts w:ascii="Times New Roman" w:hAnsi="Times New Roman" w:cs="Times New Roman"/>
          <w:b/>
          <w:bCs/>
        </w:rPr>
        <w:t>who enters</w:t>
      </w:r>
      <w:r w:rsidRPr="00F549B3">
        <w:rPr>
          <w:rFonts w:ascii="Times New Roman" w:hAnsi="Times New Roman" w:cs="Times New Roman"/>
        </w:rPr>
        <w:t xml:space="preserve"> EMI versus Turkish-medium instruction (TMI) through central placement. Recent national argumentation further connects EMI supply and prestige to </w:t>
      </w:r>
      <w:r w:rsidRPr="00F549B3">
        <w:rPr>
          <w:rFonts w:ascii="Times New Roman" w:hAnsi="Times New Roman" w:cs="Times New Roman"/>
          <w:b/>
          <w:bCs/>
        </w:rPr>
        <w:t>linguistic protectionism</w:t>
      </w:r>
      <w:r w:rsidRPr="00F549B3">
        <w:rPr>
          <w:rFonts w:ascii="Times New Roman" w:hAnsi="Times New Roman" w:cs="Times New Roman"/>
        </w:rPr>
        <w:t xml:space="preserve"> and uneven disciplinary geographies (Altay, 2025). The present study therefore treats TMI as the comparative baseline against which the inclusiveness of EMI at the </w:t>
      </w:r>
      <w:r w:rsidRPr="00F549B3">
        <w:rPr>
          <w:rFonts w:ascii="Times New Roman" w:hAnsi="Times New Roman" w:cs="Times New Roman"/>
          <w:b/>
          <w:bCs/>
        </w:rPr>
        <w:t>placement stage</w:t>
      </w:r>
      <w:r w:rsidRPr="00F549B3">
        <w:rPr>
          <w:rFonts w:ascii="Times New Roman" w:hAnsi="Times New Roman" w:cs="Times New Roman"/>
        </w:rPr>
        <w:t xml:space="preserve"> can be assessed.</w:t>
      </w:r>
    </w:p>
    <w:p w14:paraId="6AC6DADC" w14:textId="77777777" w:rsidR="00BA5251" w:rsidRPr="00F549B3" w:rsidRDefault="00000000">
      <w:pPr>
        <w:pStyle w:val="Balk3"/>
        <w:rPr>
          <w:rFonts w:ascii="Times New Roman" w:hAnsi="Times New Roman" w:cs="Times New Roman"/>
          <w:sz w:val="24"/>
          <w:szCs w:val="24"/>
        </w:rPr>
      </w:pPr>
      <w:bookmarkStart w:id="7" w:name="operational-definitions-for-this-study"/>
      <w:bookmarkEnd w:id="6"/>
      <w:r w:rsidRPr="00F549B3">
        <w:rPr>
          <w:rFonts w:ascii="Times New Roman" w:hAnsi="Times New Roman" w:cs="Times New Roman"/>
          <w:sz w:val="24"/>
          <w:szCs w:val="24"/>
        </w:rPr>
        <w:t>2.4 Operational definitions for this study</w:t>
      </w:r>
    </w:p>
    <w:p w14:paraId="69C70FBF"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For this article, </w:t>
      </w:r>
      <w:r w:rsidRPr="00F549B3">
        <w:rPr>
          <w:rFonts w:ascii="Times New Roman" w:hAnsi="Times New Roman" w:cs="Times New Roman"/>
          <w:b/>
          <w:bCs/>
        </w:rPr>
        <w:t>equity</w:t>
      </w:r>
      <w:r w:rsidRPr="00F549B3">
        <w:rPr>
          <w:rFonts w:ascii="Times New Roman" w:hAnsi="Times New Roman" w:cs="Times New Roman"/>
        </w:rPr>
        <w:t xml:space="preserve"> refers to fair access to pre-enrolment opportunity structures—preparation, examinations, information, and placement—not merely formal equality of rules. </w:t>
      </w:r>
      <w:r w:rsidRPr="00F549B3">
        <w:rPr>
          <w:rFonts w:ascii="Times New Roman" w:hAnsi="Times New Roman" w:cs="Times New Roman"/>
          <w:b/>
          <w:bCs/>
        </w:rPr>
        <w:t>Diversity</w:t>
      </w:r>
      <w:r w:rsidRPr="00F549B3">
        <w:rPr>
          <w:rFonts w:ascii="Times New Roman" w:hAnsi="Times New Roman" w:cs="Times New Roman"/>
        </w:rPr>
        <w:t xml:space="preserve"> is operationalised through cohort composition on gender and administratively recorded disability; intersectional and non-binary identities may be under-represented in source metadata. </w:t>
      </w:r>
      <w:r w:rsidRPr="00F549B3">
        <w:rPr>
          <w:rFonts w:ascii="Times New Roman" w:hAnsi="Times New Roman" w:cs="Times New Roman"/>
          <w:b/>
          <w:bCs/>
        </w:rPr>
        <w:t>Inclusion</w:t>
      </w:r>
      <w:r w:rsidRPr="00F549B3">
        <w:rPr>
          <w:rFonts w:ascii="Times New Roman" w:hAnsi="Times New Roman" w:cs="Times New Roman"/>
        </w:rPr>
        <w:t xml:space="preserve"> is examined at </w:t>
      </w:r>
      <w:r w:rsidRPr="00F549B3">
        <w:rPr>
          <w:rFonts w:ascii="Times New Roman" w:hAnsi="Times New Roman" w:cs="Times New Roman"/>
          <w:b/>
          <w:bCs/>
        </w:rPr>
        <w:t>entry</w:t>
      </w:r>
      <w:r w:rsidRPr="00F549B3">
        <w:rPr>
          <w:rFonts w:ascii="Times New Roman" w:hAnsi="Times New Roman" w:cs="Times New Roman"/>
        </w:rPr>
        <w:t xml:space="preserve">: whether EMI and TMI differ in who is counted among newly placed students prior to in-course accommodation. </w:t>
      </w:r>
      <w:r w:rsidRPr="00F549B3">
        <w:rPr>
          <w:rFonts w:ascii="Times New Roman" w:hAnsi="Times New Roman" w:cs="Times New Roman"/>
          <w:b/>
          <w:bCs/>
        </w:rPr>
        <w:t>Gender</w:t>
      </w:r>
      <w:r w:rsidRPr="00F549B3">
        <w:rPr>
          <w:rFonts w:ascii="Times New Roman" w:hAnsi="Times New Roman" w:cs="Times New Roman"/>
        </w:rPr>
        <w:t xml:space="preserve"> comparisons address distributional balance across tracks; </w:t>
      </w:r>
      <w:r w:rsidRPr="00F549B3">
        <w:rPr>
          <w:rFonts w:ascii="Times New Roman" w:hAnsi="Times New Roman" w:cs="Times New Roman"/>
          <w:b/>
          <w:bCs/>
        </w:rPr>
        <w:t>disability</w:t>
      </w:r>
      <w:r w:rsidRPr="00F549B3">
        <w:rPr>
          <w:rFonts w:ascii="Times New Roman" w:hAnsi="Times New Roman" w:cs="Times New Roman"/>
        </w:rPr>
        <w:t xml:space="preserve"> comparisons rely on recorded prevalence and are interpreted cautiously given disclosure and registration practices; </w:t>
      </w:r>
      <w:r w:rsidRPr="00F549B3">
        <w:rPr>
          <w:rFonts w:ascii="Times New Roman" w:hAnsi="Times New Roman" w:cs="Times New Roman"/>
          <w:b/>
          <w:bCs/>
        </w:rPr>
        <w:t>socioeconomic geography</w:t>
      </w:r>
      <w:r w:rsidRPr="00F549B3">
        <w:rPr>
          <w:rFonts w:ascii="Times New Roman" w:hAnsi="Times New Roman" w:cs="Times New Roman"/>
        </w:rPr>
        <w:t xml:space="preserve"> uses provincial development tiers (SEGE-2025) with youth population denominators so that raw counts are not mistaken for proportional national reach. These definitions align the empirical analysis with the reviewed scholarship while acknowledging known limits of administrative data.</w:t>
      </w:r>
    </w:p>
    <w:p w14:paraId="14B40CE6" w14:textId="77777777" w:rsidR="00BA5251" w:rsidRPr="00F549B3" w:rsidRDefault="0091725F">
      <w:pPr>
        <w:rPr>
          <w:rFonts w:ascii="Times New Roman" w:hAnsi="Times New Roman" w:cs="Times New Roman"/>
        </w:rPr>
      </w:pPr>
      <w:r w:rsidRPr="0091725F">
        <w:rPr>
          <w:rFonts w:ascii="Times New Roman" w:hAnsi="Times New Roman" w:cs="Times New Roman"/>
          <w:noProof/>
        </w:rPr>
        <w:pict w14:anchorId="77D6A4C6">
          <v:rect id="_x0000_i1030" alt="" style="width:453.6pt;height:.05pt;mso-width-percent:0;mso-height-percent:0;mso-width-percent:0;mso-height-percent:0" o:hralign="center" o:hrstd="t" o:hr="t"/>
        </w:pict>
      </w:r>
    </w:p>
    <w:p w14:paraId="5A5F865B" w14:textId="77777777" w:rsidR="00BA5251" w:rsidRPr="00F549B3" w:rsidRDefault="00000000">
      <w:pPr>
        <w:pStyle w:val="Balk2"/>
        <w:rPr>
          <w:rFonts w:ascii="Times New Roman" w:hAnsi="Times New Roman" w:cs="Times New Roman"/>
          <w:sz w:val="24"/>
          <w:szCs w:val="24"/>
        </w:rPr>
      </w:pPr>
      <w:bookmarkStart w:id="8" w:name="methodology"/>
      <w:bookmarkEnd w:id="3"/>
      <w:bookmarkEnd w:id="7"/>
      <w:r w:rsidRPr="00F549B3">
        <w:rPr>
          <w:rFonts w:ascii="Times New Roman" w:hAnsi="Times New Roman" w:cs="Times New Roman"/>
          <w:sz w:val="24"/>
          <w:szCs w:val="24"/>
        </w:rPr>
        <w:t>3. Methodology</w:t>
      </w:r>
    </w:p>
    <w:p w14:paraId="1DB230BF" w14:textId="77777777" w:rsidR="00BA5251" w:rsidRPr="00F549B3" w:rsidRDefault="00000000">
      <w:pPr>
        <w:pStyle w:val="Balk3"/>
        <w:rPr>
          <w:rFonts w:ascii="Times New Roman" w:hAnsi="Times New Roman" w:cs="Times New Roman"/>
          <w:sz w:val="24"/>
          <w:szCs w:val="24"/>
        </w:rPr>
      </w:pPr>
      <w:bookmarkStart w:id="9" w:name="research-questions"/>
      <w:r w:rsidRPr="00F549B3">
        <w:rPr>
          <w:rFonts w:ascii="Times New Roman" w:hAnsi="Times New Roman" w:cs="Times New Roman"/>
          <w:sz w:val="24"/>
          <w:szCs w:val="24"/>
        </w:rPr>
        <w:t>3.1 Research questions</w:t>
      </w:r>
    </w:p>
    <w:p w14:paraId="5804C123"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b/>
          <w:bCs/>
        </w:rPr>
        <w:t>RQ1.</w:t>
      </w:r>
      <w:r w:rsidRPr="00F549B3">
        <w:rPr>
          <w:rFonts w:ascii="Times New Roman" w:hAnsi="Times New Roman" w:cs="Times New Roman"/>
        </w:rPr>
        <w:t xml:space="preserve"> How did the profile of newly placed undergraduate students in EMI and TMI programmes in Türkiye differ across the 2023–2025 admission cycles in terms of </w:t>
      </w:r>
      <w:r w:rsidRPr="00F549B3">
        <w:rPr>
          <w:rFonts w:ascii="Times New Roman" w:hAnsi="Times New Roman" w:cs="Times New Roman"/>
          <w:b/>
          <w:bCs/>
        </w:rPr>
        <w:t>(a)</w:t>
      </w:r>
      <w:r w:rsidRPr="00F549B3">
        <w:rPr>
          <w:rFonts w:ascii="Times New Roman" w:hAnsi="Times New Roman" w:cs="Times New Roman"/>
        </w:rPr>
        <w:t xml:space="preserve"> gender, </w:t>
      </w:r>
      <w:r w:rsidRPr="00F549B3">
        <w:rPr>
          <w:rFonts w:ascii="Times New Roman" w:hAnsi="Times New Roman" w:cs="Times New Roman"/>
          <w:b/>
          <w:bCs/>
        </w:rPr>
        <w:t>(b)</w:t>
      </w:r>
      <w:r w:rsidRPr="00F549B3">
        <w:rPr>
          <w:rFonts w:ascii="Times New Roman" w:hAnsi="Times New Roman" w:cs="Times New Roman"/>
        </w:rPr>
        <w:t xml:space="preserve"> disability, and </w:t>
      </w:r>
      <w:r w:rsidRPr="00F549B3">
        <w:rPr>
          <w:rFonts w:ascii="Times New Roman" w:hAnsi="Times New Roman" w:cs="Times New Roman"/>
          <w:b/>
          <w:bCs/>
        </w:rPr>
        <w:t>(c)</w:t>
      </w:r>
      <w:r w:rsidRPr="00F549B3">
        <w:rPr>
          <w:rFonts w:ascii="Times New Roman" w:hAnsi="Times New Roman" w:cs="Times New Roman"/>
        </w:rPr>
        <w:t xml:space="preserve"> socioeconomic tier?</w:t>
      </w:r>
    </w:p>
    <w:p w14:paraId="49724CEE"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RQ2.</w:t>
      </w:r>
      <w:r w:rsidRPr="00F549B3">
        <w:rPr>
          <w:rFonts w:ascii="Times New Roman" w:hAnsi="Times New Roman" w:cs="Times New Roman"/>
        </w:rPr>
        <w:t xml:space="preserve"> How do students describe the role of gender, disability, and socioeconomic background in shaping access to EMI and TMI programmes in Türkiye?</w:t>
      </w:r>
    </w:p>
    <w:p w14:paraId="40FE31E9" w14:textId="77777777" w:rsidR="00BA5251" w:rsidRPr="00F549B3" w:rsidRDefault="00000000">
      <w:pPr>
        <w:pStyle w:val="Balk3"/>
        <w:rPr>
          <w:rFonts w:ascii="Times New Roman" w:hAnsi="Times New Roman" w:cs="Times New Roman"/>
          <w:sz w:val="24"/>
          <w:szCs w:val="24"/>
        </w:rPr>
      </w:pPr>
      <w:bookmarkStart w:id="10" w:name="research-aims-and-design"/>
      <w:bookmarkEnd w:id="9"/>
      <w:r w:rsidRPr="00F549B3">
        <w:rPr>
          <w:rFonts w:ascii="Times New Roman" w:hAnsi="Times New Roman" w:cs="Times New Roman"/>
          <w:sz w:val="24"/>
          <w:szCs w:val="24"/>
        </w:rPr>
        <w:lastRenderedPageBreak/>
        <w:t>3.2 Research aims and design</w:t>
      </w:r>
    </w:p>
    <w:p w14:paraId="72CD7D40"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This study examines equity, diversity, and inclusion in Turkish higher education by investigating whether newly placed undergraduate students in English-medium instruction (EMI) and Turkish-medium instruction (TMI) programmes displayed different profiles across the 2023–2025 admission cycles. The analysis focuses on three dimensions closely related to access and representation: gender, disability, and socioeconomic tier. Within this framework, </w:t>
      </w:r>
      <w:r w:rsidRPr="00F549B3">
        <w:rPr>
          <w:rFonts w:ascii="Times New Roman" w:hAnsi="Times New Roman" w:cs="Times New Roman"/>
          <w:b/>
          <w:bCs/>
        </w:rPr>
        <w:t>TMI serves as the comparative baseline</w:t>
      </w:r>
      <w:r w:rsidRPr="00F549B3">
        <w:rPr>
          <w:rFonts w:ascii="Times New Roman" w:hAnsi="Times New Roman" w:cs="Times New Roman"/>
        </w:rPr>
        <w:t xml:space="preserve"> against which the inclusiveness of EMI at the </w:t>
      </w:r>
      <w:r w:rsidRPr="00F549B3">
        <w:rPr>
          <w:rFonts w:ascii="Times New Roman" w:hAnsi="Times New Roman" w:cs="Times New Roman"/>
          <w:b/>
          <w:bCs/>
        </w:rPr>
        <w:t>placement stage</w:t>
      </w:r>
      <w:r w:rsidRPr="00F549B3">
        <w:rPr>
          <w:rFonts w:ascii="Times New Roman" w:hAnsi="Times New Roman" w:cs="Times New Roman"/>
        </w:rPr>
        <w:t xml:space="preserve"> can be evaluated.</w:t>
      </w:r>
    </w:p>
    <w:p w14:paraId="504AF6A3"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To address these aims, the study adopts an </w:t>
      </w:r>
      <w:r w:rsidRPr="00F549B3">
        <w:rPr>
          <w:rFonts w:ascii="Times New Roman" w:hAnsi="Times New Roman" w:cs="Times New Roman"/>
          <w:b/>
          <w:bCs/>
        </w:rPr>
        <w:t>explanatory sequential mixed-methods design</w:t>
      </w:r>
      <w:r w:rsidRPr="00F549B3">
        <w:rPr>
          <w:rFonts w:ascii="Times New Roman" w:hAnsi="Times New Roman" w:cs="Times New Roman"/>
        </w:rPr>
        <w:t xml:space="preserve">, in which quantitative analysis is followed by qualitative inquiry (Heigham &amp; Croker, 2009; Riazi, 2016). The first research question requires </w:t>
      </w:r>
      <w:r w:rsidRPr="00F549B3">
        <w:rPr>
          <w:rFonts w:ascii="Times New Roman" w:hAnsi="Times New Roman" w:cs="Times New Roman"/>
          <w:b/>
          <w:bCs/>
        </w:rPr>
        <w:t>descriptive and comparative</w:t>
      </w:r>
      <w:r w:rsidRPr="00F549B3">
        <w:rPr>
          <w:rFonts w:ascii="Times New Roman" w:hAnsi="Times New Roman" w:cs="Times New Roman"/>
        </w:rPr>
        <w:t xml:space="preserve"> analysis of national placement patterns; the second calls for </w:t>
      </w:r>
      <w:r w:rsidRPr="00F549B3">
        <w:rPr>
          <w:rFonts w:ascii="Times New Roman" w:hAnsi="Times New Roman" w:cs="Times New Roman"/>
          <w:b/>
          <w:bCs/>
        </w:rPr>
        <w:t>interpretive</w:t>
      </w:r>
      <w:r w:rsidRPr="00F549B3">
        <w:rPr>
          <w:rFonts w:ascii="Times New Roman" w:hAnsi="Times New Roman" w:cs="Times New Roman"/>
        </w:rPr>
        <w:t xml:space="preserve"> exploration of how students understand the social factors shaping access to EMI and TMI. The quantitative phase establishes macro-level distributional patterns; the qualitative phase is intended to add explanatory depth by examining students’ perceptions and experiences. The two strands are treated as </w:t>
      </w:r>
      <w:r w:rsidRPr="00F549B3">
        <w:rPr>
          <w:rFonts w:ascii="Times New Roman" w:hAnsi="Times New Roman" w:cs="Times New Roman"/>
          <w:b/>
          <w:bCs/>
        </w:rPr>
        <w:t>complementary components</w:t>
      </w:r>
      <w:r w:rsidRPr="00F549B3">
        <w:rPr>
          <w:rFonts w:ascii="Times New Roman" w:hAnsi="Times New Roman" w:cs="Times New Roman"/>
        </w:rPr>
        <w:t xml:space="preserve"> of an integrated design rather than as isolated methodological exercises.</w:t>
      </w:r>
    </w:p>
    <w:p w14:paraId="66E4A4C1" w14:textId="77777777" w:rsidR="00BA5251" w:rsidRPr="00F549B3" w:rsidRDefault="00000000">
      <w:pPr>
        <w:pStyle w:val="Balk3"/>
        <w:rPr>
          <w:rFonts w:ascii="Times New Roman" w:hAnsi="Times New Roman" w:cs="Times New Roman"/>
          <w:sz w:val="24"/>
          <w:szCs w:val="24"/>
        </w:rPr>
      </w:pPr>
      <w:bookmarkStart w:id="11" w:name="context-of-the-study"/>
      <w:bookmarkEnd w:id="10"/>
      <w:r w:rsidRPr="00F549B3">
        <w:rPr>
          <w:rFonts w:ascii="Times New Roman" w:hAnsi="Times New Roman" w:cs="Times New Roman"/>
          <w:sz w:val="24"/>
          <w:szCs w:val="24"/>
        </w:rPr>
        <w:t>3.3 Context of the study</w:t>
      </w:r>
    </w:p>
    <w:p w14:paraId="6C915C46"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Over the last two decades, EMI has expanded rapidly across higher education systems worldwide and has increasingly shifted from a relatively limited institutional practice to a major trend associated with globalisation, internationalisation, and academic competitiveness (Dearden, 2014; Macaro et al., 2018). As EMI has grown in scale and visibility, scholarly attention has moved beyond pedagogy and language proficiency to broader concerns related to access, participation, and social justice. EMI is now widely understood not only as a linguistic or curricular choice but also as a </w:t>
      </w:r>
      <w:r w:rsidRPr="00F549B3">
        <w:rPr>
          <w:rFonts w:ascii="Times New Roman" w:hAnsi="Times New Roman" w:cs="Times New Roman"/>
          <w:b/>
          <w:bCs/>
        </w:rPr>
        <w:t>policy and institutional phenomenon</w:t>
      </w:r>
      <w:r w:rsidRPr="00F549B3">
        <w:rPr>
          <w:rFonts w:ascii="Times New Roman" w:hAnsi="Times New Roman" w:cs="Times New Roman"/>
        </w:rPr>
        <w:t xml:space="preserve"> with implications for equity, diversity, and inclusion.</w:t>
      </w:r>
    </w:p>
    <w:p w14:paraId="1F8DD34E"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Within the Turkish higher education context, this debate has become increasingly salient as EMI has continued to expand across universities and disciplinary fields. Recent work argues that EMI in Türkiye should be examined not merely through internationalisation and prestige, but also in relation to </w:t>
      </w:r>
      <w:r w:rsidRPr="00F549B3">
        <w:rPr>
          <w:rFonts w:ascii="Times New Roman" w:hAnsi="Times New Roman" w:cs="Times New Roman"/>
          <w:b/>
          <w:bCs/>
        </w:rPr>
        <w:t>access, inequality, and representation</w:t>
      </w:r>
      <w:r w:rsidRPr="00F549B3">
        <w:rPr>
          <w:rFonts w:ascii="Times New Roman" w:hAnsi="Times New Roman" w:cs="Times New Roman"/>
        </w:rPr>
        <w:t xml:space="preserve"> within the national system (Altay, 2025; see also Curle et al., 2020; Yüksel et al., 2021, on proficiency and trajectories). Because TMI remains the </w:t>
      </w:r>
      <w:r w:rsidRPr="00F549B3">
        <w:rPr>
          <w:rFonts w:ascii="Times New Roman" w:hAnsi="Times New Roman" w:cs="Times New Roman"/>
          <w:b/>
          <w:bCs/>
        </w:rPr>
        <w:t>dominant mode</w:t>
      </w:r>
      <w:r w:rsidRPr="00F549B3">
        <w:rPr>
          <w:rFonts w:ascii="Times New Roman" w:hAnsi="Times New Roman" w:cs="Times New Roman"/>
        </w:rPr>
        <w:t xml:space="preserve"> of undergraduate education, it furnishes a defensible comparative basis for asking whether EMI reflects a </w:t>
      </w:r>
      <w:r w:rsidRPr="00F549B3">
        <w:rPr>
          <w:rFonts w:ascii="Times New Roman" w:hAnsi="Times New Roman" w:cs="Times New Roman"/>
          <w:b/>
          <w:bCs/>
        </w:rPr>
        <w:t>similar student profile</w:t>
      </w:r>
      <w:r w:rsidRPr="00F549B3">
        <w:rPr>
          <w:rFonts w:ascii="Times New Roman" w:hAnsi="Times New Roman" w:cs="Times New Roman"/>
        </w:rPr>
        <w:t xml:space="preserve"> or </w:t>
      </w:r>
      <w:r w:rsidRPr="00F549B3">
        <w:rPr>
          <w:rFonts w:ascii="Times New Roman" w:hAnsi="Times New Roman" w:cs="Times New Roman"/>
          <w:b/>
          <w:bCs/>
        </w:rPr>
        <w:t>more differentiated</w:t>
      </w:r>
      <w:r w:rsidRPr="00F549B3">
        <w:rPr>
          <w:rFonts w:ascii="Times New Roman" w:hAnsi="Times New Roman" w:cs="Times New Roman"/>
        </w:rPr>
        <w:t xml:space="preserve"> patterns on gender, disability, and socioeconomic background. The present study therefore examines EMI and TMI comparatively through a social-justice lens.</w:t>
      </w:r>
    </w:p>
    <w:p w14:paraId="1EF02424" w14:textId="77777777" w:rsidR="00BA5251" w:rsidRPr="00F549B3" w:rsidRDefault="00000000">
      <w:pPr>
        <w:pStyle w:val="Balk3"/>
        <w:rPr>
          <w:rFonts w:ascii="Times New Roman" w:hAnsi="Times New Roman" w:cs="Times New Roman"/>
          <w:sz w:val="24"/>
          <w:szCs w:val="24"/>
        </w:rPr>
      </w:pPr>
      <w:bookmarkStart w:id="12" w:name="participants-and-units-of-analysis"/>
      <w:bookmarkEnd w:id="11"/>
      <w:r w:rsidRPr="00F549B3">
        <w:rPr>
          <w:rFonts w:ascii="Times New Roman" w:hAnsi="Times New Roman" w:cs="Times New Roman"/>
          <w:sz w:val="24"/>
          <w:szCs w:val="24"/>
        </w:rPr>
        <w:t>3.4 Participants and units of analysis</w:t>
      </w:r>
    </w:p>
    <w:p w14:paraId="7DA73385"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b/>
          <w:bCs/>
        </w:rPr>
        <w:t>Quantitative phase.</w:t>
      </w:r>
      <w:r w:rsidRPr="00F549B3">
        <w:rPr>
          <w:rFonts w:ascii="Times New Roman" w:hAnsi="Times New Roman" w:cs="Times New Roman"/>
        </w:rPr>
        <w:t xml:space="preserve"> The quantitative strand did not involve individual recruitment. The </w:t>
      </w:r>
      <w:r w:rsidRPr="00F549B3">
        <w:rPr>
          <w:rFonts w:ascii="Times New Roman" w:hAnsi="Times New Roman" w:cs="Times New Roman"/>
          <w:b/>
          <w:bCs/>
        </w:rPr>
        <w:t>unit of analysis</w:t>
      </w:r>
      <w:r w:rsidRPr="00F549B3">
        <w:rPr>
          <w:rFonts w:ascii="Times New Roman" w:hAnsi="Times New Roman" w:cs="Times New Roman"/>
        </w:rPr>
        <w:t xml:space="preserve"> was the population of </w:t>
      </w:r>
      <w:r w:rsidRPr="00F549B3">
        <w:rPr>
          <w:rFonts w:ascii="Times New Roman" w:hAnsi="Times New Roman" w:cs="Times New Roman"/>
          <w:b/>
          <w:bCs/>
        </w:rPr>
        <w:t>newly placed undergraduate students</w:t>
      </w:r>
      <w:r w:rsidRPr="00F549B3">
        <w:rPr>
          <w:rFonts w:ascii="Times New Roman" w:hAnsi="Times New Roman" w:cs="Times New Roman"/>
        </w:rPr>
        <w:t xml:space="preserve"> in EMI and TMI programmes in Türkiye for the </w:t>
      </w:r>
      <w:r w:rsidRPr="00F549B3">
        <w:rPr>
          <w:rFonts w:ascii="Times New Roman" w:hAnsi="Times New Roman" w:cs="Times New Roman"/>
          <w:b/>
          <w:bCs/>
        </w:rPr>
        <w:t>2023, 2024, and 2025</w:t>
      </w:r>
      <w:r w:rsidRPr="00F549B3">
        <w:rPr>
          <w:rFonts w:ascii="Times New Roman" w:hAnsi="Times New Roman" w:cs="Times New Roman"/>
        </w:rPr>
        <w:t xml:space="preserve"> central admission cycles, as recorded in official placement statistics. “Newly placed” refers to students allocated to a degree programme through the national placement system for the corresponding cycle (operationalised via YÖK Atlas records for each year).</w:t>
      </w:r>
    </w:p>
    <w:p w14:paraId="1270693C"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lastRenderedPageBreak/>
        <w:t>Qualitative phase.</w:t>
      </w:r>
      <w:r w:rsidRPr="00F549B3">
        <w:rPr>
          <w:rFonts w:ascii="Times New Roman" w:hAnsi="Times New Roman" w:cs="Times New Roman"/>
        </w:rPr>
        <w:t xml:space="preserve"> The interview strand involves </w:t>
      </w:r>
      <w:r w:rsidRPr="00F549B3">
        <w:rPr>
          <w:rFonts w:ascii="Times New Roman" w:hAnsi="Times New Roman" w:cs="Times New Roman"/>
          <w:b/>
          <w:bCs/>
        </w:rPr>
        <w:t>undergraduate students enrolled in EMI and TMI programmes</w:t>
      </w:r>
      <w:r w:rsidRPr="00F549B3">
        <w:rPr>
          <w:rFonts w:ascii="Times New Roman" w:hAnsi="Times New Roman" w:cs="Times New Roman"/>
        </w:rPr>
        <w:t xml:space="preserve">. Because RQ2 targets </w:t>
      </w:r>
      <w:r w:rsidRPr="00F549B3">
        <w:rPr>
          <w:rFonts w:ascii="Times New Roman" w:hAnsi="Times New Roman" w:cs="Times New Roman"/>
          <w:b/>
          <w:bCs/>
        </w:rPr>
        <w:t>interpretations of access</w:t>
      </w:r>
      <w:r w:rsidRPr="00F549B3">
        <w:rPr>
          <w:rFonts w:ascii="Times New Roman" w:hAnsi="Times New Roman" w:cs="Times New Roman"/>
        </w:rPr>
        <w:t xml:space="preserve">, participants were selected for their potential to illuminate programme choice, placement experience, and perceived opportunity structures. </w:t>
      </w:r>
      <w:r w:rsidRPr="00F549B3">
        <w:rPr>
          <w:rFonts w:ascii="Times New Roman" w:hAnsi="Times New Roman" w:cs="Times New Roman"/>
          <w:b/>
          <w:bCs/>
        </w:rPr>
        <w:t>Purposeful sampling</w:t>
      </w:r>
      <w:r w:rsidRPr="00F549B3">
        <w:rPr>
          <w:rFonts w:ascii="Times New Roman" w:hAnsi="Times New Roman" w:cs="Times New Roman"/>
        </w:rPr>
        <w:t xml:space="preserve"> was used to maximise </w:t>
      </w:r>
      <w:r w:rsidRPr="00F549B3">
        <w:rPr>
          <w:rFonts w:ascii="Times New Roman" w:hAnsi="Times New Roman" w:cs="Times New Roman"/>
          <w:b/>
          <w:bCs/>
        </w:rPr>
        <w:t>relevant variation</w:t>
      </w:r>
      <w:r w:rsidRPr="00F549B3">
        <w:rPr>
          <w:rFonts w:ascii="Times New Roman" w:hAnsi="Times New Roman" w:cs="Times New Roman"/>
        </w:rPr>
        <w:t xml:space="preserve"> across instructional medium and, where feasible, across gender, socioeconomic background, and disability-related experience (Dörnyei, 2001). Sampling proceeded </w:t>
      </w:r>
      <w:r w:rsidRPr="00F549B3">
        <w:rPr>
          <w:rFonts w:ascii="Times New Roman" w:hAnsi="Times New Roman" w:cs="Times New Roman"/>
          <w:b/>
          <w:bCs/>
        </w:rPr>
        <w:t>iteratively</w:t>
      </w:r>
      <w:r w:rsidRPr="00F549B3">
        <w:rPr>
          <w:rFonts w:ascii="Times New Roman" w:hAnsi="Times New Roman" w:cs="Times New Roman"/>
        </w:rPr>
        <w:t xml:space="preserve">, with data collection continuing until </w:t>
      </w:r>
      <w:r w:rsidRPr="00F549B3">
        <w:rPr>
          <w:rFonts w:ascii="Times New Roman" w:hAnsi="Times New Roman" w:cs="Times New Roman"/>
          <w:b/>
          <w:bCs/>
        </w:rPr>
        <w:t>thematic saturation</w:t>
      </w:r>
      <w:r w:rsidRPr="00F549B3">
        <w:rPr>
          <w:rFonts w:ascii="Times New Roman" w:hAnsi="Times New Roman" w:cs="Times New Roman"/>
        </w:rPr>
        <w:t xml:space="preserve"> was approached—that is, until new interviews yielded no substantial elaboration of the emerging thematic structure (Dörnyei, 2001; Braun &amp; Clarke, 2006).</w:t>
      </w:r>
    </w:p>
    <w:p w14:paraId="7D81D645" w14:textId="77777777" w:rsidR="00BA5251" w:rsidRPr="00F549B3" w:rsidRDefault="00000000">
      <w:pPr>
        <w:pStyle w:val="Balk3"/>
        <w:rPr>
          <w:rFonts w:ascii="Times New Roman" w:hAnsi="Times New Roman" w:cs="Times New Roman"/>
          <w:sz w:val="24"/>
          <w:szCs w:val="24"/>
        </w:rPr>
      </w:pPr>
      <w:bookmarkStart w:id="13" w:name="data-collection"/>
      <w:bookmarkEnd w:id="12"/>
      <w:r w:rsidRPr="00F549B3">
        <w:rPr>
          <w:rFonts w:ascii="Times New Roman" w:hAnsi="Times New Roman" w:cs="Times New Roman"/>
          <w:sz w:val="24"/>
          <w:szCs w:val="24"/>
        </w:rPr>
        <w:t>3.5 Data collection</w:t>
      </w:r>
    </w:p>
    <w:p w14:paraId="79060D19" w14:textId="77777777" w:rsidR="00BA5251" w:rsidRPr="00F549B3" w:rsidRDefault="00000000">
      <w:pPr>
        <w:pStyle w:val="Balk4"/>
        <w:rPr>
          <w:rFonts w:ascii="Times New Roman" w:hAnsi="Times New Roman" w:cs="Times New Roman"/>
        </w:rPr>
      </w:pPr>
      <w:bookmarkStart w:id="14" w:name="Xc5ccf90e72bfefed94f3081b0c24734f8542b4b"/>
      <w:r w:rsidRPr="00F549B3">
        <w:rPr>
          <w:rFonts w:ascii="Times New Roman" w:hAnsi="Times New Roman" w:cs="Times New Roman"/>
        </w:rPr>
        <w:t>3.5.1 Quantitative data sources and case definition</w:t>
      </w:r>
    </w:p>
    <w:p w14:paraId="783177D5"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Quantitative data were obtained from </w:t>
      </w:r>
      <w:r w:rsidRPr="00F549B3">
        <w:rPr>
          <w:rFonts w:ascii="Times New Roman" w:hAnsi="Times New Roman" w:cs="Times New Roman"/>
          <w:b/>
          <w:bCs/>
        </w:rPr>
        <w:t>YÖK Atlas</w:t>
      </w:r>
      <w:r w:rsidRPr="00F549B3">
        <w:rPr>
          <w:rFonts w:ascii="Times New Roman" w:hAnsi="Times New Roman" w:cs="Times New Roman"/>
        </w:rPr>
        <w:t xml:space="preserve">, the official database of the Turkish Council of Higher Education (YÖK), which provides nationally standardised information on higher education programmes, institutions, and student placements. For this study, records were compiled for the </w:t>
      </w:r>
      <w:r w:rsidRPr="00F549B3">
        <w:rPr>
          <w:rFonts w:ascii="Times New Roman" w:hAnsi="Times New Roman" w:cs="Times New Roman"/>
          <w:b/>
          <w:bCs/>
        </w:rPr>
        <w:t>2023, 2024, and 2025</w:t>
      </w:r>
      <w:r w:rsidRPr="00F549B3">
        <w:rPr>
          <w:rFonts w:ascii="Times New Roman" w:hAnsi="Times New Roman" w:cs="Times New Roman"/>
        </w:rPr>
        <w:t xml:space="preserve"> admission cycles and organised by </w:t>
      </w:r>
      <w:r w:rsidRPr="00F549B3">
        <w:rPr>
          <w:rFonts w:ascii="Times New Roman" w:hAnsi="Times New Roman" w:cs="Times New Roman"/>
          <w:b/>
          <w:bCs/>
        </w:rPr>
        <w:t>medium of instruction</w:t>
      </w:r>
      <w:r w:rsidRPr="00F549B3">
        <w:rPr>
          <w:rFonts w:ascii="Times New Roman" w:hAnsi="Times New Roman" w:cs="Times New Roman"/>
        </w:rPr>
        <w:t xml:space="preserve"> at the undergraduate level, distinguishing </w:t>
      </w:r>
      <w:r w:rsidRPr="00F549B3">
        <w:rPr>
          <w:rFonts w:ascii="Times New Roman" w:hAnsi="Times New Roman" w:cs="Times New Roman"/>
          <w:b/>
          <w:bCs/>
        </w:rPr>
        <w:t>EMI</w:t>
      </w:r>
      <w:r w:rsidRPr="00F549B3">
        <w:rPr>
          <w:rFonts w:ascii="Times New Roman" w:hAnsi="Times New Roman" w:cs="Times New Roman"/>
        </w:rPr>
        <w:t xml:space="preserve"> and </w:t>
      </w:r>
      <w:r w:rsidRPr="00F549B3">
        <w:rPr>
          <w:rFonts w:ascii="Times New Roman" w:hAnsi="Times New Roman" w:cs="Times New Roman"/>
          <w:b/>
          <w:bCs/>
        </w:rPr>
        <w:t>TMI</w:t>
      </w:r>
      <w:r w:rsidRPr="00F549B3">
        <w:rPr>
          <w:rFonts w:ascii="Times New Roman" w:hAnsi="Times New Roman" w:cs="Times New Roman"/>
        </w:rPr>
        <w:t xml:space="preserve"> programmes.</w:t>
      </w:r>
    </w:p>
    <w:p w14:paraId="1CCF1B0B"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Conceptual boundary (content EMI).</w:t>
      </w:r>
      <w:r w:rsidRPr="00F549B3">
        <w:rPr>
          <w:rFonts w:ascii="Times New Roman" w:hAnsi="Times New Roman" w:cs="Times New Roman"/>
        </w:rPr>
        <w:t xml:space="preserve"> In constructing the analytic dataset, </w:t>
      </w:r>
      <w:r w:rsidRPr="00F549B3">
        <w:rPr>
          <w:rFonts w:ascii="Times New Roman" w:hAnsi="Times New Roman" w:cs="Times New Roman"/>
          <w:b/>
          <w:bCs/>
        </w:rPr>
        <w:t>language-related programmes were excluded</w:t>
      </w:r>
      <w:r w:rsidRPr="00F549B3">
        <w:rPr>
          <w:rFonts w:ascii="Times New Roman" w:hAnsi="Times New Roman" w:cs="Times New Roman"/>
        </w:rPr>
        <w:t xml:space="preserve">. This follows the widely adopted definition of EMI as the teaching of </w:t>
      </w:r>
      <w:r w:rsidRPr="00F549B3">
        <w:rPr>
          <w:rFonts w:ascii="Times New Roman" w:hAnsi="Times New Roman" w:cs="Times New Roman"/>
          <w:b/>
          <w:bCs/>
        </w:rPr>
        <w:t>academic content</w:t>
      </w:r>
      <w:r w:rsidRPr="00F549B3">
        <w:rPr>
          <w:rFonts w:ascii="Times New Roman" w:hAnsi="Times New Roman" w:cs="Times New Roman"/>
        </w:rPr>
        <w:t xml:space="preserve"> through English, rather than the teaching of </w:t>
      </w:r>
      <w:r w:rsidRPr="00F549B3">
        <w:rPr>
          <w:rFonts w:ascii="Times New Roman" w:hAnsi="Times New Roman" w:cs="Times New Roman"/>
          <w:b/>
          <w:bCs/>
        </w:rPr>
        <w:t>English as a subject</w:t>
      </w:r>
      <w:r w:rsidRPr="00F549B3">
        <w:rPr>
          <w:rFonts w:ascii="Times New Roman" w:hAnsi="Times New Roman" w:cs="Times New Roman"/>
        </w:rPr>
        <w:t xml:space="preserve"> (Dearden, 2014; Macaro et al., 2018). Excluded programme families included, among others, English language studies, foreign language education, translation and interpreting, linguistics, and cognate language-centred fields. The purpose was to preserve </w:t>
      </w:r>
      <w:r w:rsidRPr="00F549B3">
        <w:rPr>
          <w:rFonts w:ascii="Times New Roman" w:hAnsi="Times New Roman" w:cs="Times New Roman"/>
          <w:b/>
          <w:bCs/>
        </w:rPr>
        <w:t>conceptual consistency</w:t>
      </w:r>
      <w:r w:rsidRPr="00F549B3">
        <w:rPr>
          <w:rFonts w:ascii="Times New Roman" w:hAnsi="Times New Roman" w:cs="Times New Roman"/>
        </w:rPr>
        <w:t xml:space="preserve"> by restricting comparison to </w:t>
      </w:r>
      <w:r w:rsidRPr="00F549B3">
        <w:rPr>
          <w:rFonts w:ascii="Times New Roman" w:hAnsi="Times New Roman" w:cs="Times New Roman"/>
          <w:b/>
          <w:bCs/>
        </w:rPr>
        <w:t>content-based</w:t>
      </w:r>
      <w:r w:rsidRPr="00F549B3">
        <w:rPr>
          <w:rFonts w:ascii="Times New Roman" w:hAnsi="Times New Roman" w:cs="Times New Roman"/>
        </w:rPr>
        <w:t xml:space="preserve"> instructional contexts. </w:t>
      </w:r>
      <w:r w:rsidRPr="00F549B3">
        <w:rPr>
          <w:rFonts w:ascii="Times New Roman" w:hAnsi="Times New Roman" w:cs="Times New Roman"/>
          <w:b/>
          <w:bCs/>
        </w:rPr>
        <w:t>Residual misclassification</w:t>
      </w:r>
      <w:r w:rsidRPr="00F549B3">
        <w:rPr>
          <w:rFonts w:ascii="Times New Roman" w:hAnsi="Times New Roman" w:cs="Times New Roman"/>
        </w:rPr>
        <w:t xml:space="preserve"> (e.g., ambiguous or hybrid programme labels) was mitigated through manual review; a </w:t>
      </w:r>
      <w:r w:rsidRPr="00F549B3">
        <w:rPr>
          <w:rFonts w:ascii="Times New Roman" w:hAnsi="Times New Roman" w:cs="Times New Roman"/>
          <w:b/>
          <w:bCs/>
        </w:rPr>
        <w:t>small number</w:t>
      </w:r>
      <w:r w:rsidRPr="00F549B3">
        <w:rPr>
          <w:rFonts w:ascii="Times New Roman" w:hAnsi="Times New Roman" w:cs="Times New Roman"/>
        </w:rPr>
        <w:t xml:space="preserve"> of records with incomplete or inconsistent fields were omitted </w:t>
      </w:r>
      <w:r w:rsidRPr="00F549B3">
        <w:rPr>
          <w:rFonts w:ascii="Times New Roman" w:hAnsi="Times New Roman" w:cs="Times New Roman"/>
          <w:b/>
          <w:bCs/>
        </w:rPr>
        <w:t>only</w:t>
      </w:r>
      <w:r w:rsidRPr="00F549B3">
        <w:rPr>
          <w:rFonts w:ascii="Times New Roman" w:hAnsi="Times New Roman" w:cs="Times New Roman"/>
        </w:rPr>
        <w:t xml:space="preserve"> when reliable categorisation was not possible. The resulting dataset is best understood as a </w:t>
      </w:r>
      <w:r w:rsidRPr="00F549B3">
        <w:rPr>
          <w:rFonts w:ascii="Times New Roman" w:hAnsi="Times New Roman" w:cs="Times New Roman"/>
          <w:b/>
          <w:bCs/>
        </w:rPr>
        <w:t>curated national extract</w:t>
      </w:r>
      <w:r w:rsidRPr="00F549B3">
        <w:rPr>
          <w:rFonts w:ascii="Times New Roman" w:hAnsi="Times New Roman" w:cs="Times New Roman"/>
        </w:rPr>
        <w:t xml:space="preserve"> optimised for </w:t>
      </w:r>
      <w:r w:rsidRPr="00F549B3">
        <w:rPr>
          <w:rFonts w:ascii="Times New Roman" w:hAnsi="Times New Roman" w:cs="Times New Roman"/>
          <w:b/>
          <w:bCs/>
        </w:rPr>
        <w:t>EMI–TMI comparability</w:t>
      </w:r>
      <w:r w:rsidRPr="00F549B3">
        <w:rPr>
          <w:rFonts w:ascii="Times New Roman" w:hAnsi="Times New Roman" w:cs="Times New Roman"/>
        </w:rPr>
        <w:t>, not an exhaustive census of every programme record in YÖK Atlas.</w:t>
      </w:r>
    </w:p>
    <w:p w14:paraId="504D47CB" w14:textId="77777777" w:rsidR="00BA5251" w:rsidRPr="00F549B3" w:rsidRDefault="00000000">
      <w:pPr>
        <w:pStyle w:val="Balk4"/>
        <w:rPr>
          <w:rFonts w:ascii="Times New Roman" w:hAnsi="Times New Roman" w:cs="Times New Roman"/>
        </w:rPr>
      </w:pPr>
      <w:bookmarkStart w:id="15" w:name="Xdaa4b2f0836cdc7d09f4386f44630c1977c9d83"/>
      <w:bookmarkEnd w:id="14"/>
      <w:r w:rsidRPr="00F549B3">
        <w:rPr>
          <w:rFonts w:ascii="Times New Roman" w:hAnsi="Times New Roman" w:cs="Times New Roman"/>
        </w:rPr>
        <w:t>3.5.2 Indicators and geographic–socioeconomic framework</w:t>
      </w:r>
    </w:p>
    <w:p w14:paraId="3FC80592"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Three </w:t>
      </w:r>
      <w:r w:rsidRPr="00F549B3">
        <w:rPr>
          <w:rFonts w:ascii="Times New Roman" w:hAnsi="Times New Roman" w:cs="Times New Roman"/>
          <w:b/>
          <w:bCs/>
        </w:rPr>
        <w:t>quantitative indicators</w:t>
      </w:r>
      <w:r w:rsidRPr="00F549B3">
        <w:rPr>
          <w:rFonts w:ascii="Times New Roman" w:hAnsi="Times New Roman" w:cs="Times New Roman"/>
        </w:rPr>
        <w:t xml:space="preserve"> were employed:</w:t>
      </w:r>
    </w:p>
    <w:p w14:paraId="778A8F2C" w14:textId="77777777" w:rsidR="00BA5251" w:rsidRPr="00F549B3" w:rsidRDefault="00000000">
      <w:pPr>
        <w:pStyle w:val="Compact"/>
        <w:numPr>
          <w:ilvl w:val="0"/>
          <w:numId w:val="2"/>
        </w:numPr>
        <w:rPr>
          <w:rFonts w:ascii="Times New Roman" w:hAnsi="Times New Roman" w:cs="Times New Roman"/>
        </w:rPr>
      </w:pPr>
      <w:r w:rsidRPr="00F549B3">
        <w:rPr>
          <w:rFonts w:ascii="Times New Roman" w:hAnsi="Times New Roman" w:cs="Times New Roman"/>
          <w:b/>
          <w:bCs/>
        </w:rPr>
        <w:t>Gender distribution</w:t>
      </w:r>
      <w:r w:rsidRPr="00F549B3">
        <w:rPr>
          <w:rFonts w:ascii="Times New Roman" w:hAnsi="Times New Roman" w:cs="Times New Roman"/>
        </w:rPr>
        <w:t xml:space="preserve"> of newly placed students, as recorded in administrative placement data (binary categories as reported by the source).</w:t>
      </w:r>
    </w:p>
    <w:p w14:paraId="19A382B9" w14:textId="77777777" w:rsidR="00BA5251" w:rsidRPr="00F549B3" w:rsidRDefault="00000000">
      <w:pPr>
        <w:pStyle w:val="Compact"/>
        <w:numPr>
          <w:ilvl w:val="0"/>
          <w:numId w:val="2"/>
        </w:numPr>
        <w:rPr>
          <w:rFonts w:ascii="Times New Roman" w:hAnsi="Times New Roman" w:cs="Times New Roman"/>
        </w:rPr>
      </w:pPr>
      <w:r w:rsidRPr="00F549B3">
        <w:rPr>
          <w:rFonts w:ascii="Times New Roman" w:hAnsi="Times New Roman" w:cs="Times New Roman"/>
          <w:b/>
          <w:bCs/>
        </w:rPr>
        <w:t>Disability</w:t>
      </w:r>
      <w:r w:rsidRPr="00F549B3">
        <w:rPr>
          <w:rFonts w:ascii="Times New Roman" w:hAnsi="Times New Roman" w:cs="Times New Roman"/>
        </w:rPr>
        <w:t xml:space="preserve"> among newly placed students: </w:t>
      </w:r>
      <w:r w:rsidRPr="00F549B3">
        <w:rPr>
          <w:rFonts w:ascii="Times New Roman" w:hAnsi="Times New Roman" w:cs="Times New Roman"/>
          <w:b/>
          <w:bCs/>
        </w:rPr>
        <w:t>counts and percentages</w:t>
      </w:r>
      <w:r w:rsidRPr="00F549B3">
        <w:rPr>
          <w:rFonts w:ascii="Times New Roman" w:hAnsi="Times New Roman" w:cs="Times New Roman"/>
        </w:rPr>
        <w:t xml:space="preserve"> of students flagged as disabled in the placement records, compared across EMI and TMI.</w:t>
      </w:r>
    </w:p>
    <w:p w14:paraId="30DAB0B9" w14:textId="77777777" w:rsidR="00BA5251" w:rsidRPr="00F549B3" w:rsidRDefault="00000000">
      <w:pPr>
        <w:pStyle w:val="Compact"/>
        <w:numPr>
          <w:ilvl w:val="0"/>
          <w:numId w:val="2"/>
        </w:numPr>
        <w:rPr>
          <w:rFonts w:ascii="Times New Roman" w:hAnsi="Times New Roman" w:cs="Times New Roman"/>
        </w:rPr>
      </w:pPr>
      <w:r w:rsidRPr="00F549B3">
        <w:rPr>
          <w:rFonts w:ascii="Times New Roman" w:hAnsi="Times New Roman" w:cs="Times New Roman"/>
          <w:b/>
          <w:bCs/>
        </w:rPr>
        <w:t>Socioeconomic geography</w:t>
      </w:r>
      <w:r w:rsidRPr="00F549B3">
        <w:rPr>
          <w:rFonts w:ascii="Times New Roman" w:hAnsi="Times New Roman" w:cs="Times New Roman"/>
        </w:rPr>
        <w:t xml:space="preserve">, operationalised through </w:t>
      </w:r>
      <w:r w:rsidRPr="00F549B3">
        <w:rPr>
          <w:rFonts w:ascii="Times New Roman" w:hAnsi="Times New Roman" w:cs="Times New Roman"/>
          <w:b/>
          <w:bCs/>
        </w:rPr>
        <w:t>provincial tier</w:t>
      </w:r>
      <w:r w:rsidRPr="00F549B3">
        <w:rPr>
          <w:rFonts w:ascii="Times New Roman" w:hAnsi="Times New Roman" w:cs="Times New Roman"/>
        </w:rPr>
        <w:t xml:space="preserve"> membership using the </w:t>
      </w:r>
      <w:r w:rsidRPr="00F549B3">
        <w:rPr>
          <w:rFonts w:ascii="Times New Roman" w:hAnsi="Times New Roman" w:cs="Times New Roman"/>
          <w:b/>
          <w:bCs/>
        </w:rPr>
        <w:t>Research on the Socio-Economic Development Ranking of Provinces and Regions (SEGE-2025)</w:t>
      </w:r>
      <w:r w:rsidRPr="00F549B3">
        <w:rPr>
          <w:rFonts w:ascii="Times New Roman" w:hAnsi="Times New Roman" w:cs="Times New Roman"/>
        </w:rPr>
        <w:t xml:space="preserve">, published by the Ministry of Industry and Technology. SEGE-2025 evaluates provinces on </w:t>
      </w:r>
      <w:r w:rsidRPr="00F549B3">
        <w:rPr>
          <w:rFonts w:ascii="Times New Roman" w:hAnsi="Times New Roman" w:cs="Times New Roman"/>
          <w:b/>
          <w:bCs/>
        </w:rPr>
        <w:t>52 variables</w:t>
      </w:r>
      <w:r w:rsidRPr="00F549B3">
        <w:rPr>
          <w:rFonts w:ascii="Times New Roman" w:hAnsi="Times New Roman" w:cs="Times New Roman"/>
        </w:rPr>
        <w:t xml:space="preserve"> organised under </w:t>
      </w:r>
      <w:r w:rsidRPr="00F549B3">
        <w:rPr>
          <w:rFonts w:ascii="Times New Roman" w:hAnsi="Times New Roman" w:cs="Times New Roman"/>
          <w:b/>
          <w:bCs/>
        </w:rPr>
        <w:t>eight thematic domains</w:t>
      </w:r>
      <w:r w:rsidRPr="00F549B3">
        <w:rPr>
          <w:rFonts w:ascii="Times New Roman" w:hAnsi="Times New Roman" w:cs="Times New Roman"/>
        </w:rPr>
        <w:t xml:space="preserve"> and assigns each province to one of </w:t>
      </w:r>
      <w:r w:rsidRPr="00F549B3">
        <w:rPr>
          <w:rFonts w:ascii="Times New Roman" w:hAnsi="Times New Roman" w:cs="Times New Roman"/>
          <w:b/>
          <w:bCs/>
        </w:rPr>
        <w:t>six development tiers</w:t>
      </w:r>
      <w:r w:rsidRPr="00F549B3">
        <w:rPr>
          <w:rFonts w:ascii="Times New Roman" w:hAnsi="Times New Roman" w:cs="Times New Roman"/>
        </w:rPr>
        <w:t xml:space="preserve"> (Tier 1 = highest development; Tier 6 = lowest in this scheme). Provinces were aggregated to tier level for comparison of placement distributions.</w:t>
      </w:r>
    </w:p>
    <w:p w14:paraId="50BA87EA"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lastRenderedPageBreak/>
        <w:t xml:space="preserve">To interpret </w:t>
      </w:r>
      <w:r w:rsidRPr="00F549B3">
        <w:rPr>
          <w:rFonts w:ascii="Times New Roman" w:hAnsi="Times New Roman" w:cs="Times New Roman"/>
          <w:b/>
          <w:bCs/>
        </w:rPr>
        <w:t>raw placement counts</w:t>
      </w:r>
      <w:r w:rsidRPr="00F549B3">
        <w:rPr>
          <w:rFonts w:ascii="Times New Roman" w:hAnsi="Times New Roman" w:cs="Times New Roman"/>
        </w:rPr>
        <w:t xml:space="preserve"> in light of the </w:t>
      </w:r>
      <w:r w:rsidRPr="00F549B3">
        <w:rPr>
          <w:rFonts w:ascii="Times New Roman" w:hAnsi="Times New Roman" w:cs="Times New Roman"/>
          <w:b/>
          <w:bCs/>
        </w:rPr>
        <w:t>underlying youth population</w:t>
      </w:r>
      <w:r w:rsidRPr="00F549B3">
        <w:rPr>
          <w:rFonts w:ascii="Times New Roman" w:hAnsi="Times New Roman" w:cs="Times New Roman"/>
        </w:rPr>
        <w:t xml:space="preserve"> likely to supply university applicants, </w:t>
      </w:r>
      <w:r w:rsidRPr="00F549B3">
        <w:rPr>
          <w:rFonts w:ascii="Times New Roman" w:hAnsi="Times New Roman" w:cs="Times New Roman"/>
          <w:b/>
          <w:bCs/>
        </w:rPr>
        <w:t>denominators</w:t>
      </w:r>
      <w:r w:rsidRPr="00F549B3">
        <w:rPr>
          <w:rFonts w:ascii="Times New Roman" w:hAnsi="Times New Roman" w:cs="Times New Roman"/>
        </w:rPr>
        <w:t xml:space="preserve"> were constructed from the </w:t>
      </w:r>
      <w:r w:rsidRPr="00F549B3">
        <w:rPr>
          <w:rFonts w:ascii="Times New Roman" w:hAnsi="Times New Roman" w:cs="Times New Roman"/>
          <w:b/>
          <w:bCs/>
        </w:rPr>
        <w:t>Population Statistics Portal</w:t>
      </w:r>
      <w:r w:rsidRPr="00F549B3">
        <w:rPr>
          <w:rFonts w:ascii="Times New Roman" w:hAnsi="Times New Roman" w:cs="Times New Roman"/>
        </w:rPr>
        <w:t xml:space="preserve"> of the Turkish Statistical Institute (TURKSTAT), using the </w:t>
      </w:r>
      <w:r w:rsidRPr="00F549B3">
        <w:rPr>
          <w:rFonts w:ascii="Times New Roman" w:hAnsi="Times New Roman" w:cs="Times New Roman"/>
          <w:b/>
          <w:bCs/>
        </w:rPr>
        <w:t>Population by Age Group</w:t>
      </w:r>
      <w:r w:rsidRPr="00F549B3">
        <w:rPr>
          <w:rFonts w:ascii="Times New Roman" w:hAnsi="Times New Roman" w:cs="Times New Roman"/>
        </w:rPr>
        <w:t xml:space="preserve"> interface. Because the portal reports </w:t>
      </w:r>
      <w:r w:rsidRPr="00F549B3">
        <w:rPr>
          <w:rFonts w:ascii="Times New Roman" w:hAnsi="Times New Roman" w:cs="Times New Roman"/>
          <w:b/>
          <w:bCs/>
        </w:rPr>
        <w:t>15–19</w:t>
      </w:r>
      <w:r w:rsidRPr="00F549B3">
        <w:rPr>
          <w:rFonts w:ascii="Times New Roman" w:hAnsi="Times New Roman" w:cs="Times New Roman"/>
        </w:rPr>
        <w:t xml:space="preserve"> and </w:t>
      </w:r>
      <w:r w:rsidRPr="00F549B3">
        <w:rPr>
          <w:rFonts w:ascii="Times New Roman" w:hAnsi="Times New Roman" w:cs="Times New Roman"/>
          <w:b/>
          <w:bCs/>
        </w:rPr>
        <w:t>20–24</w:t>
      </w:r>
      <w:r w:rsidRPr="00F549B3">
        <w:rPr>
          <w:rFonts w:ascii="Times New Roman" w:hAnsi="Times New Roman" w:cs="Times New Roman"/>
        </w:rPr>
        <w:t xml:space="preserve"> age bands separately, these were </w:t>
      </w:r>
      <w:r w:rsidRPr="00F549B3">
        <w:rPr>
          <w:rFonts w:ascii="Times New Roman" w:hAnsi="Times New Roman" w:cs="Times New Roman"/>
          <w:b/>
          <w:bCs/>
        </w:rPr>
        <w:t>combined</w:t>
      </w:r>
      <w:r w:rsidRPr="00F549B3">
        <w:rPr>
          <w:rFonts w:ascii="Times New Roman" w:hAnsi="Times New Roman" w:cs="Times New Roman"/>
        </w:rPr>
        <w:t xml:space="preserve"> to approximate a </w:t>
      </w:r>
      <w:r w:rsidRPr="00F549B3">
        <w:rPr>
          <w:rFonts w:ascii="Times New Roman" w:hAnsi="Times New Roman" w:cs="Times New Roman"/>
          <w:b/>
          <w:bCs/>
        </w:rPr>
        <w:t>15–24</w:t>
      </w:r>
      <w:r w:rsidRPr="00F549B3">
        <w:rPr>
          <w:rFonts w:ascii="Times New Roman" w:hAnsi="Times New Roman" w:cs="Times New Roman"/>
        </w:rPr>
        <w:t xml:space="preserve"> “candidate-age” pool at the provincial level, then </w:t>
      </w:r>
      <w:r w:rsidRPr="00F549B3">
        <w:rPr>
          <w:rFonts w:ascii="Times New Roman" w:hAnsi="Times New Roman" w:cs="Times New Roman"/>
          <w:b/>
          <w:bCs/>
        </w:rPr>
        <w:t>aggregated within each SEGE tier</w:t>
      </w:r>
      <w:r w:rsidRPr="00F549B3">
        <w:rPr>
          <w:rFonts w:ascii="Times New Roman" w:hAnsi="Times New Roman" w:cs="Times New Roman"/>
        </w:rPr>
        <w:t xml:space="preserve">. EMI and TMI placement counts were therefore examined both </w:t>
      </w:r>
      <w:r w:rsidRPr="00F549B3">
        <w:rPr>
          <w:rFonts w:ascii="Times New Roman" w:hAnsi="Times New Roman" w:cs="Times New Roman"/>
          <w:b/>
          <w:bCs/>
        </w:rPr>
        <w:t>absolutely</w:t>
      </w:r>
      <w:r w:rsidRPr="00F549B3">
        <w:rPr>
          <w:rFonts w:ascii="Times New Roman" w:hAnsi="Times New Roman" w:cs="Times New Roman"/>
        </w:rPr>
        <w:t xml:space="preserve"> and </w:t>
      </w:r>
      <w:r w:rsidRPr="00F549B3">
        <w:rPr>
          <w:rFonts w:ascii="Times New Roman" w:hAnsi="Times New Roman" w:cs="Times New Roman"/>
          <w:b/>
          <w:bCs/>
        </w:rPr>
        <w:t>relative to tier-level 15–24 population</w:t>
      </w:r>
      <w:r w:rsidRPr="00F549B3">
        <w:rPr>
          <w:rFonts w:ascii="Times New Roman" w:hAnsi="Times New Roman" w:cs="Times New Roman"/>
        </w:rPr>
        <w:t xml:space="preserve">, yielding </w:t>
      </w:r>
      <w:r w:rsidRPr="00F549B3">
        <w:rPr>
          <w:rFonts w:ascii="Times New Roman" w:hAnsi="Times New Roman" w:cs="Times New Roman"/>
          <w:b/>
          <w:bCs/>
        </w:rPr>
        <w:t>population-adjusted placement intensities</w:t>
      </w:r>
      <w:r w:rsidRPr="00F549B3">
        <w:rPr>
          <w:rFonts w:ascii="Times New Roman" w:hAnsi="Times New Roman" w:cs="Times New Roman"/>
        </w:rPr>
        <w:t xml:space="preserve"> by tier.</w:t>
      </w:r>
    </w:p>
    <w:p w14:paraId="1EFD0CA1" w14:textId="77777777" w:rsidR="00BA5251" w:rsidRPr="00F549B3" w:rsidRDefault="00000000">
      <w:pPr>
        <w:pStyle w:val="Balk4"/>
        <w:rPr>
          <w:rFonts w:ascii="Times New Roman" w:hAnsi="Times New Roman" w:cs="Times New Roman"/>
        </w:rPr>
      </w:pPr>
      <w:bookmarkStart w:id="16" w:name="qualitative-data-collection"/>
      <w:bookmarkEnd w:id="15"/>
      <w:r w:rsidRPr="00F549B3">
        <w:rPr>
          <w:rFonts w:ascii="Times New Roman" w:hAnsi="Times New Roman" w:cs="Times New Roman"/>
        </w:rPr>
        <w:t>3.5.3 Qualitative data collection</w:t>
      </w:r>
    </w:p>
    <w:p w14:paraId="6CDA3030"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Qualitative data were collected through </w:t>
      </w:r>
      <w:r w:rsidRPr="00F549B3">
        <w:rPr>
          <w:rFonts w:ascii="Times New Roman" w:hAnsi="Times New Roman" w:cs="Times New Roman"/>
          <w:b/>
          <w:bCs/>
        </w:rPr>
        <w:t>semi-structured interviews</w:t>
      </w:r>
      <w:r w:rsidRPr="00F549B3">
        <w:rPr>
          <w:rFonts w:ascii="Times New Roman" w:hAnsi="Times New Roman" w:cs="Times New Roman"/>
        </w:rPr>
        <w:t xml:space="preserve">, chosen because they balance </w:t>
      </w:r>
      <w:r w:rsidRPr="00F549B3">
        <w:rPr>
          <w:rFonts w:ascii="Times New Roman" w:hAnsi="Times New Roman" w:cs="Times New Roman"/>
          <w:b/>
          <w:bCs/>
        </w:rPr>
        <w:t>topic coverage</w:t>
      </w:r>
      <w:r w:rsidRPr="00F549B3">
        <w:rPr>
          <w:rFonts w:ascii="Times New Roman" w:hAnsi="Times New Roman" w:cs="Times New Roman"/>
        </w:rPr>
        <w:t xml:space="preserve"> with </w:t>
      </w:r>
      <w:r w:rsidRPr="00F549B3">
        <w:rPr>
          <w:rFonts w:ascii="Times New Roman" w:hAnsi="Times New Roman" w:cs="Times New Roman"/>
          <w:b/>
          <w:bCs/>
        </w:rPr>
        <w:t>space for participant-led elaboration</w:t>
      </w:r>
      <w:r w:rsidRPr="00F549B3">
        <w:rPr>
          <w:rFonts w:ascii="Times New Roman" w:hAnsi="Times New Roman" w:cs="Times New Roman"/>
        </w:rPr>
        <w:t xml:space="preserve"> (Heigham &amp; Croker, 2009). The protocol focused on how students understood the roles of </w:t>
      </w:r>
      <w:r w:rsidRPr="00F549B3">
        <w:rPr>
          <w:rFonts w:ascii="Times New Roman" w:hAnsi="Times New Roman" w:cs="Times New Roman"/>
          <w:b/>
          <w:bCs/>
        </w:rPr>
        <w:t>gender</w:t>
      </w:r>
      <w:r w:rsidRPr="00F549B3">
        <w:rPr>
          <w:rFonts w:ascii="Times New Roman" w:hAnsi="Times New Roman" w:cs="Times New Roman"/>
        </w:rPr>
        <w:t xml:space="preserve">, </w:t>
      </w:r>
      <w:r w:rsidRPr="00F549B3">
        <w:rPr>
          <w:rFonts w:ascii="Times New Roman" w:hAnsi="Times New Roman" w:cs="Times New Roman"/>
          <w:b/>
          <w:bCs/>
        </w:rPr>
        <w:t>disability</w:t>
      </w:r>
      <w:r w:rsidRPr="00F549B3">
        <w:rPr>
          <w:rFonts w:ascii="Times New Roman" w:hAnsi="Times New Roman" w:cs="Times New Roman"/>
        </w:rPr>
        <w:t xml:space="preserve">, and </w:t>
      </w:r>
      <w:r w:rsidRPr="00F549B3">
        <w:rPr>
          <w:rFonts w:ascii="Times New Roman" w:hAnsi="Times New Roman" w:cs="Times New Roman"/>
          <w:b/>
          <w:bCs/>
        </w:rPr>
        <w:t>socioeconomic background</w:t>
      </w:r>
      <w:r w:rsidRPr="00F549B3">
        <w:rPr>
          <w:rFonts w:ascii="Times New Roman" w:hAnsi="Times New Roman" w:cs="Times New Roman"/>
        </w:rPr>
        <w:t xml:space="preserve"> in shaping access to EMI and TMI. It also explored perceived </w:t>
      </w:r>
      <w:r w:rsidRPr="00F549B3">
        <w:rPr>
          <w:rFonts w:ascii="Times New Roman" w:hAnsi="Times New Roman" w:cs="Times New Roman"/>
          <w:b/>
          <w:bCs/>
        </w:rPr>
        <w:t>opportunities and barriers</w:t>
      </w:r>
      <w:r w:rsidRPr="00F549B3">
        <w:rPr>
          <w:rFonts w:ascii="Times New Roman" w:hAnsi="Times New Roman" w:cs="Times New Roman"/>
        </w:rPr>
        <w:t xml:space="preserve">, </w:t>
      </w:r>
      <w:r w:rsidRPr="00F549B3">
        <w:rPr>
          <w:rFonts w:ascii="Times New Roman" w:hAnsi="Times New Roman" w:cs="Times New Roman"/>
          <w:b/>
          <w:bCs/>
        </w:rPr>
        <w:t>fairness</w:t>
      </w:r>
      <w:r w:rsidRPr="00F549B3">
        <w:rPr>
          <w:rFonts w:ascii="Times New Roman" w:hAnsi="Times New Roman" w:cs="Times New Roman"/>
        </w:rPr>
        <w:t xml:space="preserve">, </w:t>
      </w:r>
      <w:r w:rsidRPr="00F549B3">
        <w:rPr>
          <w:rFonts w:ascii="Times New Roman" w:hAnsi="Times New Roman" w:cs="Times New Roman"/>
          <w:b/>
          <w:bCs/>
        </w:rPr>
        <w:t>family influence</w:t>
      </w:r>
      <w:r w:rsidRPr="00F549B3">
        <w:rPr>
          <w:rFonts w:ascii="Times New Roman" w:hAnsi="Times New Roman" w:cs="Times New Roman"/>
        </w:rPr>
        <w:t xml:space="preserve">, </w:t>
      </w:r>
      <w:r w:rsidRPr="00F549B3">
        <w:rPr>
          <w:rFonts w:ascii="Times New Roman" w:hAnsi="Times New Roman" w:cs="Times New Roman"/>
          <w:b/>
          <w:bCs/>
        </w:rPr>
        <w:t>educational biography</w:t>
      </w:r>
      <w:r w:rsidRPr="00F549B3">
        <w:rPr>
          <w:rFonts w:ascii="Times New Roman" w:hAnsi="Times New Roman" w:cs="Times New Roman"/>
        </w:rPr>
        <w:t xml:space="preserve">, and the </w:t>
      </w:r>
      <w:r w:rsidRPr="00F549B3">
        <w:rPr>
          <w:rFonts w:ascii="Times New Roman" w:hAnsi="Times New Roman" w:cs="Times New Roman"/>
          <w:b/>
          <w:bCs/>
        </w:rPr>
        <w:t>symbolic meanings</w:t>
      </w:r>
      <w:r w:rsidRPr="00F549B3">
        <w:rPr>
          <w:rFonts w:ascii="Times New Roman" w:hAnsi="Times New Roman" w:cs="Times New Roman"/>
        </w:rPr>
        <w:t xml:space="preserve"> students attach to each instructional pathway. Interviews were conducted in </w:t>
      </w:r>
      <w:r w:rsidRPr="00F549B3">
        <w:rPr>
          <w:rFonts w:ascii="Times New Roman" w:hAnsi="Times New Roman" w:cs="Times New Roman"/>
          <w:b/>
          <w:bCs/>
        </w:rPr>
        <w:t>Turkish or English</w:t>
      </w:r>
      <w:r w:rsidRPr="00F549B3">
        <w:rPr>
          <w:rFonts w:ascii="Times New Roman" w:hAnsi="Times New Roman" w:cs="Times New Roman"/>
        </w:rPr>
        <w:t xml:space="preserve"> according to participant preference, </w:t>
      </w:r>
      <w:r w:rsidRPr="00F549B3">
        <w:rPr>
          <w:rFonts w:ascii="Times New Roman" w:hAnsi="Times New Roman" w:cs="Times New Roman"/>
          <w:b/>
          <w:bCs/>
        </w:rPr>
        <w:t>audio-recorded</w:t>
      </w:r>
      <w:r w:rsidRPr="00F549B3">
        <w:rPr>
          <w:rFonts w:ascii="Times New Roman" w:hAnsi="Times New Roman" w:cs="Times New Roman"/>
        </w:rPr>
        <w:t xml:space="preserve"> with </w:t>
      </w:r>
      <w:r w:rsidRPr="00F549B3">
        <w:rPr>
          <w:rFonts w:ascii="Times New Roman" w:hAnsi="Times New Roman" w:cs="Times New Roman"/>
          <w:b/>
          <w:bCs/>
        </w:rPr>
        <w:t>informed consent</w:t>
      </w:r>
      <w:r w:rsidRPr="00F549B3">
        <w:rPr>
          <w:rFonts w:ascii="Times New Roman" w:hAnsi="Times New Roman" w:cs="Times New Roman"/>
        </w:rPr>
        <w:t xml:space="preserve">, and </w:t>
      </w:r>
      <w:r w:rsidRPr="00F549B3">
        <w:rPr>
          <w:rFonts w:ascii="Times New Roman" w:hAnsi="Times New Roman" w:cs="Times New Roman"/>
          <w:b/>
          <w:bCs/>
        </w:rPr>
        <w:t>transcribed verbatim</w:t>
      </w:r>
      <w:r w:rsidRPr="00F549B3">
        <w:rPr>
          <w:rFonts w:ascii="Times New Roman" w:hAnsi="Times New Roman" w:cs="Times New Roman"/>
        </w:rPr>
        <w:t xml:space="preserve"> for analysis.</w:t>
      </w:r>
    </w:p>
    <w:p w14:paraId="09778805" w14:textId="77777777" w:rsidR="00BA5251" w:rsidRPr="00F549B3" w:rsidRDefault="00000000">
      <w:pPr>
        <w:pStyle w:val="Balk3"/>
        <w:rPr>
          <w:rFonts w:ascii="Times New Roman" w:hAnsi="Times New Roman" w:cs="Times New Roman"/>
          <w:sz w:val="24"/>
          <w:szCs w:val="24"/>
        </w:rPr>
      </w:pPr>
      <w:bookmarkStart w:id="17" w:name="analytic-approach"/>
      <w:bookmarkEnd w:id="13"/>
      <w:bookmarkEnd w:id="16"/>
      <w:r w:rsidRPr="00F549B3">
        <w:rPr>
          <w:rFonts w:ascii="Times New Roman" w:hAnsi="Times New Roman" w:cs="Times New Roman"/>
          <w:sz w:val="24"/>
          <w:szCs w:val="24"/>
        </w:rPr>
        <w:t>3.6 Analytic approach</w:t>
      </w:r>
    </w:p>
    <w:p w14:paraId="49A9CE8E" w14:textId="77777777" w:rsidR="00BA5251" w:rsidRPr="00F549B3" w:rsidRDefault="00000000">
      <w:pPr>
        <w:pStyle w:val="Balk4"/>
        <w:rPr>
          <w:rFonts w:ascii="Times New Roman" w:hAnsi="Times New Roman" w:cs="Times New Roman"/>
        </w:rPr>
      </w:pPr>
      <w:bookmarkStart w:id="18" w:name="quantitative-analysis"/>
      <w:r w:rsidRPr="00F549B3">
        <w:rPr>
          <w:rFonts w:ascii="Times New Roman" w:hAnsi="Times New Roman" w:cs="Times New Roman"/>
        </w:rPr>
        <w:t>3.6.1 Quantitative analysis</w:t>
      </w:r>
    </w:p>
    <w:p w14:paraId="1265F3E8"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The quantitative data were analysed using </w:t>
      </w:r>
      <w:r w:rsidRPr="00F549B3">
        <w:rPr>
          <w:rFonts w:ascii="Times New Roman" w:hAnsi="Times New Roman" w:cs="Times New Roman"/>
          <w:b/>
          <w:bCs/>
        </w:rPr>
        <w:t>descriptive statistics</w:t>
      </w:r>
      <w:r w:rsidRPr="00F549B3">
        <w:rPr>
          <w:rFonts w:ascii="Times New Roman" w:hAnsi="Times New Roman" w:cs="Times New Roman"/>
        </w:rPr>
        <w:t xml:space="preserve"> and </w:t>
      </w:r>
      <w:r w:rsidRPr="00F549B3">
        <w:rPr>
          <w:rFonts w:ascii="Times New Roman" w:hAnsi="Times New Roman" w:cs="Times New Roman"/>
          <w:b/>
          <w:bCs/>
        </w:rPr>
        <w:t>comparative tabulations</w:t>
      </w:r>
      <w:r w:rsidRPr="00F549B3">
        <w:rPr>
          <w:rFonts w:ascii="Times New Roman" w:hAnsi="Times New Roman" w:cs="Times New Roman"/>
        </w:rPr>
        <w:t xml:space="preserve">. This choice reflects the study’s purpose: to document </w:t>
      </w:r>
      <w:r w:rsidRPr="00F549B3">
        <w:rPr>
          <w:rFonts w:ascii="Times New Roman" w:hAnsi="Times New Roman" w:cs="Times New Roman"/>
          <w:b/>
          <w:bCs/>
        </w:rPr>
        <w:t>patterns of representation</w:t>
      </w:r>
      <w:r w:rsidRPr="00F549B3">
        <w:rPr>
          <w:rFonts w:ascii="Times New Roman" w:hAnsi="Times New Roman" w:cs="Times New Roman"/>
        </w:rPr>
        <w:t xml:space="preserve"> across EMI and TMI rather than to estimate </w:t>
      </w:r>
      <w:r w:rsidRPr="00F549B3">
        <w:rPr>
          <w:rFonts w:ascii="Times New Roman" w:hAnsi="Times New Roman" w:cs="Times New Roman"/>
          <w:b/>
          <w:bCs/>
        </w:rPr>
        <w:t>causal effects</w:t>
      </w:r>
      <w:r w:rsidRPr="00F549B3">
        <w:rPr>
          <w:rFonts w:ascii="Times New Roman" w:hAnsi="Times New Roman" w:cs="Times New Roman"/>
        </w:rPr>
        <w:t xml:space="preserve"> of medium of instruction on individual outcomes. For each admission cycle, </w:t>
      </w:r>
      <w:r w:rsidRPr="00F549B3">
        <w:rPr>
          <w:rFonts w:ascii="Times New Roman" w:hAnsi="Times New Roman" w:cs="Times New Roman"/>
          <w:b/>
          <w:bCs/>
        </w:rPr>
        <w:t>frequencies</w:t>
      </w:r>
      <w:r w:rsidRPr="00F549B3">
        <w:rPr>
          <w:rFonts w:ascii="Times New Roman" w:hAnsi="Times New Roman" w:cs="Times New Roman"/>
        </w:rPr>
        <w:t xml:space="preserve"> and </w:t>
      </w:r>
      <w:r w:rsidRPr="00F549B3">
        <w:rPr>
          <w:rFonts w:ascii="Times New Roman" w:hAnsi="Times New Roman" w:cs="Times New Roman"/>
          <w:b/>
          <w:bCs/>
        </w:rPr>
        <w:t>percentages</w:t>
      </w:r>
      <w:r w:rsidRPr="00F549B3">
        <w:rPr>
          <w:rFonts w:ascii="Times New Roman" w:hAnsi="Times New Roman" w:cs="Times New Roman"/>
        </w:rPr>
        <w:t xml:space="preserve"> were computed for gender, disability, and socioeconomic tier; </w:t>
      </w:r>
      <w:r w:rsidRPr="00F549B3">
        <w:rPr>
          <w:rFonts w:ascii="Times New Roman" w:hAnsi="Times New Roman" w:cs="Times New Roman"/>
          <w:b/>
          <w:bCs/>
        </w:rPr>
        <w:t>cross-cycle stability</w:t>
      </w:r>
      <w:r w:rsidRPr="00F549B3">
        <w:rPr>
          <w:rFonts w:ascii="Times New Roman" w:hAnsi="Times New Roman" w:cs="Times New Roman"/>
        </w:rPr>
        <w:t xml:space="preserve"> was assessed descriptively. For tier-level analysis, placements were related to </w:t>
      </w:r>
      <w:r w:rsidRPr="00F549B3">
        <w:rPr>
          <w:rFonts w:ascii="Times New Roman" w:hAnsi="Times New Roman" w:cs="Times New Roman"/>
          <w:b/>
          <w:bCs/>
        </w:rPr>
        <w:t>tier-aggregated 15–24 population</w:t>
      </w:r>
      <w:r w:rsidRPr="00F549B3">
        <w:rPr>
          <w:rFonts w:ascii="Times New Roman" w:hAnsi="Times New Roman" w:cs="Times New Roman"/>
        </w:rPr>
        <w:t xml:space="preserve"> to contextualise magnitude. </w:t>
      </w:r>
      <w:r w:rsidRPr="00F549B3">
        <w:rPr>
          <w:rFonts w:ascii="Times New Roman" w:hAnsi="Times New Roman" w:cs="Times New Roman"/>
          <w:b/>
          <w:bCs/>
        </w:rPr>
        <w:t>Visual summaries</w:t>
      </w:r>
      <w:r w:rsidRPr="00F549B3">
        <w:rPr>
          <w:rFonts w:ascii="Times New Roman" w:hAnsi="Times New Roman" w:cs="Times New Roman"/>
        </w:rPr>
        <w:t xml:space="preserve"> (e.g., tier profiles over time) were prepared to support transparent comparison between tracks (Agresti &amp; Franklin, 2014; Field, 2013).</w:t>
      </w:r>
    </w:p>
    <w:p w14:paraId="6C4AC858" w14:textId="77777777" w:rsidR="00BA5251" w:rsidRPr="00F549B3" w:rsidRDefault="00000000">
      <w:pPr>
        <w:pStyle w:val="Balk4"/>
        <w:rPr>
          <w:rFonts w:ascii="Times New Roman" w:hAnsi="Times New Roman" w:cs="Times New Roman"/>
        </w:rPr>
      </w:pPr>
      <w:bookmarkStart w:id="19" w:name="qualitative-analysis"/>
      <w:bookmarkEnd w:id="18"/>
      <w:r w:rsidRPr="00F549B3">
        <w:rPr>
          <w:rFonts w:ascii="Times New Roman" w:hAnsi="Times New Roman" w:cs="Times New Roman"/>
        </w:rPr>
        <w:t>3.6.2 Qualitative analysis</w:t>
      </w:r>
    </w:p>
    <w:p w14:paraId="0BF4D999"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Interview transcripts were analysed using </w:t>
      </w:r>
      <w:r w:rsidRPr="00F549B3">
        <w:rPr>
          <w:rFonts w:ascii="Times New Roman" w:hAnsi="Times New Roman" w:cs="Times New Roman"/>
          <w:b/>
          <w:bCs/>
        </w:rPr>
        <w:t>Braun and Clarke’s (2006) reflexive thematic analysis</w:t>
      </w:r>
      <w:r w:rsidRPr="00F549B3">
        <w:rPr>
          <w:rFonts w:ascii="Times New Roman" w:hAnsi="Times New Roman" w:cs="Times New Roman"/>
        </w:rPr>
        <w:t xml:space="preserve"> in six phases: (1) repeated reading for familiarisation; (2) </w:t>
      </w:r>
      <w:r w:rsidRPr="00F549B3">
        <w:rPr>
          <w:rFonts w:ascii="Times New Roman" w:hAnsi="Times New Roman" w:cs="Times New Roman"/>
          <w:b/>
          <w:bCs/>
        </w:rPr>
        <w:t>inductive coding</w:t>
      </w:r>
      <w:r w:rsidRPr="00F549B3">
        <w:rPr>
          <w:rFonts w:ascii="Times New Roman" w:hAnsi="Times New Roman" w:cs="Times New Roman"/>
        </w:rPr>
        <w:t xml:space="preserve">; (3) candidate theme generation; (4) theme review; (5) theme definition and naming; and (6) reporting. Coding emphasised participants’ </w:t>
      </w:r>
      <w:r w:rsidRPr="00F549B3">
        <w:rPr>
          <w:rFonts w:ascii="Times New Roman" w:hAnsi="Times New Roman" w:cs="Times New Roman"/>
          <w:b/>
          <w:bCs/>
        </w:rPr>
        <w:t>emic</w:t>
      </w:r>
      <w:r w:rsidRPr="00F549B3">
        <w:rPr>
          <w:rFonts w:ascii="Times New Roman" w:hAnsi="Times New Roman" w:cs="Times New Roman"/>
        </w:rPr>
        <w:t xml:space="preserve"> accounts of access, inclusion, </w:t>
      </w:r>
      <w:r w:rsidRPr="00F549B3">
        <w:rPr>
          <w:rFonts w:ascii="Times New Roman" w:hAnsi="Times New Roman" w:cs="Times New Roman"/>
          <w:b/>
          <w:bCs/>
        </w:rPr>
        <w:t>exclusion</w:t>
      </w:r>
      <w:r w:rsidRPr="00F549B3">
        <w:rPr>
          <w:rFonts w:ascii="Times New Roman" w:hAnsi="Times New Roman" w:cs="Times New Roman"/>
        </w:rPr>
        <w:t xml:space="preserve">, and </w:t>
      </w:r>
      <w:r w:rsidRPr="00F549B3">
        <w:rPr>
          <w:rFonts w:ascii="Times New Roman" w:hAnsi="Times New Roman" w:cs="Times New Roman"/>
          <w:b/>
          <w:bCs/>
        </w:rPr>
        <w:t>structural constraint</w:t>
      </w:r>
      <w:r w:rsidRPr="00F549B3">
        <w:rPr>
          <w:rFonts w:ascii="Times New Roman" w:hAnsi="Times New Roman" w:cs="Times New Roman"/>
        </w:rPr>
        <w:t xml:space="preserve">. Analytic </w:t>
      </w:r>
      <w:r w:rsidRPr="00F549B3">
        <w:rPr>
          <w:rFonts w:ascii="Times New Roman" w:hAnsi="Times New Roman" w:cs="Times New Roman"/>
          <w:b/>
          <w:bCs/>
        </w:rPr>
        <w:t>credibility</w:t>
      </w:r>
      <w:r w:rsidRPr="00F549B3">
        <w:rPr>
          <w:rFonts w:ascii="Times New Roman" w:hAnsi="Times New Roman" w:cs="Times New Roman"/>
        </w:rPr>
        <w:t xml:space="preserve"> was supported through </w:t>
      </w:r>
      <w:r w:rsidRPr="00F549B3">
        <w:rPr>
          <w:rFonts w:ascii="Times New Roman" w:hAnsi="Times New Roman" w:cs="Times New Roman"/>
          <w:b/>
          <w:bCs/>
        </w:rPr>
        <w:t>iterative comparison</w:t>
      </w:r>
      <w:r w:rsidRPr="00F549B3">
        <w:rPr>
          <w:rFonts w:ascii="Times New Roman" w:hAnsi="Times New Roman" w:cs="Times New Roman"/>
        </w:rPr>
        <w:t xml:space="preserve"> between codes, themes, and original extracts; the final manuscript will present </w:t>
      </w:r>
      <w:r w:rsidRPr="00F549B3">
        <w:rPr>
          <w:rFonts w:ascii="Times New Roman" w:hAnsi="Times New Roman" w:cs="Times New Roman"/>
          <w:b/>
          <w:bCs/>
        </w:rPr>
        <w:t>illustrative quotations</w:t>
      </w:r>
      <w:r w:rsidRPr="00F549B3">
        <w:rPr>
          <w:rFonts w:ascii="Times New Roman" w:hAnsi="Times New Roman" w:cs="Times New Roman"/>
        </w:rPr>
        <w:t xml:space="preserve"> where appropriate.</w:t>
      </w:r>
    </w:p>
    <w:p w14:paraId="4B4C7F33" w14:textId="77777777" w:rsidR="00BA5251" w:rsidRPr="00F549B3" w:rsidRDefault="00000000">
      <w:pPr>
        <w:pStyle w:val="Balk4"/>
        <w:rPr>
          <w:rFonts w:ascii="Times New Roman" w:hAnsi="Times New Roman" w:cs="Times New Roman"/>
        </w:rPr>
      </w:pPr>
      <w:bookmarkStart w:id="20" w:name="integration"/>
      <w:bookmarkEnd w:id="19"/>
      <w:r w:rsidRPr="00F549B3">
        <w:rPr>
          <w:rFonts w:ascii="Times New Roman" w:hAnsi="Times New Roman" w:cs="Times New Roman"/>
        </w:rPr>
        <w:t>3.6.3 Integration</w:t>
      </w:r>
    </w:p>
    <w:p w14:paraId="50B89F58"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In the </w:t>
      </w:r>
      <w:r w:rsidRPr="00F549B3">
        <w:rPr>
          <w:rFonts w:ascii="Times New Roman" w:hAnsi="Times New Roman" w:cs="Times New Roman"/>
          <w:b/>
          <w:bCs/>
        </w:rPr>
        <w:t>completed</w:t>
      </w:r>
      <w:r w:rsidRPr="00F549B3">
        <w:rPr>
          <w:rFonts w:ascii="Times New Roman" w:hAnsi="Times New Roman" w:cs="Times New Roman"/>
        </w:rPr>
        <w:t xml:space="preserve"> mixed-methods write-up, quantitative results supply the </w:t>
      </w:r>
      <w:r w:rsidRPr="00F549B3">
        <w:rPr>
          <w:rFonts w:ascii="Times New Roman" w:hAnsi="Times New Roman" w:cs="Times New Roman"/>
          <w:b/>
          <w:bCs/>
        </w:rPr>
        <w:t>national backdrop</w:t>
      </w:r>
      <w:r w:rsidRPr="00F549B3">
        <w:rPr>
          <w:rFonts w:ascii="Times New Roman" w:hAnsi="Times New Roman" w:cs="Times New Roman"/>
        </w:rPr>
        <w:t xml:space="preserve"> against which qualitative themes are interpreted; the interview strand is intended to explain </w:t>
      </w:r>
      <w:r w:rsidRPr="00F549B3">
        <w:rPr>
          <w:rFonts w:ascii="Times New Roman" w:hAnsi="Times New Roman" w:cs="Times New Roman"/>
          <w:b/>
          <w:bCs/>
        </w:rPr>
        <w:t>how</w:t>
      </w:r>
      <w:r w:rsidRPr="00F549B3">
        <w:rPr>
          <w:rFonts w:ascii="Times New Roman" w:hAnsi="Times New Roman" w:cs="Times New Roman"/>
        </w:rPr>
        <w:t xml:space="preserve"> students </w:t>
      </w:r>
      <w:r w:rsidRPr="00F549B3">
        <w:rPr>
          <w:rFonts w:ascii="Times New Roman" w:hAnsi="Times New Roman" w:cs="Times New Roman"/>
          <w:b/>
          <w:bCs/>
        </w:rPr>
        <w:t>make sense of</w:t>
      </w:r>
      <w:r w:rsidRPr="00F549B3">
        <w:rPr>
          <w:rFonts w:ascii="Times New Roman" w:hAnsi="Times New Roman" w:cs="Times New Roman"/>
        </w:rPr>
        <w:t xml:space="preserve"> the opportunity structures that the quantitative phase maps (Heigham &amp; Croker, 2009). The present document reports the </w:t>
      </w:r>
      <w:r w:rsidRPr="00F549B3">
        <w:rPr>
          <w:rFonts w:ascii="Times New Roman" w:hAnsi="Times New Roman" w:cs="Times New Roman"/>
          <w:b/>
          <w:bCs/>
        </w:rPr>
        <w:t>quantitative strand in full</w:t>
      </w:r>
      <w:r w:rsidRPr="00F549B3">
        <w:rPr>
          <w:rFonts w:ascii="Times New Roman" w:hAnsi="Times New Roman" w:cs="Times New Roman"/>
        </w:rPr>
        <w:t xml:space="preserve"> and reserves </w:t>
      </w:r>
      <w:r w:rsidRPr="00F549B3">
        <w:rPr>
          <w:rFonts w:ascii="Times New Roman" w:hAnsi="Times New Roman" w:cs="Times New Roman"/>
          <w:b/>
          <w:bCs/>
        </w:rPr>
        <w:t>integrated interpretation</w:t>
      </w:r>
      <w:r w:rsidRPr="00F549B3">
        <w:rPr>
          <w:rFonts w:ascii="Times New Roman" w:hAnsi="Times New Roman" w:cs="Times New Roman"/>
        </w:rPr>
        <w:t xml:space="preserve"> for the qualitative subsection once analysis is finalised.</w:t>
      </w:r>
    </w:p>
    <w:p w14:paraId="55C5C850" w14:textId="77777777" w:rsidR="00BA5251" w:rsidRPr="00F549B3" w:rsidRDefault="00000000">
      <w:pPr>
        <w:pStyle w:val="Balk3"/>
        <w:rPr>
          <w:rFonts w:ascii="Times New Roman" w:hAnsi="Times New Roman" w:cs="Times New Roman"/>
          <w:sz w:val="24"/>
          <w:szCs w:val="24"/>
        </w:rPr>
      </w:pPr>
      <w:bookmarkStart w:id="21" w:name="ethics"/>
      <w:bookmarkEnd w:id="17"/>
      <w:bookmarkEnd w:id="20"/>
      <w:r w:rsidRPr="00F549B3">
        <w:rPr>
          <w:rFonts w:ascii="Times New Roman" w:hAnsi="Times New Roman" w:cs="Times New Roman"/>
          <w:sz w:val="24"/>
          <w:szCs w:val="24"/>
        </w:rPr>
        <w:lastRenderedPageBreak/>
        <w:t>3.7 Ethics</w:t>
      </w:r>
    </w:p>
    <w:p w14:paraId="1FA27AA2"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The qualitative component was conducted in accordance with </w:t>
      </w:r>
      <w:r w:rsidRPr="00F549B3">
        <w:rPr>
          <w:rFonts w:ascii="Times New Roman" w:hAnsi="Times New Roman" w:cs="Times New Roman"/>
          <w:b/>
          <w:bCs/>
        </w:rPr>
        <w:t>institutional ethical review</w:t>
      </w:r>
      <w:r w:rsidRPr="00F549B3">
        <w:rPr>
          <w:rFonts w:ascii="Times New Roman" w:hAnsi="Times New Roman" w:cs="Times New Roman"/>
        </w:rPr>
        <w:t xml:space="preserve"> </w:t>
      </w:r>
      <w:r w:rsidRPr="00F549B3">
        <w:rPr>
          <w:rFonts w:ascii="Times New Roman" w:hAnsi="Times New Roman" w:cs="Times New Roman"/>
          <w:b/>
          <w:bCs/>
        </w:rPr>
        <w:t>[insert protocol / approval number]</w:t>
      </w:r>
      <w:r w:rsidRPr="00F549B3">
        <w:rPr>
          <w:rFonts w:ascii="Times New Roman" w:hAnsi="Times New Roman" w:cs="Times New Roman"/>
        </w:rPr>
        <w:t xml:space="preserve">. Participants provided </w:t>
      </w:r>
      <w:r w:rsidRPr="00F549B3">
        <w:rPr>
          <w:rFonts w:ascii="Times New Roman" w:hAnsi="Times New Roman" w:cs="Times New Roman"/>
          <w:b/>
          <w:bCs/>
        </w:rPr>
        <w:t>informed consent</w:t>
      </w:r>
      <w:r w:rsidRPr="00F549B3">
        <w:rPr>
          <w:rFonts w:ascii="Times New Roman" w:hAnsi="Times New Roman" w:cs="Times New Roman"/>
        </w:rPr>
        <w:t xml:space="preserve">; confidentiality was protected; </w:t>
      </w:r>
      <w:r w:rsidRPr="00F549B3">
        <w:rPr>
          <w:rFonts w:ascii="Times New Roman" w:hAnsi="Times New Roman" w:cs="Times New Roman"/>
          <w:b/>
          <w:bCs/>
        </w:rPr>
        <w:t>withdrawal</w:t>
      </w:r>
      <w:r w:rsidRPr="00F549B3">
        <w:rPr>
          <w:rFonts w:ascii="Times New Roman" w:hAnsi="Times New Roman" w:cs="Times New Roman"/>
        </w:rPr>
        <w:t xml:space="preserve"> was permitted; audio files and transcripts were stored </w:t>
      </w:r>
      <w:r w:rsidRPr="00F549B3">
        <w:rPr>
          <w:rFonts w:ascii="Times New Roman" w:hAnsi="Times New Roman" w:cs="Times New Roman"/>
          <w:b/>
          <w:bCs/>
        </w:rPr>
        <w:t>securely</w:t>
      </w:r>
      <w:r w:rsidRPr="00F549B3">
        <w:rPr>
          <w:rFonts w:ascii="Times New Roman" w:hAnsi="Times New Roman" w:cs="Times New Roman"/>
        </w:rPr>
        <w:t xml:space="preserve"> with access limited to the research team. The quantitative analysis relied on </w:t>
      </w:r>
      <w:r w:rsidRPr="00F549B3">
        <w:rPr>
          <w:rFonts w:ascii="Times New Roman" w:hAnsi="Times New Roman" w:cs="Times New Roman"/>
          <w:b/>
          <w:bCs/>
        </w:rPr>
        <w:t>aggregated public administrative statistics</w:t>
      </w:r>
      <w:r w:rsidRPr="00F549B3">
        <w:rPr>
          <w:rFonts w:ascii="Times New Roman" w:hAnsi="Times New Roman" w:cs="Times New Roman"/>
        </w:rPr>
        <w:t xml:space="preserve">; </w:t>
      </w:r>
      <w:r w:rsidRPr="00F549B3">
        <w:rPr>
          <w:rFonts w:ascii="Times New Roman" w:hAnsi="Times New Roman" w:cs="Times New Roman"/>
          <w:b/>
          <w:bCs/>
        </w:rPr>
        <w:t>no individual-level student records</w:t>
      </w:r>
      <w:r w:rsidRPr="00F549B3">
        <w:rPr>
          <w:rFonts w:ascii="Times New Roman" w:hAnsi="Times New Roman" w:cs="Times New Roman"/>
        </w:rPr>
        <w:t xml:space="preserve"> were obtained beyond what is already disseminated through YÖK Atlas and official demographic releases.</w:t>
      </w:r>
    </w:p>
    <w:p w14:paraId="37475CF6" w14:textId="77777777" w:rsidR="00BA5251" w:rsidRPr="00F549B3" w:rsidRDefault="00000000">
      <w:pPr>
        <w:pStyle w:val="Balk3"/>
        <w:rPr>
          <w:rFonts w:ascii="Times New Roman" w:hAnsi="Times New Roman" w:cs="Times New Roman"/>
          <w:sz w:val="24"/>
          <w:szCs w:val="24"/>
        </w:rPr>
      </w:pPr>
      <w:bookmarkStart w:id="22" w:name="Xe914599af982d046bda6b1ee64430f7a82f06ff"/>
      <w:bookmarkEnd w:id="21"/>
      <w:r w:rsidRPr="00F549B3">
        <w:rPr>
          <w:rFonts w:ascii="Times New Roman" w:hAnsi="Times New Roman" w:cs="Times New Roman"/>
          <w:sz w:val="24"/>
          <w:szCs w:val="24"/>
        </w:rPr>
        <w:t>3.8 Scope, assumptions, and limitations (methodological)</w:t>
      </w:r>
    </w:p>
    <w:p w14:paraId="47C6277A"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Several boundaries condition interpretation and should be read alongside the Results:</w:t>
      </w:r>
    </w:p>
    <w:p w14:paraId="17E5528F" w14:textId="77777777" w:rsidR="00BA5251" w:rsidRPr="00F549B3" w:rsidRDefault="00000000">
      <w:pPr>
        <w:pStyle w:val="Compact"/>
        <w:numPr>
          <w:ilvl w:val="0"/>
          <w:numId w:val="3"/>
        </w:numPr>
        <w:rPr>
          <w:rFonts w:ascii="Times New Roman" w:hAnsi="Times New Roman" w:cs="Times New Roman"/>
        </w:rPr>
      </w:pPr>
      <w:r w:rsidRPr="00F549B3">
        <w:rPr>
          <w:rFonts w:ascii="Times New Roman" w:hAnsi="Times New Roman" w:cs="Times New Roman"/>
          <w:b/>
          <w:bCs/>
        </w:rPr>
        <w:t>Ecological socioeconomic measure.</w:t>
      </w:r>
      <w:r w:rsidRPr="00F549B3">
        <w:rPr>
          <w:rFonts w:ascii="Times New Roman" w:hAnsi="Times New Roman" w:cs="Times New Roman"/>
        </w:rPr>
        <w:t xml:space="preserve"> SEGE tiers classify </w:t>
      </w:r>
      <w:r w:rsidRPr="00F549B3">
        <w:rPr>
          <w:rFonts w:ascii="Times New Roman" w:hAnsi="Times New Roman" w:cs="Times New Roman"/>
          <w:b/>
          <w:bCs/>
        </w:rPr>
        <w:t>provinces</w:t>
      </w:r>
      <w:r w:rsidRPr="00F549B3">
        <w:rPr>
          <w:rFonts w:ascii="Times New Roman" w:hAnsi="Times New Roman" w:cs="Times New Roman"/>
        </w:rPr>
        <w:t xml:space="preserve">, not students’ households. Tier membership is a </w:t>
      </w:r>
      <w:r w:rsidRPr="00F549B3">
        <w:rPr>
          <w:rFonts w:ascii="Times New Roman" w:hAnsi="Times New Roman" w:cs="Times New Roman"/>
          <w:b/>
          <w:bCs/>
        </w:rPr>
        <w:t>geographic proxy</w:t>
      </w:r>
      <w:r w:rsidRPr="00F549B3">
        <w:rPr>
          <w:rFonts w:ascii="Times New Roman" w:hAnsi="Times New Roman" w:cs="Times New Roman"/>
        </w:rPr>
        <w:t xml:space="preserve"> for developmental context, not a direct measure of family income or parental education.</w:t>
      </w:r>
    </w:p>
    <w:p w14:paraId="539CE641" w14:textId="77777777" w:rsidR="00BA5251" w:rsidRPr="00F549B3" w:rsidRDefault="00000000">
      <w:pPr>
        <w:pStyle w:val="Compact"/>
        <w:numPr>
          <w:ilvl w:val="0"/>
          <w:numId w:val="3"/>
        </w:numPr>
        <w:rPr>
          <w:rFonts w:ascii="Times New Roman" w:hAnsi="Times New Roman" w:cs="Times New Roman"/>
        </w:rPr>
      </w:pPr>
      <w:r w:rsidRPr="00F549B3">
        <w:rPr>
          <w:rFonts w:ascii="Times New Roman" w:hAnsi="Times New Roman" w:cs="Times New Roman"/>
          <w:b/>
          <w:bCs/>
        </w:rPr>
        <w:t>Administrative disability counts.</w:t>
      </w:r>
      <w:r w:rsidRPr="00F549B3">
        <w:rPr>
          <w:rFonts w:ascii="Times New Roman" w:hAnsi="Times New Roman" w:cs="Times New Roman"/>
        </w:rPr>
        <w:t xml:space="preserve"> Disability prevalence depends on </w:t>
      </w:r>
      <w:r w:rsidRPr="00F549B3">
        <w:rPr>
          <w:rFonts w:ascii="Times New Roman" w:hAnsi="Times New Roman" w:cs="Times New Roman"/>
          <w:b/>
          <w:bCs/>
        </w:rPr>
        <w:t>registration practices</w:t>
      </w:r>
      <w:r w:rsidRPr="00F549B3">
        <w:rPr>
          <w:rFonts w:ascii="Times New Roman" w:hAnsi="Times New Roman" w:cs="Times New Roman"/>
        </w:rPr>
        <w:t xml:space="preserve">, </w:t>
      </w:r>
      <w:r w:rsidRPr="00F549B3">
        <w:rPr>
          <w:rFonts w:ascii="Times New Roman" w:hAnsi="Times New Roman" w:cs="Times New Roman"/>
          <w:b/>
          <w:bCs/>
        </w:rPr>
        <w:t>disclosure</w:t>
      </w:r>
      <w:r w:rsidRPr="00F549B3">
        <w:rPr>
          <w:rFonts w:ascii="Times New Roman" w:hAnsi="Times New Roman" w:cs="Times New Roman"/>
        </w:rPr>
        <w:t xml:space="preserve">, </w:t>
      </w:r>
      <w:r w:rsidRPr="00F549B3">
        <w:rPr>
          <w:rFonts w:ascii="Times New Roman" w:hAnsi="Times New Roman" w:cs="Times New Roman"/>
          <w:b/>
          <w:bCs/>
        </w:rPr>
        <w:t>legal/administrative categories</w:t>
      </w:r>
      <w:r w:rsidRPr="00F549B3">
        <w:rPr>
          <w:rFonts w:ascii="Times New Roman" w:hAnsi="Times New Roman" w:cs="Times New Roman"/>
        </w:rPr>
        <w:t xml:space="preserve">, and possible </w:t>
      </w:r>
      <w:r w:rsidRPr="00F549B3">
        <w:rPr>
          <w:rFonts w:ascii="Times New Roman" w:hAnsi="Times New Roman" w:cs="Times New Roman"/>
          <w:b/>
          <w:bCs/>
        </w:rPr>
        <w:t>under-reporting</w:t>
      </w:r>
      <w:r w:rsidRPr="00F549B3">
        <w:rPr>
          <w:rFonts w:ascii="Times New Roman" w:hAnsi="Times New Roman" w:cs="Times New Roman"/>
        </w:rPr>
        <w:t xml:space="preserve">. Comparisons indicate </w:t>
      </w:r>
      <w:r w:rsidRPr="00F549B3">
        <w:rPr>
          <w:rFonts w:ascii="Times New Roman" w:hAnsi="Times New Roman" w:cs="Times New Roman"/>
          <w:b/>
          <w:bCs/>
        </w:rPr>
        <w:t>recorded</w:t>
      </w:r>
      <w:r w:rsidRPr="00F549B3">
        <w:rPr>
          <w:rFonts w:ascii="Times New Roman" w:hAnsi="Times New Roman" w:cs="Times New Roman"/>
        </w:rPr>
        <w:t xml:space="preserve"> representation, not clinical prevalence.</w:t>
      </w:r>
    </w:p>
    <w:p w14:paraId="453A2F31" w14:textId="77777777" w:rsidR="00BA5251" w:rsidRPr="00F549B3" w:rsidRDefault="00000000">
      <w:pPr>
        <w:pStyle w:val="Compact"/>
        <w:numPr>
          <w:ilvl w:val="0"/>
          <w:numId w:val="3"/>
        </w:numPr>
        <w:rPr>
          <w:rFonts w:ascii="Times New Roman" w:hAnsi="Times New Roman" w:cs="Times New Roman"/>
        </w:rPr>
      </w:pPr>
      <w:r w:rsidRPr="00F549B3">
        <w:rPr>
          <w:rFonts w:ascii="Times New Roman" w:hAnsi="Times New Roman" w:cs="Times New Roman"/>
          <w:b/>
          <w:bCs/>
        </w:rPr>
        <w:t>Binary gender metadata.</w:t>
      </w:r>
      <w:r w:rsidRPr="00F549B3">
        <w:rPr>
          <w:rFonts w:ascii="Times New Roman" w:hAnsi="Times New Roman" w:cs="Times New Roman"/>
        </w:rPr>
        <w:t xml:space="preserve"> Source data did not support analysis of </w:t>
      </w:r>
      <w:r w:rsidRPr="00F549B3">
        <w:rPr>
          <w:rFonts w:ascii="Times New Roman" w:hAnsi="Times New Roman" w:cs="Times New Roman"/>
          <w:b/>
          <w:bCs/>
        </w:rPr>
        <w:t>non-binary</w:t>
      </w:r>
      <w:r w:rsidRPr="00F549B3">
        <w:rPr>
          <w:rFonts w:ascii="Times New Roman" w:hAnsi="Times New Roman" w:cs="Times New Roman"/>
        </w:rPr>
        <w:t xml:space="preserve"> identities if not recorded.</w:t>
      </w:r>
    </w:p>
    <w:p w14:paraId="64315400" w14:textId="77777777" w:rsidR="00BA5251" w:rsidRPr="00F549B3" w:rsidRDefault="00000000">
      <w:pPr>
        <w:pStyle w:val="Compact"/>
        <w:numPr>
          <w:ilvl w:val="0"/>
          <w:numId w:val="3"/>
        </w:numPr>
        <w:rPr>
          <w:rFonts w:ascii="Times New Roman" w:hAnsi="Times New Roman" w:cs="Times New Roman"/>
        </w:rPr>
      </w:pPr>
      <w:r w:rsidRPr="00F549B3">
        <w:rPr>
          <w:rFonts w:ascii="Times New Roman" w:hAnsi="Times New Roman" w:cs="Times New Roman"/>
          <w:b/>
          <w:bCs/>
        </w:rPr>
        <w:t>Denominator approximation.</w:t>
      </w:r>
      <w:r w:rsidRPr="00F549B3">
        <w:rPr>
          <w:rFonts w:ascii="Times New Roman" w:hAnsi="Times New Roman" w:cs="Times New Roman"/>
        </w:rPr>
        <w:t xml:space="preserve"> The 15–24 tier population is a </w:t>
      </w:r>
      <w:r w:rsidRPr="00F549B3">
        <w:rPr>
          <w:rFonts w:ascii="Times New Roman" w:hAnsi="Times New Roman" w:cs="Times New Roman"/>
          <w:b/>
          <w:bCs/>
        </w:rPr>
        <w:t>reasoned proxy</w:t>
      </w:r>
      <w:r w:rsidRPr="00F549B3">
        <w:rPr>
          <w:rFonts w:ascii="Times New Roman" w:hAnsi="Times New Roman" w:cs="Times New Roman"/>
        </w:rPr>
        <w:t xml:space="preserve"> for the applicant pool, not a perfect match to the annual cohort sitting central examinations.</w:t>
      </w:r>
    </w:p>
    <w:p w14:paraId="53705EBD" w14:textId="77777777" w:rsidR="00BA5251" w:rsidRPr="00F549B3" w:rsidRDefault="00000000">
      <w:pPr>
        <w:pStyle w:val="Compact"/>
        <w:numPr>
          <w:ilvl w:val="0"/>
          <w:numId w:val="3"/>
        </w:numPr>
        <w:rPr>
          <w:rFonts w:ascii="Times New Roman" w:hAnsi="Times New Roman" w:cs="Times New Roman"/>
        </w:rPr>
      </w:pPr>
      <w:r w:rsidRPr="00F549B3">
        <w:rPr>
          <w:rFonts w:ascii="Times New Roman" w:hAnsi="Times New Roman" w:cs="Times New Roman"/>
          <w:b/>
          <w:bCs/>
        </w:rPr>
        <w:t>Aggregate EMI/TMI contrast.</w:t>
      </w:r>
      <w:r w:rsidRPr="00F549B3">
        <w:rPr>
          <w:rFonts w:ascii="Times New Roman" w:hAnsi="Times New Roman" w:cs="Times New Roman"/>
        </w:rPr>
        <w:t xml:space="preserve"> The study does </w:t>
      </w:r>
      <w:r w:rsidRPr="00F549B3">
        <w:rPr>
          <w:rFonts w:ascii="Times New Roman" w:hAnsi="Times New Roman" w:cs="Times New Roman"/>
          <w:b/>
          <w:bCs/>
        </w:rPr>
        <w:t>not</w:t>
      </w:r>
      <w:r w:rsidRPr="00F549B3">
        <w:rPr>
          <w:rFonts w:ascii="Times New Roman" w:hAnsi="Times New Roman" w:cs="Times New Roman"/>
        </w:rPr>
        <w:t xml:space="preserve"> disaggregate by </w:t>
      </w:r>
      <w:r w:rsidRPr="00F549B3">
        <w:rPr>
          <w:rFonts w:ascii="Times New Roman" w:hAnsi="Times New Roman" w:cs="Times New Roman"/>
          <w:b/>
          <w:bCs/>
        </w:rPr>
        <w:t>field of study</w:t>
      </w:r>
      <w:r w:rsidRPr="00F549B3">
        <w:rPr>
          <w:rFonts w:ascii="Times New Roman" w:hAnsi="Times New Roman" w:cs="Times New Roman"/>
        </w:rPr>
        <w:t xml:space="preserve"> at this stage; observed contrasts may partly reflect </w:t>
      </w:r>
      <w:r w:rsidRPr="00F549B3">
        <w:rPr>
          <w:rFonts w:ascii="Times New Roman" w:hAnsi="Times New Roman" w:cs="Times New Roman"/>
          <w:b/>
          <w:bCs/>
        </w:rPr>
        <w:t>disciplinary composition</w:t>
      </w:r>
      <w:r w:rsidRPr="00F549B3">
        <w:rPr>
          <w:rFonts w:ascii="Times New Roman" w:hAnsi="Times New Roman" w:cs="Times New Roman"/>
        </w:rPr>
        <w:t xml:space="preserve"> of EMI versus TMI supply in addition to medium </w:t>
      </w:r>
      <w:r w:rsidRPr="00F549B3">
        <w:rPr>
          <w:rFonts w:ascii="Times New Roman" w:hAnsi="Times New Roman" w:cs="Times New Roman"/>
          <w:i/>
          <w:iCs/>
        </w:rPr>
        <w:t>per se</w:t>
      </w:r>
      <w:r w:rsidRPr="00F549B3">
        <w:rPr>
          <w:rFonts w:ascii="Times New Roman" w:hAnsi="Times New Roman" w:cs="Times New Roman"/>
        </w:rPr>
        <w:t>.</w:t>
      </w:r>
    </w:p>
    <w:p w14:paraId="18EF513A"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Together, these points delimit </w:t>
      </w:r>
      <w:r w:rsidRPr="00F549B3">
        <w:rPr>
          <w:rFonts w:ascii="Times New Roman" w:hAnsi="Times New Roman" w:cs="Times New Roman"/>
          <w:b/>
          <w:bCs/>
        </w:rPr>
        <w:t>descriptive national evidence</w:t>
      </w:r>
      <w:r w:rsidRPr="00F549B3">
        <w:rPr>
          <w:rFonts w:ascii="Times New Roman" w:hAnsi="Times New Roman" w:cs="Times New Roman"/>
        </w:rPr>
        <w:t xml:space="preserve"> on placement structure; they do </w:t>
      </w:r>
      <w:r w:rsidRPr="00F549B3">
        <w:rPr>
          <w:rFonts w:ascii="Times New Roman" w:hAnsi="Times New Roman" w:cs="Times New Roman"/>
          <w:b/>
          <w:bCs/>
        </w:rPr>
        <w:t>not</w:t>
      </w:r>
      <w:r w:rsidRPr="00F549B3">
        <w:rPr>
          <w:rFonts w:ascii="Times New Roman" w:hAnsi="Times New Roman" w:cs="Times New Roman"/>
        </w:rPr>
        <w:t xml:space="preserve"> support causal claims that medium of instruction </w:t>
      </w:r>
      <w:r w:rsidRPr="00F549B3">
        <w:rPr>
          <w:rFonts w:ascii="Times New Roman" w:hAnsi="Times New Roman" w:cs="Times New Roman"/>
          <w:i/>
          <w:iCs/>
        </w:rPr>
        <w:t>causes</w:t>
      </w:r>
      <w:r w:rsidRPr="00F549B3">
        <w:rPr>
          <w:rFonts w:ascii="Times New Roman" w:hAnsi="Times New Roman" w:cs="Times New Roman"/>
        </w:rPr>
        <w:t xml:space="preserve"> observed demographic differences.</w:t>
      </w:r>
    </w:p>
    <w:p w14:paraId="300BEC5F" w14:textId="77777777" w:rsidR="00BA5251" w:rsidRPr="00F549B3" w:rsidRDefault="0091725F">
      <w:pPr>
        <w:rPr>
          <w:rFonts w:ascii="Times New Roman" w:hAnsi="Times New Roman" w:cs="Times New Roman"/>
        </w:rPr>
      </w:pPr>
      <w:r w:rsidRPr="0091725F">
        <w:rPr>
          <w:rFonts w:ascii="Times New Roman" w:hAnsi="Times New Roman" w:cs="Times New Roman"/>
          <w:noProof/>
        </w:rPr>
        <w:pict w14:anchorId="745789E0">
          <v:rect id="_x0000_i1029" alt="" style="width:453.6pt;height:.05pt;mso-width-percent:0;mso-height-percent:0;mso-width-percent:0;mso-height-percent:0" o:hralign="center" o:hrstd="t" o:hr="t"/>
        </w:pict>
      </w:r>
    </w:p>
    <w:p w14:paraId="5477CB3B" w14:textId="77777777" w:rsidR="00BA5251" w:rsidRPr="00F549B3" w:rsidRDefault="00000000">
      <w:pPr>
        <w:pStyle w:val="Balk2"/>
        <w:rPr>
          <w:rFonts w:ascii="Times New Roman" w:hAnsi="Times New Roman" w:cs="Times New Roman"/>
          <w:sz w:val="24"/>
          <w:szCs w:val="24"/>
        </w:rPr>
      </w:pPr>
      <w:bookmarkStart w:id="23" w:name="results"/>
      <w:bookmarkEnd w:id="8"/>
      <w:bookmarkEnd w:id="22"/>
      <w:r w:rsidRPr="00F549B3">
        <w:rPr>
          <w:rFonts w:ascii="Times New Roman" w:hAnsi="Times New Roman" w:cs="Times New Roman"/>
          <w:sz w:val="24"/>
          <w:szCs w:val="24"/>
        </w:rPr>
        <w:t>4. Results</w:t>
      </w:r>
    </w:p>
    <w:p w14:paraId="12BC84A8"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This section presents empirical findings in two stages. </w:t>
      </w:r>
      <w:r w:rsidRPr="00F549B3">
        <w:rPr>
          <w:rFonts w:ascii="Times New Roman" w:hAnsi="Times New Roman" w:cs="Times New Roman"/>
          <w:b/>
          <w:bCs/>
        </w:rPr>
        <w:t>First</w:t>
      </w:r>
      <w:r w:rsidRPr="00F549B3">
        <w:rPr>
          <w:rFonts w:ascii="Times New Roman" w:hAnsi="Times New Roman" w:cs="Times New Roman"/>
        </w:rPr>
        <w:t xml:space="preserve">, quantitative results address </w:t>
      </w:r>
      <w:r w:rsidRPr="00F549B3">
        <w:rPr>
          <w:rFonts w:ascii="Times New Roman" w:hAnsi="Times New Roman" w:cs="Times New Roman"/>
          <w:b/>
          <w:bCs/>
        </w:rPr>
        <w:t>RQ1</w:t>
      </w:r>
      <w:r w:rsidRPr="00F549B3">
        <w:rPr>
          <w:rFonts w:ascii="Times New Roman" w:hAnsi="Times New Roman" w:cs="Times New Roman"/>
        </w:rPr>
        <w:t xml:space="preserve"> by describing how newly placed undergraduate students in EMI and TMI programmes in Türkiye differed across </w:t>
      </w:r>
      <w:r w:rsidRPr="00F549B3">
        <w:rPr>
          <w:rFonts w:ascii="Times New Roman" w:hAnsi="Times New Roman" w:cs="Times New Roman"/>
          <w:b/>
          <w:bCs/>
        </w:rPr>
        <w:t>2023–2025</w:t>
      </w:r>
      <w:r w:rsidRPr="00F549B3">
        <w:rPr>
          <w:rFonts w:ascii="Times New Roman" w:hAnsi="Times New Roman" w:cs="Times New Roman"/>
        </w:rPr>
        <w:t xml:space="preserve"> on gender, disability, and socioeconomic tier. </w:t>
      </w:r>
      <w:r w:rsidRPr="00F549B3">
        <w:rPr>
          <w:rFonts w:ascii="Times New Roman" w:hAnsi="Times New Roman" w:cs="Times New Roman"/>
          <w:b/>
          <w:bCs/>
        </w:rPr>
        <w:t>Second</w:t>
      </w:r>
      <w:r w:rsidRPr="00F549B3">
        <w:rPr>
          <w:rFonts w:ascii="Times New Roman" w:hAnsi="Times New Roman" w:cs="Times New Roman"/>
        </w:rPr>
        <w:t xml:space="preserve">, qualitative findings for </w:t>
      </w:r>
      <w:r w:rsidRPr="00F549B3">
        <w:rPr>
          <w:rFonts w:ascii="Times New Roman" w:hAnsi="Times New Roman" w:cs="Times New Roman"/>
          <w:b/>
          <w:bCs/>
        </w:rPr>
        <w:t>RQ2</w:t>
      </w:r>
      <w:r w:rsidRPr="00F549B3">
        <w:rPr>
          <w:rFonts w:ascii="Times New Roman" w:hAnsi="Times New Roman" w:cs="Times New Roman"/>
        </w:rPr>
        <w:t xml:space="preserve">—students’ accounts of access—will be integrated in a subsequent revision once thematic analysis is complete. At present, the emphasis is on the </w:t>
      </w:r>
      <w:r w:rsidRPr="00F549B3">
        <w:rPr>
          <w:rFonts w:ascii="Times New Roman" w:hAnsi="Times New Roman" w:cs="Times New Roman"/>
          <w:b/>
          <w:bCs/>
        </w:rPr>
        <w:t>national quantitative profile</w:t>
      </w:r>
      <w:r w:rsidRPr="00F549B3">
        <w:rPr>
          <w:rFonts w:ascii="Times New Roman" w:hAnsi="Times New Roman" w:cs="Times New Roman"/>
        </w:rPr>
        <w:t xml:space="preserve"> of EMI and TMI intakes.</w:t>
      </w:r>
    </w:p>
    <w:p w14:paraId="6539DBEC" w14:textId="77777777" w:rsidR="00BA5251" w:rsidRPr="00F549B3" w:rsidRDefault="00000000">
      <w:pPr>
        <w:pStyle w:val="Balk3"/>
        <w:rPr>
          <w:rFonts w:ascii="Times New Roman" w:hAnsi="Times New Roman" w:cs="Times New Roman"/>
          <w:sz w:val="24"/>
          <w:szCs w:val="24"/>
        </w:rPr>
      </w:pPr>
      <w:bookmarkStart w:id="24" w:name="gender-distribution-across-emi-and-tmi"/>
      <w:r w:rsidRPr="00F549B3">
        <w:rPr>
          <w:rFonts w:ascii="Times New Roman" w:hAnsi="Times New Roman" w:cs="Times New Roman"/>
          <w:sz w:val="24"/>
          <w:szCs w:val="24"/>
        </w:rPr>
        <w:t>4.1 Gender distribution across EMI and TMI</w:t>
      </w:r>
    </w:p>
    <w:p w14:paraId="77B6E418"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Table 1 summarises the distribution of newly placed undergraduate students in EMI and TMI by </w:t>
      </w:r>
      <w:r w:rsidRPr="00F549B3">
        <w:rPr>
          <w:rFonts w:ascii="Times New Roman" w:hAnsi="Times New Roman" w:cs="Times New Roman"/>
          <w:b/>
          <w:bCs/>
        </w:rPr>
        <w:t>gender</w:t>
      </w:r>
      <w:r w:rsidRPr="00F549B3">
        <w:rPr>
          <w:rFonts w:ascii="Times New Roman" w:hAnsi="Times New Roman" w:cs="Times New Roman"/>
        </w:rPr>
        <w:t xml:space="preserve"> and </w:t>
      </w:r>
      <w:r w:rsidRPr="00F549B3">
        <w:rPr>
          <w:rFonts w:ascii="Times New Roman" w:hAnsi="Times New Roman" w:cs="Times New Roman"/>
          <w:b/>
          <w:bCs/>
        </w:rPr>
        <w:t>disability</w:t>
      </w:r>
      <w:r w:rsidRPr="00F549B3">
        <w:rPr>
          <w:rFonts w:ascii="Times New Roman" w:hAnsi="Times New Roman" w:cs="Times New Roman"/>
        </w:rPr>
        <w:t xml:space="preserve"> for each admission cycle. With respect to </w:t>
      </w:r>
      <w:r w:rsidRPr="00F549B3">
        <w:rPr>
          <w:rFonts w:ascii="Times New Roman" w:hAnsi="Times New Roman" w:cs="Times New Roman"/>
          <w:b/>
          <w:bCs/>
        </w:rPr>
        <w:t>gender</w:t>
      </w:r>
      <w:r w:rsidRPr="00F549B3">
        <w:rPr>
          <w:rFonts w:ascii="Times New Roman" w:hAnsi="Times New Roman" w:cs="Times New Roman"/>
        </w:rPr>
        <w:t xml:space="preserve">, a </w:t>
      </w:r>
      <w:r w:rsidRPr="00F549B3">
        <w:rPr>
          <w:rFonts w:ascii="Times New Roman" w:hAnsi="Times New Roman" w:cs="Times New Roman"/>
          <w:b/>
          <w:bCs/>
        </w:rPr>
        <w:t>clear and stable</w:t>
      </w:r>
      <w:r w:rsidRPr="00F549B3">
        <w:rPr>
          <w:rFonts w:ascii="Times New Roman" w:hAnsi="Times New Roman" w:cs="Times New Roman"/>
        </w:rPr>
        <w:t xml:space="preserve"> contrast emerged between instructional tracks: EMI exhibited a </w:t>
      </w:r>
      <w:r w:rsidRPr="00F549B3">
        <w:rPr>
          <w:rFonts w:ascii="Times New Roman" w:hAnsi="Times New Roman" w:cs="Times New Roman"/>
          <w:b/>
          <w:bCs/>
        </w:rPr>
        <w:t>near-balanced</w:t>
      </w:r>
      <w:r w:rsidRPr="00F549B3">
        <w:rPr>
          <w:rFonts w:ascii="Times New Roman" w:hAnsi="Times New Roman" w:cs="Times New Roman"/>
        </w:rPr>
        <w:t xml:space="preserve"> sex ratio, whereas TMI exhibited a </w:t>
      </w:r>
      <w:r w:rsidRPr="00F549B3">
        <w:rPr>
          <w:rFonts w:ascii="Times New Roman" w:hAnsi="Times New Roman" w:cs="Times New Roman"/>
          <w:b/>
          <w:bCs/>
        </w:rPr>
        <w:t>persistent female majority</w:t>
      </w:r>
      <w:r w:rsidRPr="00F549B3">
        <w:rPr>
          <w:rFonts w:ascii="Times New Roman" w:hAnsi="Times New Roman" w:cs="Times New Roman"/>
        </w:rPr>
        <w:t>.</w:t>
      </w:r>
    </w:p>
    <w:p w14:paraId="3E59541F"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lastRenderedPageBreak/>
        <w:t>Table 1</w:t>
      </w:r>
      <w:r w:rsidRPr="00F549B3">
        <w:rPr>
          <w:rFonts w:ascii="Times New Roman" w:hAnsi="Times New Roman" w:cs="Times New Roman"/>
        </w:rPr>
        <w:br/>
      </w:r>
      <w:r w:rsidRPr="00F549B3">
        <w:rPr>
          <w:rFonts w:ascii="Times New Roman" w:hAnsi="Times New Roman" w:cs="Times New Roman"/>
          <w:i/>
          <w:iCs/>
        </w:rPr>
        <w:t>Distribution of newly placed undergraduate students in EMI and TMI programmes by gender and disability, 2023–2025</w:t>
      </w:r>
    </w:p>
    <w:tbl>
      <w:tblPr>
        <w:tblStyle w:val="Table"/>
        <w:tblW w:w="5000" w:type="pct"/>
        <w:tblLayout w:type="fixed"/>
        <w:tblLook w:val="0020" w:firstRow="1" w:lastRow="0" w:firstColumn="0" w:lastColumn="0" w:noHBand="0" w:noVBand="0"/>
      </w:tblPr>
      <w:tblGrid>
        <w:gridCol w:w="451"/>
        <w:gridCol w:w="339"/>
        <w:gridCol w:w="1359"/>
        <w:gridCol w:w="1359"/>
        <w:gridCol w:w="1132"/>
        <w:gridCol w:w="1132"/>
        <w:gridCol w:w="906"/>
        <w:gridCol w:w="1585"/>
        <w:gridCol w:w="1359"/>
      </w:tblGrid>
      <w:tr w:rsidR="00BA5251" w:rsidRPr="00F549B3" w14:paraId="70B7507D" w14:textId="77777777" w:rsidTr="00BA5251">
        <w:trPr>
          <w:cnfStyle w:val="100000000000" w:firstRow="1" w:lastRow="0" w:firstColumn="0" w:lastColumn="0" w:oddVBand="0" w:evenVBand="0" w:oddHBand="0" w:evenHBand="0" w:firstRowFirstColumn="0" w:firstRowLastColumn="0" w:lastRowFirstColumn="0" w:lastRowLastColumn="0"/>
          <w:tblHeader/>
        </w:trPr>
        <w:tc>
          <w:tcPr>
            <w:tcW w:w="372" w:type="dxa"/>
          </w:tcPr>
          <w:p w14:paraId="03FCF63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Year</w:t>
            </w:r>
          </w:p>
        </w:tc>
        <w:tc>
          <w:tcPr>
            <w:tcW w:w="279" w:type="dxa"/>
          </w:tcPr>
          <w:p w14:paraId="1A7E645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MOI</w:t>
            </w:r>
          </w:p>
        </w:tc>
        <w:tc>
          <w:tcPr>
            <w:tcW w:w="1118" w:type="dxa"/>
          </w:tcPr>
          <w:p w14:paraId="7DDD091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Total placed</w:t>
            </w:r>
          </w:p>
        </w:tc>
        <w:tc>
          <w:tcPr>
            <w:tcW w:w="1118" w:type="dxa"/>
          </w:tcPr>
          <w:p w14:paraId="23B2B83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Female (</w:t>
            </w:r>
            <w:r w:rsidRPr="00F549B3">
              <w:rPr>
                <w:rFonts w:ascii="Times New Roman" w:hAnsi="Times New Roman" w:cs="Times New Roman"/>
                <w:i/>
                <w:iCs/>
              </w:rPr>
              <w:t>n</w:t>
            </w:r>
            <w:r w:rsidRPr="00F549B3">
              <w:rPr>
                <w:rFonts w:ascii="Times New Roman" w:hAnsi="Times New Roman" w:cs="Times New Roman"/>
              </w:rPr>
              <w:t>)</w:t>
            </w:r>
          </w:p>
        </w:tc>
        <w:tc>
          <w:tcPr>
            <w:tcW w:w="931" w:type="dxa"/>
          </w:tcPr>
          <w:p w14:paraId="1A52997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Female (%)</w:t>
            </w:r>
          </w:p>
        </w:tc>
        <w:tc>
          <w:tcPr>
            <w:tcW w:w="931" w:type="dxa"/>
          </w:tcPr>
          <w:p w14:paraId="6DD5F82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Male (</w:t>
            </w:r>
            <w:r w:rsidRPr="00F549B3">
              <w:rPr>
                <w:rFonts w:ascii="Times New Roman" w:hAnsi="Times New Roman" w:cs="Times New Roman"/>
                <w:i/>
                <w:iCs/>
              </w:rPr>
              <w:t>n</w:t>
            </w:r>
            <w:r w:rsidRPr="00F549B3">
              <w:rPr>
                <w:rFonts w:ascii="Times New Roman" w:hAnsi="Times New Roman" w:cs="Times New Roman"/>
              </w:rPr>
              <w:t>)</w:t>
            </w:r>
          </w:p>
        </w:tc>
        <w:tc>
          <w:tcPr>
            <w:tcW w:w="745" w:type="dxa"/>
          </w:tcPr>
          <w:p w14:paraId="449E5B3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Male (%)</w:t>
            </w:r>
          </w:p>
        </w:tc>
        <w:tc>
          <w:tcPr>
            <w:tcW w:w="1304" w:type="dxa"/>
          </w:tcPr>
          <w:p w14:paraId="0A1E45D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Disabled (</w:t>
            </w:r>
            <w:r w:rsidRPr="00F549B3">
              <w:rPr>
                <w:rFonts w:ascii="Times New Roman" w:hAnsi="Times New Roman" w:cs="Times New Roman"/>
                <w:i/>
                <w:iCs/>
              </w:rPr>
              <w:t>n</w:t>
            </w:r>
            <w:r w:rsidRPr="00F549B3">
              <w:rPr>
                <w:rFonts w:ascii="Times New Roman" w:hAnsi="Times New Roman" w:cs="Times New Roman"/>
              </w:rPr>
              <w:t>)</w:t>
            </w:r>
          </w:p>
        </w:tc>
        <w:tc>
          <w:tcPr>
            <w:tcW w:w="1118" w:type="dxa"/>
          </w:tcPr>
          <w:p w14:paraId="466A226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Disabled (%)</w:t>
            </w:r>
          </w:p>
        </w:tc>
      </w:tr>
      <w:tr w:rsidR="00BA5251" w:rsidRPr="00F549B3" w14:paraId="196FBD1C" w14:textId="77777777">
        <w:tc>
          <w:tcPr>
            <w:tcW w:w="372" w:type="dxa"/>
          </w:tcPr>
          <w:p w14:paraId="4397C1A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2023</w:t>
            </w:r>
          </w:p>
        </w:tc>
        <w:tc>
          <w:tcPr>
            <w:tcW w:w="279" w:type="dxa"/>
          </w:tcPr>
          <w:p w14:paraId="2FECC8E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EMI</w:t>
            </w:r>
          </w:p>
        </w:tc>
        <w:tc>
          <w:tcPr>
            <w:tcW w:w="1118" w:type="dxa"/>
          </w:tcPr>
          <w:p w14:paraId="29E450B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91,053</w:t>
            </w:r>
          </w:p>
        </w:tc>
        <w:tc>
          <w:tcPr>
            <w:tcW w:w="1118" w:type="dxa"/>
          </w:tcPr>
          <w:p w14:paraId="36F832B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46,037</w:t>
            </w:r>
          </w:p>
        </w:tc>
        <w:tc>
          <w:tcPr>
            <w:tcW w:w="931" w:type="dxa"/>
          </w:tcPr>
          <w:p w14:paraId="6ABDD0C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50.56</w:t>
            </w:r>
          </w:p>
        </w:tc>
        <w:tc>
          <w:tcPr>
            <w:tcW w:w="931" w:type="dxa"/>
          </w:tcPr>
          <w:p w14:paraId="0EFFFEC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45,016</w:t>
            </w:r>
          </w:p>
        </w:tc>
        <w:tc>
          <w:tcPr>
            <w:tcW w:w="745" w:type="dxa"/>
          </w:tcPr>
          <w:p w14:paraId="0DDEA60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49.44</w:t>
            </w:r>
          </w:p>
        </w:tc>
        <w:tc>
          <w:tcPr>
            <w:tcW w:w="1304" w:type="dxa"/>
          </w:tcPr>
          <w:p w14:paraId="31947D8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66</w:t>
            </w:r>
          </w:p>
        </w:tc>
        <w:tc>
          <w:tcPr>
            <w:tcW w:w="1118" w:type="dxa"/>
          </w:tcPr>
          <w:p w14:paraId="289FE70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0.072</w:t>
            </w:r>
          </w:p>
        </w:tc>
      </w:tr>
      <w:tr w:rsidR="00BA5251" w:rsidRPr="00F549B3" w14:paraId="5F324C4D" w14:textId="77777777">
        <w:tc>
          <w:tcPr>
            <w:tcW w:w="372" w:type="dxa"/>
          </w:tcPr>
          <w:p w14:paraId="6EB6976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2023</w:t>
            </w:r>
          </w:p>
        </w:tc>
        <w:tc>
          <w:tcPr>
            <w:tcW w:w="279" w:type="dxa"/>
          </w:tcPr>
          <w:p w14:paraId="6DDB98D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TMI</w:t>
            </w:r>
          </w:p>
        </w:tc>
        <w:tc>
          <w:tcPr>
            <w:tcW w:w="1118" w:type="dxa"/>
          </w:tcPr>
          <w:p w14:paraId="1C83807F"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427,274</w:t>
            </w:r>
          </w:p>
        </w:tc>
        <w:tc>
          <w:tcPr>
            <w:tcW w:w="1118" w:type="dxa"/>
          </w:tcPr>
          <w:p w14:paraId="7BE53C8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251,868</w:t>
            </w:r>
          </w:p>
        </w:tc>
        <w:tc>
          <w:tcPr>
            <w:tcW w:w="931" w:type="dxa"/>
          </w:tcPr>
          <w:p w14:paraId="244F462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58.95</w:t>
            </w:r>
          </w:p>
        </w:tc>
        <w:tc>
          <w:tcPr>
            <w:tcW w:w="931" w:type="dxa"/>
          </w:tcPr>
          <w:p w14:paraId="10433AD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175,406</w:t>
            </w:r>
          </w:p>
        </w:tc>
        <w:tc>
          <w:tcPr>
            <w:tcW w:w="745" w:type="dxa"/>
          </w:tcPr>
          <w:p w14:paraId="7E34D01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41.05</w:t>
            </w:r>
          </w:p>
        </w:tc>
        <w:tc>
          <w:tcPr>
            <w:tcW w:w="1304" w:type="dxa"/>
          </w:tcPr>
          <w:p w14:paraId="4B203D4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446</w:t>
            </w:r>
          </w:p>
        </w:tc>
        <w:tc>
          <w:tcPr>
            <w:tcW w:w="1118" w:type="dxa"/>
          </w:tcPr>
          <w:p w14:paraId="2EDC944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0.104</w:t>
            </w:r>
          </w:p>
        </w:tc>
      </w:tr>
      <w:tr w:rsidR="00BA5251" w:rsidRPr="00F549B3" w14:paraId="6A2E6136" w14:textId="77777777">
        <w:tc>
          <w:tcPr>
            <w:tcW w:w="372" w:type="dxa"/>
          </w:tcPr>
          <w:p w14:paraId="27A6094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2024</w:t>
            </w:r>
          </w:p>
        </w:tc>
        <w:tc>
          <w:tcPr>
            <w:tcW w:w="279" w:type="dxa"/>
          </w:tcPr>
          <w:p w14:paraId="27BDCFF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EMI</w:t>
            </w:r>
          </w:p>
        </w:tc>
        <w:tc>
          <w:tcPr>
            <w:tcW w:w="1118" w:type="dxa"/>
          </w:tcPr>
          <w:p w14:paraId="37DF156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94,823</w:t>
            </w:r>
          </w:p>
        </w:tc>
        <w:tc>
          <w:tcPr>
            <w:tcW w:w="1118" w:type="dxa"/>
          </w:tcPr>
          <w:p w14:paraId="0445343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48,180</w:t>
            </w:r>
          </w:p>
        </w:tc>
        <w:tc>
          <w:tcPr>
            <w:tcW w:w="931" w:type="dxa"/>
          </w:tcPr>
          <w:p w14:paraId="6DF0D80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50.81</w:t>
            </w:r>
          </w:p>
        </w:tc>
        <w:tc>
          <w:tcPr>
            <w:tcW w:w="931" w:type="dxa"/>
          </w:tcPr>
          <w:p w14:paraId="4B9B76C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46,643</w:t>
            </w:r>
          </w:p>
        </w:tc>
        <w:tc>
          <w:tcPr>
            <w:tcW w:w="745" w:type="dxa"/>
          </w:tcPr>
          <w:p w14:paraId="2628970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49.19</w:t>
            </w:r>
          </w:p>
        </w:tc>
        <w:tc>
          <w:tcPr>
            <w:tcW w:w="1304" w:type="dxa"/>
          </w:tcPr>
          <w:p w14:paraId="7E3675C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72</w:t>
            </w:r>
          </w:p>
        </w:tc>
        <w:tc>
          <w:tcPr>
            <w:tcW w:w="1118" w:type="dxa"/>
          </w:tcPr>
          <w:p w14:paraId="0A5140C4"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0.076</w:t>
            </w:r>
          </w:p>
        </w:tc>
      </w:tr>
      <w:tr w:rsidR="00BA5251" w:rsidRPr="00F549B3" w14:paraId="13A4219A" w14:textId="77777777">
        <w:tc>
          <w:tcPr>
            <w:tcW w:w="372" w:type="dxa"/>
          </w:tcPr>
          <w:p w14:paraId="105455C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2024</w:t>
            </w:r>
          </w:p>
        </w:tc>
        <w:tc>
          <w:tcPr>
            <w:tcW w:w="279" w:type="dxa"/>
          </w:tcPr>
          <w:p w14:paraId="0E6C2C4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TMI</w:t>
            </w:r>
          </w:p>
        </w:tc>
        <w:tc>
          <w:tcPr>
            <w:tcW w:w="1118" w:type="dxa"/>
          </w:tcPr>
          <w:p w14:paraId="66EB9055"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451,681</w:t>
            </w:r>
          </w:p>
        </w:tc>
        <w:tc>
          <w:tcPr>
            <w:tcW w:w="1118" w:type="dxa"/>
          </w:tcPr>
          <w:p w14:paraId="760D065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267,385</w:t>
            </w:r>
          </w:p>
        </w:tc>
        <w:tc>
          <w:tcPr>
            <w:tcW w:w="931" w:type="dxa"/>
          </w:tcPr>
          <w:p w14:paraId="6CB8FBF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59.20</w:t>
            </w:r>
          </w:p>
        </w:tc>
        <w:tc>
          <w:tcPr>
            <w:tcW w:w="931" w:type="dxa"/>
          </w:tcPr>
          <w:p w14:paraId="0FA61935"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184,296</w:t>
            </w:r>
          </w:p>
        </w:tc>
        <w:tc>
          <w:tcPr>
            <w:tcW w:w="745" w:type="dxa"/>
          </w:tcPr>
          <w:p w14:paraId="7221B2D5"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40.80</w:t>
            </w:r>
          </w:p>
        </w:tc>
        <w:tc>
          <w:tcPr>
            <w:tcW w:w="1304" w:type="dxa"/>
          </w:tcPr>
          <w:p w14:paraId="11D6988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460</w:t>
            </w:r>
          </w:p>
        </w:tc>
        <w:tc>
          <w:tcPr>
            <w:tcW w:w="1118" w:type="dxa"/>
          </w:tcPr>
          <w:p w14:paraId="70A561C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0.102</w:t>
            </w:r>
          </w:p>
        </w:tc>
      </w:tr>
      <w:tr w:rsidR="00BA5251" w:rsidRPr="00F549B3" w14:paraId="31BE0ABA" w14:textId="77777777">
        <w:tc>
          <w:tcPr>
            <w:tcW w:w="372" w:type="dxa"/>
          </w:tcPr>
          <w:p w14:paraId="1AA9C76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2025</w:t>
            </w:r>
          </w:p>
        </w:tc>
        <w:tc>
          <w:tcPr>
            <w:tcW w:w="279" w:type="dxa"/>
          </w:tcPr>
          <w:p w14:paraId="7E542FB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EMI</w:t>
            </w:r>
          </w:p>
        </w:tc>
        <w:tc>
          <w:tcPr>
            <w:tcW w:w="1118" w:type="dxa"/>
          </w:tcPr>
          <w:p w14:paraId="7EB80D4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104,770</w:t>
            </w:r>
          </w:p>
        </w:tc>
        <w:tc>
          <w:tcPr>
            <w:tcW w:w="1118" w:type="dxa"/>
          </w:tcPr>
          <w:p w14:paraId="75E2F9E4"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53,129</w:t>
            </w:r>
          </w:p>
        </w:tc>
        <w:tc>
          <w:tcPr>
            <w:tcW w:w="931" w:type="dxa"/>
          </w:tcPr>
          <w:p w14:paraId="1F99A594"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50.71</w:t>
            </w:r>
          </w:p>
        </w:tc>
        <w:tc>
          <w:tcPr>
            <w:tcW w:w="931" w:type="dxa"/>
          </w:tcPr>
          <w:p w14:paraId="6471DB15"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51,641</w:t>
            </w:r>
          </w:p>
        </w:tc>
        <w:tc>
          <w:tcPr>
            <w:tcW w:w="745" w:type="dxa"/>
          </w:tcPr>
          <w:p w14:paraId="7EEE96E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49.29</w:t>
            </w:r>
          </w:p>
        </w:tc>
        <w:tc>
          <w:tcPr>
            <w:tcW w:w="1304" w:type="dxa"/>
          </w:tcPr>
          <w:p w14:paraId="222134A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77</w:t>
            </w:r>
          </w:p>
        </w:tc>
        <w:tc>
          <w:tcPr>
            <w:tcW w:w="1118" w:type="dxa"/>
          </w:tcPr>
          <w:p w14:paraId="6EEDBECF"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0.073</w:t>
            </w:r>
          </w:p>
        </w:tc>
      </w:tr>
      <w:tr w:rsidR="00BA5251" w:rsidRPr="00F549B3" w14:paraId="2DC29C07" w14:textId="77777777">
        <w:tc>
          <w:tcPr>
            <w:tcW w:w="372" w:type="dxa"/>
          </w:tcPr>
          <w:p w14:paraId="62AE614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2025</w:t>
            </w:r>
          </w:p>
        </w:tc>
        <w:tc>
          <w:tcPr>
            <w:tcW w:w="279" w:type="dxa"/>
          </w:tcPr>
          <w:p w14:paraId="56D5D2B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TMI</w:t>
            </w:r>
          </w:p>
        </w:tc>
        <w:tc>
          <w:tcPr>
            <w:tcW w:w="1118" w:type="dxa"/>
          </w:tcPr>
          <w:p w14:paraId="64021AC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492,179</w:t>
            </w:r>
          </w:p>
        </w:tc>
        <w:tc>
          <w:tcPr>
            <w:tcW w:w="1118" w:type="dxa"/>
          </w:tcPr>
          <w:p w14:paraId="3FCA7C7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289,549</w:t>
            </w:r>
          </w:p>
        </w:tc>
        <w:tc>
          <w:tcPr>
            <w:tcW w:w="931" w:type="dxa"/>
          </w:tcPr>
          <w:p w14:paraId="5615CD3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58.83</w:t>
            </w:r>
          </w:p>
        </w:tc>
        <w:tc>
          <w:tcPr>
            <w:tcW w:w="931" w:type="dxa"/>
          </w:tcPr>
          <w:p w14:paraId="1D6E13E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202,630</w:t>
            </w:r>
          </w:p>
        </w:tc>
        <w:tc>
          <w:tcPr>
            <w:tcW w:w="745" w:type="dxa"/>
          </w:tcPr>
          <w:p w14:paraId="22FED18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41.17</w:t>
            </w:r>
          </w:p>
        </w:tc>
        <w:tc>
          <w:tcPr>
            <w:tcW w:w="1304" w:type="dxa"/>
          </w:tcPr>
          <w:p w14:paraId="24B9C40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476</w:t>
            </w:r>
          </w:p>
        </w:tc>
        <w:tc>
          <w:tcPr>
            <w:tcW w:w="1118" w:type="dxa"/>
          </w:tcPr>
          <w:p w14:paraId="05A1DDB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0.097</w:t>
            </w:r>
          </w:p>
        </w:tc>
      </w:tr>
    </w:tbl>
    <w:p w14:paraId="1DE89262"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i/>
          <w:iCs/>
        </w:rPr>
        <w:t>Note.</w:t>
      </w:r>
      <w:r w:rsidRPr="00F549B3">
        <w:rPr>
          <w:rFonts w:ascii="Times New Roman" w:hAnsi="Times New Roman" w:cs="Times New Roman"/>
        </w:rPr>
        <w:t xml:space="preserve"> MOI = medium of instruction. Disability percentages are shares of total placements in each MOI × year cell.</w:t>
      </w:r>
    </w:p>
    <w:p w14:paraId="7E448B45"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In EMI, female students constituted </w:t>
      </w:r>
      <w:r w:rsidRPr="00F549B3">
        <w:rPr>
          <w:rFonts w:ascii="Times New Roman" w:hAnsi="Times New Roman" w:cs="Times New Roman"/>
          <w:b/>
          <w:bCs/>
        </w:rPr>
        <w:t>50.56%</w:t>
      </w:r>
      <w:r w:rsidRPr="00F549B3">
        <w:rPr>
          <w:rFonts w:ascii="Times New Roman" w:hAnsi="Times New Roman" w:cs="Times New Roman"/>
        </w:rPr>
        <w:t xml:space="preserve"> (2023), </w:t>
      </w:r>
      <w:r w:rsidRPr="00F549B3">
        <w:rPr>
          <w:rFonts w:ascii="Times New Roman" w:hAnsi="Times New Roman" w:cs="Times New Roman"/>
          <w:b/>
          <w:bCs/>
        </w:rPr>
        <w:t>50.81%</w:t>
      </w:r>
      <w:r w:rsidRPr="00F549B3">
        <w:rPr>
          <w:rFonts w:ascii="Times New Roman" w:hAnsi="Times New Roman" w:cs="Times New Roman"/>
        </w:rPr>
        <w:t xml:space="preserve"> (2024), and </w:t>
      </w:r>
      <w:r w:rsidRPr="00F549B3">
        <w:rPr>
          <w:rFonts w:ascii="Times New Roman" w:hAnsi="Times New Roman" w:cs="Times New Roman"/>
          <w:b/>
          <w:bCs/>
        </w:rPr>
        <w:t>50.71%</w:t>
      </w:r>
      <w:r w:rsidRPr="00F549B3">
        <w:rPr>
          <w:rFonts w:ascii="Times New Roman" w:hAnsi="Times New Roman" w:cs="Times New Roman"/>
        </w:rPr>
        <w:t xml:space="preserve"> (2025) of newly placed students; male students accounted for </w:t>
      </w:r>
      <w:r w:rsidRPr="00F549B3">
        <w:rPr>
          <w:rFonts w:ascii="Times New Roman" w:hAnsi="Times New Roman" w:cs="Times New Roman"/>
          <w:b/>
          <w:bCs/>
        </w:rPr>
        <w:t>49.44%</w:t>
      </w:r>
      <w:r w:rsidRPr="00F549B3">
        <w:rPr>
          <w:rFonts w:ascii="Times New Roman" w:hAnsi="Times New Roman" w:cs="Times New Roman"/>
        </w:rPr>
        <w:t xml:space="preserve">, </w:t>
      </w:r>
      <w:r w:rsidRPr="00F549B3">
        <w:rPr>
          <w:rFonts w:ascii="Times New Roman" w:hAnsi="Times New Roman" w:cs="Times New Roman"/>
          <w:b/>
          <w:bCs/>
        </w:rPr>
        <w:t>49.19%</w:t>
      </w:r>
      <w:r w:rsidRPr="00F549B3">
        <w:rPr>
          <w:rFonts w:ascii="Times New Roman" w:hAnsi="Times New Roman" w:cs="Times New Roman"/>
        </w:rPr>
        <w:t xml:space="preserve">, and </w:t>
      </w:r>
      <w:r w:rsidRPr="00F549B3">
        <w:rPr>
          <w:rFonts w:ascii="Times New Roman" w:hAnsi="Times New Roman" w:cs="Times New Roman"/>
          <w:b/>
          <w:bCs/>
        </w:rPr>
        <w:t>49.29%</w:t>
      </w:r>
      <w:r w:rsidRPr="00F549B3">
        <w:rPr>
          <w:rFonts w:ascii="Times New Roman" w:hAnsi="Times New Roman" w:cs="Times New Roman"/>
        </w:rPr>
        <w:t xml:space="preserve">, respectively. These figures indicate that EMI remained </w:t>
      </w:r>
      <w:r w:rsidRPr="00F549B3">
        <w:rPr>
          <w:rFonts w:ascii="Times New Roman" w:hAnsi="Times New Roman" w:cs="Times New Roman"/>
          <w:b/>
          <w:bCs/>
        </w:rPr>
        <w:t>very close to gender parity</w:t>
      </w:r>
      <w:r w:rsidRPr="00F549B3">
        <w:rPr>
          <w:rFonts w:ascii="Times New Roman" w:hAnsi="Times New Roman" w:cs="Times New Roman"/>
        </w:rPr>
        <w:t xml:space="preserve"> throughout the period, with </w:t>
      </w:r>
      <w:r w:rsidRPr="00F549B3">
        <w:rPr>
          <w:rFonts w:ascii="Times New Roman" w:hAnsi="Times New Roman" w:cs="Times New Roman"/>
          <w:b/>
          <w:bCs/>
        </w:rPr>
        <w:t>minimal year-to-year drift</w:t>
      </w:r>
      <w:r w:rsidRPr="00F549B3">
        <w:rPr>
          <w:rFonts w:ascii="Times New Roman" w:hAnsi="Times New Roman" w:cs="Times New Roman"/>
        </w:rPr>
        <w:t>.</w:t>
      </w:r>
    </w:p>
    <w:p w14:paraId="269FD5D2"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TMI, by contrast, displayed a </w:t>
      </w:r>
      <w:r w:rsidRPr="00F549B3">
        <w:rPr>
          <w:rFonts w:ascii="Times New Roman" w:hAnsi="Times New Roman" w:cs="Times New Roman"/>
          <w:b/>
          <w:bCs/>
        </w:rPr>
        <w:t>more uneven</w:t>
      </w:r>
      <w:r w:rsidRPr="00F549B3">
        <w:rPr>
          <w:rFonts w:ascii="Times New Roman" w:hAnsi="Times New Roman" w:cs="Times New Roman"/>
        </w:rPr>
        <w:t xml:space="preserve"> gender distribution. Female students represented </w:t>
      </w:r>
      <w:r w:rsidRPr="00F549B3">
        <w:rPr>
          <w:rFonts w:ascii="Times New Roman" w:hAnsi="Times New Roman" w:cs="Times New Roman"/>
          <w:b/>
          <w:bCs/>
        </w:rPr>
        <w:t>58.95%</w:t>
      </w:r>
      <w:r w:rsidRPr="00F549B3">
        <w:rPr>
          <w:rFonts w:ascii="Times New Roman" w:hAnsi="Times New Roman" w:cs="Times New Roman"/>
        </w:rPr>
        <w:t xml:space="preserve">, </w:t>
      </w:r>
      <w:r w:rsidRPr="00F549B3">
        <w:rPr>
          <w:rFonts w:ascii="Times New Roman" w:hAnsi="Times New Roman" w:cs="Times New Roman"/>
          <w:b/>
          <w:bCs/>
        </w:rPr>
        <w:t>59.20%</w:t>
      </w:r>
      <w:r w:rsidRPr="00F549B3">
        <w:rPr>
          <w:rFonts w:ascii="Times New Roman" w:hAnsi="Times New Roman" w:cs="Times New Roman"/>
        </w:rPr>
        <w:t xml:space="preserve">, and </w:t>
      </w:r>
      <w:r w:rsidRPr="00F549B3">
        <w:rPr>
          <w:rFonts w:ascii="Times New Roman" w:hAnsi="Times New Roman" w:cs="Times New Roman"/>
          <w:b/>
          <w:bCs/>
        </w:rPr>
        <w:t>58.83%</w:t>
      </w:r>
      <w:r w:rsidRPr="00F549B3">
        <w:rPr>
          <w:rFonts w:ascii="Times New Roman" w:hAnsi="Times New Roman" w:cs="Times New Roman"/>
        </w:rPr>
        <w:t xml:space="preserve"> of newly placed TMI students across the three cycles, with male students at </w:t>
      </w:r>
      <w:r w:rsidRPr="00F549B3">
        <w:rPr>
          <w:rFonts w:ascii="Times New Roman" w:hAnsi="Times New Roman" w:cs="Times New Roman"/>
          <w:b/>
          <w:bCs/>
        </w:rPr>
        <w:t>41.05%</w:t>
      </w:r>
      <w:r w:rsidRPr="00F549B3">
        <w:rPr>
          <w:rFonts w:ascii="Times New Roman" w:hAnsi="Times New Roman" w:cs="Times New Roman"/>
        </w:rPr>
        <w:t xml:space="preserve">, </w:t>
      </w:r>
      <w:r w:rsidRPr="00F549B3">
        <w:rPr>
          <w:rFonts w:ascii="Times New Roman" w:hAnsi="Times New Roman" w:cs="Times New Roman"/>
          <w:b/>
          <w:bCs/>
        </w:rPr>
        <w:t>40.80%</w:t>
      </w:r>
      <w:r w:rsidRPr="00F549B3">
        <w:rPr>
          <w:rFonts w:ascii="Times New Roman" w:hAnsi="Times New Roman" w:cs="Times New Roman"/>
        </w:rPr>
        <w:t xml:space="preserve">, and </w:t>
      </w:r>
      <w:r w:rsidRPr="00F549B3">
        <w:rPr>
          <w:rFonts w:ascii="Times New Roman" w:hAnsi="Times New Roman" w:cs="Times New Roman"/>
          <w:b/>
          <w:bCs/>
        </w:rPr>
        <w:t>41.17%</w:t>
      </w:r>
      <w:r w:rsidRPr="00F549B3">
        <w:rPr>
          <w:rFonts w:ascii="Times New Roman" w:hAnsi="Times New Roman" w:cs="Times New Roman"/>
        </w:rPr>
        <w:t xml:space="preserve">, respectively. Thus TMI </w:t>
      </w:r>
      <w:r w:rsidRPr="00F549B3">
        <w:rPr>
          <w:rFonts w:ascii="Times New Roman" w:hAnsi="Times New Roman" w:cs="Times New Roman"/>
          <w:b/>
          <w:bCs/>
        </w:rPr>
        <w:t>consistently</w:t>
      </w:r>
      <w:r w:rsidRPr="00F549B3">
        <w:rPr>
          <w:rFonts w:ascii="Times New Roman" w:hAnsi="Times New Roman" w:cs="Times New Roman"/>
        </w:rPr>
        <w:t xml:space="preserve"> showed a </w:t>
      </w:r>
      <w:r w:rsidRPr="00F549B3">
        <w:rPr>
          <w:rFonts w:ascii="Times New Roman" w:hAnsi="Times New Roman" w:cs="Times New Roman"/>
          <w:b/>
          <w:bCs/>
        </w:rPr>
        <w:t>pronounced female majority</w:t>
      </w:r>
      <w:r w:rsidRPr="00F549B3">
        <w:rPr>
          <w:rFonts w:ascii="Times New Roman" w:hAnsi="Times New Roman" w:cs="Times New Roman"/>
        </w:rPr>
        <w:t>.</w:t>
      </w:r>
    </w:p>
    <w:p w14:paraId="5CDAA796"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In </w:t>
      </w:r>
      <w:r w:rsidRPr="00F549B3">
        <w:rPr>
          <w:rFonts w:ascii="Times New Roman" w:hAnsi="Times New Roman" w:cs="Times New Roman"/>
          <w:b/>
          <w:bCs/>
        </w:rPr>
        <w:t>absolute</w:t>
      </w:r>
      <w:r w:rsidRPr="00F549B3">
        <w:rPr>
          <w:rFonts w:ascii="Times New Roman" w:hAnsi="Times New Roman" w:cs="Times New Roman"/>
        </w:rPr>
        <w:t xml:space="preserve"> terms, both tracks grew: EMI rose from </w:t>
      </w:r>
      <w:r w:rsidRPr="00F549B3">
        <w:rPr>
          <w:rFonts w:ascii="Times New Roman" w:hAnsi="Times New Roman" w:cs="Times New Roman"/>
          <w:b/>
          <w:bCs/>
        </w:rPr>
        <w:t>91,053</w:t>
      </w:r>
      <w:r w:rsidRPr="00F549B3">
        <w:rPr>
          <w:rFonts w:ascii="Times New Roman" w:hAnsi="Times New Roman" w:cs="Times New Roman"/>
        </w:rPr>
        <w:t xml:space="preserve"> to </w:t>
      </w:r>
      <w:r w:rsidRPr="00F549B3">
        <w:rPr>
          <w:rFonts w:ascii="Times New Roman" w:hAnsi="Times New Roman" w:cs="Times New Roman"/>
          <w:b/>
          <w:bCs/>
        </w:rPr>
        <w:t>104,770</w:t>
      </w:r>
      <w:r w:rsidRPr="00F549B3">
        <w:rPr>
          <w:rFonts w:ascii="Times New Roman" w:hAnsi="Times New Roman" w:cs="Times New Roman"/>
        </w:rPr>
        <w:t xml:space="preserve"> newly placed students; TMI from </w:t>
      </w:r>
      <w:r w:rsidRPr="00F549B3">
        <w:rPr>
          <w:rFonts w:ascii="Times New Roman" w:hAnsi="Times New Roman" w:cs="Times New Roman"/>
          <w:b/>
          <w:bCs/>
        </w:rPr>
        <w:t>427,274</w:t>
      </w:r>
      <w:r w:rsidRPr="00F549B3">
        <w:rPr>
          <w:rFonts w:ascii="Times New Roman" w:hAnsi="Times New Roman" w:cs="Times New Roman"/>
        </w:rPr>
        <w:t xml:space="preserve"> to </w:t>
      </w:r>
      <w:r w:rsidRPr="00F549B3">
        <w:rPr>
          <w:rFonts w:ascii="Times New Roman" w:hAnsi="Times New Roman" w:cs="Times New Roman"/>
          <w:b/>
          <w:bCs/>
        </w:rPr>
        <w:t>492,179</w:t>
      </w:r>
      <w:r w:rsidRPr="00F549B3">
        <w:rPr>
          <w:rFonts w:ascii="Times New Roman" w:hAnsi="Times New Roman" w:cs="Times New Roman"/>
        </w:rPr>
        <w:t xml:space="preserve">. Despite this expansion, </w:t>
      </w:r>
      <w:r w:rsidRPr="00F549B3">
        <w:rPr>
          <w:rFonts w:ascii="Times New Roman" w:hAnsi="Times New Roman" w:cs="Times New Roman"/>
          <w:b/>
          <w:bCs/>
        </w:rPr>
        <w:t xml:space="preserve">gender composition remained </w:t>
      </w:r>
      <w:r w:rsidRPr="00F549B3">
        <w:rPr>
          <w:rFonts w:ascii="Times New Roman" w:hAnsi="Times New Roman" w:cs="Times New Roman"/>
          <w:b/>
          <w:bCs/>
        </w:rPr>
        <w:lastRenderedPageBreak/>
        <w:t>remarkably stable</w:t>
      </w:r>
      <w:r w:rsidRPr="00F549B3">
        <w:rPr>
          <w:rFonts w:ascii="Times New Roman" w:hAnsi="Times New Roman" w:cs="Times New Roman"/>
        </w:rPr>
        <w:t xml:space="preserve"> within each track, suggesting that scale-up between 2023 and 2025 did </w:t>
      </w:r>
      <w:r w:rsidRPr="00F549B3">
        <w:rPr>
          <w:rFonts w:ascii="Times New Roman" w:hAnsi="Times New Roman" w:cs="Times New Roman"/>
          <w:b/>
          <w:bCs/>
        </w:rPr>
        <w:t>not</w:t>
      </w:r>
      <w:r w:rsidRPr="00F549B3">
        <w:rPr>
          <w:rFonts w:ascii="Times New Roman" w:hAnsi="Times New Roman" w:cs="Times New Roman"/>
        </w:rPr>
        <w:t xml:space="preserve"> materially re-shape the </w:t>
      </w:r>
      <w:r w:rsidRPr="00F549B3">
        <w:rPr>
          <w:rFonts w:ascii="Times New Roman" w:hAnsi="Times New Roman" w:cs="Times New Roman"/>
          <w:b/>
          <w:bCs/>
        </w:rPr>
        <w:t>gendered</w:t>
      </w:r>
      <w:r w:rsidRPr="00F549B3">
        <w:rPr>
          <w:rFonts w:ascii="Times New Roman" w:hAnsi="Times New Roman" w:cs="Times New Roman"/>
        </w:rPr>
        <w:t xml:space="preserve"> composition of either pathway.</w:t>
      </w:r>
    </w:p>
    <w:p w14:paraId="4B5C1E93"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Summary for RQ1a.</w:t>
      </w:r>
      <w:r w:rsidRPr="00F549B3">
        <w:rPr>
          <w:rFonts w:ascii="Times New Roman" w:hAnsi="Times New Roman" w:cs="Times New Roman"/>
        </w:rPr>
        <w:t xml:space="preserve"> EMI and TMI </w:t>
      </w:r>
      <w:r w:rsidRPr="00F549B3">
        <w:rPr>
          <w:rFonts w:ascii="Times New Roman" w:hAnsi="Times New Roman" w:cs="Times New Roman"/>
          <w:b/>
          <w:bCs/>
        </w:rPr>
        <w:t>differed consistently</w:t>
      </w:r>
      <w:r w:rsidRPr="00F549B3">
        <w:rPr>
          <w:rFonts w:ascii="Times New Roman" w:hAnsi="Times New Roman" w:cs="Times New Roman"/>
        </w:rPr>
        <w:t xml:space="preserve"> in gender distribution: EMI maintained </w:t>
      </w:r>
      <w:r w:rsidRPr="00F549B3">
        <w:rPr>
          <w:rFonts w:ascii="Times New Roman" w:hAnsi="Times New Roman" w:cs="Times New Roman"/>
          <w:b/>
          <w:bCs/>
        </w:rPr>
        <w:t>near parity</w:t>
      </w:r>
      <w:r w:rsidRPr="00F549B3">
        <w:rPr>
          <w:rFonts w:ascii="Times New Roman" w:hAnsi="Times New Roman" w:cs="Times New Roman"/>
        </w:rPr>
        <w:t xml:space="preserve">; TMI retained a </w:t>
      </w:r>
      <w:r w:rsidRPr="00F549B3">
        <w:rPr>
          <w:rFonts w:ascii="Times New Roman" w:hAnsi="Times New Roman" w:cs="Times New Roman"/>
          <w:b/>
          <w:bCs/>
        </w:rPr>
        <w:t>female-dominated</w:t>
      </w:r>
      <w:r w:rsidRPr="00F549B3">
        <w:rPr>
          <w:rFonts w:ascii="Times New Roman" w:hAnsi="Times New Roman" w:cs="Times New Roman"/>
        </w:rPr>
        <w:t xml:space="preserve"> profile across all three years.</w:t>
      </w:r>
    </w:p>
    <w:p w14:paraId="280DDBA0" w14:textId="77777777" w:rsidR="00BA5251" w:rsidRPr="00F549B3" w:rsidRDefault="00000000">
      <w:pPr>
        <w:pStyle w:val="Balk3"/>
        <w:rPr>
          <w:rFonts w:ascii="Times New Roman" w:hAnsi="Times New Roman" w:cs="Times New Roman"/>
          <w:sz w:val="24"/>
          <w:szCs w:val="24"/>
        </w:rPr>
      </w:pPr>
      <w:bookmarkStart w:id="25" w:name="X23c6ebd55f5bf88a34965d2784949c1d3f349e5"/>
      <w:bookmarkEnd w:id="24"/>
      <w:r w:rsidRPr="00F549B3">
        <w:rPr>
          <w:rFonts w:ascii="Times New Roman" w:hAnsi="Times New Roman" w:cs="Times New Roman"/>
          <w:sz w:val="24"/>
          <w:szCs w:val="24"/>
        </w:rPr>
        <w:t>4.2 Distribution of newly placed disabled students across EMI and TMI</w:t>
      </w:r>
    </w:p>
    <w:p w14:paraId="36AF4405"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The second component of RQ1 concerns </w:t>
      </w:r>
      <w:r w:rsidRPr="00F549B3">
        <w:rPr>
          <w:rFonts w:ascii="Times New Roman" w:hAnsi="Times New Roman" w:cs="Times New Roman"/>
          <w:b/>
          <w:bCs/>
        </w:rPr>
        <w:t>disability</w:t>
      </w:r>
      <w:r w:rsidRPr="00F549B3">
        <w:rPr>
          <w:rFonts w:ascii="Times New Roman" w:hAnsi="Times New Roman" w:cs="Times New Roman"/>
        </w:rPr>
        <w:t xml:space="preserve"> among newly placed students. As Table 1 shows, disabled students constituted a </w:t>
      </w:r>
      <w:r w:rsidRPr="00F549B3">
        <w:rPr>
          <w:rFonts w:ascii="Times New Roman" w:hAnsi="Times New Roman" w:cs="Times New Roman"/>
          <w:b/>
          <w:bCs/>
        </w:rPr>
        <w:t>very small fraction</w:t>
      </w:r>
      <w:r w:rsidRPr="00F549B3">
        <w:rPr>
          <w:rFonts w:ascii="Times New Roman" w:hAnsi="Times New Roman" w:cs="Times New Roman"/>
        </w:rPr>
        <w:t xml:space="preserve"> of placements in </w:t>
      </w:r>
      <w:r w:rsidRPr="00F549B3">
        <w:rPr>
          <w:rFonts w:ascii="Times New Roman" w:hAnsi="Times New Roman" w:cs="Times New Roman"/>
          <w:b/>
          <w:bCs/>
        </w:rPr>
        <w:t>both</w:t>
      </w:r>
      <w:r w:rsidRPr="00F549B3">
        <w:rPr>
          <w:rFonts w:ascii="Times New Roman" w:hAnsi="Times New Roman" w:cs="Times New Roman"/>
        </w:rPr>
        <w:t xml:space="preserve"> tracks. Nevertheless, a </w:t>
      </w:r>
      <w:r w:rsidRPr="00F549B3">
        <w:rPr>
          <w:rFonts w:ascii="Times New Roman" w:hAnsi="Times New Roman" w:cs="Times New Roman"/>
          <w:b/>
          <w:bCs/>
        </w:rPr>
        <w:t>consistent</w:t>
      </w:r>
      <w:r w:rsidRPr="00F549B3">
        <w:rPr>
          <w:rFonts w:ascii="Times New Roman" w:hAnsi="Times New Roman" w:cs="Times New Roman"/>
        </w:rPr>
        <w:t xml:space="preserve"> gap appeared: </w:t>
      </w:r>
      <w:r w:rsidRPr="00F549B3">
        <w:rPr>
          <w:rFonts w:ascii="Times New Roman" w:hAnsi="Times New Roman" w:cs="Times New Roman"/>
          <w:b/>
          <w:bCs/>
        </w:rPr>
        <w:t>TMI recorded a slightly higher proportional share</w:t>
      </w:r>
      <w:r w:rsidRPr="00F549B3">
        <w:rPr>
          <w:rFonts w:ascii="Times New Roman" w:hAnsi="Times New Roman" w:cs="Times New Roman"/>
        </w:rPr>
        <w:t xml:space="preserve"> than EMI in every cycle.</w:t>
      </w:r>
    </w:p>
    <w:p w14:paraId="7CD144CF"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In EMI, disabled students accounted for </w:t>
      </w:r>
      <w:r w:rsidRPr="00F549B3">
        <w:rPr>
          <w:rFonts w:ascii="Times New Roman" w:hAnsi="Times New Roman" w:cs="Times New Roman"/>
          <w:b/>
          <w:bCs/>
        </w:rPr>
        <w:t>0.072%</w:t>
      </w:r>
      <w:r w:rsidRPr="00F549B3">
        <w:rPr>
          <w:rFonts w:ascii="Times New Roman" w:hAnsi="Times New Roman" w:cs="Times New Roman"/>
        </w:rPr>
        <w:t xml:space="preserve"> (2023), </w:t>
      </w:r>
      <w:r w:rsidRPr="00F549B3">
        <w:rPr>
          <w:rFonts w:ascii="Times New Roman" w:hAnsi="Times New Roman" w:cs="Times New Roman"/>
          <w:b/>
          <w:bCs/>
        </w:rPr>
        <w:t>0.076%</w:t>
      </w:r>
      <w:r w:rsidRPr="00F549B3">
        <w:rPr>
          <w:rFonts w:ascii="Times New Roman" w:hAnsi="Times New Roman" w:cs="Times New Roman"/>
        </w:rPr>
        <w:t xml:space="preserve"> (2024), and </w:t>
      </w:r>
      <w:r w:rsidRPr="00F549B3">
        <w:rPr>
          <w:rFonts w:ascii="Times New Roman" w:hAnsi="Times New Roman" w:cs="Times New Roman"/>
          <w:b/>
          <w:bCs/>
        </w:rPr>
        <w:t>0.073%</w:t>
      </w:r>
      <w:r w:rsidRPr="00F549B3">
        <w:rPr>
          <w:rFonts w:ascii="Times New Roman" w:hAnsi="Times New Roman" w:cs="Times New Roman"/>
        </w:rPr>
        <w:t xml:space="preserve"> (2025), corresponding to </w:t>
      </w:r>
      <w:r w:rsidRPr="00F549B3">
        <w:rPr>
          <w:rFonts w:ascii="Times New Roman" w:hAnsi="Times New Roman" w:cs="Times New Roman"/>
          <w:b/>
          <w:bCs/>
        </w:rPr>
        <w:t>66</w:t>
      </w:r>
      <w:r w:rsidRPr="00F549B3">
        <w:rPr>
          <w:rFonts w:ascii="Times New Roman" w:hAnsi="Times New Roman" w:cs="Times New Roman"/>
        </w:rPr>
        <w:t xml:space="preserve">, </w:t>
      </w:r>
      <w:r w:rsidRPr="00F549B3">
        <w:rPr>
          <w:rFonts w:ascii="Times New Roman" w:hAnsi="Times New Roman" w:cs="Times New Roman"/>
          <w:b/>
          <w:bCs/>
        </w:rPr>
        <w:t>72</w:t>
      </w:r>
      <w:r w:rsidRPr="00F549B3">
        <w:rPr>
          <w:rFonts w:ascii="Times New Roman" w:hAnsi="Times New Roman" w:cs="Times New Roman"/>
        </w:rPr>
        <w:t xml:space="preserve">, and </w:t>
      </w:r>
      <w:r w:rsidRPr="00F549B3">
        <w:rPr>
          <w:rFonts w:ascii="Times New Roman" w:hAnsi="Times New Roman" w:cs="Times New Roman"/>
          <w:b/>
          <w:bCs/>
        </w:rPr>
        <w:t>77</w:t>
      </w:r>
      <w:r w:rsidRPr="00F549B3">
        <w:rPr>
          <w:rFonts w:ascii="Times New Roman" w:hAnsi="Times New Roman" w:cs="Times New Roman"/>
        </w:rPr>
        <w:t xml:space="preserve"> students. Proportional representation remained </w:t>
      </w:r>
      <w:r w:rsidRPr="00F549B3">
        <w:rPr>
          <w:rFonts w:ascii="Times New Roman" w:hAnsi="Times New Roman" w:cs="Times New Roman"/>
          <w:b/>
          <w:bCs/>
        </w:rPr>
        <w:t>low and stable</w:t>
      </w:r>
      <w:r w:rsidRPr="00F549B3">
        <w:rPr>
          <w:rFonts w:ascii="Times New Roman" w:hAnsi="Times New Roman" w:cs="Times New Roman"/>
        </w:rPr>
        <w:t xml:space="preserve"> despite modest </w:t>
      </w:r>
      <w:r w:rsidRPr="00F549B3">
        <w:rPr>
          <w:rFonts w:ascii="Times New Roman" w:hAnsi="Times New Roman" w:cs="Times New Roman"/>
          <w:b/>
          <w:bCs/>
        </w:rPr>
        <w:t>absolute</w:t>
      </w:r>
      <w:r w:rsidRPr="00F549B3">
        <w:rPr>
          <w:rFonts w:ascii="Times New Roman" w:hAnsi="Times New Roman" w:cs="Times New Roman"/>
        </w:rPr>
        <w:t xml:space="preserve"> increases.</w:t>
      </w:r>
    </w:p>
    <w:p w14:paraId="0349C6F8"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In TMI, the shares were </w:t>
      </w:r>
      <w:r w:rsidRPr="00F549B3">
        <w:rPr>
          <w:rFonts w:ascii="Times New Roman" w:hAnsi="Times New Roman" w:cs="Times New Roman"/>
          <w:b/>
          <w:bCs/>
        </w:rPr>
        <w:t>0.104%</w:t>
      </w:r>
      <w:r w:rsidRPr="00F549B3">
        <w:rPr>
          <w:rFonts w:ascii="Times New Roman" w:hAnsi="Times New Roman" w:cs="Times New Roman"/>
        </w:rPr>
        <w:t xml:space="preserve">, </w:t>
      </w:r>
      <w:r w:rsidRPr="00F549B3">
        <w:rPr>
          <w:rFonts w:ascii="Times New Roman" w:hAnsi="Times New Roman" w:cs="Times New Roman"/>
          <w:b/>
          <w:bCs/>
        </w:rPr>
        <w:t>0.102%</w:t>
      </w:r>
      <w:r w:rsidRPr="00F549B3">
        <w:rPr>
          <w:rFonts w:ascii="Times New Roman" w:hAnsi="Times New Roman" w:cs="Times New Roman"/>
        </w:rPr>
        <w:t xml:space="preserve">, and </w:t>
      </w:r>
      <w:r w:rsidRPr="00F549B3">
        <w:rPr>
          <w:rFonts w:ascii="Times New Roman" w:hAnsi="Times New Roman" w:cs="Times New Roman"/>
          <w:b/>
          <w:bCs/>
        </w:rPr>
        <w:t>0.097%</w:t>
      </w:r>
      <w:r w:rsidRPr="00F549B3">
        <w:rPr>
          <w:rFonts w:ascii="Times New Roman" w:hAnsi="Times New Roman" w:cs="Times New Roman"/>
        </w:rPr>
        <w:t xml:space="preserve">, with frequencies </w:t>
      </w:r>
      <w:r w:rsidRPr="00F549B3">
        <w:rPr>
          <w:rFonts w:ascii="Times New Roman" w:hAnsi="Times New Roman" w:cs="Times New Roman"/>
          <w:b/>
          <w:bCs/>
        </w:rPr>
        <w:t>446</w:t>
      </w:r>
      <w:r w:rsidRPr="00F549B3">
        <w:rPr>
          <w:rFonts w:ascii="Times New Roman" w:hAnsi="Times New Roman" w:cs="Times New Roman"/>
        </w:rPr>
        <w:t xml:space="preserve">, </w:t>
      </w:r>
      <w:r w:rsidRPr="00F549B3">
        <w:rPr>
          <w:rFonts w:ascii="Times New Roman" w:hAnsi="Times New Roman" w:cs="Times New Roman"/>
          <w:b/>
          <w:bCs/>
        </w:rPr>
        <w:t>460</w:t>
      </w:r>
      <w:r w:rsidRPr="00F549B3">
        <w:rPr>
          <w:rFonts w:ascii="Times New Roman" w:hAnsi="Times New Roman" w:cs="Times New Roman"/>
        </w:rPr>
        <w:t xml:space="preserve">, and </w:t>
      </w:r>
      <w:r w:rsidRPr="00F549B3">
        <w:rPr>
          <w:rFonts w:ascii="Times New Roman" w:hAnsi="Times New Roman" w:cs="Times New Roman"/>
          <w:b/>
          <w:bCs/>
        </w:rPr>
        <w:t>476</w:t>
      </w:r>
      <w:r w:rsidRPr="00F549B3">
        <w:rPr>
          <w:rFonts w:ascii="Times New Roman" w:hAnsi="Times New Roman" w:cs="Times New Roman"/>
        </w:rPr>
        <w:t xml:space="preserve">. Again, </w:t>
      </w:r>
      <w:r w:rsidRPr="00F549B3">
        <w:rPr>
          <w:rFonts w:ascii="Times New Roman" w:hAnsi="Times New Roman" w:cs="Times New Roman"/>
          <w:b/>
          <w:bCs/>
        </w:rPr>
        <w:t>absolute</w:t>
      </w:r>
      <w:r w:rsidRPr="00F549B3">
        <w:rPr>
          <w:rFonts w:ascii="Times New Roman" w:hAnsi="Times New Roman" w:cs="Times New Roman"/>
        </w:rPr>
        <w:t xml:space="preserve"> counts rose slightly while </w:t>
      </w:r>
      <w:r w:rsidRPr="00F549B3">
        <w:rPr>
          <w:rFonts w:ascii="Times New Roman" w:hAnsi="Times New Roman" w:cs="Times New Roman"/>
          <w:b/>
          <w:bCs/>
        </w:rPr>
        <w:t>proportions</w:t>
      </w:r>
      <w:r w:rsidRPr="00F549B3">
        <w:rPr>
          <w:rFonts w:ascii="Times New Roman" w:hAnsi="Times New Roman" w:cs="Times New Roman"/>
        </w:rPr>
        <w:t xml:space="preserve"> remained in a </w:t>
      </w:r>
      <w:r w:rsidRPr="00F549B3">
        <w:rPr>
          <w:rFonts w:ascii="Times New Roman" w:hAnsi="Times New Roman" w:cs="Times New Roman"/>
          <w:b/>
          <w:bCs/>
        </w:rPr>
        <w:t>narrow band</w:t>
      </w:r>
      <w:r w:rsidRPr="00F549B3">
        <w:rPr>
          <w:rFonts w:ascii="Times New Roman" w:hAnsi="Times New Roman" w:cs="Times New Roman"/>
        </w:rPr>
        <w:t>.</w:t>
      </w:r>
    </w:p>
    <w:p w14:paraId="4062BEAF"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Direct comparison</w:t>
      </w:r>
      <w:r w:rsidRPr="00F549B3">
        <w:rPr>
          <w:rFonts w:ascii="Times New Roman" w:hAnsi="Times New Roman" w:cs="Times New Roman"/>
        </w:rPr>
        <w:t xml:space="preserve"> indicates that TMI </w:t>
      </w:r>
      <w:r w:rsidRPr="00F549B3">
        <w:rPr>
          <w:rFonts w:ascii="Times New Roman" w:hAnsi="Times New Roman" w:cs="Times New Roman"/>
          <w:b/>
          <w:bCs/>
        </w:rPr>
        <w:t>accommodated a slightly larger share</w:t>
      </w:r>
      <w:r w:rsidRPr="00F549B3">
        <w:rPr>
          <w:rFonts w:ascii="Times New Roman" w:hAnsi="Times New Roman" w:cs="Times New Roman"/>
        </w:rPr>
        <w:t xml:space="preserve"> of </w:t>
      </w:r>
      <w:r w:rsidRPr="00F549B3">
        <w:rPr>
          <w:rFonts w:ascii="Times New Roman" w:hAnsi="Times New Roman" w:cs="Times New Roman"/>
          <w:b/>
          <w:bCs/>
        </w:rPr>
        <w:t>recorded</w:t>
      </w:r>
      <w:r w:rsidRPr="00F549B3">
        <w:rPr>
          <w:rFonts w:ascii="Times New Roman" w:hAnsi="Times New Roman" w:cs="Times New Roman"/>
        </w:rPr>
        <w:t xml:space="preserve"> disabled students than EMI in each year. The difference is </w:t>
      </w:r>
      <w:r w:rsidRPr="00F549B3">
        <w:rPr>
          <w:rFonts w:ascii="Times New Roman" w:hAnsi="Times New Roman" w:cs="Times New Roman"/>
          <w:b/>
          <w:bCs/>
        </w:rPr>
        <w:t>small in percentage points</w:t>
      </w:r>
      <w:r w:rsidRPr="00F549B3">
        <w:rPr>
          <w:rFonts w:ascii="Times New Roman" w:hAnsi="Times New Roman" w:cs="Times New Roman"/>
        </w:rPr>
        <w:t xml:space="preserve"> but </w:t>
      </w:r>
      <w:r w:rsidRPr="00F549B3">
        <w:rPr>
          <w:rFonts w:ascii="Times New Roman" w:hAnsi="Times New Roman" w:cs="Times New Roman"/>
          <w:b/>
          <w:bCs/>
        </w:rPr>
        <w:t>persistent</w:t>
      </w:r>
      <w:r w:rsidRPr="00F549B3">
        <w:rPr>
          <w:rFonts w:ascii="Times New Roman" w:hAnsi="Times New Roman" w:cs="Times New Roman"/>
        </w:rPr>
        <w:t xml:space="preserve">, suggesting that lower EMI representation was </w:t>
      </w:r>
      <w:r w:rsidRPr="00F549B3">
        <w:rPr>
          <w:rFonts w:ascii="Times New Roman" w:hAnsi="Times New Roman" w:cs="Times New Roman"/>
          <w:b/>
          <w:bCs/>
        </w:rPr>
        <w:t>not</w:t>
      </w:r>
      <w:r w:rsidRPr="00F549B3">
        <w:rPr>
          <w:rFonts w:ascii="Times New Roman" w:hAnsi="Times New Roman" w:cs="Times New Roman"/>
        </w:rPr>
        <w:t xml:space="preserve"> a single-year artefact.</w:t>
      </w:r>
    </w:p>
    <w:p w14:paraId="273A07F6"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Summary for RQ1b.</w:t>
      </w:r>
      <w:r w:rsidRPr="00F549B3">
        <w:rPr>
          <w:rFonts w:ascii="Times New Roman" w:hAnsi="Times New Roman" w:cs="Times New Roman"/>
        </w:rPr>
        <w:t xml:space="preserve"> Disabled students were </w:t>
      </w:r>
      <w:r w:rsidRPr="00F549B3">
        <w:rPr>
          <w:rFonts w:ascii="Times New Roman" w:hAnsi="Times New Roman" w:cs="Times New Roman"/>
          <w:b/>
          <w:bCs/>
        </w:rPr>
        <w:t>under-represented</w:t>
      </w:r>
      <w:r w:rsidRPr="00F549B3">
        <w:rPr>
          <w:rFonts w:ascii="Times New Roman" w:hAnsi="Times New Roman" w:cs="Times New Roman"/>
        </w:rPr>
        <w:t xml:space="preserve"> in administrative counts in </w:t>
      </w:r>
      <w:r w:rsidRPr="00F549B3">
        <w:rPr>
          <w:rFonts w:ascii="Times New Roman" w:hAnsi="Times New Roman" w:cs="Times New Roman"/>
          <w:b/>
          <w:bCs/>
        </w:rPr>
        <w:t>both</w:t>
      </w:r>
      <w:r w:rsidRPr="00F549B3">
        <w:rPr>
          <w:rFonts w:ascii="Times New Roman" w:hAnsi="Times New Roman" w:cs="Times New Roman"/>
        </w:rPr>
        <w:t xml:space="preserve"> tracks, but </w:t>
      </w:r>
      <w:r w:rsidRPr="00F549B3">
        <w:rPr>
          <w:rFonts w:ascii="Times New Roman" w:hAnsi="Times New Roman" w:cs="Times New Roman"/>
          <w:b/>
          <w:bCs/>
        </w:rPr>
        <w:t>proportionally lower in EMI than in TMI</w:t>
      </w:r>
      <w:r w:rsidRPr="00F549B3">
        <w:rPr>
          <w:rFonts w:ascii="Times New Roman" w:hAnsi="Times New Roman" w:cs="Times New Roman"/>
        </w:rPr>
        <w:t xml:space="preserve"> for </w:t>
      </w:r>
      <w:r w:rsidRPr="00F549B3">
        <w:rPr>
          <w:rFonts w:ascii="Times New Roman" w:hAnsi="Times New Roman" w:cs="Times New Roman"/>
          <w:b/>
          <w:bCs/>
        </w:rPr>
        <w:t>2023–2025</w:t>
      </w:r>
      <w:r w:rsidRPr="00F549B3">
        <w:rPr>
          <w:rFonts w:ascii="Times New Roman" w:hAnsi="Times New Roman" w:cs="Times New Roman"/>
        </w:rPr>
        <w:t>.</w:t>
      </w:r>
    </w:p>
    <w:p w14:paraId="78501E50" w14:textId="77777777" w:rsidR="00BA5251" w:rsidRPr="00F549B3" w:rsidRDefault="00000000">
      <w:pPr>
        <w:pStyle w:val="Balk3"/>
        <w:rPr>
          <w:rFonts w:ascii="Times New Roman" w:hAnsi="Times New Roman" w:cs="Times New Roman"/>
          <w:sz w:val="24"/>
          <w:szCs w:val="24"/>
        </w:rPr>
      </w:pPr>
      <w:bookmarkStart w:id="26" w:name="Xc1a4bccfb139e4175ce36bbe1ed027cea72562b"/>
      <w:bookmarkEnd w:id="25"/>
      <w:r w:rsidRPr="00F549B3">
        <w:rPr>
          <w:rFonts w:ascii="Times New Roman" w:hAnsi="Times New Roman" w:cs="Times New Roman"/>
          <w:sz w:val="24"/>
          <w:szCs w:val="24"/>
        </w:rPr>
        <w:t>4.3 Socioeconomic-tier distribution across EMI and TMI</w:t>
      </w:r>
    </w:p>
    <w:p w14:paraId="34A7DAE0"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The third component of RQ1 addresses </w:t>
      </w:r>
      <w:r w:rsidRPr="00F549B3">
        <w:rPr>
          <w:rFonts w:ascii="Times New Roman" w:hAnsi="Times New Roman" w:cs="Times New Roman"/>
          <w:b/>
          <w:bCs/>
        </w:rPr>
        <w:t>socioeconomic geography</w:t>
      </w:r>
      <w:r w:rsidRPr="00F549B3">
        <w:rPr>
          <w:rFonts w:ascii="Times New Roman" w:hAnsi="Times New Roman" w:cs="Times New Roman"/>
        </w:rPr>
        <w:t xml:space="preserve">. Provincial membership in </w:t>
      </w:r>
      <w:r w:rsidRPr="00F549B3">
        <w:rPr>
          <w:rFonts w:ascii="Times New Roman" w:hAnsi="Times New Roman" w:cs="Times New Roman"/>
          <w:b/>
          <w:bCs/>
        </w:rPr>
        <w:t>SEGE-2025</w:t>
      </w:r>
      <w:r w:rsidRPr="00F549B3">
        <w:rPr>
          <w:rFonts w:ascii="Times New Roman" w:hAnsi="Times New Roman" w:cs="Times New Roman"/>
        </w:rPr>
        <w:t xml:space="preserve"> tiers was used to classify placements; tier-level </w:t>
      </w:r>
      <w:r w:rsidRPr="00F549B3">
        <w:rPr>
          <w:rFonts w:ascii="Times New Roman" w:hAnsi="Times New Roman" w:cs="Times New Roman"/>
          <w:b/>
          <w:bCs/>
        </w:rPr>
        <w:t>15–24 population</w:t>
      </w:r>
      <w:r w:rsidRPr="00F549B3">
        <w:rPr>
          <w:rFonts w:ascii="Times New Roman" w:hAnsi="Times New Roman" w:cs="Times New Roman"/>
        </w:rPr>
        <w:t xml:space="preserve"> denominators contextualised counts (full tier-by-year figures appear in </w:t>
      </w:r>
      <w:r w:rsidRPr="00F549B3">
        <w:rPr>
          <w:rFonts w:ascii="Times New Roman" w:hAnsi="Times New Roman" w:cs="Times New Roman"/>
          <w:b/>
          <w:bCs/>
        </w:rPr>
        <w:t>Appendix A</w:t>
      </w:r>
      <w:r w:rsidRPr="00F549B3">
        <w:rPr>
          <w:rFonts w:ascii="Times New Roman" w:hAnsi="Times New Roman" w:cs="Times New Roman"/>
        </w:rPr>
        <w:t xml:space="preserve">, Table 2; </w:t>
      </w:r>
      <w:r w:rsidRPr="00F549B3">
        <w:rPr>
          <w:rFonts w:ascii="Times New Roman" w:hAnsi="Times New Roman" w:cs="Times New Roman"/>
          <w:b/>
          <w:bCs/>
        </w:rPr>
        <w:t>Figure 1</w:t>
      </w:r>
      <w:r w:rsidRPr="00F549B3">
        <w:rPr>
          <w:rFonts w:ascii="Times New Roman" w:hAnsi="Times New Roman" w:cs="Times New Roman"/>
        </w:rPr>
        <w:t xml:space="preserve"> summarises patterns visually in the submission version). This dual presentation allows assessment of both </w:t>
      </w:r>
      <w:r w:rsidRPr="00F549B3">
        <w:rPr>
          <w:rFonts w:ascii="Times New Roman" w:hAnsi="Times New Roman" w:cs="Times New Roman"/>
          <w:b/>
          <w:bCs/>
        </w:rPr>
        <w:t>absolute</w:t>
      </w:r>
      <w:r w:rsidRPr="00F549B3">
        <w:rPr>
          <w:rFonts w:ascii="Times New Roman" w:hAnsi="Times New Roman" w:cs="Times New Roman"/>
        </w:rPr>
        <w:t xml:space="preserve"> placement volumes and </w:t>
      </w:r>
      <w:r w:rsidRPr="00F549B3">
        <w:rPr>
          <w:rFonts w:ascii="Times New Roman" w:hAnsi="Times New Roman" w:cs="Times New Roman"/>
          <w:b/>
          <w:bCs/>
        </w:rPr>
        <w:t>population-adjusted</w:t>
      </w:r>
      <w:r w:rsidRPr="00F549B3">
        <w:rPr>
          <w:rFonts w:ascii="Times New Roman" w:hAnsi="Times New Roman" w:cs="Times New Roman"/>
        </w:rPr>
        <w:t xml:space="preserve"> penetration by tier.</w:t>
      </w:r>
    </w:p>
    <w:p w14:paraId="268487F0"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The socioeconomic results reveal a </w:t>
      </w:r>
      <w:r w:rsidRPr="00F549B3">
        <w:rPr>
          <w:rFonts w:ascii="Times New Roman" w:hAnsi="Times New Roman" w:cs="Times New Roman"/>
          <w:b/>
          <w:bCs/>
        </w:rPr>
        <w:t>marked contrast</w:t>
      </w:r>
      <w:r w:rsidRPr="00F549B3">
        <w:rPr>
          <w:rFonts w:ascii="Times New Roman" w:hAnsi="Times New Roman" w:cs="Times New Roman"/>
        </w:rPr>
        <w:t xml:space="preserve"> between EMI and TMI. Across all three years, </w:t>
      </w:r>
      <w:r w:rsidRPr="00F549B3">
        <w:rPr>
          <w:rFonts w:ascii="Times New Roman" w:hAnsi="Times New Roman" w:cs="Times New Roman"/>
          <w:b/>
          <w:bCs/>
        </w:rPr>
        <w:t>EMI placements were heavily concentrated in Tier 1</w:t>
      </w:r>
      <w:r w:rsidRPr="00F549B3">
        <w:rPr>
          <w:rFonts w:ascii="Times New Roman" w:hAnsi="Times New Roman" w:cs="Times New Roman"/>
        </w:rPr>
        <w:t xml:space="preserve"> (the highest development tier). In </w:t>
      </w:r>
      <w:r w:rsidRPr="00F549B3">
        <w:rPr>
          <w:rFonts w:ascii="Times New Roman" w:hAnsi="Times New Roman" w:cs="Times New Roman"/>
          <w:b/>
          <w:bCs/>
        </w:rPr>
        <w:t>2023</w:t>
      </w:r>
      <w:r w:rsidRPr="00F549B3">
        <w:rPr>
          <w:rFonts w:ascii="Times New Roman" w:hAnsi="Times New Roman" w:cs="Times New Roman"/>
        </w:rPr>
        <w:t xml:space="preserve">, </w:t>
      </w:r>
      <w:r w:rsidRPr="00F549B3">
        <w:rPr>
          <w:rFonts w:ascii="Times New Roman" w:hAnsi="Times New Roman" w:cs="Times New Roman"/>
          <w:b/>
          <w:bCs/>
        </w:rPr>
        <w:t>55,905</w:t>
      </w:r>
      <w:r w:rsidRPr="00F549B3">
        <w:rPr>
          <w:rFonts w:ascii="Times New Roman" w:hAnsi="Times New Roman" w:cs="Times New Roman"/>
        </w:rPr>
        <w:t xml:space="preserve"> of </w:t>
      </w:r>
      <w:r w:rsidRPr="00F549B3">
        <w:rPr>
          <w:rFonts w:ascii="Times New Roman" w:hAnsi="Times New Roman" w:cs="Times New Roman"/>
          <w:b/>
          <w:bCs/>
        </w:rPr>
        <w:t>91,053</w:t>
      </w:r>
      <w:r w:rsidRPr="00F549B3">
        <w:rPr>
          <w:rFonts w:ascii="Times New Roman" w:hAnsi="Times New Roman" w:cs="Times New Roman"/>
        </w:rPr>
        <w:t xml:space="preserve"> newly placed EMI students (</w:t>
      </w:r>
      <w:r w:rsidRPr="00F549B3">
        <w:rPr>
          <w:rFonts w:ascii="Times New Roman" w:hAnsi="Times New Roman" w:cs="Times New Roman"/>
          <w:b/>
          <w:bCs/>
        </w:rPr>
        <w:t>≈61%</w:t>
      </w:r>
      <w:r w:rsidRPr="00F549B3">
        <w:rPr>
          <w:rFonts w:ascii="Times New Roman" w:hAnsi="Times New Roman" w:cs="Times New Roman"/>
        </w:rPr>
        <w:t xml:space="preserve">) were located in Tier 1; in </w:t>
      </w:r>
      <w:r w:rsidRPr="00F549B3">
        <w:rPr>
          <w:rFonts w:ascii="Times New Roman" w:hAnsi="Times New Roman" w:cs="Times New Roman"/>
          <w:b/>
          <w:bCs/>
        </w:rPr>
        <w:t>2024</w:t>
      </w:r>
      <w:r w:rsidRPr="00F549B3">
        <w:rPr>
          <w:rFonts w:ascii="Times New Roman" w:hAnsi="Times New Roman" w:cs="Times New Roman"/>
        </w:rPr>
        <w:t xml:space="preserve">, </w:t>
      </w:r>
      <w:r w:rsidRPr="00F549B3">
        <w:rPr>
          <w:rFonts w:ascii="Times New Roman" w:hAnsi="Times New Roman" w:cs="Times New Roman"/>
          <w:b/>
          <w:bCs/>
        </w:rPr>
        <w:t>59,300</w:t>
      </w:r>
      <w:r w:rsidRPr="00F549B3">
        <w:rPr>
          <w:rFonts w:ascii="Times New Roman" w:hAnsi="Times New Roman" w:cs="Times New Roman"/>
        </w:rPr>
        <w:t xml:space="preserve"> of </w:t>
      </w:r>
      <w:r w:rsidRPr="00F549B3">
        <w:rPr>
          <w:rFonts w:ascii="Times New Roman" w:hAnsi="Times New Roman" w:cs="Times New Roman"/>
          <w:b/>
          <w:bCs/>
        </w:rPr>
        <w:t>94,823</w:t>
      </w:r>
      <w:r w:rsidRPr="00F549B3">
        <w:rPr>
          <w:rFonts w:ascii="Times New Roman" w:hAnsi="Times New Roman" w:cs="Times New Roman"/>
        </w:rPr>
        <w:t xml:space="preserve">; in </w:t>
      </w:r>
      <w:r w:rsidRPr="00F549B3">
        <w:rPr>
          <w:rFonts w:ascii="Times New Roman" w:hAnsi="Times New Roman" w:cs="Times New Roman"/>
          <w:b/>
          <w:bCs/>
        </w:rPr>
        <w:t>2025</w:t>
      </w:r>
      <w:r w:rsidRPr="00F549B3">
        <w:rPr>
          <w:rFonts w:ascii="Times New Roman" w:hAnsi="Times New Roman" w:cs="Times New Roman"/>
        </w:rPr>
        <w:t xml:space="preserve">, </w:t>
      </w:r>
      <w:r w:rsidRPr="00F549B3">
        <w:rPr>
          <w:rFonts w:ascii="Times New Roman" w:hAnsi="Times New Roman" w:cs="Times New Roman"/>
          <w:b/>
          <w:bCs/>
        </w:rPr>
        <w:t>66,648</w:t>
      </w:r>
      <w:r w:rsidRPr="00F549B3">
        <w:rPr>
          <w:rFonts w:ascii="Times New Roman" w:hAnsi="Times New Roman" w:cs="Times New Roman"/>
        </w:rPr>
        <w:t xml:space="preserve"> of </w:t>
      </w:r>
      <w:r w:rsidRPr="00F549B3">
        <w:rPr>
          <w:rFonts w:ascii="Times New Roman" w:hAnsi="Times New Roman" w:cs="Times New Roman"/>
          <w:b/>
          <w:bCs/>
        </w:rPr>
        <w:t>104,770</w:t>
      </w:r>
      <w:r w:rsidRPr="00F549B3">
        <w:rPr>
          <w:rFonts w:ascii="Times New Roman" w:hAnsi="Times New Roman" w:cs="Times New Roman"/>
        </w:rPr>
        <w:t xml:space="preserve">. In substantive terms, roughly </w:t>
      </w:r>
      <w:r w:rsidRPr="00F549B3">
        <w:rPr>
          <w:rFonts w:ascii="Times New Roman" w:hAnsi="Times New Roman" w:cs="Times New Roman"/>
          <w:b/>
          <w:bCs/>
        </w:rPr>
        <w:t>three-fifths</w:t>
      </w:r>
      <w:r w:rsidRPr="00F549B3">
        <w:rPr>
          <w:rFonts w:ascii="Times New Roman" w:hAnsi="Times New Roman" w:cs="Times New Roman"/>
        </w:rPr>
        <w:t xml:space="preserve"> of EMI entrants were drawn from the </w:t>
      </w:r>
      <w:r w:rsidRPr="00F549B3">
        <w:rPr>
          <w:rFonts w:ascii="Times New Roman" w:hAnsi="Times New Roman" w:cs="Times New Roman"/>
          <w:b/>
          <w:bCs/>
        </w:rPr>
        <w:t>most developed tier</w:t>
      </w:r>
      <w:r w:rsidRPr="00F549B3">
        <w:rPr>
          <w:rFonts w:ascii="Times New Roman" w:hAnsi="Times New Roman" w:cs="Times New Roman"/>
        </w:rPr>
        <w:t xml:space="preserve"> throughout the window, and concentration </w:t>
      </w:r>
      <w:r w:rsidRPr="00F549B3">
        <w:rPr>
          <w:rFonts w:ascii="Times New Roman" w:hAnsi="Times New Roman" w:cs="Times New Roman"/>
          <w:b/>
          <w:bCs/>
        </w:rPr>
        <w:t>edged upward</w:t>
      </w:r>
      <w:r w:rsidRPr="00F549B3">
        <w:rPr>
          <w:rFonts w:ascii="Times New Roman" w:hAnsi="Times New Roman" w:cs="Times New Roman"/>
        </w:rPr>
        <w:t xml:space="preserve"> slightly by 2025.</w:t>
      </w:r>
    </w:p>
    <w:p w14:paraId="455FBD61"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TMI also recorded its </w:t>
      </w:r>
      <w:r w:rsidRPr="00F549B3">
        <w:rPr>
          <w:rFonts w:ascii="Times New Roman" w:hAnsi="Times New Roman" w:cs="Times New Roman"/>
          <w:b/>
          <w:bCs/>
        </w:rPr>
        <w:t>largest absolute counts</w:t>
      </w:r>
      <w:r w:rsidRPr="00F549B3">
        <w:rPr>
          <w:rFonts w:ascii="Times New Roman" w:hAnsi="Times New Roman" w:cs="Times New Roman"/>
        </w:rPr>
        <w:t xml:space="preserve"> in Tier 1, but the </w:t>
      </w:r>
      <w:r w:rsidRPr="00F549B3">
        <w:rPr>
          <w:rFonts w:ascii="Times New Roman" w:hAnsi="Times New Roman" w:cs="Times New Roman"/>
          <w:b/>
          <w:bCs/>
        </w:rPr>
        <w:t>distribution across tiers was more dispersed</w:t>
      </w:r>
      <w:r w:rsidRPr="00F549B3">
        <w:rPr>
          <w:rFonts w:ascii="Times New Roman" w:hAnsi="Times New Roman" w:cs="Times New Roman"/>
        </w:rPr>
        <w:t xml:space="preserve">. In </w:t>
      </w:r>
      <w:r w:rsidRPr="00F549B3">
        <w:rPr>
          <w:rFonts w:ascii="Times New Roman" w:hAnsi="Times New Roman" w:cs="Times New Roman"/>
          <w:b/>
          <w:bCs/>
        </w:rPr>
        <w:t>2023</w:t>
      </w:r>
      <w:r w:rsidRPr="00F549B3">
        <w:rPr>
          <w:rFonts w:ascii="Times New Roman" w:hAnsi="Times New Roman" w:cs="Times New Roman"/>
        </w:rPr>
        <w:t xml:space="preserve">, Tier 1 accounted for </w:t>
      </w:r>
      <w:r w:rsidRPr="00F549B3">
        <w:rPr>
          <w:rFonts w:ascii="Times New Roman" w:hAnsi="Times New Roman" w:cs="Times New Roman"/>
          <w:b/>
          <w:bCs/>
        </w:rPr>
        <w:t>166,334</w:t>
      </w:r>
      <w:r w:rsidRPr="00F549B3">
        <w:rPr>
          <w:rFonts w:ascii="Times New Roman" w:hAnsi="Times New Roman" w:cs="Times New Roman"/>
        </w:rPr>
        <w:t xml:space="preserve"> of </w:t>
      </w:r>
      <w:r w:rsidRPr="00F549B3">
        <w:rPr>
          <w:rFonts w:ascii="Times New Roman" w:hAnsi="Times New Roman" w:cs="Times New Roman"/>
          <w:b/>
          <w:bCs/>
        </w:rPr>
        <w:t>427,274</w:t>
      </w:r>
      <w:r w:rsidRPr="00F549B3">
        <w:rPr>
          <w:rFonts w:ascii="Times New Roman" w:hAnsi="Times New Roman" w:cs="Times New Roman"/>
        </w:rPr>
        <w:t xml:space="preserve"> TMI placements; in </w:t>
      </w:r>
      <w:r w:rsidRPr="00F549B3">
        <w:rPr>
          <w:rFonts w:ascii="Times New Roman" w:hAnsi="Times New Roman" w:cs="Times New Roman"/>
          <w:b/>
          <w:bCs/>
        </w:rPr>
        <w:t>2024</w:t>
      </w:r>
      <w:r w:rsidRPr="00F549B3">
        <w:rPr>
          <w:rFonts w:ascii="Times New Roman" w:hAnsi="Times New Roman" w:cs="Times New Roman"/>
        </w:rPr>
        <w:t xml:space="preserve">, </w:t>
      </w:r>
      <w:r w:rsidRPr="00F549B3">
        <w:rPr>
          <w:rFonts w:ascii="Times New Roman" w:hAnsi="Times New Roman" w:cs="Times New Roman"/>
          <w:b/>
          <w:bCs/>
        </w:rPr>
        <w:t>185,782</w:t>
      </w:r>
      <w:r w:rsidRPr="00F549B3">
        <w:rPr>
          <w:rFonts w:ascii="Times New Roman" w:hAnsi="Times New Roman" w:cs="Times New Roman"/>
        </w:rPr>
        <w:t xml:space="preserve"> of </w:t>
      </w:r>
      <w:r w:rsidRPr="00F549B3">
        <w:rPr>
          <w:rFonts w:ascii="Times New Roman" w:hAnsi="Times New Roman" w:cs="Times New Roman"/>
          <w:b/>
          <w:bCs/>
        </w:rPr>
        <w:t>451,681</w:t>
      </w:r>
      <w:r w:rsidRPr="00F549B3">
        <w:rPr>
          <w:rFonts w:ascii="Times New Roman" w:hAnsi="Times New Roman" w:cs="Times New Roman"/>
        </w:rPr>
        <w:t xml:space="preserve">; in </w:t>
      </w:r>
      <w:r w:rsidRPr="00F549B3">
        <w:rPr>
          <w:rFonts w:ascii="Times New Roman" w:hAnsi="Times New Roman" w:cs="Times New Roman"/>
          <w:b/>
          <w:bCs/>
        </w:rPr>
        <w:t>2025</w:t>
      </w:r>
      <w:r w:rsidRPr="00F549B3">
        <w:rPr>
          <w:rFonts w:ascii="Times New Roman" w:hAnsi="Times New Roman" w:cs="Times New Roman"/>
        </w:rPr>
        <w:t xml:space="preserve">, </w:t>
      </w:r>
      <w:r w:rsidRPr="00F549B3">
        <w:rPr>
          <w:rFonts w:ascii="Times New Roman" w:hAnsi="Times New Roman" w:cs="Times New Roman"/>
          <w:b/>
          <w:bCs/>
        </w:rPr>
        <w:t>198,081</w:t>
      </w:r>
      <w:r w:rsidRPr="00F549B3">
        <w:rPr>
          <w:rFonts w:ascii="Times New Roman" w:hAnsi="Times New Roman" w:cs="Times New Roman"/>
        </w:rPr>
        <w:t xml:space="preserve"> of </w:t>
      </w:r>
      <w:r w:rsidRPr="00F549B3">
        <w:rPr>
          <w:rFonts w:ascii="Times New Roman" w:hAnsi="Times New Roman" w:cs="Times New Roman"/>
          <w:b/>
          <w:bCs/>
        </w:rPr>
        <w:t>492,179</w:t>
      </w:r>
      <w:r w:rsidRPr="00F549B3">
        <w:rPr>
          <w:rFonts w:ascii="Times New Roman" w:hAnsi="Times New Roman" w:cs="Times New Roman"/>
        </w:rPr>
        <w:t xml:space="preserve">. Tier 1 remained the </w:t>
      </w:r>
      <w:r w:rsidRPr="00F549B3">
        <w:rPr>
          <w:rFonts w:ascii="Times New Roman" w:hAnsi="Times New Roman" w:cs="Times New Roman"/>
          <w:b/>
          <w:bCs/>
        </w:rPr>
        <w:t>modal</w:t>
      </w:r>
      <w:r w:rsidRPr="00F549B3">
        <w:rPr>
          <w:rFonts w:ascii="Times New Roman" w:hAnsi="Times New Roman" w:cs="Times New Roman"/>
        </w:rPr>
        <w:t xml:space="preserve"> base for TMI, yet </w:t>
      </w:r>
      <w:r w:rsidRPr="00F549B3">
        <w:rPr>
          <w:rFonts w:ascii="Times New Roman" w:hAnsi="Times New Roman" w:cs="Times New Roman"/>
          <w:b/>
          <w:bCs/>
        </w:rPr>
        <w:t>concentration ratios</w:t>
      </w:r>
      <w:r w:rsidRPr="00F549B3">
        <w:rPr>
          <w:rFonts w:ascii="Times New Roman" w:hAnsi="Times New Roman" w:cs="Times New Roman"/>
        </w:rPr>
        <w:t xml:space="preserve"> were </w:t>
      </w:r>
      <w:r w:rsidRPr="00F549B3">
        <w:rPr>
          <w:rFonts w:ascii="Times New Roman" w:hAnsi="Times New Roman" w:cs="Times New Roman"/>
          <w:b/>
          <w:bCs/>
        </w:rPr>
        <w:t>lower</w:t>
      </w:r>
      <w:r w:rsidRPr="00F549B3">
        <w:rPr>
          <w:rFonts w:ascii="Times New Roman" w:hAnsi="Times New Roman" w:cs="Times New Roman"/>
        </w:rPr>
        <w:t xml:space="preserve"> than for EMI, indicating </w:t>
      </w:r>
      <w:r w:rsidRPr="00F549B3">
        <w:rPr>
          <w:rFonts w:ascii="Times New Roman" w:hAnsi="Times New Roman" w:cs="Times New Roman"/>
          <w:b/>
          <w:bCs/>
        </w:rPr>
        <w:t>greater spread</w:t>
      </w:r>
      <w:r w:rsidRPr="00F549B3">
        <w:rPr>
          <w:rFonts w:ascii="Times New Roman" w:hAnsi="Times New Roman" w:cs="Times New Roman"/>
        </w:rPr>
        <w:t xml:space="preserve"> across middle and lower tiers.</w:t>
      </w:r>
    </w:p>
    <w:p w14:paraId="04F11F1D"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The contrast intensifies in </w:t>
      </w:r>
      <w:r w:rsidRPr="00F549B3">
        <w:rPr>
          <w:rFonts w:ascii="Times New Roman" w:hAnsi="Times New Roman" w:cs="Times New Roman"/>
          <w:b/>
          <w:bCs/>
        </w:rPr>
        <w:t>lower tiers</w:t>
      </w:r>
      <w:r w:rsidRPr="00F549B3">
        <w:rPr>
          <w:rFonts w:ascii="Times New Roman" w:hAnsi="Times New Roman" w:cs="Times New Roman"/>
        </w:rPr>
        <w:t xml:space="preserve">. EMI placements in </w:t>
      </w:r>
      <w:r w:rsidRPr="00F549B3">
        <w:rPr>
          <w:rFonts w:ascii="Times New Roman" w:hAnsi="Times New Roman" w:cs="Times New Roman"/>
          <w:b/>
          <w:bCs/>
        </w:rPr>
        <w:t>Tier 6</w:t>
      </w:r>
      <w:r w:rsidRPr="00F549B3">
        <w:rPr>
          <w:rFonts w:ascii="Times New Roman" w:hAnsi="Times New Roman" w:cs="Times New Roman"/>
        </w:rPr>
        <w:t xml:space="preserve"> numbered </w:t>
      </w:r>
      <w:r w:rsidRPr="00F549B3">
        <w:rPr>
          <w:rFonts w:ascii="Times New Roman" w:hAnsi="Times New Roman" w:cs="Times New Roman"/>
          <w:b/>
          <w:bCs/>
        </w:rPr>
        <w:t>2,810</w:t>
      </w:r>
      <w:r w:rsidRPr="00F549B3">
        <w:rPr>
          <w:rFonts w:ascii="Times New Roman" w:hAnsi="Times New Roman" w:cs="Times New Roman"/>
        </w:rPr>
        <w:t xml:space="preserve"> (2023), </w:t>
      </w:r>
      <w:r w:rsidRPr="00F549B3">
        <w:rPr>
          <w:rFonts w:ascii="Times New Roman" w:hAnsi="Times New Roman" w:cs="Times New Roman"/>
          <w:b/>
          <w:bCs/>
        </w:rPr>
        <w:t>2,892</w:t>
      </w:r>
      <w:r w:rsidRPr="00F549B3">
        <w:rPr>
          <w:rFonts w:ascii="Times New Roman" w:hAnsi="Times New Roman" w:cs="Times New Roman"/>
        </w:rPr>
        <w:t xml:space="preserve"> (2024), and </w:t>
      </w:r>
      <w:r w:rsidRPr="00F549B3">
        <w:rPr>
          <w:rFonts w:ascii="Times New Roman" w:hAnsi="Times New Roman" w:cs="Times New Roman"/>
          <w:b/>
          <w:bCs/>
        </w:rPr>
        <w:t>3,138</w:t>
      </w:r>
      <w:r w:rsidRPr="00F549B3">
        <w:rPr>
          <w:rFonts w:ascii="Times New Roman" w:hAnsi="Times New Roman" w:cs="Times New Roman"/>
        </w:rPr>
        <w:t xml:space="preserve"> (2025). Expressed relative to Tier 6’s </w:t>
      </w:r>
      <w:r w:rsidRPr="00F549B3">
        <w:rPr>
          <w:rFonts w:ascii="Times New Roman" w:hAnsi="Times New Roman" w:cs="Times New Roman"/>
          <w:b/>
          <w:bCs/>
        </w:rPr>
        <w:t>15–24 population</w:t>
      </w:r>
      <w:r w:rsidRPr="00F549B3">
        <w:rPr>
          <w:rFonts w:ascii="Times New Roman" w:hAnsi="Times New Roman" w:cs="Times New Roman"/>
        </w:rPr>
        <w:t xml:space="preserve">, EMI penetration was </w:t>
      </w:r>
      <w:r w:rsidRPr="00F549B3">
        <w:rPr>
          <w:rFonts w:ascii="Times New Roman" w:hAnsi="Times New Roman" w:cs="Times New Roman"/>
          <w:b/>
          <w:bCs/>
        </w:rPr>
        <w:lastRenderedPageBreak/>
        <w:t>0.14%</w:t>
      </w:r>
      <w:r w:rsidRPr="00F549B3">
        <w:rPr>
          <w:rFonts w:ascii="Times New Roman" w:hAnsi="Times New Roman" w:cs="Times New Roman"/>
        </w:rPr>
        <w:t xml:space="preserve">, </w:t>
      </w:r>
      <w:r w:rsidRPr="00F549B3">
        <w:rPr>
          <w:rFonts w:ascii="Times New Roman" w:hAnsi="Times New Roman" w:cs="Times New Roman"/>
          <w:b/>
          <w:bCs/>
        </w:rPr>
        <w:t>0.15%</w:t>
      </w:r>
      <w:r w:rsidRPr="00F549B3">
        <w:rPr>
          <w:rFonts w:ascii="Times New Roman" w:hAnsi="Times New Roman" w:cs="Times New Roman"/>
        </w:rPr>
        <w:t xml:space="preserve">, and </w:t>
      </w:r>
      <w:r w:rsidRPr="00F549B3">
        <w:rPr>
          <w:rFonts w:ascii="Times New Roman" w:hAnsi="Times New Roman" w:cs="Times New Roman"/>
          <w:b/>
          <w:bCs/>
        </w:rPr>
        <w:t>0.16%</w:t>
      </w:r>
      <w:r w:rsidRPr="00F549B3">
        <w:rPr>
          <w:rFonts w:ascii="Times New Roman" w:hAnsi="Times New Roman" w:cs="Times New Roman"/>
        </w:rPr>
        <w:t xml:space="preserve">. TMI, by contrast, placed </w:t>
      </w:r>
      <w:r w:rsidRPr="00F549B3">
        <w:rPr>
          <w:rFonts w:ascii="Times New Roman" w:hAnsi="Times New Roman" w:cs="Times New Roman"/>
          <w:b/>
          <w:bCs/>
        </w:rPr>
        <w:t>54,700</w:t>
      </w:r>
      <w:r w:rsidRPr="00F549B3">
        <w:rPr>
          <w:rFonts w:ascii="Times New Roman" w:hAnsi="Times New Roman" w:cs="Times New Roman"/>
        </w:rPr>
        <w:t xml:space="preserve">, </w:t>
      </w:r>
      <w:r w:rsidRPr="00F549B3">
        <w:rPr>
          <w:rFonts w:ascii="Times New Roman" w:hAnsi="Times New Roman" w:cs="Times New Roman"/>
          <w:b/>
          <w:bCs/>
        </w:rPr>
        <w:t>53,049</w:t>
      </w:r>
      <w:r w:rsidRPr="00F549B3">
        <w:rPr>
          <w:rFonts w:ascii="Times New Roman" w:hAnsi="Times New Roman" w:cs="Times New Roman"/>
        </w:rPr>
        <w:t xml:space="preserve">, and </w:t>
      </w:r>
      <w:r w:rsidRPr="00F549B3">
        <w:rPr>
          <w:rFonts w:ascii="Times New Roman" w:hAnsi="Times New Roman" w:cs="Times New Roman"/>
          <w:b/>
          <w:bCs/>
        </w:rPr>
        <w:t>66,180</w:t>
      </w:r>
      <w:r w:rsidRPr="00F549B3">
        <w:rPr>
          <w:rFonts w:ascii="Times New Roman" w:hAnsi="Times New Roman" w:cs="Times New Roman"/>
        </w:rPr>
        <w:t xml:space="preserve"> students in Tier 6—</w:t>
      </w:r>
      <w:r w:rsidRPr="00F549B3">
        <w:rPr>
          <w:rFonts w:ascii="Times New Roman" w:hAnsi="Times New Roman" w:cs="Times New Roman"/>
          <w:b/>
          <w:bCs/>
        </w:rPr>
        <w:t>far larger</w:t>
      </w:r>
      <w:r w:rsidRPr="00F549B3">
        <w:rPr>
          <w:rFonts w:ascii="Times New Roman" w:hAnsi="Times New Roman" w:cs="Times New Roman"/>
        </w:rPr>
        <w:t xml:space="preserve"> in absolute terms.</w:t>
      </w:r>
    </w:p>
    <w:p w14:paraId="31434C17"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Middle tiers</w:t>
      </w:r>
      <w:r w:rsidRPr="00F549B3">
        <w:rPr>
          <w:rFonts w:ascii="Times New Roman" w:hAnsi="Times New Roman" w:cs="Times New Roman"/>
        </w:rPr>
        <w:t xml:space="preserve"> show a </w:t>
      </w:r>
      <w:r w:rsidRPr="00F549B3">
        <w:rPr>
          <w:rFonts w:ascii="Times New Roman" w:hAnsi="Times New Roman" w:cs="Times New Roman"/>
          <w:b/>
          <w:bCs/>
        </w:rPr>
        <w:t>graded decline</w:t>
      </w:r>
      <w:r w:rsidRPr="00F549B3">
        <w:rPr>
          <w:rFonts w:ascii="Times New Roman" w:hAnsi="Times New Roman" w:cs="Times New Roman"/>
        </w:rPr>
        <w:t xml:space="preserve"> in EMI population-adjusted rates from Tier 1 downward. For </w:t>
      </w:r>
      <w:r w:rsidRPr="00F549B3">
        <w:rPr>
          <w:rFonts w:ascii="Times New Roman" w:hAnsi="Times New Roman" w:cs="Times New Roman"/>
          <w:b/>
          <w:bCs/>
        </w:rPr>
        <w:t>2025</w:t>
      </w:r>
      <w:r w:rsidRPr="00F549B3">
        <w:rPr>
          <w:rFonts w:ascii="Times New Roman" w:hAnsi="Times New Roman" w:cs="Times New Roman"/>
        </w:rPr>
        <w:t xml:space="preserve">, EMI accounted for </w:t>
      </w:r>
      <w:r w:rsidRPr="00F549B3">
        <w:rPr>
          <w:rFonts w:ascii="Times New Roman" w:hAnsi="Times New Roman" w:cs="Times New Roman"/>
          <w:b/>
          <w:bCs/>
        </w:rPr>
        <w:t>1.30%</w:t>
      </w:r>
      <w:r w:rsidRPr="00F549B3">
        <w:rPr>
          <w:rFonts w:ascii="Times New Roman" w:hAnsi="Times New Roman" w:cs="Times New Roman"/>
        </w:rPr>
        <w:t xml:space="preserve"> of the Tier 1 candidate-age pool, versus </w:t>
      </w:r>
      <w:r w:rsidRPr="00F549B3">
        <w:rPr>
          <w:rFonts w:ascii="Times New Roman" w:hAnsi="Times New Roman" w:cs="Times New Roman"/>
          <w:b/>
          <w:bCs/>
        </w:rPr>
        <w:t>0.74%</w:t>
      </w:r>
      <w:r w:rsidRPr="00F549B3">
        <w:rPr>
          <w:rFonts w:ascii="Times New Roman" w:hAnsi="Times New Roman" w:cs="Times New Roman"/>
        </w:rPr>
        <w:t xml:space="preserve"> (Tier 2), </w:t>
      </w:r>
      <w:r w:rsidRPr="00F549B3">
        <w:rPr>
          <w:rFonts w:ascii="Times New Roman" w:hAnsi="Times New Roman" w:cs="Times New Roman"/>
          <w:b/>
          <w:bCs/>
        </w:rPr>
        <w:t>0.65%</w:t>
      </w:r>
      <w:r w:rsidRPr="00F549B3">
        <w:rPr>
          <w:rFonts w:ascii="Times New Roman" w:hAnsi="Times New Roman" w:cs="Times New Roman"/>
        </w:rPr>
        <w:t xml:space="preserve"> (Tier 3), </w:t>
      </w:r>
      <w:r w:rsidRPr="00F549B3">
        <w:rPr>
          <w:rFonts w:ascii="Times New Roman" w:hAnsi="Times New Roman" w:cs="Times New Roman"/>
          <w:b/>
          <w:bCs/>
        </w:rPr>
        <w:t>0.45%</w:t>
      </w:r>
      <w:r w:rsidRPr="00F549B3">
        <w:rPr>
          <w:rFonts w:ascii="Times New Roman" w:hAnsi="Times New Roman" w:cs="Times New Roman"/>
        </w:rPr>
        <w:t xml:space="preserve"> (Tier 4), </w:t>
      </w:r>
      <w:r w:rsidRPr="00F549B3">
        <w:rPr>
          <w:rFonts w:ascii="Times New Roman" w:hAnsi="Times New Roman" w:cs="Times New Roman"/>
          <w:b/>
          <w:bCs/>
        </w:rPr>
        <w:t>0.49%</w:t>
      </w:r>
      <w:r w:rsidRPr="00F549B3">
        <w:rPr>
          <w:rFonts w:ascii="Times New Roman" w:hAnsi="Times New Roman" w:cs="Times New Roman"/>
        </w:rPr>
        <w:t xml:space="preserve"> (Tier 5), and </w:t>
      </w:r>
      <w:r w:rsidRPr="00F549B3">
        <w:rPr>
          <w:rFonts w:ascii="Times New Roman" w:hAnsi="Times New Roman" w:cs="Times New Roman"/>
          <w:b/>
          <w:bCs/>
        </w:rPr>
        <w:t>0.16%</w:t>
      </w:r>
      <w:r w:rsidRPr="00F549B3">
        <w:rPr>
          <w:rFonts w:ascii="Times New Roman" w:hAnsi="Times New Roman" w:cs="Times New Roman"/>
        </w:rPr>
        <w:t xml:space="preserve"> (Tier 6). TMI’s tier profile was </w:t>
      </w:r>
      <w:r w:rsidRPr="00F549B3">
        <w:rPr>
          <w:rFonts w:ascii="Times New Roman" w:hAnsi="Times New Roman" w:cs="Times New Roman"/>
          <w:b/>
          <w:bCs/>
        </w:rPr>
        <w:t>less sharply peaked</w:t>
      </w:r>
      <w:r w:rsidRPr="00F549B3">
        <w:rPr>
          <w:rFonts w:ascii="Times New Roman" w:hAnsi="Times New Roman" w:cs="Times New Roman"/>
        </w:rPr>
        <w:t xml:space="preserve"> at Tier 1: in </w:t>
      </w:r>
      <w:r w:rsidRPr="00F549B3">
        <w:rPr>
          <w:rFonts w:ascii="Times New Roman" w:hAnsi="Times New Roman" w:cs="Times New Roman"/>
          <w:b/>
          <w:bCs/>
        </w:rPr>
        <w:t>2025</w:t>
      </w:r>
      <w:r w:rsidRPr="00F549B3">
        <w:rPr>
          <w:rFonts w:ascii="Times New Roman" w:hAnsi="Times New Roman" w:cs="Times New Roman"/>
        </w:rPr>
        <w:t xml:space="preserve">, TMI reached </w:t>
      </w:r>
      <w:r w:rsidRPr="00F549B3">
        <w:rPr>
          <w:rFonts w:ascii="Times New Roman" w:hAnsi="Times New Roman" w:cs="Times New Roman"/>
          <w:b/>
          <w:bCs/>
        </w:rPr>
        <w:t>4.38%</w:t>
      </w:r>
      <w:r w:rsidRPr="00F549B3">
        <w:rPr>
          <w:rFonts w:ascii="Times New Roman" w:hAnsi="Times New Roman" w:cs="Times New Roman"/>
        </w:rPr>
        <w:t xml:space="preserve"> of the Tier 4 pool and </w:t>
      </w:r>
      <w:r w:rsidRPr="00F549B3">
        <w:rPr>
          <w:rFonts w:ascii="Times New Roman" w:hAnsi="Times New Roman" w:cs="Times New Roman"/>
          <w:b/>
          <w:bCs/>
        </w:rPr>
        <w:t>4.23%</w:t>
      </w:r>
      <w:r w:rsidRPr="00F549B3">
        <w:rPr>
          <w:rFonts w:ascii="Times New Roman" w:hAnsi="Times New Roman" w:cs="Times New Roman"/>
        </w:rPr>
        <w:t xml:space="preserve"> of Tier 5, compared with </w:t>
      </w:r>
      <w:r w:rsidRPr="00F549B3">
        <w:rPr>
          <w:rFonts w:ascii="Times New Roman" w:hAnsi="Times New Roman" w:cs="Times New Roman"/>
          <w:b/>
          <w:bCs/>
        </w:rPr>
        <w:t>3.86%</w:t>
      </w:r>
      <w:r w:rsidRPr="00F549B3">
        <w:rPr>
          <w:rFonts w:ascii="Times New Roman" w:hAnsi="Times New Roman" w:cs="Times New Roman"/>
        </w:rPr>
        <w:t xml:space="preserve"> in Tier 1—illustrating </w:t>
      </w:r>
      <w:r w:rsidRPr="00F549B3">
        <w:rPr>
          <w:rFonts w:ascii="Times New Roman" w:hAnsi="Times New Roman" w:cs="Times New Roman"/>
          <w:b/>
          <w:bCs/>
        </w:rPr>
        <w:t>flatter</w:t>
      </w:r>
      <w:r w:rsidRPr="00F549B3">
        <w:rPr>
          <w:rFonts w:ascii="Times New Roman" w:hAnsi="Times New Roman" w:cs="Times New Roman"/>
        </w:rPr>
        <w:t xml:space="preserve"> geographic penetration than EMI.</w:t>
      </w:r>
    </w:p>
    <w:p w14:paraId="7DCADCCD"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Taken together</w:t>
      </w:r>
      <w:r w:rsidRPr="00F549B3">
        <w:rPr>
          <w:rFonts w:ascii="Times New Roman" w:hAnsi="Times New Roman" w:cs="Times New Roman"/>
        </w:rPr>
        <w:t xml:space="preserve">, EMI appears </w:t>
      </w:r>
      <w:r w:rsidRPr="00F549B3">
        <w:rPr>
          <w:rFonts w:ascii="Times New Roman" w:hAnsi="Times New Roman" w:cs="Times New Roman"/>
          <w:b/>
          <w:bCs/>
        </w:rPr>
        <w:t>more selective and spatially concentrated</w:t>
      </w:r>
      <w:r w:rsidRPr="00F549B3">
        <w:rPr>
          <w:rFonts w:ascii="Times New Roman" w:hAnsi="Times New Roman" w:cs="Times New Roman"/>
        </w:rPr>
        <w:t xml:space="preserve"> in the </w:t>
      </w:r>
      <w:r w:rsidRPr="00F549B3">
        <w:rPr>
          <w:rFonts w:ascii="Times New Roman" w:hAnsi="Times New Roman" w:cs="Times New Roman"/>
          <w:b/>
          <w:bCs/>
        </w:rPr>
        <w:t>most developed</w:t>
      </w:r>
      <w:r w:rsidRPr="00F549B3">
        <w:rPr>
          <w:rFonts w:ascii="Times New Roman" w:hAnsi="Times New Roman" w:cs="Times New Roman"/>
        </w:rPr>
        <w:t xml:space="preserve"> provinces, whereas TMI exhibits </w:t>
      </w:r>
      <w:r w:rsidRPr="00F549B3">
        <w:rPr>
          <w:rFonts w:ascii="Times New Roman" w:hAnsi="Times New Roman" w:cs="Times New Roman"/>
          <w:b/>
          <w:bCs/>
        </w:rPr>
        <w:t>broader national reach</w:t>
      </w:r>
      <w:r w:rsidRPr="00F549B3">
        <w:rPr>
          <w:rFonts w:ascii="Times New Roman" w:hAnsi="Times New Roman" w:cs="Times New Roman"/>
        </w:rPr>
        <w:t xml:space="preserve"> when both </w:t>
      </w:r>
      <w:r w:rsidRPr="00F549B3">
        <w:rPr>
          <w:rFonts w:ascii="Times New Roman" w:hAnsi="Times New Roman" w:cs="Times New Roman"/>
          <w:b/>
          <w:bCs/>
        </w:rPr>
        <w:t>absolute</w:t>
      </w:r>
      <w:r w:rsidRPr="00F549B3">
        <w:rPr>
          <w:rFonts w:ascii="Times New Roman" w:hAnsi="Times New Roman" w:cs="Times New Roman"/>
        </w:rPr>
        <w:t xml:space="preserve"> and </w:t>
      </w:r>
      <w:r w:rsidRPr="00F549B3">
        <w:rPr>
          <w:rFonts w:ascii="Times New Roman" w:hAnsi="Times New Roman" w:cs="Times New Roman"/>
          <w:b/>
          <w:bCs/>
        </w:rPr>
        <w:t>population-adjusted</w:t>
      </w:r>
      <w:r w:rsidRPr="00F549B3">
        <w:rPr>
          <w:rFonts w:ascii="Times New Roman" w:hAnsi="Times New Roman" w:cs="Times New Roman"/>
        </w:rPr>
        <w:t xml:space="preserve"> perspectives are combined. EMI was </w:t>
      </w:r>
      <w:r w:rsidRPr="00F549B3">
        <w:rPr>
          <w:rFonts w:ascii="Times New Roman" w:hAnsi="Times New Roman" w:cs="Times New Roman"/>
          <w:b/>
          <w:bCs/>
        </w:rPr>
        <w:t>present</w:t>
      </w:r>
      <w:r w:rsidRPr="00F549B3">
        <w:rPr>
          <w:rFonts w:ascii="Times New Roman" w:hAnsi="Times New Roman" w:cs="Times New Roman"/>
        </w:rPr>
        <w:t xml:space="preserve"> in all tiers, but its </w:t>
      </w:r>
      <w:r w:rsidRPr="00F549B3">
        <w:rPr>
          <w:rFonts w:ascii="Times New Roman" w:hAnsi="Times New Roman" w:cs="Times New Roman"/>
          <w:b/>
          <w:bCs/>
        </w:rPr>
        <w:t>footprint</w:t>
      </w:r>
      <w:r w:rsidRPr="00F549B3">
        <w:rPr>
          <w:rFonts w:ascii="Times New Roman" w:hAnsi="Times New Roman" w:cs="Times New Roman"/>
        </w:rPr>
        <w:t xml:space="preserve"> in less-developed tiers—especially Tier 6—remained </w:t>
      </w:r>
      <w:r w:rsidRPr="00F549B3">
        <w:rPr>
          <w:rFonts w:ascii="Times New Roman" w:hAnsi="Times New Roman" w:cs="Times New Roman"/>
          <w:b/>
          <w:bCs/>
        </w:rPr>
        <w:t>limited</w:t>
      </w:r>
      <w:r w:rsidRPr="00F549B3">
        <w:rPr>
          <w:rFonts w:ascii="Times New Roman" w:hAnsi="Times New Roman" w:cs="Times New Roman"/>
        </w:rPr>
        <w:t xml:space="preserve"> relative to both its Tier 1 mass and to TMI’s volumes.</w:t>
      </w:r>
    </w:p>
    <w:p w14:paraId="6A85AB7E"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Temporal pattern.</w:t>
      </w:r>
      <w:r w:rsidRPr="00F549B3">
        <w:rPr>
          <w:rFonts w:ascii="Times New Roman" w:hAnsi="Times New Roman" w:cs="Times New Roman"/>
        </w:rPr>
        <w:t xml:space="preserve"> From </w:t>
      </w:r>
      <w:r w:rsidRPr="00F549B3">
        <w:rPr>
          <w:rFonts w:ascii="Times New Roman" w:hAnsi="Times New Roman" w:cs="Times New Roman"/>
          <w:b/>
          <w:bCs/>
        </w:rPr>
        <w:t>2023</w:t>
      </w:r>
      <w:r w:rsidRPr="00F549B3">
        <w:rPr>
          <w:rFonts w:ascii="Times New Roman" w:hAnsi="Times New Roman" w:cs="Times New Roman"/>
        </w:rPr>
        <w:t xml:space="preserve"> to </w:t>
      </w:r>
      <w:r w:rsidRPr="00F549B3">
        <w:rPr>
          <w:rFonts w:ascii="Times New Roman" w:hAnsi="Times New Roman" w:cs="Times New Roman"/>
          <w:b/>
          <w:bCs/>
        </w:rPr>
        <w:t>2025</w:t>
      </w:r>
      <w:r w:rsidRPr="00F549B3">
        <w:rPr>
          <w:rFonts w:ascii="Times New Roman" w:hAnsi="Times New Roman" w:cs="Times New Roman"/>
        </w:rPr>
        <w:t xml:space="preserve">, the </w:t>
      </w:r>
      <w:r w:rsidRPr="00F549B3">
        <w:rPr>
          <w:rFonts w:ascii="Times New Roman" w:hAnsi="Times New Roman" w:cs="Times New Roman"/>
          <w:b/>
          <w:bCs/>
        </w:rPr>
        <w:t>hierarchy</w:t>
      </w:r>
      <w:r w:rsidRPr="00F549B3">
        <w:rPr>
          <w:rFonts w:ascii="Times New Roman" w:hAnsi="Times New Roman" w:cs="Times New Roman"/>
        </w:rPr>
        <w:t xml:space="preserve"> persisted: Tier 1 remained the </w:t>
      </w:r>
      <w:r w:rsidRPr="00F549B3">
        <w:rPr>
          <w:rFonts w:ascii="Times New Roman" w:hAnsi="Times New Roman" w:cs="Times New Roman"/>
          <w:b/>
          <w:bCs/>
        </w:rPr>
        <w:t>primary locus</w:t>
      </w:r>
      <w:r w:rsidRPr="00F549B3">
        <w:rPr>
          <w:rFonts w:ascii="Times New Roman" w:hAnsi="Times New Roman" w:cs="Times New Roman"/>
        </w:rPr>
        <w:t xml:space="preserve"> of EMI placements; TMI retained a </w:t>
      </w:r>
      <w:r w:rsidRPr="00F549B3">
        <w:rPr>
          <w:rFonts w:ascii="Times New Roman" w:hAnsi="Times New Roman" w:cs="Times New Roman"/>
          <w:b/>
          <w:bCs/>
        </w:rPr>
        <w:t>more evenly spread</w:t>
      </w:r>
      <w:r w:rsidRPr="00F549B3">
        <w:rPr>
          <w:rFonts w:ascii="Times New Roman" w:hAnsi="Times New Roman" w:cs="Times New Roman"/>
        </w:rPr>
        <w:t xml:space="preserve"> tier profile. Overall growth in placements </w:t>
      </w:r>
      <w:r w:rsidRPr="00F549B3">
        <w:rPr>
          <w:rFonts w:ascii="Times New Roman" w:hAnsi="Times New Roman" w:cs="Times New Roman"/>
          <w:b/>
          <w:bCs/>
        </w:rPr>
        <w:t>did not</w:t>
      </w:r>
      <w:r w:rsidRPr="00F549B3">
        <w:rPr>
          <w:rFonts w:ascii="Times New Roman" w:hAnsi="Times New Roman" w:cs="Times New Roman"/>
        </w:rPr>
        <w:t xml:space="preserve"> erase these </w:t>
      </w:r>
      <w:r w:rsidRPr="00F549B3">
        <w:rPr>
          <w:rFonts w:ascii="Times New Roman" w:hAnsi="Times New Roman" w:cs="Times New Roman"/>
          <w:b/>
          <w:bCs/>
        </w:rPr>
        <w:t>structural</w:t>
      </w:r>
      <w:r w:rsidRPr="00F549B3">
        <w:rPr>
          <w:rFonts w:ascii="Times New Roman" w:hAnsi="Times New Roman" w:cs="Times New Roman"/>
        </w:rPr>
        <w:t xml:space="preserve"> contrasts.</w:t>
      </w:r>
    </w:p>
    <w:p w14:paraId="2510E6C1"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Summary for RQ1c.</w:t>
      </w:r>
      <w:r w:rsidRPr="00F549B3">
        <w:rPr>
          <w:rFonts w:ascii="Times New Roman" w:hAnsi="Times New Roman" w:cs="Times New Roman"/>
        </w:rPr>
        <w:t xml:space="preserve"> Newly placed EMI and TMI students were distributed across SEGE tiers in </w:t>
      </w:r>
      <w:r w:rsidRPr="00F549B3">
        <w:rPr>
          <w:rFonts w:ascii="Times New Roman" w:hAnsi="Times New Roman" w:cs="Times New Roman"/>
          <w:b/>
          <w:bCs/>
        </w:rPr>
        <w:t>systematically different</w:t>
      </w:r>
      <w:r w:rsidRPr="00F549B3">
        <w:rPr>
          <w:rFonts w:ascii="Times New Roman" w:hAnsi="Times New Roman" w:cs="Times New Roman"/>
        </w:rPr>
        <w:t xml:space="preserve"> ways: EMI was </w:t>
      </w:r>
      <w:r w:rsidRPr="00F549B3">
        <w:rPr>
          <w:rFonts w:ascii="Times New Roman" w:hAnsi="Times New Roman" w:cs="Times New Roman"/>
          <w:b/>
          <w:bCs/>
        </w:rPr>
        <w:t>disproportionately concentrated</w:t>
      </w:r>
      <w:r w:rsidRPr="00F549B3">
        <w:rPr>
          <w:rFonts w:ascii="Times New Roman" w:hAnsi="Times New Roman" w:cs="Times New Roman"/>
        </w:rPr>
        <w:t xml:space="preserve"> in Tier 1, while TMI showed </w:t>
      </w:r>
      <w:r w:rsidRPr="00F549B3">
        <w:rPr>
          <w:rFonts w:ascii="Times New Roman" w:hAnsi="Times New Roman" w:cs="Times New Roman"/>
          <w:b/>
          <w:bCs/>
        </w:rPr>
        <w:t>wider</w:t>
      </w:r>
      <w:r w:rsidRPr="00F549B3">
        <w:rPr>
          <w:rFonts w:ascii="Times New Roman" w:hAnsi="Times New Roman" w:cs="Times New Roman"/>
        </w:rPr>
        <w:t xml:space="preserve"> dispersion across the </w:t>
      </w:r>
      <w:r w:rsidRPr="00F549B3">
        <w:rPr>
          <w:rFonts w:ascii="Times New Roman" w:hAnsi="Times New Roman" w:cs="Times New Roman"/>
          <w:b/>
          <w:bCs/>
        </w:rPr>
        <w:t>full</w:t>
      </w:r>
      <w:r w:rsidRPr="00F549B3">
        <w:rPr>
          <w:rFonts w:ascii="Times New Roman" w:hAnsi="Times New Roman" w:cs="Times New Roman"/>
        </w:rPr>
        <w:t xml:space="preserve"> tier structure.</w:t>
      </w:r>
    </w:p>
    <w:p w14:paraId="147135C2" w14:textId="77777777" w:rsidR="00BA5251" w:rsidRPr="00F549B3" w:rsidRDefault="00000000">
      <w:pPr>
        <w:pStyle w:val="Balk3"/>
        <w:rPr>
          <w:rFonts w:ascii="Times New Roman" w:hAnsi="Times New Roman" w:cs="Times New Roman"/>
          <w:sz w:val="24"/>
          <w:szCs w:val="24"/>
        </w:rPr>
      </w:pPr>
      <w:bookmarkStart w:id="27" w:name="summary-of-quantitative-findings"/>
      <w:bookmarkEnd w:id="26"/>
      <w:r w:rsidRPr="00F549B3">
        <w:rPr>
          <w:rFonts w:ascii="Times New Roman" w:hAnsi="Times New Roman" w:cs="Times New Roman"/>
          <w:sz w:val="24"/>
          <w:szCs w:val="24"/>
        </w:rPr>
        <w:t>4.4 Summary of quantitative findings</w:t>
      </w:r>
    </w:p>
    <w:p w14:paraId="56281D6E"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Collectively, the quantitative results distinguish EMI and TMI as </w:t>
      </w:r>
      <w:r w:rsidRPr="00F549B3">
        <w:rPr>
          <w:rFonts w:ascii="Times New Roman" w:hAnsi="Times New Roman" w:cs="Times New Roman"/>
          <w:b/>
          <w:bCs/>
        </w:rPr>
        <w:t>non-equivalent</w:t>
      </w:r>
      <w:r w:rsidRPr="00F549B3">
        <w:rPr>
          <w:rFonts w:ascii="Times New Roman" w:hAnsi="Times New Roman" w:cs="Times New Roman"/>
        </w:rPr>
        <w:t xml:space="preserve"> pathways by intake profile. EMI intakes were </w:t>
      </w:r>
      <w:r w:rsidRPr="00F549B3">
        <w:rPr>
          <w:rFonts w:ascii="Times New Roman" w:hAnsi="Times New Roman" w:cs="Times New Roman"/>
          <w:b/>
          <w:bCs/>
        </w:rPr>
        <w:t>more gender-balanced</w:t>
      </w:r>
      <w:r w:rsidRPr="00F549B3">
        <w:rPr>
          <w:rFonts w:ascii="Times New Roman" w:hAnsi="Times New Roman" w:cs="Times New Roman"/>
        </w:rPr>
        <w:t xml:space="preserve">; TMI intakes showed a </w:t>
      </w:r>
      <w:r w:rsidRPr="00F549B3">
        <w:rPr>
          <w:rFonts w:ascii="Times New Roman" w:hAnsi="Times New Roman" w:cs="Times New Roman"/>
          <w:b/>
          <w:bCs/>
        </w:rPr>
        <w:t>stable female majority</w:t>
      </w:r>
      <w:r w:rsidRPr="00F549B3">
        <w:rPr>
          <w:rFonts w:ascii="Times New Roman" w:hAnsi="Times New Roman" w:cs="Times New Roman"/>
        </w:rPr>
        <w:t xml:space="preserve">. </w:t>
      </w:r>
      <w:r w:rsidRPr="00F549B3">
        <w:rPr>
          <w:rFonts w:ascii="Times New Roman" w:hAnsi="Times New Roman" w:cs="Times New Roman"/>
          <w:b/>
          <w:bCs/>
        </w:rPr>
        <w:t>Recorded</w:t>
      </w:r>
      <w:r w:rsidRPr="00F549B3">
        <w:rPr>
          <w:rFonts w:ascii="Times New Roman" w:hAnsi="Times New Roman" w:cs="Times New Roman"/>
        </w:rPr>
        <w:t xml:space="preserve"> disability shares were </w:t>
      </w:r>
      <w:r w:rsidRPr="00F549B3">
        <w:rPr>
          <w:rFonts w:ascii="Times New Roman" w:hAnsi="Times New Roman" w:cs="Times New Roman"/>
          <w:b/>
          <w:bCs/>
        </w:rPr>
        <w:t>very small</w:t>
      </w:r>
      <w:r w:rsidRPr="00F549B3">
        <w:rPr>
          <w:rFonts w:ascii="Times New Roman" w:hAnsi="Times New Roman" w:cs="Times New Roman"/>
        </w:rPr>
        <w:t xml:space="preserve"> in both tracks but </w:t>
      </w:r>
      <w:r w:rsidRPr="00F549B3">
        <w:rPr>
          <w:rFonts w:ascii="Times New Roman" w:hAnsi="Times New Roman" w:cs="Times New Roman"/>
          <w:b/>
          <w:bCs/>
        </w:rPr>
        <w:t>consistently lower in EMI</w:t>
      </w:r>
      <w:r w:rsidRPr="00F549B3">
        <w:rPr>
          <w:rFonts w:ascii="Times New Roman" w:hAnsi="Times New Roman" w:cs="Times New Roman"/>
        </w:rPr>
        <w:t xml:space="preserve">. Most strikingly, EMI placements were </w:t>
      </w:r>
      <w:r w:rsidRPr="00F549B3">
        <w:rPr>
          <w:rFonts w:ascii="Times New Roman" w:hAnsi="Times New Roman" w:cs="Times New Roman"/>
          <w:b/>
          <w:bCs/>
        </w:rPr>
        <w:t>strongly concentrated</w:t>
      </w:r>
      <w:r w:rsidRPr="00F549B3">
        <w:rPr>
          <w:rFonts w:ascii="Times New Roman" w:hAnsi="Times New Roman" w:cs="Times New Roman"/>
        </w:rPr>
        <w:t xml:space="preserve"> in the </w:t>
      </w:r>
      <w:r w:rsidRPr="00F549B3">
        <w:rPr>
          <w:rFonts w:ascii="Times New Roman" w:hAnsi="Times New Roman" w:cs="Times New Roman"/>
          <w:b/>
          <w:bCs/>
        </w:rPr>
        <w:t>highest socioeconomic tier</w:t>
      </w:r>
      <w:r w:rsidRPr="00F549B3">
        <w:rPr>
          <w:rFonts w:ascii="Times New Roman" w:hAnsi="Times New Roman" w:cs="Times New Roman"/>
        </w:rPr>
        <w:t xml:space="preserve">, whereas TMI displayed </w:t>
      </w:r>
      <w:r w:rsidRPr="00F549B3">
        <w:rPr>
          <w:rFonts w:ascii="Times New Roman" w:hAnsi="Times New Roman" w:cs="Times New Roman"/>
          <w:b/>
          <w:bCs/>
        </w:rPr>
        <w:t>broader</w:t>
      </w:r>
      <w:r w:rsidRPr="00F549B3">
        <w:rPr>
          <w:rFonts w:ascii="Times New Roman" w:hAnsi="Times New Roman" w:cs="Times New Roman"/>
        </w:rPr>
        <w:t xml:space="preserve"> geographic distribution, including </w:t>
      </w:r>
      <w:r w:rsidRPr="00F549B3">
        <w:rPr>
          <w:rFonts w:ascii="Times New Roman" w:hAnsi="Times New Roman" w:cs="Times New Roman"/>
          <w:b/>
          <w:bCs/>
        </w:rPr>
        <w:t>higher population-adjusted presence</w:t>
      </w:r>
      <w:r w:rsidRPr="00F549B3">
        <w:rPr>
          <w:rFonts w:ascii="Times New Roman" w:hAnsi="Times New Roman" w:cs="Times New Roman"/>
        </w:rPr>
        <w:t xml:space="preserve"> in several </w:t>
      </w:r>
      <w:r w:rsidRPr="00F549B3">
        <w:rPr>
          <w:rFonts w:ascii="Times New Roman" w:hAnsi="Times New Roman" w:cs="Times New Roman"/>
          <w:b/>
          <w:bCs/>
        </w:rPr>
        <w:t>middle</w:t>
      </w:r>
      <w:r w:rsidRPr="00F549B3">
        <w:rPr>
          <w:rFonts w:ascii="Times New Roman" w:hAnsi="Times New Roman" w:cs="Times New Roman"/>
        </w:rPr>
        <w:t xml:space="preserve"> tiers and </w:t>
      </w:r>
      <w:r w:rsidRPr="00F549B3">
        <w:rPr>
          <w:rFonts w:ascii="Times New Roman" w:hAnsi="Times New Roman" w:cs="Times New Roman"/>
          <w:b/>
          <w:bCs/>
        </w:rPr>
        <w:t>far larger</w:t>
      </w:r>
      <w:r w:rsidRPr="00F549B3">
        <w:rPr>
          <w:rFonts w:ascii="Times New Roman" w:hAnsi="Times New Roman" w:cs="Times New Roman"/>
        </w:rPr>
        <w:t xml:space="preserve"> volumes in </w:t>
      </w:r>
      <w:r w:rsidRPr="00F549B3">
        <w:rPr>
          <w:rFonts w:ascii="Times New Roman" w:hAnsi="Times New Roman" w:cs="Times New Roman"/>
          <w:b/>
          <w:bCs/>
        </w:rPr>
        <w:t>Tier 6</w:t>
      </w:r>
      <w:r w:rsidRPr="00F549B3">
        <w:rPr>
          <w:rFonts w:ascii="Times New Roman" w:hAnsi="Times New Roman" w:cs="Times New Roman"/>
        </w:rPr>
        <w:t xml:space="preserve">. These patterns are directly pertinent to </w:t>
      </w:r>
      <w:r w:rsidRPr="00F549B3">
        <w:rPr>
          <w:rFonts w:ascii="Times New Roman" w:hAnsi="Times New Roman" w:cs="Times New Roman"/>
          <w:b/>
          <w:bCs/>
        </w:rPr>
        <w:t>equity, diversity, and inclusion</w:t>
      </w:r>
      <w:r w:rsidRPr="00F549B3">
        <w:rPr>
          <w:rFonts w:ascii="Times New Roman" w:hAnsi="Times New Roman" w:cs="Times New Roman"/>
        </w:rPr>
        <w:t xml:space="preserve"> monitoring in Turkish higher education.</w:t>
      </w:r>
    </w:p>
    <w:p w14:paraId="5BFDE983" w14:textId="77777777" w:rsidR="00BA5251" w:rsidRPr="00F549B3" w:rsidRDefault="00000000">
      <w:pPr>
        <w:pStyle w:val="Balk3"/>
        <w:rPr>
          <w:rFonts w:ascii="Times New Roman" w:hAnsi="Times New Roman" w:cs="Times New Roman"/>
          <w:sz w:val="24"/>
          <w:szCs w:val="24"/>
        </w:rPr>
      </w:pPr>
      <w:bookmarkStart w:id="28" w:name="qualitative-findings-rq2"/>
      <w:bookmarkEnd w:id="27"/>
      <w:r w:rsidRPr="00F549B3">
        <w:rPr>
          <w:rFonts w:ascii="Times New Roman" w:hAnsi="Times New Roman" w:cs="Times New Roman"/>
          <w:sz w:val="24"/>
          <w:szCs w:val="24"/>
        </w:rPr>
        <w:t>4.5 Qualitative findings (RQ2)</w:t>
      </w:r>
    </w:p>
    <w:p w14:paraId="36F43DA7"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Semi-structured interviews are being analysed using </w:t>
      </w:r>
      <w:r w:rsidRPr="00F549B3">
        <w:rPr>
          <w:rFonts w:ascii="Times New Roman" w:hAnsi="Times New Roman" w:cs="Times New Roman"/>
          <w:b/>
          <w:bCs/>
        </w:rPr>
        <w:t>reflexive thematic analysis</w:t>
      </w:r>
      <w:r w:rsidRPr="00F549B3">
        <w:rPr>
          <w:rFonts w:ascii="Times New Roman" w:hAnsi="Times New Roman" w:cs="Times New Roman"/>
        </w:rPr>
        <w:t xml:space="preserve"> (Braun &amp; Clarke, 2006) to examine how students narrate </w:t>
      </w:r>
      <w:r w:rsidRPr="00F549B3">
        <w:rPr>
          <w:rFonts w:ascii="Times New Roman" w:hAnsi="Times New Roman" w:cs="Times New Roman"/>
          <w:b/>
          <w:bCs/>
        </w:rPr>
        <w:t>gendered expectations</w:t>
      </w:r>
      <w:r w:rsidRPr="00F549B3">
        <w:rPr>
          <w:rFonts w:ascii="Times New Roman" w:hAnsi="Times New Roman" w:cs="Times New Roman"/>
        </w:rPr>
        <w:t xml:space="preserve">, </w:t>
      </w:r>
      <w:r w:rsidRPr="00F549B3">
        <w:rPr>
          <w:rFonts w:ascii="Times New Roman" w:hAnsi="Times New Roman" w:cs="Times New Roman"/>
          <w:b/>
          <w:bCs/>
        </w:rPr>
        <w:t>disability-related barriers and supports</w:t>
      </w:r>
      <w:r w:rsidRPr="00F549B3">
        <w:rPr>
          <w:rFonts w:ascii="Times New Roman" w:hAnsi="Times New Roman" w:cs="Times New Roman"/>
        </w:rPr>
        <w:t xml:space="preserve">, and </w:t>
      </w:r>
      <w:r w:rsidRPr="00F549B3">
        <w:rPr>
          <w:rFonts w:ascii="Times New Roman" w:hAnsi="Times New Roman" w:cs="Times New Roman"/>
          <w:b/>
          <w:bCs/>
        </w:rPr>
        <w:t>socioeconomic constraints</w:t>
      </w:r>
      <w:r w:rsidRPr="00F549B3">
        <w:rPr>
          <w:rFonts w:ascii="Times New Roman" w:hAnsi="Times New Roman" w:cs="Times New Roman"/>
        </w:rPr>
        <w:t xml:space="preserve"> in accessing EMI and TMI. </w:t>
      </w:r>
      <w:r w:rsidRPr="00F549B3">
        <w:rPr>
          <w:rFonts w:ascii="Times New Roman" w:hAnsi="Times New Roman" w:cs="Times New Roman"/>
          <w:b/>
          <w:bCs/>
        </w:rPr>
        <w:t>This subsection will be completed</w:t>
      </w:r>
      <w:r w:rsidRPr="00F549B3">
        <w:rPr>
          <w:rFonts w:ascii="Times New Roman" w:hAnsi="Times New Roman" w:cs="Times New Roman"/>
        </w:rPr>
        <w:t xml:space="preserve"> in a later revision; the quantitative results above establish the </w:t>
      </w:r>
      <w:r w:rsidRPr="00F549B3">
        <w:rPr>
          <w:rFonts w:ascii="Times New Roman" w:hAnsi="Times New Roman" w:cs="Times New Roman"/>
          <w:b/>
          <w:bCs/>
        </w:rPr>
        <w:t>national empirical context</w:t>
      </w:r>
      <w:r w:rsidRPr="00F549B3">
        <w:rPr>
          <w:rFonts w:ascii="Times New Roman" w:hAnsi="Times New Roman" w:cs="Times New Roman"/>
        </w:rPr>
        <w:t xml:space="preserve"> within which those accounts will be situated.</w:t>
      </w:r>
    </w:p>
    <w:p w14:paraId="52EDFB32" w14:textId="77777777" w:rsidR="00BA5251" w:rsidRPr="00F549B3" w:rsidRDefault="0091725F">
      <w:pPr>
        <w:rPr>
          <w:rFonts w:ascii="Times New Roman" w:hAnsi="Times New Roman" w:cs="Times New Roman"/>
        </w:rPr>
      </w:pPr>
      <w:r w:rsidRPr="0091725F">
        <w:rPr>
          <w:rFonts w:ascii="Times New Roman" w:hAnsi="Times New Roman" w:cs="Times New Roman"/>
          <w:noProof/>
        </w:rPr>
        <w:pict w14:anchorId="3214CC39">
          <v:rect id="_x0000_i1028" alt="" style="width:453.6pt;height:.05pt;mso-width-percent:0;mso-height-percent:0;mso-width-percent:0;mso-height-percent:0" o:hralign="center" o:hrstd="t" o:hr="t"/>
        </w:pict>
      </w:r>
    </w:p>
    <w:p w14:paraId="0ECA8A9A" w14:textId="77777777" w:rsidR="00BA5251" w:rsidRPr="00F549B3" w:rsidRDefault="00000000">
      <w:pPr>
        <w:pStyle w:val="Balk3"/>
        <w:rPr>
          <w:rFonts w:ascii="Times New Roman" w:hAnsi="Times New Roman" w:cs="Times New Roman"/>
          <w:sz w:val="24"/>
          <w:szCs w:val="24"/>
        </w:rPr>
      </w:pPr>
      <w:bookmarkStart w:id="29" w:name="X2e527beffd7f01a2e26edeef36e33fd269f6a26"/>
      <w:bookmarkEnd w:id="28"/>
      <w:r w:rsidRPr="00F549B3">
        <w:rPr>
          <w:rFonts w:ascii="Times New Roman" w:hAnsi="Times New Roman" w:cs="Times New Roman"/>
          <w:sz w:val="24"/>
          <w:szCs w:val="24"/>
        </w:rPr>
        <w:t>Appendix A. Tier-level placements and population-adjusted rates</w:t>
      </w:r>
    </w:p>
    <w:p w14:paraId="0B33FCD5"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b/>
          <w:bCs/>
        </w:rPr>
        <w:t>Table 2</w:t>
      </w:r>
      <w:r w:rsidRPr="00F549B3">
        <w:rPr>
          <w:rFonts w:ascii="Times New Roman" w:hAnsi="Times New Roman" w:cs="Times New Roman"/>
        </w:rPr>
        <w:br/>
      </w:r>
      <w:r w:rsidRPr="00F549B3">
        <w:rPr>
          <w:rFonts w:ascii="Times New Roman" w:hAnsi="Times New Roman" w:cs="Times New Roman"/>
          <w:i/>
          <w:iCs/>
        </w:rPr>
        <w:t>Distribution of newly placed undergraduate students in EMI and TMI programmes across SEGE-2025 socioeconomic tiers, Türkiye, 2023–2025 (tier-level 15–24 population and placement intensities)</w:t>
      </w:r>
    </w:p>
    <w:tbl>
      <w:tblPr>
        <w:tblStyle w:val="Table"/>
        <w:tblW w:w="5000" w:type="pct"/>
        <w:tblLayout w:type="fixed"/>
        <w:tblLook w:val="0020" w:firstRow="1" w:lastRow="0" w:firstColumn="0" w:lastColumn="0" w:noHBand="0" w:noVBand="0"/>
      </w:tblPr>
      <w:tblGrid>
        <w:gridCol w:w="526"/>
        <w:gridCol w:w="526"/>
        <w:gridCol w:w="1978"/>
        <w:gridCol w:w="923"/>
        <w:gridCol w:w="2373"/>
        <w:gridCol w:w="923"/>
        <w:gridCol w:w="2373"/>
      </w:tblGrid>
      <w:tr w:rsidR="00BA5251" w:rsidRPr="00F549B3" w14:paraId="272C2EFC" w14:textId="77777777" w:rsidTr="00BA5251">
        <w:trPr>
          <w:cnfStyle w:val="100000000000" w:firstRow="1" w:lastRow="0" w:firstColumn="0" w:lastColumn="0" w:oddVBand="0" w:evenVBand="0" w:oddHBand="0" w:evenHBand="0" w:firstRowFirstColumn="0" w:firstRowLastColumn="0" w:lastRowFirstColumn="0" w:lastRowLastColumn="0"/>
          <w:tblHeader/>
        </w:trPr>
        <w:tc>
          <w:tcPr>
            <w:tcW w:w="433" w:type="dxa"/>
          </w:tcPr>
          <w:p w14:paraId="6477246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lastRenderedPageBreak/>
              <w:t>Year</w:t>
            </w:r>
          </w:p>
        </w:tc>
        <w:tc>
          <w:tcPr>
            <w:tcW w:w="433" w:type="dxa"/>
          </w:tcPr>
          <w:p w14:paraId="49BCB05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Tier</w:t>
            </w:r>
          </w:p>
        </w:tc>
        <w:tc>
          <w:tcPr>
            <w:tcW w:w="1627" w:type="dxa"/>
          </w:tcPr>
          <w:p w14:paraId="66C64F3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Tier 15–24 pop.</w:t>
            </w:r>
          </w:p>
        </w:tc>
        <w:tc>
          <w:tcPr>
            <w:tcW w:w="759" w:type="dxa"/>
          </w:tcPr>
          <w:p w14:paraId="60DA387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 xml:space="preserve">EMI </w:t>
            </w:r>
            <w:r w:rsidRPr="00F549B3">
              <w:rPr>
                <w:rFonts w:ascii="Times New Roman" w:hAnsi="Times New Roman" w:cs="Times New Roman"/>
                <w:i/>
                <w:iCs/>
              </w:rPr>
              <w:t>n</w:t>
            </w:r>
          </w:p>
        </w:tc>
        <w:tc>
          <w:tcPr>
            <w:tcW w:w="1952" w:type="dxa"/>
          </w:tcPr>
          <w:p w14:paraId="2EB40EC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EMI % of tier pop.</w:t>
            </w:r>
          </w:p>
        </w:tc>
        <w:tc>
          <w:tcPr>
            <w:tcW w:w="759" w:type="dxa"/>
          </w:tcPr>
          <w:p w14:paraId="4CA6FBC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 xml:space="preserve">TMI </w:t>
            </w:r>
            <w:r w:rsidRPr="00F549B3">
              <w:rPr>
                <w:rFonts w:ascii="Times New Roman" w:hAnsi="Times New Roman" w:cs="Times New Roman"/>
                <w:i/>
                <w:iCs/>
              </w:rPr>
              <w:t>n</w:t>
            </w:r>
          </w:p>
        </w:tc>
        <w:tc>
          <w:tcPr>
            <w:tcW w:w="1952" w:type="dxa"/>
          </w:tcPr>
          <w:p w14:paraId="3D169A5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TMI % of tier pop.</w:t>
            </w:r>
          </w:p>
        </w:tc>
      </w:tr>
      <w:tr w:rsidR="00BA5251" w:rsidRPr="00F549B3" w14:paraId="076BDDF6" w14:textId="77777777">
        <w:tc>
          <w:tcPr>
            <w:tcW w:w="433" w:type="dxa"/>
          </w:tcPr>
          <w:p w14:paraId="65134D8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2023</w:t>
            </w:r>
          </w:p>
        </w:tc>
        <w:tc>
          <w:tcPr>
            <w:tcW w:w="433" w:type="dxa"/>
          </w:tcPr>
          <w:p w14:paraId="309298B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w:t>
            </w:r>
          </w:p>
        </w:tc>
        <w:tc>
          <w:tcPr>
            <w:tcW w:w="1627" w:type="dxa"/>
          </w:tcPr>
          <w:p w14:paraId="02F9D92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5,129,841</w:t>
            </w:r>
          </w:p>
        </w:tc>
        <w:tc>
          <w:tcPr>
            <w:tcW w:w="759" w:type="dxa"/>
          </w:tcPr>
          <w:p w14:paraId="460BC4B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55,905</w:t>
            </w:r>
          </w:p>
        </w:tc>
        <w:tc>
          <w:tcPr>
            <w:tcW w:w="1952" w:type="dxa"/>
          </w:tcPr>
          <w:p w14:paraId="4C8698B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1.09</w:t>
            </w:r>
          </w:p>
        </w:tc>
        <w:tc>
          <w:tcPr>
            <w:tcW w:w="759" w:type="dxa"/>
          </w:tcPr>
          <w:p w14:paraId="629E8FF5"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166,334</w:t>
            </w:r>
          </w:p>
        </w:tc>
        <w:tc>
          <w:tcPr>
            <w:tcW w:w="1952" w:type="dxa"/>
          </w:tcPr>
          <w:p w14:paraId="7805892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3.24</w:t>
            </w:r>
          </w:p>
        </w:tc>
      </w:tr>
      <w:tr w:rsidR="00BA5251" w:rsidRPr="00F549B3" w14:paraId="706557D2" w14:textId="77777777">
        <w:tc>
          <w:tcPr>
            <w:tcW w:w="433" w:type="dxa"/>
          </w:tcPr>
          <w:p w14:paraId="502EE7C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2023</w:t>
            </w:r>
          </w:p>
        </w:tc>
        <w:tc>
          <w:tcPr>
            <w:tcW w:w="433" w:type="dxa"/>
          </w:tcPr>
          <w:p w14:paraId="327EAD1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w:t>
            </w:r>
          </w:p>
        </w:tc>
        <w:tc>
          <w:tcPr>
            <w:tcW w:w="1627" w:type="dxa"/>
          </w:tcPr>
          <w:p w14:paraId="40C2FF2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2,035,794</w:t>
            </w:r>
          </w:p>
        </w:tc>
        <w:tc>
          <w:tcPr>
            <w:tcW w:w="759" w:type="dxa"/>
          </w:tcPr>
          <w:p w14:paraId="13C2828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13,863</w:t>
            </w:r>
          </w:p>
        </w:tc>
        <w:tc>
          <w:tcPr>
            <w:tcW w:w="1952" w:type="dxa"/>
          </w:tcPr>
          <w:p w14:paraId="28168AA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0.68</w:t>
            </w:r>
          </w:p>
        </w:tc>
        <w:tc>
          <w:tcPr>
            <w:tcW w:w="759" w:type="dxa"/>
          </w:tcPr>
          <w:p w14:paraId="03D2DE9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69,390</w:t>
            </w:r>
          </w:p>
        </w:tc>
        <w:tc>
          <w:tcPr>
            <w:tcW w:w="1952" w:type="dxa"/>
          </w:tcPr>
          <w:p w14:paraId="4BB16B1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3.41</w:t>
            </w:r>
          </w:p>
        </w:tc>
      </w:tr>
      <w:tr w:rsidR="00BA5251" w:rsidRPr="00F549B3" w14:paraId="30EADE42" w14:textId="77777777">
        <w:tc>
          <w:tcPr>
            <w:tcW w:w="433" w:type="dxa"/>
          </w:tcPr>
          <w:p w14:paraId="7AE6FBA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2023</w:t>
            </w:r>
          </w:p>
        </w:tc>
        <w:tc>
          <w:tcPr>
            <w:tcW w:w="433" w:type="dxa"/>
          </w:tcPr>
          <w:p w14:paraId="0A5183A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w:t>
            </w:r>
          </w:p>
        </w:tc>
        <w:tc>
          <w:tcPr>
            <w:tcW w:w="1627" w:type="dxa"/>
          </w:tcPr>
          <w:p w14:paraId="74343784"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1,697,368</w:t>
            </w:r>
          </w:p>
        </w:tc>
        <w:tc>
          <w:tcPr>
            <w:tcW w:w="759" w:type="dxa"/>
          </w:tcPr>
          <w:p w14:paraId="1242B65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10,270</w:t>
            </w:r>
          </w:p>
        </w:tc>
        <w:tc>
          <w:tcPr>
            <w:tcW w:w="1952" w:type="dxa"/>
          </w:tcPr>
          <w:p w14:paraId="245A1D5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0.61</w:t>
            </w:r>
          </w:p>
        </w:tc>
        <w:tc>
          <w:tcPr>
            <w:tcW w:w="759" w:type="dxa"/>
          </w:tcPr>
          <w:p w14:paraId="302393F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62,462</w:t>
            </w:r>
          </w:p>
        </w:tc>
        <w:tc>
          <w:tcPr>
            <w:tcW w:w="1952" w:type="dxa"/>
          </w:tcPr>
          <w:p w14:paraId="5FF0B8B5"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3.68</w:t>
            </w:r>
          </w:p>
        </w:tc>
      </w:tr>
      <w:tr w:rsidR="00BA5251" w:rsidRPr="00F549B3" w14:paraId="2DBC88DB" w14:textId="77777777">
        <w:tc>
          <w:tcPr>
            <w:tcW w:w="433" w:type="dxa"/>
          </w:tcPr>
          <w:p w14:paraId="3D5D500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2023</w:t>
            </w:r>
          </w:p>
        </w:tc>
        <w:tc>
          <w:tcPr>
            <w:tcW w:w="433" w:type="dxa"/>
          </w:tcPr>
          <w:p w14:paraId="3FD43CB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w:t>
            </w:r>
          </w:p>
        </w:tc>
        <w:tc>
          <w:tcPr>
            <w:tcW w:w="1627" w:type="dxa"/>
          </w:tcPr>
          <w:p w14:paraId="4C2B05D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737,884</w:t>
            </w:r>
          </w:p>
        </w:tc>
        <w:tc>
          <w:tcPr>
            <w:tcW w:w="759" w:type="dxa"/>
          </w:tcPr>
          <w:p w14:paraId="298BC12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3,274</w:t>
            </w:r>
          </w:p>
        </w:tc>
        <w:tc>
          <w:tcPr>
            <w:tcW w:w="1952" w:type="dxa"/>
          </w:tcPr>
          <w:p w14:paraId="717DC9E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0.44</w:t>
            </w:r>
          </w:p>
        </w:tc>
        <w:tc>
          <w:tcPr>
            <w:tcW w:w="759" w:type="dxa"/>
          </w:tcPr>
          <w:p w14:paraId="01B7DA3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31,296</w:t>
            </w:r>
          </w:p>
        </w:tc>
        <w:tc>
          <w:tcPr>
            <w:tcW w:w="1952" w:type="dxa"/>
          </w:tcPr>
          <w:p w14:paraId="053A6EE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4.24</w:t>
            </w:r>
          </w:p>
        </w:tc>
      </w:tr>
      <w:tr w:rsidR="00BA5251" w:rsidRPr="00F549B3" w14:paraId="40A7AB9F" w14:textId="77777777">
        <w:tc>
          <w:tcPr>
            <w:tcW w:w="433" w:type="dxa"/>
          </w:tcPr>
          <w:p w14:paraId="34DAFF3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2023</w:t>
            </w:r>
          </w:p>
        </w:tc>
        <w:tc>
          <w:tcPr>
            <w:tcW w:w="433" w:type="dxa"/>
          </w:tcPr>
          <w:p w14:paraId="507E968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w:t>
            </w:r>
          </w:p>
        </w:tc>
        <w:tc>
          <w:tcPr>
            <w:tcW w:w="1627" w:type="dxa"/>
          </w:tcPr>
          <w:p w14:paraId="2360E0C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1,138,332</w:t>
            </w:r>
          </w:p>
        </w:tc>
        <w:tc>
          <w:tcPr>
            <w:tcW w:w="759" w:type="dxa"/>
          </w:tcPr>
          <w:p w14:paraId="569C0D2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4,931</w:t>
            </w:r>
          </w:p>
        </w:tc>
        <w:tc>
          <w:tcPr>
            <w:tcW w:w="1952" w:type="dxa"/>
          </w:tcPr>
          <w:p w14:paraId="3BB2843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0.43</w:t>
            </w:r>
          </w:p>
        </w:tc>
        <w:tc>
          <w:tcPr>
            <w:tcW w:w="759" w:type="dxa"/>
          </w:tcPr>
          <w:p w14:paraId="4A86F80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43,092</w:t>
            </w:r>
          </w:p>
        </w:tc>
        <w:tc>
          <w:tcPr>
            <w:tcW w:w="1952" w:type="dxa"/>
          </w:tcPr>
          <w:p w14:paraId="36E66B1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3.79</w:t>
            </w:r>
          </w:p>
        </w:tc>
      </w:tr>
      <w:tr w:rsidR="00BA5251" w:rsidRPr="00F549B3" w14:paraId="1C61F342" w14:textId="77777777">
        <w:tc>
          <w:tcPr>
            <w:tcW w:w="433" w:type="dxa"/>
          </w:tcPr>
          <w:p w14:paraId="7B6FD12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2023</w:t>
            </w:r>
          </w:p>
        </w:tc>
        <w:tc>
          <w:tcPr>
            <w:tcW w:w="433" w:type="dxa"/>
          </w:tcPr>
          <w:p w14:paraId="0BB859B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w:t>
            </w:r>
          </w:p>
        </w:tc>
        <w:tc>
          <w:tcPr>
            <w:tcW w:w="1627" w:type="dxa"/>
          </w:tcPr>
          <w:p w14:paraId="3A571F3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1,969,129</w:t>
            </w:r>
          </w:p>
        </w:tc>
        <w:tc>
          <w:tcPr>
            <w:tcW w:w="759" w:type="dxa"/>
          </w:tcPr>
          <w:p w14:paraId="3B5486D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2,810</w:t>
            </w:r>
          </w:p>
        </w:tc>
        <w:tc>
          <w:tcPr>
            <w:tcW w:w="1952" w:type="dxa"/>
          </w:tcPr>
          <w:p w14:paraId="34C609D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0.14</w:t>
            </w:r>
          </w:p>
        </w:tc>
        <w:tc>
          <w:tcPr>
            <w:tcW w:w="759" w:type="dxa"/>
          </w:tcPr>
          <w:p w14:paraId="2C73B91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54,700</w:t>
            </w:r>
          </w:p>
        </w:tc>
        <w:tc>
          <w:tcPr>
            <w:tcW w:w="1952" w:type="dxa"/>
          </w:tcPr>
          <w:p w14:paraId="6E8FC41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2.78</w:t>
            </w:r>
          </w:p>
        </w:tc>
      </w:tr>
      <w:tr w:rsidR="00BA5251" w:rsidRPr="00F549B3" w14:paraId="00F51A28" w14:textId="77777777">
        <w:tc>
          <w:tcPr>
            <w:tcW w:w="433" w:type="dxa"/>
          </w:tcPr>
          <w:p w14:paraId="74BDE31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2024</w:t>
            </w:r>
          </w:p>
        </w:tc>
        <w:tc>
          <w:tcPr>
            <w:tcW w:w="433" w:type="dxa"/>
          </w:tcPr>
          <w:p w14:paraId="33BE11C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w:t>
            </w:r>
          </w:p>
        </w:tc>
        <w:tc>
          <w:tcPr>
            <w:tcW w:w="1627" w:type="dxa"/>
          </w:tcPr>
          <w:p w14:paraId="1DBD7F2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5,129,841</w:t>
            </w:r>
          </w:p>
        </w:tc>
        <w:tc>
          <w:tcPr>
            <w:tcW w:w="759" w:type="dxa"/>
          </w:tcPr>
          <w:p w14:paraId="09C4A07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59,300</w:t>
            </w:r>
          </w:p>
        </w:tc>
        <w:tc>
          <w:tcPr>
            <w:tcW w:w="1952" w:type="dxa"/>
          </w:tcPr>
          <w:p w14:paraId="574BC04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1.16</w:t>
            </w:r>
          </w:p>
        </w:tc>
        <w:tc>
          <w:tcPr>
            <w:tcW w:w="759" w:type="dxa"/>
          </w:tcPr>
          <w:p w14:paraId="101C4A9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185,782</w:t>
            </w:r>
          </w:p>
        </w:tc>
        <w:tc>
          <w:tcPr>
            <w:tcW w:w="1952" w:type="dxa"/>
          </w:tcPr>
          <w:p w14:paraId="28668B2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3.62</w:t>
            </w:r>
          </w:p>
        </w:tc>
      </w:tr>
      <w:tr w:rsidR="00BA5251" w:rsidRPr="00F549B3" w14:paraId="614D351F" w14:textId="77777777">
        <w:tc>
          <w:tcPr>
            <w:tcW w:w="433" w:type="dxa"/>
          </w:tcPr>
          <w:p w14:paraId="55F932D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2024</w:t>
            </w:r>
          </w:p>
        </w:tc>
        <w:tc>
          <w:tcPr>
            <w:tcW w:w="433" w:type="dxa"/>
          </w:tcPr>
          <w:p w14:paraId="542058C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w:t>
            </w:r>
          </w:p>
        </w:tc>
        <w:tc>
          <w:tcPr>
            <w:tcW w:w="1627" w:type="dxa"/>
          </w:tcPr>
          <w:p w14:paraId="77FB3E4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2,035,794</w:t>
            </w:r>
          </w:p>
        </w:tc>
        <w:tc>
          <w:tcPr>
            <w:tcW w:w="759" w:type="dxa"/>
          </w:tcPr>
          <w:p w14:paraId="7C9053FF"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13,677</w:t>
            </w:r>
          </w:p>
        </w:tc>
        <w:tc>
          <w:tcPr>
            <w:tcW w:w="1952" w:type="dxa"/>
          </w:tcPr>
          <w:p w14:paraId="47F35EB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0.67</w:t>
            </w:r>
          </w:p>
        </w:tc>
        <w:tc>
          <w:tcPr>
            <w:tcW w:w="759" w:type="dxa"/>
          </w:tcPr>
          <w:p w14:paraId="5E86514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77,195</w:t>
            </w:r>
          </w:p>
        </w:tc>
        <w:tc>
          <w:tcPr>
            <w:tcW w:w="1952" w:type="dxa"/>
          </w:tcPr>
          <w:p w14:paraId="61E9CC3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3.79</w:t>
            </w:r>
          </w:p>
        </w:tc>
      </w:tr>
      <w:tr w:rsidR="00BA5251" w:rsidRPr="00F549B3" w14:paraId="2AD5113D" w14:textId="77777777">
        <w:tc>
          <w:tcPr>
            <w:tcW w:w="433" w:type="dxa"/>
          </w:tcPr>
          <w:p w14:paraId="69FBD4D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2024</w:t>
            </w:r>
          </w:p>
        </w:tc>
        <w:tc>
          <w:tcPr>
            <w:tcW w:w="433" w:type="dxa"/>
          </w:tcPr>
          <w:p w14:paraId="7D21B34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w:t>
            </w:r>
          </w:p>
        </w:tc>
        <w:tc>
          <w:tcPr>
            <w:tcW w:w="1627" w:type="dxa"/>
          </w:tcPr>
          <w:p w14:paraId="10E8270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1,697,368</w:t>
            </w:r>
          </w:p>
        </w:tc>
        <w:tc>
          <w:tcPr>
            <w:tcW w:w="759" w:type="dxa"/>
          </w:tcPr>
          <w:p w14:paraId="352D144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10,640</w:t>
            </w:r>
          </w:p>
        </w:tc>
        <w:tc>
          <w:tcPr>
            <w:tcW w:w="1952" w:type="dxa"/>
          </w:tcPr>
          <w:p w14:paraId="1D6FA32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0.63</w:t>
            </w:r>
          </w:p>
        </w:tc>
        <w:tc>
          <w:tcPr>
            <w:tcW w:w="759" w:type="dxa"/>
          </w:tcPr>
          <w:p w14:paraId="5ED24A2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61,101</w:t>
            </w:r>
          </w:p>
        </w:tc>
        <w:tc>
          <w:tcPr>
            <w:tcW w:w="1952" w:type="dxa"/>
          </w:tcPr>
          <w:p w14:paraId="4473D59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3.60</w:t>
            </w:r>
          </w:p>
        </w:tc>
      </w:tr>
      <w:tr w:rsidR="00BA5251" w:rsidRPr="00F549B3" w14:paraId="1A4B8D83" w14:textId="77777777">
        <w:tc>
          <w:tcPr>
            <w:tcW w:w="433" w:type="dxa"/>
          </w:tcPr>
          <w:p w14:paraId="4B032AC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2024</w:t>
            </w:r>
          </w:p>
        </w:tc>
        <w:tc>
          <w:tcPr>
            <w:tcW w:w="433" w:type="dxa"/>
          </w:tcPr>
          <w:p w14:paraId="538CD10F"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w:t>
            </w:r>
          </w:p>
        </w:tc>
        <w:tc>
          <w:tcPr>
            <w:tcW w:w="1627" w:type="dxa"/>
          </w:tcPr>
          <w:p w14:paraId="5C3D123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737,884</w:t>
            </w:r>
          </w:p>
        </w:tc>
        <w:tc>
          <w:tcPr>
            <w:tcW w:w="759" w:type="dxa"/>
          </w:tcPr>
          <w:p w14:paraId="2DF021F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3,116</w:t>
            </w:r>
          </w:p>
        </w:tc>
        <w:tc>
          <w:tcPr>
            <w:tcW w:w="1952" w:type="dxa"/>
          </w:tcPr>
          <w:p w14:paraId="7054E39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0.42</w:t>
            </w:r>
          </w:p>
        </w:tc>
        <w:tc>
          <w:tcPr>
            <w:tcW w:w="759" w:type="dxa"/>
          </w:tcPr>
          <w:p w14:paraId="03ABFB4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30,390</w:t>
            </w:r>
          </w:p>
        </w:tc>
        <w:tc>
          <w:tcPr>
            <w:tcW w:w="1952" w:type="dxa"/>
          </w:tcPr>
          <w:p w14:paraId="77D3FAD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4.12</w:t>
            </w:r>
          </w:p>
        </w:tc>
      </w:tr>
      <w:tr w:rsidR="00BA5251" w:rsidRPr="00F549B3" w14:paraId="00141A00" w14:textId="77777777">
        <w:tc>
          <w:tcPr>
            <w:tcW w:w="433" w:type="dxa"/>
          </w:tcPr>
          <w:p w14:paraId="5F8087E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2024</w:t>
            </w:r>
          </w:p>
        </w:tc>
        <w:tc>
          <w:tcPr>
            <w:tcW w:w="433" w:type="dxa"/>
          </w:tcPr>
          <w:p w14:paraId="60EB3E7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w:t>
            </w:r>
          </w:p>
        </w:tc>
        <w:tc>
          <w:tcPr>
            <w:tcW w:w="1627" w:type="dxa"/>
          </w:tcPr>
          <w:p w14:paraId="3BC7BA3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1,138,332</w:t>
            </w:r>
          </w:p>
        </w:tc>
        <w:tc>
          <w:tcPr>
            <w:tcW w:w="759" w:type="dxa"/>
          </w:tcPr>
          <w:p w14:paraId="783E994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5,198</w:t>
            </w:r>
          </w:p>
        </w:tc>
        <w:tc>
          <w:tcPr>
            <w:tcW w:w="1952" w:type="dxa"/>
          </w:tcPr>
          <w:p w14:paraId="148C255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0.46</w:t>
            </w:r>
          </w:p>
        </w:tc>
        <w:tc>
          <w:tcPr>
            <w:tcW w:w="759" w:type="dxa"/>
          </w:tcPr>
          <w:p w14:paraId="5F80887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44,164</w:t>
            </w:r>
          </w:p>
        </w:tc>
        <w:tc>
          <w:tcPr>
            <w:tcW w:w="1952" w:type="dxa"/>
          </w:tcPr>
          <w:p w14:paraId="61010B1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3.88</w:t>
            </w:r>
          </w:p>
        </w:tc>
      </w:tr>
      <w:tr w:rsidR="00BA5251" w:rsidRPr="00F549B3" w14:paraId="164251DA" w14:textId="77777777">
        <w:tc>
          <w:tcPr>
            <w:tcW w:w="433" w:type="dxa"/>
          </w:tcPr>
          <w:p w14:paraId="1E3629E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2024</w:t>
            </w:r>
          </w:p>
        </w:tc>
        <w:tc>
          <w:tcPr>
            <w:tcW w:w="433" w:type="dxa"/>
          </w:tcPr>
          <w:p w14:paraId="1EF2235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w:t>
            </w:r>
          </w:p>
        </w:tc>
        <w:tc>
          <w:tcPr>
            <w:tcW w:w="1627" w:type="dxa"/>
          </w:tcPr>
          <w:p w14:paraId="4A4380D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1,969,129</w:t>
            </w:r>
          </w:p>
        </w:tc>
        <w:tc>
          <w:tcPr>
            <w:tcW w:w="759" w:type="dxa"/>
          </w:tcPr>
          <w:p w14:paraId="1AB2EB6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2,892</w:t>
            </w:r>
          </w:p>
        </w:tc>
        <w:tc>
          <w:tcPr>
            <w:tcW w:w="1952" w:type="dxa"/>
          </w:tcPr>
          <w:p w14:paraId="5CFDE82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0.15</w:t>
            </w:r>
          </w:p>
        </w:tc>
        <w:tc>
          <w:tcPr>
            <w:tcW w:w="759" w:type="dxa"/>
          </w:tcPr>
          <w:p w14:paraId="13C0AF5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53,049</w:t>
            </w:r>
          </w:p>
        </w:tc>
        <w:tc>
          <w:tcPr>
            <w:tcW w:w="1952" w:type="dxa"/>
          </w:tcPr>
          <w:p w14:paraId="6213376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2.69</w:t>
            </w:r>
          </w:p>
        </w:tc>
      </w:tr>
      <w:tr w:rsidR="00BA5251" w:rsidRPr="00F549B3" w14:paraId="24926EB9" w14:textId="77777777">
        <w:tc>
          <w:tcPr>
            <w:tcW w:w="433" w:type="dxa"/>
          </w:tcPr>
          <w:p w14:paraId="094AD85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2025</w:t>
            </w:r>
          </w:p>
        </w:tc>
        <w:tc>
          <w:tcPr>
            <w:tcW w:w="433" w:type="dxa"/>
          </w:tcPr>
          <w:p w14:paraId="175A214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w:t>
            </w:r>
          </w:p>
        </w:tc>
        <w:tc>
          <w:tcPr>
            <w:tcW w:w="1627" w:type="dxa"/>
          </w:tcPr>
          <w:p w14:paraId="77BC5A7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5,129,841</w:t>
            </w:r>
          </w:p>
        </w:tc>
        <w:tc>
          <w:tcPr>
            <w:tcW w:w="759" w:type="dxa"/>
          </w:tcPr>
          <w:p w14:paraId="0FE6883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66,648</w:t>
            </w:r>
          </w:p>
        </w:tc>
        <w:tc>
          <w:tcPr>
            <w:tcW w:w="1952" w:type="dxa"/>
          </w:tcPr>
          <w:p w14:paraId="1A04F78F"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1.30</w:t>
            </w:r>
          </w:p>
        </w:tc>
        <w:tc>
          <w:tcPr>
            <w:tcW w:w="759" w:type="dxa"/>
          </w:tcPr>
          <w:p w14:paraId="4B99DE4C"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198,081</w:t>
            </w:r>
          </w:p>
        </w:tc>
        <w:tc>
          <w:tcPr>
            <w:tcW w:w="1952" w:type="dxa"/>
          </w:tcPr>
          <w:p w14:paraId="68F1F00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3.86</w:t>
            </w:r>
          </w:p>
        </w:tc>
      </w:tr>
      <w:tr w:rsidR="00BA5251" w:rsidRPr="00F549B3" w14:paraId="78FC4596" w14:textId="77777777">
        <w:tc>
          <w:tcPr>
            <w:tcW w:w="433" w:type="dxa"/>
          </w:tcPr>
          <w:p w14:paraId="20AE86C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2025</w:t>
            </w:r>
          </w:p>
        </w:tc>
        <w:tc>
          <w:tcPr>
            <w:tcW w:w="433" w:type="dxa"/>
          </w:tcPr>
          <w:p w14:paraId="627626E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w:t>
            </w:r>
          </w:p>
        </w:tc>
        <w:tc>
          <w:tcPr>
            <w:tcW w:w="1627" w:type="dxa"/>
          </w:tcPr>
          <w:p w14:paraId="69BF9A9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2,035,794</w:t>
            </w:r>
          </w:p>
        </w:tc>
        <w:tc>
          <w:tcPr>
            <w:tcW w:w="759" w:type="dxa"/>
          </w:tcPr>
          <w:p w14:paraId="7699E2C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15,094</w:t>
            </w:r>
          </w:p>
        </w:tc>
        <w:tc>
          <w:tcPr>
            <w:tcW w:w="1952" w:type="dxa"/>
          </w:tcPr>
          <w:p w14:paraId="089CC86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0.74</w:t>
            </w:r>
          </w:p>
        </w:tc>
        <w:tc>
          <w:tcPr>
            <w:tcW w:w="759" w:type="dxa"/>
          </w:tcPr>
          <w:p w14:paraId="01C1CE0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84,040</w:t>
            </w:r>
          </w:p>
        </w:tc>
        <w:tc>
          <w:tcPr>
            <w:tcW w:w="1952" w:type="dxa"/>
          </w:tcPr>
          <w:p w14:paraId="030885A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4.13</w:t>
            </w:r>
          </w:p>
        </w:tc>
      </w:tr>
      <w:tr w:rsidR="00BA5251" w:rsidRPr="00F549B3" w14:paraId="0BBBF88A" w14:textId="77777777">
        <w:tc>
          <w:tcPr>
            <w:tcW w:w="433" w:type="dxa"/>
          </w:tcPr>
          <w:p w14:paraId="01068E3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2025</w:t>
            </w:r>
          </w:p>
        </w:tc>
        <w:tc>
          <w:tcPr>
            <w:tcW w:w="433" w:type="dxa"/>
          </w:tcPr>
          <w:p w14:paraId="738B8B0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w:t>
            </w:r>
          </w:p>
        </w:tc>
        <w:tc>
          <w:tcPr>
            <w:tcW w:w="1627" w:type="dxa"/>
          </w:tcPr>
          <w:p w14:paraId="4B60A531"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1,697,368</w:t>
            </w:r>
          </w:p>
        </w:tc>
        <w:tc>
          <w:tcPr>
            <w:tcW w:w="759" w:type="dxa"/>
          </w:tcPr>
          <w:p w14:paraId="55AE2988"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10,979</w:t>
            </w:r>
          </w:p>
        </w:tc>
        <w:tc>
          <w:tcPr>
            <w:tcW w:w="1952" w:type="dxa"/>
          </w:tcPr>
          <w:p w14:paraId="157C335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0.65</w:t>
            </w:r>
          </w:p>
        </w:tc>
        <w:tc>
          <w:tcPr>
            <w:tcW w:w="759" w:type="dxa"/>
          </w:tcPr>
          <w:p w14:paraId="58CAE194"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63,436</w:t>
            </w:r>
          </w:p>
        </w:tc>
        <w:tc>
          <w:tcPr>
            <w:tcW w:w="1952" w:type="dxa"/>
          </w:tcPr>
          <w:p w14:paraId="7A3CDB74"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3.74</w:t>
            </w:r>
          </w:p>
        </w:tc>
      </w:tr>
      <w:tr w:rsidR="00BA5251" w:rsidRPr="00F549B3" w14:paraId="66FE7DA6" w14:textId="77777777">
        <w:tc>
          <w:tcPr>
            <w:tcW w:w="433" w:type="dxa"/>
          </w:tcPr>
          <w:p w14:paraId="453A824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2025</w:t>
            </w:r>
          </w:p>
        </w:tc>
        <w:tc>
          <w:tcPr>
            <w:tcW w:w="433" w:type="dxa"/>
          </w:tcPr>
          <w:p w14:paraId="70A5985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w:t>
            </w:r>
          </w:p>
        </w:tc>
        <w:tc>
          <w:tcPr>
            <w:tcW w:w="1627" w:type="dxa"/>
          </w:tcPr>
          <w:p w14:paraId="1BD22FA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737,884</w:t>
            </w:r>
          </w:p>
        </w:tc>
        <w:tc>
          <w:tcPr>
            <w:tcW w:w="759" w:type="dxa"/>
          </w:tcPr>
          <w:p w14:paraId="697BD33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3,349</w:t>
            </w:r>
          </w:p>
        </w:tc>
        <w:tc>
          <w:tcPr>
            <w:tcW w:w="1952" w:type="dxa"/>
          </w:tcPr>
          <w:p w14:paraId="4E63D1BB"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0.45</w:t>
            </w:r>
          </w:p>
        </w:tc>
        <w:tc>
          <w:tcPr>
            <w:tcW w:w="759" w:type="dxa"/>
          </w:tcPr>
          <w:p w14:paraId="6671D57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32,299</w:t>
            </w:r>
          </w:p>
        </w:tc>
        <w:tc>
          <w:tcPr>
            <w:tcW w:w="1952" w:type="dxa"/>
          </w:tcPr>
          <w:p w14:paraId="38170A9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4.38</w:t>
            </w:r>
          </w:p>
        </w:tc>
      </w:tr>
      <w:tr w:rsidR="00BA5251" w:rsidRPr="00F549B3" w14:paraId="49876EA1" w14:textId="77777777">
        <w:tc>
          <w:tcPr>
            <w:tcW w:w="433" w:type="dxa"/>
          </w:tcPr>
          <w:p w14:paraId="4C2742FD"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2025</w:t>
            </w:r>
          </w:p>
        </w:tc>
        <w:tc>
          <w:tcPr>
            <w:tcW w:w="433" w:type="dxa"/>
          </w:tcPr>
          <w:p w14:paraId="1941BD2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w:t>
            </w:r>
          </w:p>
        </w:tc>
        <w:tc>
          <w:tcPr>
            <w:tcW w:w="1627" w:type="dxa"/>
          </w:tcPr>
          <w:p w14:paraId="0A024176"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1,138,332</w:t>
            </w:r>
          </w:p>
        </w:tc>
        <w:tc>
          <w:tcPr>
            <w:tcW w:w="759" w:type="dxa"/>
          </w:tcPr>
          <w:p w14:paraId="1395F98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5,562</w:t>
            </w:r>
          </w:p>
        </w:tc>
        <w:tc>
          <w:tcPr>
            <w:tcW w:w="1952" w:type="dxa"/>
          </w:tcPr>
          <w:p w14:paraId="7B916EBA"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0.49</w:t>
            </w:r>
          </w:p>
        </w:tc>
        <w:tc>
          <w:tcPr>
            <w:tcW w:w="759" w:type="dxa"/>
          </w:tcPr>
          <w:p w14:paraId="1551BD8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48,143</w:t>
            </w:r>
          </w:p>
        </w:tc>
        <w:tc>
          <w:tcPr>
            <w:tcW w:w="1952" w:type="dxa"/>
          </w:tcPr>
          <w:p w14:paraId="7BDF8893"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4.23</w:t>
            </w:r>
          </w:p>
        </w:tc>
      </w:tr>
      <w:tr w:rsidR="00BA5251" w:rsidRPr="00F549B3" w14:paraId="478E1188" w14:textId="77777777">
        <w:tc>
          <w:tcPr>
            <w:tcW w:w="433" w:type="dxa"/>
          </w:tcPr>
          <w:p w14:paraId="6BAC00A9"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2025</w:t>
            </w:r>
          </w:p>
        </w:tc>
        <w:tc>
          <w:tcPr>
            <w:tcW w:w="433" w:type="dxa"/>
          </w:tcPr>
          <w:p w14:paraId="40A23BFF"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w:t>
            </w:r>
          </w:p>
        </w:tc>
        <w:tc>
          <w:tcPr>
            <w:tcW w:w="1627" w:type="dxa"/>
          </w:tcPr>
          <w:p w14:paraId="2AE46EF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1,969,129</w:t>
            </w:r>
          </w:p>
        </w:tc>
        <w:tc>
          <w:tcPr>
            <w:tcW w:w="759" w:type="dxa"/>
          </w:tcPr>
          <w:p w14:paraId="1882D972"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3,138</w:t>
            </w:r>
          </w:p>
        </w:tc>
        <w:tc>
          <w:tcPr>
            <w:tcW w:w="1952" w:type="dxa"/>
          </w:tcPr>
          <w:p w14:paraId="6EDCB5B7"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0.16</w:t>
            </w:r>
          </w:p>
        </w:tc>
        <w:tc>
          <w:tcPr>
            <w:tcW w:w="759" w:type="dxa"/>
          </w:tcPr>
          <w:p w14:paraId="24341C60"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66,180</w:t>
            </w:r>
          </w:p>
        </w:tc>
        <w:tc>
          <w:tcPr>
            <w:tcW w:w="1952" w:type="dxa"/>
          </w:tcPr>
          <w:p w14:paraId="7E31621E" w14:textId="77777777" w:rsidR="00BA5251" w:rsidRPr="00F549B3" w:rsidRDefault="00000000">
            <w:pPr>
              <w:pStyle w:val="Compact"/>
              <w:rPr>
                <w:rFonts w:ascii="Times New Roman" w:hAnsi="Times New Roman" w:cs="Times New Roman"/>
              </w:rPr>
            </w:pPr>
            <w:r w:rsidRPr="00F549B3">
              <w:rPr>
                <w:rFonts w:ascii="Times New Roman" w:hAnsi="Times New Roman" w:cs="Times New Roman"/>
              </w:rPr>
              <w:t>3.36</w:t>
            </w:r>
          </w:p>
        </w:tc>
      </w:tr>
    </w:tbl>
    <w:p w14:paraId="3043792E"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i/>
          <w:iCs/>
        </w:rPr>
        <w:t>Note.</w:t>
      </w:r>
      <w:r w:rsidRPr="00F549B3">
        <w:rPr>
          <w:rFonts w:ascii="Times New Roman" w:hAnsi="Times New Roman" w:cs="Times New Roman"/>
        </w:rPr>
        <w:t xml:space="preserve"> Percentages express newly placed students in each MOI as a share of the </w:t>
      </w:r>
      <w:r w:rsidRPr="00F549B3">
        <w:rPr>
          <w:rFonts w:ascii="Times New Roman" w:hAnsi="Times New Roman" w:cs="Times New Roman"/>
          <w:b/>
          <w:bCs/>
        </w:rPr>
        <w:t>aggregated 15–24 population</w:t>
      </w:r>
      <w:r w:rsidRPr="00F549B3">
        <w:rPr>
          <w:rFonts w:ascii="Times New Roman" w:hAnsi="Times New Roman" w:cs="Times New Roman"/>
        </w:rPr>
        <w:t xml:space="preserve"> of provinces in that tier. Tier 15–24 population is held constant across years in this table as aggregated from the TURKSTAT interface used for the study.</w:t>
      </w:r>
    </w:p>
    <w:p w14:paraId="278CAD55" w14:textId="77777777" w:rsidR="00BA5251" w:rsidRPr="00F549B3" w:rsidRDefault="0091725F">
      <w:pPr>
        <w:rPr>
          <w:rFonts w:ascii="Times New Roman" w:hAnsi="Times New Roman" w:cs="Times New Roman"/>
        </w:rPr>
      </w:pPr>
      <w:r w:rsidRPr="0091725F">
        <w:rPr>
          <w:rFonts w:ascii="Times New Roman" w:hAnsi="Times New Roman" w:cs="Times New Roman"/>
          <w:noProof/>
        </w:rPr>
        <w:lastRenderedPageBreak/>
        <w:pict w14:anchorId="5E683056">
          <v:rect id="_x0000_i1027" alt="" style="width:453.6pt;height:.05pt;mso-width-percent:0;mso-height-percent:0;mso-width-percent:0;mso-height-percent:0" o:hralign="center" o:hrstd="t" o:hr="t"/>
        </w:pict>
      </w:r>
    </w:p>
    <w:p w14:paraId="5AE264A1" w14:textId="77777777" w:rsidR="00BA5251" w:rsidRPr="00F549B3" w:rsidRDefault="00000000">
      <w:pPr>
        <w:pStyle w:val="Balk2"/>
        <w:rPr>
          <w:rFonts w:ascii="Times New Roman" w:hAnsi="Times New Roman" w:cs="Times New Roman"/>
          <w:sz w:val="24"/>
          <w:szCs w:val="24"/>
        </w:rPr>
      </w:pPr>
      <w:bookmarkStart w:id="30" w:name="discussion"/>
      <w:bookmarkEnd w:id="23"/>
      <w:bookmarkEnd w:id="29"/>
      <w:r w:rsidRPr="00F549B3">
        <w:rPr>
          <w:rFonts w:ascii="Times New Roman" w:hAnsi="Times New Roman" w:cs="Times New Roman"/>
          <w:sz w:val="24"/>
          <w:szCs w:val="24"/>
        </w:rPr>
        <w:t>5. Discussion</w:t>
      </w:r>
    </w:p>
    <w:p w14:paraId="3A3B4AA8"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The results indicate stable, systematic differences between EMI and TMI in the composition of newly placed undergraduates between 2023 and 2025. EMI intakes were close to gender parity, whereas TMI intakes retained a female majority. Disability prevalence in administrative records was very low in both tracks but consistently lower in EMI. Socioeconomically, EMI placements were heavily concentrated in the highest SEGE tier, with comparatively limited population-adjusted penetration in the lowest tier; TMI showed broader dispersion across tiers. The persistence of these contrasts despite overall growth in placements supports interpreting them as structural features of the national intake pattern rather than as single-cycle anomalies.</w:t>
      </w:r>
    </w:p>
    <w:p w14:paraId="0FABE487"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These patterns are consistent with treating EMI as an element of a wider selection environment shaped by English proficiency demands, differential access to preparation, regional programme supply, and institutional signalling (Piller, 2016; Macaro et al., 2018; Alhamami, 2023). From a social-justice perspective on language education, EMI’s near parity on gender should not be equated with equity for all subgroups: disciplinary composition, pathway signalling, and the costs of pursuing English-heavy routes may still stratify access (Ortaçtepe Hart, 2023). The disability gap, although small in absolute terms, aligns with concerns that language-intensive gatekeeping and fragmented institutional responses can disadvantage multiply marginalised learners unless race, language, and dis/ability are addressed jointly across policy levels (Cioè-Peña et al., 2025; Alhamami, 2023). Follow-up analysis of student accounts may clarify mechanisms such as information constraints, disclosure, and perceptions of accommodation.</w:t>
      </w:r>
    </w:p>
    <w:p w14:paraId="506ACC2F"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The socioeconomic gradient is the most pronounced finding. Tier-1 concentration of EMI, together with weak population-adjusted EMI rates in Tier 6, coheres with national accounts of EMI as intertwined with prestige economies and uneven supply (Altay, 2025) and with sociolinguistic arguments that English-medium routes are resource-intensive (Piller, 2016). Relative to much EMI research that emphasises institutional case studies or post-admission outcomes (Macaro et al., 2018; Curle et al., 2020; Yüksel et al., 2021), the present evidence foregrounds </w:t>
      </w:r>
      <w:r w:rsidRPr="00F549B3">
        <w:rPr>
          <w:rFonts w:ascii="Times New Roman" w:hAnsi="Times New Roman" w:cs="Times New Roman"/>
          <w:b/>
          <w:bCs/>
        </w:rPr>
        <w:t>placement-level demography</w:t>
      </w:r>
      <w:r w:rsidRPr="00F549B3">
        <w:rPr>
          <w:rFonts w:ascii="Times New Roman" w:hAnsi="Times New Roman" w:cs="Times New Roman"/>
        </w:rPr>
        <w:t xml:space="preserve"> alongside Turkish-medium mass provision and makes disability visible at national scale. Linguistic justice and critical EMI perspectives caution against framing responses solely as “more English support” without attending to who bears the costs of Englishisation (Soler, 2024; Wang, 2025); multilingual planning perspectives suggest policy directions that recognise heterogeneous repertoires in EMI contexts (Dafouz &amp; Smit, 2022; Ou et al., 2022). Ecological placement data cannot establish causal effects of medium of instruction; they nonetheless provide a transparent basis for monitoring access.</w:t>
      </w:r>
    </w:p>
    <w:p w14:paraId="2C28094F"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Interpretation is bounded by the limitations noted in Section 3.8: provincial tiers are ecological proxies; gender categories are binary in the source; disability figures reflect administrative recording; EMI and TMI are not disaggregated by field at this stage; individual proficiency is not observed in the extracts used here. Future research should examine discipline-stratified patterns, preparatory pathways, longer time horizons, and integration with interpretive evidence where available.</w:t>
      </w:r>
    </w:p>
    <w:p w14:paraId="16F9D433" w14:textId="77777777" w:rsidR="00BA5251" w:rsidRPr="00F549B3" w:rsidRDefault="0091725F">
      <w:pPr>
        <w:rPr>
          <w:rFonts w:ascii="Times New Roman" w:hAnsi="Times New Roman" w:cs="Times New Roman"/>
        </w:rPr>
      </w:pPr>
      <w:r w:rsidRPr="0091725F">
        <w:rPr>
          <w:rFonts w:ascii="Times New Roman" w:hAnsi="Times New Roman" w:cs="Times New Roman"/>
          <w:noProof/>
        </w:rPr>
        <w:pict w14:anchorId="12135B1E">
          <v:rect id="_x0000_i1026" alt="" style="width:453.6pt;height:.05pt;mso-width-percent:0;mso-height-percent:0;mso-width-percent:0;mso-height-percent:0" o:hralign="center" o:hrstd="t" o:hr="t"/>
        </w:pict>
      </w:r>
    </w:p>
    <w:p w14:paraId="094E5A5C" w14:textId="77777777" w:rsidR="00BA5251" w:rsidRPr="00F549B3" w:rsidRDefault="00000000">
      <w:pPr>
        <w:pStyle w:val="Balk2"/>
        <w:rPr>
          <w:rFonts w:ascii="Times New Roman" w:hAnsi="Times New Roman" w:cs="Times New Roman"/>
          <w:sz w:val="24"/>
          <w:szCs w:val="24"/>
        </w:rPr>
      </w:pPr>
      <w:bookmarkStart w:id="31" w:name="conclusion"/>
      <w:bookmarkEnd w:id="30"/>
      <w:r w:rsidRPr="00F549B3">
        <w:rPr>
          <w:rFonts w:ascii="Times New Roman" w:hAnsi="Times New Roman" w:cs="Times New Roman"/>
          <w:sz w:val="24"/>
          <w:szCs w:val="24"/>
        </w:rPr>
        <w:lastRenderedPageBreak/>
        <w:t>6. Conclusion</w:t>
      </w:r>
    </w:p>
    <w:p w14:paraId="1DED26E2"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Between 2023 and 2025, newly placed students in </w:t>
      </w:r>
      <w:r w:rsidRPr="00F549B3">
        <w:rPr>
          <w:rFonts w:ascii="Times New Roman" w:hAnsi="Times New Roman" w:cs="Times New Roman"/>
          <w:b/>
          <w:bCs/>
        </w:rPr>
        <w:t>EMI</w:t>
      </w:r>
      <w:r w:rsidRPr="00F549B3">
        <w:rPr>
          <w:rFonts w:ascii="Times New Roman" w:hAnsi="Times New Roman" w:cs="Times New Roman"/>
        </w:rPr>
        <w:t xml:space="preserve"> and </w:t>
      </w:r>
      <w:r w:rsidRPr="00F549B3">
        <w:rPr>
          <w:rFonts w:ascii="Times New Roman" w:hAnsi="Times New Roman" w:cs="Times New Roman"/>
          <w:b/>
          <w:bCs/>
        </w:rPr>
        <w:t>TMI</w:t>
      </w:r>
      <w:r w:rsidRPr="00F549B3">
        <w:rPr>
          <w:rFonts w:ascii="Times New Roman" w:hAnsi="Times New Roman" w:cs="Times New Roman"/>
        </w:rPr>
        <w:t xml:space="preserve"> in Türkiye differed markedly in </w:t>
      </w:r>
      <w:r w:rsidRPr="00F549B3">
        <w:rPr>
          <w:rFonts w:ascii="Times New Roman" w:hAnsi="Times New Roman" w:cs="Times New Roman"/>
          <w:b/>
          <w:bCs/>
        </w:rPr>
        <w:t>gender balance</w:t>
      </w:r>
      <w:r w:rsidRPr="00F549B3">
        <w:rPr>
          <w:rFonts w:ascii="Times New Roman" w:hAnsi="Times New Roman" w:cs="Times New Roman"/>
        </w:rPr>
        <w:t xml:space="preserve">, </w:t>
      </w:r>
      <w:r w:rsidRPr="00F549B3">
        <w:rPr>
          <w:rFonts w:ascii="Times New Roman" w:hAnsi="Times New Roman" w:cs="Times New Roman"/>
          <w:b/>
          <w:bCs/>
        </w:rPr>
        <w:t>recorded disability representation</w:t>
      </w:r>
      <w:r w:rsidRPr="00F549B3">
        <w:rPr>
          <w:rFonts w:ascii="Times New Roman" w:hAnsi="Times New Roman" w:cs="Times New Roman"/>
        </w:rPr>
        <w:t xml:space="preserve">, and </w:t>
      </w:r>
      <w:r w:rsidRPr="00F549B3">
        <w:rPr>
          <w:rFonts w:ascii="Times New Roman" w:hAnsi="Times New Roman" w:cs="Times New Roman"/>
          <w:b/>
          <w:bCs/>
        </w:rPr>
        <w:t>socioeconomic geography</w:t>
      </w:r>
      <w:r w:rsidRPr="00F549B3">
        <w:rPr>
          <w:rFonts w:ascii="Times New Roman" w:hAnsi="Times New Roman" w:cs="Times New Roman"/>
        </w:rPr>
        <w:t xml:space="preserve">. EMI approached gender parity; TMI stayed female-majority. Disability shares were very small in both tracks and consistently lower in EMI. EMI placements clustered in the highest SEGE tier with limited population-adjusted presence in the lowest tier; TMI spread more broadly. These findings describe </w:t>
      </w:r>
      <w:r w:rsidRPr="00F549B3">
        <w:rPr>
          <w:rFonts w:ascii="Times New Roman" w:hAnsi="Times New Roman" w:cs="Times New Roman"/>
          <w:b/>
          <w:bCs/>
        </w:rPr>
        <w:t>who gains access</w:t>
      </w:r>
      <w:r w:rsidRPr="00F549B3">
        <w:rPr>
          <w:rFonts w:ascii="Times New Roman" w:hAnsi="Times New Roman" w:cs="Times New Roman"/>
        </w:rPr>
        <w:t xml:space="preserve"> to each track at national scale and complement classroom- and proficiency-oriented EMI research (Macaro et al., 2018; Curle et al., 2020; Yüksel et al., 2021).</w:t>
      </w:r>
    </w:p>
    <w:p w14:paraId="2DF96D11"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Contributions include </w:t>
      </w:r>
      <w:r w:rsidRPr="00F549B3">
        <w:rPr>
          <w:rFonts w:ascii="Times New Roman" w:hAnsi="Times New Roman" w:cs="Times New Roman"/>
          <w:b/>
          <w:bCs/>
        </w:rPr>
        <w:t>placement-level EDI evidence</w:t>
      </w:r>
      <w:r w:rsidRPr="00F549B3">
        <w:rPr>
          <w:rFonts w:ascii="Times New Roman" w:hAnsi="Times New Roman" w:cs="Times New Roman"/>
        </w:rPr>
        <w:t xml:space="preserve"> for a major non-Anglophone system, </w:t>
      </w:r>
      <w:r w:rsidRPr="00F549B3">
        <w:rPr>
          <w:rFonts w:ascii="Times New Roman" w:hAnsi="Times New Roman" w:cs="Times New Roman"/>
          <w:b/>
          <w:bCs/>
        </w:rPr>
        <w:t>explicit disability visibility</w:t>
      </w:r>
      <w:r w:rsidRPr="00F549B3">
        <w:rPr>
          <w:rFonts w:ascii="Times New Roman" w:hAnsi="Times New Roman" w:cs="Times New Roman"/>
        </w:rPr>
        <w:t xml:space="preserve">, and a </w:t>
      </w:r>
      <w:r w:rsidRPr="00F549B3">
        <w:rPr>
          <w:rFonts w:ascii="Times New Roman" w:hAnsi="Times New Roman" w:cs="Times New Roman"/>
          <w:b/>
          <w:bCs/>
        </w:rPr>
        <w:t>replicable geographic method</w:t>
      </w:r>
      <w:r w:rsidRPr="00F549B3">
        <w:rPr>
          <w:rFonts w:ascii="Times New Roman" w:hAnsi="Times New Roman" w:cs="Times New Roman"/>
        </w:rPr>
        <w:t xml:space="preserve"> (SEGE tiers with youth denominators). Interpreted alongside scholarship on social justice in language education and stratification in mass higher education (Ortaçtepe Hart, 2023; Piller, 2016; Marginson, 2016) and on expansive language access (Cioè-Peña et al., 2025), the findings support systematic </w:t>
      </w:r>
      <w:r w:rsidRPr="00F549B3">
        <w:rPr>
          <w:rFonts w:ascii="Times New Roman" w:hAnsi="Times New Roman" w:cs="Times New Roman"/>
          <w:b/>
          <w:bCs/>
        </w:rPr>
        <w:t>monitoring of inclusion</w:t>
      </w:r>
      <w:r w:rsidRPr="00F549B3">
        <w:rPr>
          <w:rFonts w:ascii="Times New Roman" w:hAnsi="Times New Roman" w:cs="Times New Roman"/>
        </w:rPr>
        <w:t xml:space="preserve"> as EMI expands (Altay, 2025). Linguistic justice and language-rights perspectives further highlight distributional consequences of Englishisation (Soler, 2024; Alhamami, 2023). Complementary qualitative evidence may connect these distributions to student meanings of fairness and constraint.</w:t>
      </w:r>
    </w:p>
    <w:p w14:paraId="54D9EB28"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b/>
          <w:bCs/>
        </w:rPr>
        <w:t>Implications (hypothesis-generating):</w:t>
      </w:r>
      <w:r w:rsidRPr="00F549B3">
        <w:rPr>
          <w:rFonts w:ascii="Times New Roman" w:hAnsi="Times New Roman" w:cs="Times New Roman"/>
        </w:rPr>
        <w:t xml:space="preserve"> widen EMI-related </w:t>
      </w:r>
      <w:r w:rsidRPr="00F549B3">
        <w:rPr>
          <w:rFonts w:ascii="Times New Roman" w:hAnsi="Times New Roman" w:cs="Times New Roman"/>
          <w:b/>
          <w:bCs/>
        </w:rPr>
        <w:t>outreach and preparation</w:t>
      </w:r>
      <w:r w:rsidRPr="00F549B3">
        <w:rPr>
          <w:rFonts w:ascii="Times New Roman" w:hAnsi="Times New Roman" w:cs="Times New Roman"/>
        </w:rPr>
        <w:t xml:space="preserve"> in lower-tier regions; review </w:t>
      </w:r>
      <w:r w:rsidRPr="00F549B3">
        <w:rPr>
          <w:rFonts w:ascii="Times New Roman" w:hAnsi="Times New Roman" w:cs="Times New Roman"/>
          <w:b/>
          <w:bCs/>
        </w:rPr>
        <w:t>English-intensive gatekeeping</w:t>
      </w:r>
      <w:r w:rsidRPr="00F549B3">
        <w:rPr>
          <w:rFonts w:ascii="Times New Roman" w:hAnsi="Times New Roman" w:cs="Times New Roman"/>
        </w:rPr>
        <w:t xml:space="preserve"> and </w:t>
      </w:r>
      <w:r w:rsidRPr="00F549B3">
        <w:rPr>
          <w:rFonts w:ascii="Times New Roman" w:hAnsi="Times New Roman" w:cs="Times New Roman"/>
          <w:b/>
          <w:bCs/>
        </w:rPr>
        <w:t>disability-inclusive</w:t>
      </w:r>
      <w:r w:rsidRPr="00F549B3">
        <w:rPr>
          <w:rFonts w:ascii="Times New Roman" w:hAnsi="Times New Roman" w:cs="Times New Roman"/>
        </w:rPr>
        <w:t xml:space="preserve"> admissions and support; maintain </w:t>
      </w:r>
      <w:r w:rsidRPr="00F549B3">
        <w:rPr>
          <w:rFonts w:ascii="Times New Roman" w:hAnsi="Times New Roman" w:cs="Times New Roman"/>
          <w:b/>
          <w:bCs/>
        </w:rPr>
        <w:t>gender-aware</w:t>
      </w:r>
      <w:r w:rsidRPr="00F549B3">
        <w:rPr>
          <w:rFonts w:ascii="Times New Roman" w:hAnsi="Times New Roman" w:cs="Times New Roman"/>
        </w:rPr>
        <w:t xml:space="preserve"> guidance where TMI pathways are highly feminised. Evidence on </w:t>
      </w:r>
      <w:r w:rsidRPr="00F549B3">
        <w:rPr>
          <w:rFonts w:ascii="Times New Roman" w:hAnsi="Times New Roman" w:cs="Times New Roman"/>
          <w:b/>
          <w:bCs/>
        </w:rPr>
        <w:t>what works</w:t>
      </w:r>
      <w:r w:rsidRPr="00F549B3">
        <w:rPr>
          <w:rFonts w:ascii="Times New Roman" w:hAnsi="Times New Roman" w:cs="Times New Roman"/>
        </w:rPr>
        <w:t xml:space="preserve"> should combine these structural indicators with evaluation of specific interventions.</w:t>
      </w:r>
    </w:p>
    <w:p w14:paraId="471F5065" w14:textId="77777777" w:rsidR="00BA5251" w:rsidRPr="00F549B3" w:rsidRDefault="0091725F">
      <w:pPr>
        <w:rPr>
          <w:rFonts w:ascii="Times New Roman" w:hAnsi="Times New Roman" w:cs="Times New Roman"/>
        </w:rPr>
      </w:pPr>
      <w:r w:rsidRPr="0091725F">
        <w:rPr>
          <w:rFonts w:ascii="Times New Roman" w:hAnsi="Times New Roman" w:cs="Times New Roman"/>
          <w:noProof/>
        </w:rPr>
        <w:pict w14:anchorId="6B62136F">
          <v:rect id="_x0000_i1025" alt="" style="width:453.6pt;height:.05pt;mso-width-percent:0;mso-height-percent:0;mso-width-percent:0;mso-height-percent:0" o:hralign="center" o:hrstd="t" o:hr="t"/>
        </w:pict>
      </w:r>
    </w:p>
    <w:p w14:paraId="175C1DFE" w14:textId="77777777" w:rsidR="00BA5251" w:rsidRPr="00F549B3" w:rsidRDefault="00000000">
      <w:pPr>
        <w:pStyle w:val="Balk2"/>
        <w:rPr>
          <w:rFonts w:ascii="Times New Roman" w:hAnsi="Times New Roman" w:cs="Times New Roman"/>
          <w:sz w:val="24"/>
          <w:szCs w:val="24"/>
        </w:rPr>
      </w:pPr>
      <w:bookmarkStart w:id="32" w:name="references"/>
      <w:bookmarkEnd w:id="31"/>
      <w:r w:rsidRPr="00F549B3">
        <w:rPr>
          <w:rFonts w:ascii="Times New Roman" w:hAnsi="Times New Roman" w:cs="Times New Roman"/>
          <w:sz w:val="24"/>
          <w:szCs w:val="24"/>
        </w:rPr>
        <w:t>References</w:t>
      </w:r>
    </w:p>
    <w:p w14:paraId="43F750F2" w14:textId="77777777" w:rsidR="00BA5251" w:rsidRPr="00F549B3" w:rsidRDefault="00000000">
      <w:pPr>
        <w:pStyle w:val="FirstParagraph"/>
        <w:rPr>
          <w:rFonts w:ascii="Times New Roman" w:hAnsi="Times New Roman" w:cs="Times New Roman"/>
        </w:rPr>
      </w:pPr>
      <w:r w:rsidRPr="00F549B3">
        <w:rPr>
          <w:rFonts w:ascii="Times New Roman" w:hAnsi="Times New Roman" w:cs="Times New Roman"/>
        </w:rPr>
        <w:t xml:space="preserve">Agresti, A., &amp; Franklin, C. A. (2014). </w:t>
      </w:r>
      <w:r w:rsidRPr="00F549B3">
        <w:rPr>
          <w:rFonts w:ascii="Times New Roman" w:hAnsi="Times New Roman" w:cs="Times New Roman"/>
          <w:i/>
          <w:iCs/>
        </w:rPr>
        <w:t>Statistics: The art and science of learning from data</w:t>
      </w:r>
      <w:r w:rsidRPr="00F549B3">
        <w:rPr>
          <w:rFonts w:ascii="Times New Roman" w:hAnsi="Times New Roman" w:cs="Times New Roman"/>
        </w:rPr>
        <w:t xml:space="preserve"> (4th ed.). Pearson.</w:t>
      </w:r>
    </w:p>
    <w:p w14:paraId="01E92C2F"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Alhamami, M. (2023). Inequity, inequality, and language rights in English as a medium of instruction programs. </w:t>
      </w:r>
      <w:r w:rsidRPr="00F549B3">
        <w:rPr>
          <w:rFonts w:ascii="Times New Roman" w:hAnsi="Times New Roman" w:cs="Times New Roman"/>
          <w:i/>
          <w:iCs/>
        </w:rPr>
        <w:t>Evaluation and Program Planning</w:t>
      </w:r>
      <w:r w:rsidRPr="00F549B3">
        <w:rPr>
          <w:rFonts w:ascii="Times New Roman" w:hAnsi="Times New Roman" w:cs="Times New Roman"/>
        </w:rPr>
        <w:t xml:space="preserve">, </w:t>
      </w:r>
      <w:r w:rsidRPr="00F549B3">
        <w:rPr>
          <w:rFonts w:ascii="Times New Roman" w:hAnsi="Times New Roman" w:cs="Times New Roman"/>
          <w:i/>
          <w:iCs/>
        </w:rPr>
        <w:t>99</w:t>
      </w:r>
      <w:r w:rsidRPr="00F549B3">
        <w:rPr>
          <w:rFonts w:ascii="Times New Roman" w:hAnsi="Times New Roman" w:cs="Times New Roman"/>
        </w:rPr>
        <w:t xml:space="preserve">, 102297. </w:t>
      </w:r>
      <w:hyperlink r:id="rId5">
        <w:r w:rsidRPr="00F549B3">
          <w:rPr>
            <w:rStyle w:val="Kpr"/>
            <w:rFonts w:ascii="Times New Roman" w:hAnsi="Times New Roman" w:cs="Times New Roman"/>
          </w:rPr>
          <w:t>https://doi.org/10.1016/j.evalprogplan.2023.102297</w:t>
        </w:r>
      </w:hyperlink>
    </w:p>
    <w:p w14:paraId="6950B980"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Altbach, P. G., &amp; Knight, J. (2007). The internationalization of higher education: Motivations and realities. </w:t>
      </w:r>
      <w:r w:rsidRPr="00F549B3">
        <w:rPr>
          <w:rFonts w:ascii="Times New Roman" w:hAnsi="Times New Roman" w:cs="Times New Roman"/>
          <w:i/>
          <w:iCs/>
        </w:rPr>
        <w:t>Journal of Studies in International Education</w:t>
      </w:r>
      <w:r w:rsidRPr="00F549B3">
        <w:rPr>
          <w:rFonts w:ascii="Times New Roman" w:hAnsi="Times New Roman" w:cs="Times New Roman"/>
        </w:rPr>
        <w:t xml:space="preserve">, </w:t>
      </w:r>
      <w:r w:rsidRPr="00F549B3">
        <w:rPr>
          <w:rFonts w:ascii="Times New Roman" w:hAnsi="Times New Roman" w:cs="Times New Roman"/>
          <w:i/>
          <w:iCs/>
        </w:rPr>
        <w:t>11</w:t>
      </w:r>
      <w:r w:rsidRPr="00F549B3">
        <w:rPr>
          <w:rFonts w:ascii="Times New Roman" w:hAnsi="Times New Roman" w:cs="Times New Roman"/>
        </w:rPr>
        <w:t xml:space="preserve">(3–4), 290–305. </w:t>
      </w:r>
      <w:hyperlink r:id="rId6">
        <w:r w:rsidRPr="00F549B3">
          <w:rPr>
            <w:rStyle w:val="Kpr"/>
            <w:rFonts w:ascii="Times New Roman" w:hAnsi="Times New Roman" w:cs="Times New Roman"/>
          </w:rPr>
          <w:t>https://doi.org/10.1177/1028315307303548</w:t>
        </w:r>
      </w:hyperlink>
    </w:p>
    <w:p w14:paraId="58E946B5"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Altay, M. (2025). The intersection of human capital and linguistic protectionism: Counteracting English-medium instruction in Türkiye. </w:t>
      </w:r>
      <w:r w:rsidRPr="00F549B3">
        <w:rPr>
          <w:rFonts w:ascii="Times New Roman" w:hAnsi="Times New Roman" w:cs="Times New Roman"/>
          <w:i/>
          <w:iCs/>
        </w:rPr>
        <w:t>Journal of English-Medium Instruction</w:t>
      </w:r>
      <w:r w:rsidRPr="00F549B3">
        <w:rPr>
          <w:rFonts w:ascii="Times New Roman" w:hAnsi="Times New Roman" w:cs="Times New Roman"/>
        </w:rPr>
        <w:t xml:space="preserve">, </w:t>
      </w:r>
      <w:r w:rsidRPr="00F549B3">
        <w:rPr>
          <w:rFonts w:ascii="Times New Roman" w:hAnsi="Times New Roman" w:cs="Times New Roman"/>
          <w:i/>
          <w:iCs/>
        </w:rPr>
        <w:t>4</w:t>
      </w:r>
      <w:r w:rsidRPr="00F549B3">
        <w:rPr>
          <w:rFonts w:ascii="Times New Roman" w:hAnsi="Times New Roman" w:cs="Times New Roman"/>
        </w:rPr>
        <w:t xml:space="preserve">(1), 74–98. </w:t>
      </w:r>
      <w:hyperlink r:id="rId7">
        <w:r w:rsidRPr="00F549B3">
          <w:rPr>
            <w:rStyle w:val="Kpr"/>
            <w:rFonts w:ascii="Times New Roman" w:hAnsi="Times New Roman" w:cs="Times New Roman"/>
          </w:rPr>
          <w:t>https://doi.org/10.1075/jemi.24002.alt</w:t>
        </w:r>
      </w:hyperlink>
    </w:p>
    <w:p w14:paraId="084A6B1E"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Braun, V., &amp; Clarke, V. (2006). Using thematic analysis in psychology. </w:t>
      </w:r>
      <w:r w:rsidRPr="00F549B3">
        <w:rPr>
          <w:rFonts w:ascii="Times New Roman" w:hAnsi="Times New Roman" w:cs="Times New Roman"/>
          <w:i/>
          <w:iCs/>
        </w:rPr>
        <w:t>Qualitative Research in Psychology</w:t>
      </w:r>
      <w:r w:rsidRPr="00F549B3">
        <w:rPr>
          <w:rFonts w:ascii="Times New Roman" w:hAnsi="Times New Roman" w:cs="Times New Roman"/>
        </w:rPr>
        <w:t xml:space="preserve">, </w:t>
      </w:r>
      <w:r w:rsidRPr="00F549B3">
        <w:rPr>
          <w:rFonts w:ascii="Times New Roman" w:hAnsi="Times New Roman" w:cs="Times New Roman"/>
          <w:i/>
          <w:iCs/>
        </w:rPr>
        <w:t>3</w:t>
      </w:r>
      <w:r w:rsidRPr="00F549B3">
        <w:rPr>
          <w:rFonts w:ascii="Times New Roman" w:hAnsi="Times New Roman" w:cs="Times New Roman"/>
        </w:rPr>
        <w:t xml:space="preserve">(2), 77–101. </w:t>
      </w:r>
      <w:hyperlink r:id="rId8">
        <w:r w:rsidRPr="00F549B3">
          <w:rPr>
            <w:rStyle w:val="Kpr"/>
            <w:rFonts w:ascii="Times New Roman" w:hAnsi="Times New Roman" w:cs="Times New Roman"/>
          </w:rPr>
          <w:t>https://doi.org/10.1191/1478088706qp063oa</w:t>
        </w:r>
      </w:hyperlink>
    </w:p>
    <w:p w14:paraId="29FC1DD0"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lastRenderedPageBreak/>
        <w:t xml:space="preserve">Cioè-Peña, M., Linares, R. E., &amp; Kangas, S. E. N. (2025). The expansive language access framework: An integrated approach to addressing oppression in language education. </w:t>
      </w:r>
      <w:r w:rsidRPr="00F549B3">
        <w:rPr>
          <w:rFonts w:ascii="Times New Roman" w:hAnsi="Times New Roman" w:cs="Times New Roman"/>
          <w:i/>
          <w:iCs/>
        </w:rPr>
        <w:t>Language Policy</w:t>
      </w:r>
      <w:r w:rsidRPr="00F549B3">
        <w:rPr>
          <w:rFonts w:ascii="Times New Roman" w:hAnsi="Times New Roman" w:cs="Times New Roman"/>
        </w:rPr>
        <w:t xml:space="preserve">, </w:t>
      </w:r>
      <w:r w:rsidRPr="00F549B3">
        <w:rPr>
          <w:rFonts w:ascii="Times New Roman" w:hAnsi="Times New Roman" w:cs="Times New Roman"/>
          <w:i/>
          <w:iCs/>
        </w:rPr>
        <w:t>24</w:t>
      </w:r>
      <w:r w:rsidRPr="00F549B3">
        <w:rPr>
          <w:rFonts w:ascii="Times New Roman" w:hAnsi="Times New Roman" w:cs="Times New Roman"/>
        </w:rPr>
        <w:t xml:space="preserve">, 373–394. </w:t>
      </w:r>
      <w:hyperlink r:id="rId9">
        <w:r w:rsidRPr="00F549B3">
          <w:rPr>
            <w:rStyle w:val="Kpr"/>
            <w:rFonts w:ascii="Times New Roman" w:hAnsi="Times New Roman" w:cs="Times New Roman"/>
          </w:rPr>
          <w:t>https://doi.org/10.1007/s10993-024-09724-4</w:t>
        </w:r>
      </w:hyperlink>
    </w:p>
    <w:p w14:paraId="48108C14"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Curle, S., Yüksel, D., Soruç, A., &amp; Altay, M. (2020). Predictors of English medium instruction academic success: English proficiency versus first language medium. </w:t>
      </w:r>
      <w:r w:rsidRPr="00F549B3">
        <w:rPr>
          <w:rFonts w:ascii="Times New Roman" w:hAnsi="Times New Roman" w:cs="Times New Roman"/>
          <w:i/>
          <w:iCs/>
        </w:rPr>
        <w:t>System</w:t>
      </w:r>
      <w:r w:rsidRPr="00F549B3">
        <w:rPr>
          <w:rFonts w:ascii="Times New Roman" w:hAnsi="Times New Roman" w:cs="Times New Roman"/>
        </w:rPr>
        <w:t xml:space="preserve">, </w:t>
      </w:r>
      <w:r w:rsidRPr="00F549B3">
        <w:rPr>
          <w:rFonts w:ascii="Times New Roman" w:hAnsi="Times New Roman" w:cs="Times New Roman"/>
          <w:i/>
          <w:iCs/>
        </w:rPr>
        <w:t>95</w:t>
      </w:r>
      <w:r w:rsidRPr="00F549B3">
        <w:rPr>
          <w:rFonts w:ascii="Times New Roman" w:hAnsi="Times New Roman" w:cs="Times New Roman"/>
        </w:rPr>
        <w:t xml:space="preserve">, 102378. </w:t>
      </w:r>
      <w:hyperlink r:id="rId10">
        <w:r w:rsidRPr="00F549B3">
          <w:rPr>
            <w:rStyle w:val="Kpr"/>
            <w:rFonts w:ascii="Times New Roman" w:hAnsi="Times New Roman" w:cs="Times New Roman"/>
          </w:rPr>
          <w:t>https://doi.org/10.1016/j.system.2020.102378</w:t>
        </w:r>
      </w:hyperlink>
    </w:p>
    <w:p w14:paraId="3DDABB19"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Dafouz, E., &amp; Smit, U. (2022). Towards multilingualism in English‑medium higher education. </w:t>
      </w:r>
      <w:r w:rsidRPr="00F549B3">
        <w:rPr>
          <w:rFonts w:ascii="Times New Roman" w:hAnsi="Times New Roman" w:cs="Times New Roman"/>
          <w:i/>
          <w:iCs/>
        </w:rPr>
        <w:t>Journal of English-Medium Instruction</w:t>
      </w:r>
      <w:r w:rsidRPr="00F549B3">
        <w:rPr>
          <w:rFonts w:ascii="Times New Roman" w:hAnsi="Times New Roman" w:cs="Times New Roman"/>
        </w:rPr>
        <w:t xml:space="preserve">, </w:t>
      </w:r>
      <w:r w:rsidRPr="00F549B3">
        <w:rPr>
          <w:rFonts w:ascii="Times New Roman" w:hAnsi="Times New Roman" w:cs="Times New Roman"/>
          <w:i/>
          <w:iCs/>
        </w:rPr>
        <w:t>1</w:t>
      </w:r>
      <w:r w:rsidRPr="00F549B3">
        <w:rPr>
          <w:rFonts w:ascii="Times New Roman" w:hAnsi="Times New Roman" w:cs="Times New Roman"/>
        </w:rPr>
        <w:t xml:space="preserve">(1), 29–47. </w:t>
      </w:r>
      <w:hyperlink r:id="rId11">
        <w:r w:rsidRPr="00F549B3">
          <w:rPr>
            <w:rStyle w:val="Kpr"/>
            <w:rFonts w:ascii="Times New Roman" w:hAnsi="Times New Roman" w:cs="Times New Roman"/>
          </w:rPr>
          <w:t>https://doi.org/10.1075/jemi.21018.daf</w:t>
        </w:r>
      </w:hyperlink>
    </w:p>
    <w:p w14:paraId="0B489423"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Dearden, J. (2014). </w:t>
      </w:r>
      <w:r w:rsidRPr="00F549B3">
        <w:rPr>
          <w:rFonts w:ascii="Times New Roman" w:hAnsi="Times New Roman" w:cs="Times New Roman"/>
          <w:i/>
          <w:iCs/>
        </w:rPr>
        <w:t>English as a medium of instruction: A growing global phenomenon</w:t>
      </w:r>
      <w:r w:rsidRPr="00F549B3">
        <w:rPr>
          <w:rFonts w:ascii="Times New Roman" w:hAnsi="Times New Roman" w:cs="Times New Roman"/>
        </w:rPr>
        <w:t>. British Council.</w:t>
      </w:r>
    </w:p>
    <w:p w14:paraId="7A67C553"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Dimova, S., Hultgren, A. K., &amp; Jensen, C. (Eds.). (2015). </w:t>
      </w:r>
      <w:r w:rsidRPr="00F549B3">
        <w:rPr>
          <w:rFonts w:ascii="Times New Roman" w:hAnsi="Times New Roman" w:cs="Times New Roman"/>
          <w:i/>
          <w:iCs/>
        </w:rPr>
        <w:t>English-medium instruction in European higher education</w:t>
      </w:r>
      <w:r w:rsidRPr="00F549B3">
        <w:rPr>
          <w:rFonts w:ascii="Times New Roman" w:hAnsi="Times New Roman" w:cs="Times New Roman"/>
        </w:rPr>
        <w:t>. De Gruyter Mouton.</w:t>
      </w:r>
    </w:p>
    <w:p w14:paraId="7A09ED58"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Doiz, A., Lasagabaster, D., &amp; Sierra, J. M. (Eds.). (2013). </w:t>
      </w:r>
      <w:r w:rsidRPr="00F549B3">
        <w:rPr>
          <w:rFonts w:ascii="Times New Roman" w:hAnsi="Times New Roman" w:cs="Times New Roman"/>
          <w:i/>
          <w:iCs/>
        </w:rPr>
        <w:t>English-medium instruction at universities: Global challenges</w:t>
      </w:r>
      <w:r w:rsidRPr="00F549B3">
        <w:rPr>
          <w:rFonts w:ascii="Times New Roman" w:hAnsi="Times New Roman" w:cs="Times New Roman"/>
        </w:rPr>
        <w:t>. Multilingual Matters.</w:t>
      </w:r>
    </w:p>
    <w:p w14:paraId="69E35442"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Dörnyei, Z. (2001). </w:t>
      </w:r>
      <w:r w:rsidRPr="00F549B3">
        <w:rPr>
          <w:rFonts w:ascii="Times New Roman" w:hAnsi="Times New Roman" w:cs="Times New Roman"/>
          <w:i/>
          <w:iCs/>
        </w:rPr>
        <w:t>Teaching and researching motivation</w:t>
      </w:r>
      <w:r w:rsidRPr="00F549B3">
        <w:rPr>
          <w:rFonts w:ascii="Times New Roman" w:hAnsi="Times New Roman" w:cs="Times New Roman"/>
        </w:rPr>
        <w:t>. Longman.</w:t>
      </w:r>
    </w:p>
    <w:p w14:paraId="51245B97"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Field, A. (2013). </w:t>
      </w:r>
      <w:r w:rsidRPr="00F549B3">
        <w:rPr>
          <w:rFonts w:ascii="Times New Roman" w:hAnsi="Times New Roman" w:cs="Times New Roman"/>
          <w:i/>
          <w:iCs/>
        </w:rPr>
        <w:t>Discovering statistics using IBM SPSS Statistics</w:t>
      </w:r>
      <w:r w:rsidRPr="00F549B3">
        <w:rPr>
          <w:rFonts w:ascii="Times New Roman" w:hAnsi="Times New Roman" w:cs="Times New Roman"/>
        </w:rPr>
        <w:t xml:space="preserve"> (4th ed.). Sage.</w:t>
      </w:r>
    </w:p>
    <w:p w14:paraId="7ADA941B"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Heigham, J., &amp; Croker, R. A. (Eds.). (2009). </w:t>
      </w:r>
      <w:r w:rsidRPr="00F549B3">
        <w:rPr>
          <w:rFonts w:ascii="Times New Roman" w:hAnsi="Times New Roman" w:cs="Times New Roman"/>
          <w:i/>
          <w:iCs/>
        </w:rPr>
        <w:t>Qualitative research in applied linguistics: A practical introduction</w:t>
      </w:r>
      <w:r w:rsidRPr="00F549B3">
        <w:rPr>
          <w:rFonts w:ascii="Times New Roman" w:hAnsi="Times New Roman" w:cs="Times New Roman"/>
        </w:rPr>
        <w:t>. Palgrave Macmillan.</w:t>
      </w:r>
    </w:p>
    <w:p w14:paraId="2E70D15C"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Jenkins, J. (2014). </w:t>
      </w:r>
      <w:r w:rsidRPr="00F549B3">
        <w:rPr>
          <w:rFonts w:ascii="Times New Roman" w:hAnsi="Times New Roman" w:cs="Times New Roman"/>
          <w:i/>
          <w:iCs/>
        </w:rPr>
        <w:t>English as a lingua franca in the international university: The politics of academic English language policy</w:t>
      </w:r>
      <w:r w:rsidRPr="00F549B3">
        <w:rPr>
          <w:rFonts w:ascii="Times New Roman" w:hAnsi="Times New Roman" w:cs="Times New Roman"/>
        </w:rPr>
        <w:t>. Routledge.</w:t>
      </w:r>
    </w:p>
    <w:p w14:paraId="391C9282"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Macaro, E., Curle, S., Pun, J., An, J., &amp; Dearden, J. (2018). A systematic review of English medium instruction in higher education. </w:t>
      </w:r>
      <w:r w:rsidRPr="00F549B3">
        <w:rPr>
          <w:rFonts w:ascii="Times New Roman" w:hAnsi="Times New Roman" w:cs="Times New Roman"/>
          <w:i/>
          <w:iCs/>
        </w:rPr>
        <w:t>Language Teaching</w:t>
      </w:r>
      <w:r w:rsidRPr="00F549B3">
        <w:rPr>
          <w:rFonts w:ascii="Times New Roman" w:hAnsi="Times New Roman" w:cs="Times New Roman"/>
        </w:rPr>
        <w:t xml:space="preserve">, </w:t>
      </w:r>
      <w:r w:rsidRPr="00F549B3">
        <w:rPr>
          <w:rFonts w:ascii="Times New Roman" w:hAnsi="Times New Roman" w:cs="Times New Roman"/>
          <w:i/>
          <w:iCs/>
        </w:rPr>
        <w:t>51</w:t>
      </w:r>
      <w:r w:rsidRPr="00F549B3">
        <w:rPr>
          <w:rFonts w:ascii="Times New Roman" w:hAnsi="Times New Roman" w:cs="Times New Roman"/>
        </w:rPr>
        <w:t xml:space="preserve">(1), 36–76. </w:t>
      </w:r>
      <w:hyperlink r:id="rId12">
        <w:r w:rsidRPr="00F549B3">
          <w:rPr>
            <w:rStyle w:val="Kpr"/>
            <w:rFonts w:ascii="Times New Roman" w:hAnsi="Times New Roman" w:cs="Times New Roman"/>
          </w:rPr>
          <w:t>https://doi.org/10.1017/S0261444817000350</w:t>
        </w:r>
      </w:hyperlink>
    </w:p>
    <w:p w14:paraId="182D6822"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Marginson, S. (2016). The worldwide trend to high participation higher education: Dynamics of social stratification in inclusive systems. </w:t>
      </w:r>
      <w:r w:rsidRPr="00F549B3">
        <w:rPr>
          <w:rFonts w:ascii="Times New Roman" w:hAnsi="Times New Roman" w:cs="Times New Roman"/>
          <w:i/>
          <w:iCs/>
        </w:rPr>
        <w:t>Higher Education</w:t>
      </w:r>
      <w:r w:rsidRPr="00F549B3">
        <w:rPr>
          <w:rFonts w:ascii="Times New Roman" w:hAnsi="Times New Roman" w:cs="Times New Roman"/>
        </w:rPr>
        <w:t xml:space="preserve">, </w:t>
      </w:r>
      <w:r w:rsidRPr="00F549B3">
        <w:rPr>
          <w:rFonts w:ascii="Times New Roman" w:hAnsi="Times New Roman" w:cs="Times New Roman"/>
          <w:i/>
          <w:iCs/>
        </w:rPr>
        <w:t>72</w:t>
      </w:r>
      <w:r w:rsidRPr="00F549B3">
        <w:rPr>
          <w:rFonts w:ascii="Times New Roman" w:hAnsi="Times New Roman" w:cs="Times New Roman"/>
        </w:rPr>
        <w:t xml:space="preserve">(4), 413–434. </w:t>
      </w:r>
      <w:hyperlink r:id="rId13">
        <w:r w:rsidRPr="00F549B3">
          <w:rPr>
            <w:rStyle w:val="Kpr"/>
            <w:rFonts w:ascii="Times New Roman" w:hAnsi="Times New Roman" w:cs="Times New Roman"/>
          </w:rPr>
          <w:t>https://doi.org/10.1007/s10734-016-0016-x</w:t>
        </w:r>
      </w:hyperlink>
    </w:p>
    <w:p w14:paraId="2100B134"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Ministry of Industry and Technology. (2025). </w:t>
      </w:r>
      <w:r w:rsidRPr="00F549B3">
        <w:rPr>
          <w:rFonts w:ascii="Times New Roman" w:hAnsi="Times New Roman" w:cs="Times New Roman"/>
          <w:i/>
          <w:iCs/>
        </w:rPr>
        <w:t>Research on the socio-economic development ranking of provinces and regions (SEGE-2025)</w:t>
      </w:r>
      <w:r w:rsidRPr="00F549B3">
        <w:rPr>
          <w:rFonts w:ascii="Times New Roman" w:hAnsi="Times New Roman" w:cs="Times New Roman"/>
        </w:rPr>
        <w:t>. Republic of Türkiye Ministry of Industry and Technology.</w:t>
      </w:r>
    </w:p>
    <w:p w14:paraId="329ACAFE"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Ortaçtepe Hart, D. (2023). </w:t>
      </w:r>
      <w:r w:rsidRPr="00F549B3">
        <w:rPr>
          <w:rFonts w:ascii="Times New Roman" w:hAnsi="Times New Roman" w:cs="Times New Roman"/>
          <w:i/>
          <w:iCs/>
        </w:rPr>
        <w:t>Social justice and the language classroom: Reflection, action, and transformation</w:t>
      </w:r>
      <w:r w:rsidRPr="00F549B3">
        <w:rPr>
          <w:rFonts w:ascii="Times New Roman" w:hAnsi="Times New Roman" w:cs="Times New Roman"/>
        </w:rPr>
        <w:t>. Edinburgh University Press.</w:t>
      </w:r>
    </w:p>
    <w:p w14:paraId="776A4777"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Ou, M., Hult, F. M., &amp; Gu, M. M. (2022). Language policy and planning for English-medium instruction in higher education. </w:t>
      </w:r>
      <w:r w:rsidRPr="00F549B3">
        <w:rPr>
          <w:rFonts w:ascii="Times New Roman" w:hAnsi="Times New Roman" w:cs="Times New Roman"/>
          <w:i/>
          <w:iCs/>
        </w:rPr>
        <w:t>Journal of English-Medium Instruction</w:t>
      </w:r>
      <w:r w:rsidRPr="00F549B3">
        <w:rPr>
          <w:rFonts w:ascii="Times New Roman" w:hAnsi="Times New Roman" w:cs="Times New Roman"/>
        </w:rPr>
        <w:t xml:space="preserve">, </w:t>
      </w:r>
      <w:r w:rsidRPr="00F549B3">
        <w:rPr>
          <w:rFonts w:ascii="Times New Roman" w:hAnsi="Times New Roman" w:cs="Times New Roman"/>
          <w:i/>
          <w:iCs/>
        </w:rPr>
        <w:t>1</w:t>
      </w:r>
      <w:r w:rsidRPr="00F549B3">
        <w:rPr>
          <w:rFonts w:ascii="Times New Roman" w:hAnsi="Times New Roman" w:cs="Times New Roman"/>
        </w:rPr>
        <w:t xml:space="preserve">(1), 7–28. </w:t>
      </w:r>
      <w:hyperlink r:id="rId14">
        <w:r w:rsidRPr="00F549B3">
          <w:rPr>
            <w:rStyle w:val="Kpr"/>
            <w:rFonts w:ascii="Times New Roman" w:hAnsi="Times New Roman" w:cs="Times New Roman"/>
          </w:rPr>
          <w:t>https://doi.org/10.1075/jemi.21021.ou</w:t>
        </w:r>
      </w:hyperlink>
    </w:p>
    <w:p w14:paraId="43448E3A"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Piller, I. (2016). </w:t>
      </w:r>
      <w:r w:rsidRPr="00F549B3">
        <w:rPr>
          <w:rFonts w:ascii="Times New Roman" w:hAnsi="Times New Roman" w:cs="Times New Roman"/>
          <w:i/>
          <w:iCs/>
        </w:rPr>
        <w:t>Linguistic diversity and social justice: An introduction to applied sociolinguistics</w:t>
      </w:r>
      <w:r w:rsidRPr="00F549B3">
        <w:rPr>
          <w:rFonts w:ascii="Times New Roman" w:hAnsi="Times New Roman" w:cs="Times New Roman"/>
        </w:rPr>
        <w:t>. Oxford University Press.</w:t>
      </w:r>
    </w:p>
    <w:p w14:paraId="3811136C"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lastRenderedPageBreak/>
        <w:t xml:space="preserve">Riazi, A. M. (2016). </w:t>
      </w:r>
      <w:r w:rsidRPr="00F549B3">
        <w:rPr>
          <w:rFonts w:ascii="Times New Roman" w:hAnsi="Times New Roman" w:cs="Times New Roman"/>
          <w:i/>
          <w:iCs/>
        </w:rPr>
        <w:t>The Routledge encyclopedia of research methods in applied linguistics: Quantitative, qualitative, and mixed-methods research</w:t>
      </w:r>
      <w:r w:rsidRPr="00F549B3">
        <w:rPr>
          <w:rFonts w:ascii="Times New Roman" w:hAnsi="Times New Roman" w:cs="Times New Roman"/>
        </w:rPr>
        <w:t>. Routledge.</w:t>
      </w:r>
    </w:p>
    <w:p w14:paraId="0222F399"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Soler, J. (2024). Linguistic justice in English-medium instruction contexts: A theoretical argument. </w:t>
      </w:r>
      <w:r w:rsidRPr="00F549B3">
        <w:rPr>
          <w:rFonts w:ascii="Times New Roman" w:hAnsi="Times New Roman" w:cs="Times New Roman"/>
          <w:i/>
          <w:iCs/>
        </w:rPr>
        <w:t>Journal of English as a Lingua Franca</w:t>
      </w:r>
      <w:r w:rsidRPr="00F549B3">
        <w:rPr>
          <w:rFonts w:ascii="Times New Roman" w:hAnsi="Times New Roman" w:cs="Times New Roman"/>
        </w:rPr>
        <w:t xml:space="preserve">, </w:t>
      </w:r>
      <w:r w:rsidRPr="00F549B3">
        <w:rPr>
          <w:rFonts w:ascii="Times New Roman" w:hAnsi="Times New Roman" w:cs="Times New Roman"/>
          <w:i/>
          <w:iCs/>
        </w:rPr>
        <w:t>13</w:t>
      </w:r>
      <w:r w:rsidRPr="00F549B3">
        <w:rPr>
          <w:rFonts w:ascii="Times New Roman" w:hAnsi="Times New Roman" w:cs="Times New Roman"/>
        </w:rPr>
        <w:t xml:space="preserve">(1), 11–28. </w:t>
      </w:r>
      <w:hyperlink r:id="rId15">
        <w:r w:rsidRPr="00F549B3">
          <w:rPr>
            <w:rStyle w:val="Kpr"/>
            <w:rFonts w:ascii="Times New Roman" w:hAnsi="Times New Roman" w:cs="Times New Roman"/>
          </w:rPr>
          <w:t>https://doi.org/10.1515/jelf-2024-2003</w:t>
        </w:r>
      </w:hyperlink>
    </w:p>
    <w:p w14:paraId="11E7F480"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Soruç, A., Altay, M., Curle, S., &amp; Yüksel, D. (2021). Students’ academic language-related challenges in English medium instruction: The role of English proficiency and language gain. </w:t>
      </w:r>
      <w:r w:rsidRPr="00F549B3">
        <w:rPr>
          <w:rFonts w:ascii="Times New Roman" w:hAnsi="Times New Roman" w:cs="Times New Roman"/>
          <w:i/>
          <w:iCs/>
        </w:rPr>
        <w:t>System</w:t>
      </w:r>
      <w:r w:rsidRPr="00F549B3">
        <w:rPr>
          <w:rFonts w:ascii="Times New Roman" w:hAnsi="Times New Roman" w:cs="Times New Roman"/>
        </w:rPr>
        <w:t xml:space="preserve">, </w:t>
      </w:r>
      <w:r w:rsidRPr="00F549B3">
        <w:rPr>
          <w:rFonts w:ascii="Times New Roman" w:hAnsi="Times New Roman" w:cs="Times New Roman"/>
          <w:i/>
          <w:iCs/>
        </w:rPr>
        <w:t>103</w:t>
      </w:r>
      <w:r w:rsidRPr="00F549B3">
        <w:rPr>
          <w:rFonts w:ascii="Times New Roman" w:hAnsi="Times New Roman" w:cs="Times New Roman"/>
        </w:rPr>
        <w:t xml:space="preserve">, 102651. </w:t>
      </w:r>
      <w:hyperlink r:id="rId16">
        <w:r w:rsidRPr="00F549B3">
          <w:rPr>
            <w:rStyle w:val="Kpr"/>
            <w:rFonts w:ascii="Times New Roman" w:hAnsi="Times New Roman" w:cs="Times New Roman"/>
          </w:rPr>
          <w:t>https://doi.org/10.1016/j.system.2021.102651</w:t>
        </w:r>
      </w:hyperlink>
    </w:p>
    <w:p w14:paraId="0A9B83A9"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Turkish Statistical Institute. (2025). </w:t>
      </w:r>
      <w:r w:rsidRPr="00F549B3">
        <w:rPr>
          <w:rFonts w:ascii="Times New Roman" w:hAnsi="Times New Roman" w:cs="Times New Roman"/>
          <w:i/>
          <w:iCs/>
        </w:rPr>
        <w:t>Population Statistics Portal: Population by age group</w:t>
      </w:r>
      <w:r w:rsidRPr="00F549B3">
        <w:rPr>
          <w:rFonts w:ascii="Times New Roman" w:hAnsi="Times New Roman" w:cs="Times New Roman"/>
        </w:rPr>
        <w:t>.</w:t>
      </w:r>
    </w:p>
    <w:p w14:paraId="0B169482"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Wang, Z. (2025). Critical English Medium Instruction in Higher Education. </w:t>
      </w:r>
      <w:r w:rsidRPr="00F549B3">
        <w:rPr>
          <w:rFonts w:ascii="Times New Roman" w:hAnsi="Times New Roman" w:cs="Times New Roman"/>
          <w:i/>
          <w:iCs/>
        </w:rPr>
        <w:t>Applied Linguistics</w:t>
      </w:r>
      <w:r w:rsidRPr="00F549B3">
        <w:rPr>
          <w:rFonts w:ascii="Times New Roman" w:hAnsi="Times New Roman" w:cs="Times New Roman"/>
        </w:rPr>
        <w:t xml:space="preserve">. Advance online publication. </w:t>
      </w:r>
      <w:hyperlink r:id="rId17">
        <w:r w:rsidRPr="00F549B3">
          <w:rPr>
            <w:rStyle w:val="Kpr"/>
            <w:rFonts w:ascii="Times New Roman" w:hAnsi="Times New Roman" w:cs="Times New Roman"/>
          </w:rPr>
          <w:t>https://doi.org/10.1093/applin/amaf048</w:t>
        </w:r>
      </w:hyperlink>
    </w:p>
    <w:p w14:paraId="7C4BF5D9" w14:textId="77777777" w:rsidR="00BA5251" w:rsidRPr="00F549B3" w:rsidRDefault="00000000">
      <w:pPr>
        <w:pStyle w:val="GvdeMetni"/>
        <w:rPr>
          <w:rFonts w:ascii="Times New Roman" w:hAnsi="Times New Roman" w:cs="Times New Roman"/>
        </w:rPr>
      </w:pPr>
      <w:r w:rsidRPr="00F549B3">
        <w:rPr>
          <w:rFonts w:ascii="Times New Roman" w:hAnsi="Times New Roman" w:cs="Times New Roman"/>
        </w:rPr>
        <w:t xml:space="preserve">Yüksel, D., Soruç, A., Altay, M., &amp; Curle, S. (2021). A longitudinal study at an English medium instruction university in Turkey: The interplay between English language improvement and academic success. </w:t>
      </w:r>
      <w:r w:rsidRPr="00F549B3">
        <w:rPr>
          <w:rFonts w:ascii="Times New Roman" w:hAnsi="Times New Roman" w:cs="Times New Roman"/>
          <w:i/>
          <w:iCs/>
        </w:rPr>
        <w:t>Applied Linguistics Review</w:t>
      </w:r>
      <w:r w:rsidRPr="00F549B3">
        <w:rPr>
          <w:rFonts w:ascii="Times New Roman" w:hAnsi="Times New Roman" w:cs="Times New Roman"/>
        </w:rPr>
        <w:t xml:space="preserve">, </w:t>
      </w:r>
      <w:r w:rsidRPr="00F549B3">
        <w:rPr>
          <w:rFonts w:ascii="Times New Roman" w:hAnsi="Times New Roman" w:cs="Times New Roman"/>
          <w:i/>
          <w:iCs/>
        </w:rPr>
        <w:t>14</w:t>
      </w:r>
      <w:r w:rsidRPr="00F549B3">
        <w:rPr>
          <w:rFonts w:ascii="Times New Roman" w:hAnsi="Times New Roman" w:cs="Times New Roman"/>
        </w:rPr>
        <w:t xml:space="preserve">(3), 533–552. </w:t>
      </w:r>
      <w:hyperlink r:id="rId18">
        <w:r w:rsidRPr="00F549B3">
          <w:rPr>
            <w:rStyle w:val="Kpr"/>
            <w:rFonts w:ascii="Times New Roman" w:hAnsi="Times New Roman" w:cs="Times New Roman"/>
          </w:rPr>
          <w:t>https://doi.org/10.1515/applirev-2020-0097</w:t>
        </w:r>
      </w:hyperlink>
      <w:bookmarkEnd w:id="0"/>
      <w:bookmarkEnd w:id="32"/>
    </w:p>
    <w:sectPr w:rsidR="00BA5251" w:rsidRPr="00F549B3">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E0F5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5C00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2B690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6423770">
    <w:abstractNumId w:val="0"/>
  </w:num>
  <w:num w:numId="2" w16cid:durableId="64947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7022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A5251"/>
    <w:rsid w:val="0091725F"/>
    <w:rsid w:val="009B60F4"/>
    <w:rsid w:val="00BA5251"/>
    <w:rsid w:val="00F54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0100"/>
  <w15:docId w15:val="{2DA66B33-D550-3240-A035-4FE5EBD0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91/1478088706qp063oa" TargetMode="External"/><Relationship Id="rId13" Type="http://schemas.openxmlformats.org/officeDocument/2006/relationships/hyperlink" Target="https://doi.org/10.1007/s10734-016-0016-x" TargetMode="External"/><Relationship Id="rId18" Type="http://schemas.openxmlformats.org/officeDocument/2006/relationships/hyperlink" Target="https://doi.org/10.1515/applirev-2020-0097" TargetMode="External"/><Relationship Id="rId3" Type="http://schemas.openxmlformats.org/officeDocument/2006/relationships/settings" Target="settings.xml"/><Relationship Id="rId7" Type="http://schemas.openxmlformats.org/officeDocument/2006/relationships/hyperlink" Target="https://doi.org/10.1075/jemi.24002.alt" TargetMode="External"/><Relationship Id="rId12" Type="http://schemas.openxmlformats.org/officeDocument/2006/relationships/hyperlink" Target="https://doi.org/10.1017/S0261444817000350" TargetMode="External"/><Relationship Id="rId17" Type="http://schemas.openxmlformats.org/officeDocument/2006/relationships/hyperlink" Target="https://doi.org/10.1093/applin/amaf048" TargetMode="External"/><Relationship Id="rId2" Type="http://schemas.openxmlformats.org/officeDocument/2006/relationships/styles" Target="styles.xml"/><Relationship Id="rId16" Type="http://schemas.openxmlformats.org/officeDocument/2006/relationships/hyperlink" Target="https://doi.org/10.1016/j.system.2021.10265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77/1028315307303548" TargetMode="External"/><Relationship Id="rId11" Type="http://schemas.openxmlformats.org/officeDocument/2006/relationships/hyperlink" Target="https://doi.org/10.1075/jemi.21018.daf" TargetMode="External"/><Relationship Id="rId5" Type="http://schemas.openxmlformats.org/officeDocument/2006/relationships/hyperlink" Target="https://doi.org/10.1016/j.evalprogplan.2023.102297" TargetMode="External"/><Relationship Id="rId15" Type="http://schemas.openxmlformats.org/officeDocument/2006/relationships/hyperlink" Target="https://doi.org/10.1515/jelf-2024-2003" TargetMode="External"/><Relationship Id="rId10" Type="http://schemas.openxmlformats.org/officeDocument/2006/relationships/hyperlink" Target="https://doi.org/10.1016/j.system.2020.10237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s10993-024-09724-4" TargetMode="External"/><Relationship Id="rId14" Type="http://schemas.openxmlformats.org/officeDocument/2006/relationships/hyperlink" Target="https://doi.org/10.1075/jemi.21021.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5621</Words>
  <Characters>35643</Characters>
  <Application>Microsoft Office Word</Application>
  <DocSecurity>0</DocSecurity>
  <Lines>828</Lines>
  <Paragraphs>382</Paragraphs>
  <ScaleCrop>false</ScaleCrop>
  <Company/>
  <LinksUpToDate>false</LinksUpToDate>
  <CharactersWithSpaces>40882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Mehmet ALTAY</cp:lastModifiedBy>
  <cp:revision>2</cp:revision>
  <dcterms:created xsi:type="dcterms:W3CDTF">2026-04-19T19:47:00Z</dcterms:created>
  <dcterms:modified xsi:type="dcterms:W3CDTF">2026-04-19T19:48:00Z</dcterms:modified>
</cp:coreProperties>
</file>