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Adaptive Computerized Dynamic Assessment: Synthesizing Eye-Tracking and Reader Profiles for Inclusive English Reading Comprehension</w:t>
      </w:r>
    </w:p>
    <w:p>
      <w:pPr>
        <w:jc w:val="center"/>
      </w:pPr>
      <w:r>
        <w:rPr>
          <w:i/>
        </w:rPr>
        <w:t>Full Research Proposal — Cambridge English Funded Research Programme (Round 14)</w:t>
      </w:r>
    </w:p>
    <w:p>
      <w:pPr>
        <w:pStyle w:val="Heading1"/>
      </w:pPr>
      <w:r>
        <w:t>Alignment with the Round 14 call</w:t>
      </w:r>
    </w:p>
    <w:p>
      <w:r>
        <w:t>This proposal addresses Round 14 priorities around emerging constructs and digitally mediated assessment by modelling reading comprehension as jointly evidenced by (a) product scores, (b) traceable processing behaviours, and (c) responsiveness to calibrated mediation. Rather than treating comprehension as a single latent trait inferred only from item responses, the study articulates how moment-to-moment allocation of attention—indexed through eye-movement parameters—can inform which scaffolding is triggered for which learner on which item type. The design therefore targets explanatory fairness: it links observable processing signatures to adaptive support aligned with the Zone of Proximal Development (ZPD), supporting more equitable inferences for diverse EFL readers when digital tests risk under-representing emerging abilities (McNamara, 2014; Poehner &amp; Wang, 2021).</w:t>
      </w:r>
    </w:p>
    <w:p>
      <w:pPr>
        <w:pStyle w:val="Heading1"/>
      </w:pPr>
      <w:r>
        <w:t>Background and context of the study</w:t>
      </w:r>
    </w:p>
    <w:p>
      <w:r>
        <w:t>McNamara (2014) argued that language assessment must confront technological change and shifting communicative realities; digital delivery now makes process capture feasible at scale, reopening questions about what should count as evidence in reading assessment. Two research programmes are especially relevant.</w:t>
        <w:br/>
        <w:br/>
        <w:t>Eye-tracking and process-oriented validity in language testing. Eye-movement recording has become a standard complement to outcome scores when researchers ask whether tests elicit the cognitive processes their constructs imply (Bax, 2013). In high-stakes reading assessment, process evidence can support validity arguments by describing how candidates allocate attention across text and items (Lim, 2020). Related work shows how individual differences interact with gaze during L2 reading-for-testing tasks (Tywoniw, 2023). Eye-tracking has also been applied beyond reading-for-comprehension screens—for example to analyse attention to visual cues in L2 listening tests (Batty, 2020)—illustrating how process data can be embedded in computer-delivered tasks more broadly. Syntheses and introductions in second language research position eye-tracking as a method that increasingly pairs with other evidence sources and with interdisciplinary tooling (Godfroid, Winke, &amp; Conklin, 2020). A recent review maps the growth of eye-tracking research in L2 assessment and foregrounds cognitive validity and processing patterns among recurring themes (Cao &amp; Ma, 2025). Across these lines of work, gaze indices are typically treated as auxiliary evidence that constrains interpretation of performance rather than as standalone proficiency scores.</w:t>
        <w:br/>
        <w:br/>
        <w:t>Dynamic assessment and technology-mediated mediation. Sociocultural Dynamic Assessment (DA) integrates assessment and instruction so that the aim includes estimating emerging abilities through cooperative mediation (Lantolf &amp; Poehner, 2010; Poehner &amp; Lantolf, 2005). Computerised Dynamic Assessment (C-DA) scales interventionist mediation through graduated prompts and yields multi-index profiles of responsiveness (Poehner, Zhang, &amp; Lu, 2015; Zhang &amp; Lu, 2019). Contemporary accounts emphasise DA’s relevance to digital ecologies and to diagnosing development during mediation (Poehner &amp; Wang, 2021). Recent classroom-oriented implementations further demonstrate how hybrid computerised DA can combine interactionist insights with scalable delivery in L2 reading contexts (Jin &amp; Liu, 2024). However, many C-DA systems still deliver largely fixed mediation ladders and therefore under-use continuous evidence about how a learner is processing the text at hand.</w:t>
        <w:br/>
        <w:br/>
        <w:t>Heterogeneity in L2 reading. Large-scale eye-movement corpora underscore that predictors of fluency and comprehension need not align uniformly across multilingual readers (Kuperman et al., 2023), motivating profile-sensitive assessment designs. Reader profiles tied to competence and motivational–cognitive resources provide stable priors for interpreting gaze (Alexander, 2005; Dinsmore et al., 2018).</w:t>
        <w:br/>
        <w:br/>
        <w:t>Synthesis. The project integrates process-oriented validity logic from eye-tracking research in language testing with technology-mediated DA: real-time indices of processing difficulty become inputs to mediation selection, while outcome and mediation traces remain primary evidentiary objects.</w:t>
        <w:br/>
        <w:br/>
        <w:t>Literature sources informing this synthesis were identified through Web of Science Core Collection searches (e.g., topic queries pairing computerised dynamic assessment with reading/L2; eye tracking with language testing) and supplemented with publisher metadata (Crossref) for DOI-verified citations. Complementary discovery in Google Scholar and ResearchGate was used to confirm bibliographic details for handbooks and recent CALL articles where needed.</w:t>
      </w:r>
    </w:p>
    <w:p>
      <w:pPr>
        <w:pStyle w:val="Heading1"/>
      </w:pPr>
      <w:r>
        <w:t>Research gap</w:t>
      </w:r>
    </w:p>
    <w:p>
      <w:r>
        <w:t>Three gaps motivate Adaptive Interventionist Dynamic Assessment (A-IDA). First, scalable Interventionist C-DA trades away moment-to-moment responsiveness: mediation is typically pre-sequenced rather than conditional on ongoing comprehension signals. Second, although eye-tracking has been used to evaluate tests and tasks, fewer implementations close the loop by using gaze features to adapt scaffolding inside the assessment session itself. Third, product-only scoring leaves explanatory gaps when learners with different profiles produce similar scores or when scores understate emerging ability.</w:t>
        <w:br/>
        <w:br/>
        <w:t>A-IDA targets a synthesis: eye-tracking metrics and reader-profile classifications jointly trigger individualised scaffolding during computerised reading, enabling empirical comparison against traditional C-DA and a non-mediated control.</w:t>
      </w:r>
    </w:p>
    <w:p>
      <w:pPr>
        <w:pStyle w:val="Heading1"/>
      </w:pPr>
      <w:r>
        <w:t>Research questions</w:t>
      </w:r>
    </w:p>
    <w:p>
      <w:r>
        <w:t>1. Are there significant differences in reading comprehension outcomes and response times among participants assigned to A-IDA, a traditional computerised Interventionist DA sequence, and a non-mediated control condition?</w:t>
        <w:br/>
        <w:br/>
        <w:t>2. How do comprehension outcomes and response times vary across reader profiles (e.g., highly competent, effortful, challenged) under A-IDA compared with traditional C-DA?</w:t>
        <w:br/>
        <w:br/>
        <w:t>3. What relationships obtain between eye-movement parameters (e.g., fixation-based difficulty proxies, regressive saccades) and the type and frequency of scaffolding cues triggered during testing?</w:t>
      </w:r>
    </w:p>
    <w:p>
      <w:pPr>
        <w:pStyle w:val="Heading1"/>
      </w:pPr>
      <w:r>
        <w:t>Research design</w:t>
      </w:r>
    </w:p>
    <w:p>
      <w:r>
        <w:t>The study follows design-based research (DBR) using the ADDIE cycle (Analysis, Design, Development, Implementation, Evaluation) to build, pilot, and refine A-IDA across iterative micro-cycles. DBR fits because the artefact (an adaptive testing interface) and its instrumentation co-evolve with evidence from learner use (McNamara, 2014; Poehner &amp; Wang, 2021).</w:t>
        <w:br/>
        <w:br/>
        <w:t>Figure 1 summarises the processing architecture. In live operation, gaze streams are segmented into fixations and saccades; derived features feed a profile-aware decision layer that selects mediation from a validated bank mapped to item-level skills (e.g., inferencing, cohesion). Insert Figure 1 in Word as a flowchart (Insert → SmartArt → Process, or an exported diagram).</w:t>
        <w:br/>
        <w:br/>
        <w:t>Table 1 outlines a 12-month timeline aligned to the programme window (December 2026–December 2027). Exact months will be adjusted for ethics approval and term dates.</w:t>
      </w:r>
    </w:p>
    <w:p/>
    <w:tbl>
      <w:tblPr>
        <w:tblW w:type="auto" w:w="0"/>
        <w:tblLook w:firstColumn="1" w:firstRow="1" w:lastColumn="0" w:lastRow="0" w:noHBand="0" w:noVBand="1" w:val="04A0"/>
      </w:tblPr>
      <w:tblGrid>
        <w:gridCol w:w="2160"/>
        <w:gridCol w:w="2160"/>
        <w:gridCol w:w="2160"/>
        <w:gridCol w:w="2160"/>
      </w:tblGrid>
      <w:tr>
        <w:tc>
          <w:tcPr>
            <w:tcW w:type="dxa" w:w="2160"/>
          </w:tcPr>
          <w:p>
            <w:r>
              <w:t>Phase (ADDIE)</w:t>
            </w:r>
          </w:p>
        </w:tc>
        <w:tc>
          <w:tcPr>
            <w:tcW w:type="dxa" w:w="2160"/>
          </w:tcPr>
          <w:p>
            <w:r>
              <w:t>Period</w:t>
            </w:r>
          </w:p>
        </w:tc>
        <w:tc>
          <w:tcPr>
            <w:tcW w:type="dxa" w:w="2160"/>
          </w:tcPr>
          <w:p>
            <w:r>
              <w:t>Primary outputs</w:t>
            </w:r>
          </w:p>
        </w:tc>
        <w:tc>
          <w:tcPr>
            <w:tcW w:type="dxa" w:w="2160"/>
          </w:tcPr>
          <w:p>
            <w:r>
              <w:t>Evaluation focus</w:t>
            </w:r>
          </w:p>
        </w:tc>
      </w:tr>
      <w:tr>
        <w:tc>
          <w:tcPr>
            <w:tcW w:type="dxa" w:w="2160"/>
          </w:tcPr>
          <w:p>
            <w:r>
              <w:t>Analysis</w:t>
            </w:r>
          </w:p>
        </w:tc>
        <w:tc>
          <w:tcPr>
            <w:tcW w:type="dxa" w:w="2160"/>
          </w:tcPr>
          <w:p>
            <w:r>
              <w:t>Dec 2026 – Jan 2027</w:t>
            </w:r>
          </w:p>
        </w:tc>
        <w:tc>
          <w:tcPr>
            <w:tcW w:type="dxa" w:w="2160"/>
          </w:tcPr>
          <w:p>
            <w:r>
              <w:t>Needs analysis; risk register; mediation taxonomy v0</w:t>
            </w:r>
          </w:p>
        </w:tc>
        <w:tc>
          <w:tcPr>
            <w:tcW w:type="dxa" w:w="2160"/>
          </w:tcPr>
          <w:p>
            <w:r>
              <w:t>Construct map ↔ Cambridge item types</w:t>
            </w:r>
          </w:p>
        </w:tc>
      </w:tr>
      <w:tr>
        <w:tc>
          <w:tcPr>
            <w:tcW w:type="dxa" w:w="2160"/>
          </w:tcPr>
          <w:p>
            <w:r>
              <w:t>Design</w:t>
            </w:r>
          </w:p>
        </w:tc>
        <w:tc>
          <w:tcPr>
            <w:tcW w:type="dxa" w:w="2160"/>
          </w:tcPr>
          <w:p>
            <w:r>
              <w:t>Feb – Mar 2027</w:t>
            </w:r>
          </w:p>
        </w:tc>
        <w:tc>
          <w:tcPr>
            <w:tcW w:type="dxa" w:w="2160"/>
          </w:tcPr>
          <w:p>
            <w:r>
              <w:t>Wireframes; cue database v1; pilot battery; analysis preregistration</w:t>
            </w:r>
          </w:p>
        </w:tc>
        <w:tc>
          <w:tcPr>
            <w:tcW w:type="dxa" w:w="2160"/>
          </w:tcPr>
          <w:p>
            <w:r>
              <w:t>Expert review (n = 5)</w:t>
            </w:r>
          </w:p>
        </w:tc>
      </w:tr>
      <w:tr>
        <w:tc>
          <w:tcPr>
            <w:tcW w:type="dxa" w:w="2160"/>
          </w:tcPr>
          <w:p>
            <w:r>
              <w:t>Development</w:t>
            </w:r>
          </w:p>
        </w:tc>
        <w:tc>
          <w:tcPr>
            <w:tcW w:type="dxa" w:w="2160"/>
          </w:tcPr>
          <w:p>
            <w:r>
              <w:t>Apr – Jul 2027</w:t>
            </w:r>
          </w:p>
        </w:tc>
        <w:tc>
          <w:tcPr>
            <w:tcW w:type="dxa" w:w="2160"/>
          </w:tcPr>
          <w:p>
            <w:r>
              <w:t>EyeLink–PsychoPy/PyQt integration; online feature pipeline; rules v1</w:t>
            </w:r>
          </w:p>
        </w:tc>
        <w:tc>
          <w:tcPr>
            <w:tcW w:type="dxa" w:w="2160"/>
          </w:tcPr>
          <w:p>
            <w:r>
              <w:t>Latency; reliability of gaze features</w:t>
            </w:r>
          </w:p>
        </w:tc>
      </w:tr>
      <w:tr>
        <w:tc>
          <w:tcPr>
            <w:tcW w:type="dxa" w:w="2160"/>
          </w:tcPr>
          <w:p>
            <w:r>
              <w:t>Implementation</w:t>
            </w:r>
          </w:p>
        </w:tc>
        <w:tc>
          <w:tcPr>
            <w:tcW w:type="dxa" w:w="2160"/>
          </w:tcPr>
          <w:p>
            <w:r>
              <w:t>Aug – Sep 2027</w:t>
            </w:r>
          </w:p>
        </w:tc>
        <w:tc>
          <w:tcPr>
            <w:tcW w:type="dxa" w:w="2160"/>
          </w:tcPr>
          <w:p>
            <w:r>
              <w:t>Pilot (n ≈ 20–30); tune thresholds</w:t>
            </w:r>
          </w:p>
        </w:tc>
        <w:tc>
          <w:tcPr>
            <w:tcW w:type="dxa" w:w="2160"/>
          </w:tcPr>
          <w:p>
            <w:r>
              <w:t>Usability; cue–item alignment</w:t>
            </w:r>
          </w:p>
        </w:tc>
      </w:tr>
      <w:tr>
        <w:tc>
          <w:tcPr>
            <w:tcW w:type="dxa" w:w="2160"/>
          </w:tcPr>
          <w:p>
            <w:r>
              <w:t>Evaluation</w:t>
            </w:r>
          </w:p>
        </w:tc>
        <w:tc>
          <w:tcPr>
            <w:tcW w:type="dxa" w:w="2160"/>
          </w:tcPr>
          <w:p>
            <w:r>
              <w:t>Oct – Dec 2027</w:t>
            </w:r>
          </w:p>
        </w:tc>
        <w:tc>
          <w:tcPr>
            <w:tcW w:type="dxa" w:w="2160"/>
          </w:tcPr>
          <w:p>
            <w:r>
              <w:t>Main study; analysis; reporting; handover pack</w:t>
            </w:r>
          </w:p>
        </w:tc>
        <w:tc>
          <w:tcPr>
            <w:tcW w:type="dxa" w:w="2160"/>
          </w:tcPr>
          <w:p>
            <w:r>
              <w:t>Effects; process–outcome models</w:t>
            </w:r>
          </w:p>
        </w:tc>
      </w:tr>
    </w:tbl>
    <w:p/>
    <w:p>
      <w:r>
        <w:t>Figure 1. A-IDA cycle: gaze acquisition → event detection (fixations, regressions) → profile-aware mediation selection → delivery via the testing UI → logged outcomes for analysis.</w:t>
      </w:r>
    </w:p>
    <w:p>
      <w:pPr>
        <w:pStyle w:val="Heading1"/>
      </w:pPr>
      <w:r>
        <w:t>Methodology</w:t>
      </w:r>
    </w:p>
    <w:p>
      <w:pPr>
        <w:pStyle w:val="Heading2"/>
      </w:pPr>
      <w:r>
        <w:t>Rationale for proposed methods</w:t>
      </w:r>
    </w:p>
    <w:p>
      <w:r>
        <w:t>Eye-tracking is included because it captures how comprehension unfolds during test completion, aligning with process-oriented validity arguments in language testing research (Bax, 2013; Godfroid, Winke, &amp; Conklin, 2020; Lim, 2020). Fixation- and regression-based features provide proxies for difficulty and strategic reanalysis within trial windows compatible with mediated items. Profile classification (Alexander, 2005; Dinsmore et al., 2018) supplies priors that reduce overfitting idiosyncratic gaze noise. The learning potential score (LPS) family remains appropriate because it indexes responsiveness to mediation relative to unassisted performance (Poehner et al., 2015; Zhang &amp; Lu, 2019). Scikit-learn decision rules offer an interpretable first-generation mapping from features to mediation levels—auditable for stakeholders—before more complex models are considered once trace datasets exist.</w:t>
      </w:r>
    </w:p>
    <w:p>
      <w:pPr>
        <w:pStyle w:val="Heading2"/>
      </w:pPr>
      <w:r>
        <w:t>Participants and research team</w:t>
      </w:r>
    </w:p>
    <w:p>
      <w:r>
        <w:t>Participants will be EFL undergraduates in English-medium programmes at a public university in Türkiye. Vocabulary screening will target intermediate–upper intermediate readers (approximately 5,000–6,000 word families) to align with Cambridge-level tasks. Reader profiles will follow Alexander (2005) as informed by interest and prior knowledge (Dinsmore et al., 2018). Target recruitment is approximately 60–90 participants (20–30 per arm), preceded by a pilot to stabilise mediation thresholds. The team combines applied linguists/assessment researchers with a software engineer for the adaptive interface—consistent with principled mediation design in computerised DA (Jin &amp; Liu, 2024).</w:t>
      </w:r>
    </w:p>
    <w:p>
      <w:pPr>
        <w:pStyle w:val="Heading2"/>
      </w:pPr>
      <w:r>
        <w:t>Instruments and data collection</w:t>
      </w:r>
    </w:p>
    <w:p>
      <w:r>
        <w:t>Reading materials and items will be drawn from validated Cambridge English examinations (e.g., B2 First, C1 Advanced, or IELTS Academic reading), supporting alignment with Cambridge constructs. An expert panel (five applied linguists) will review text–mediation mapping before pilots.</w:t>
        <w:br/>
        <w:br/>
        <w:t>Eye-tracking will use the SR Research EyeLink Portable Duo available in the lab. The stack (pylink, PsychoPy, PyQt5; NumPy/Pandas for online features) prioritises timing fidelity. Mediation banks follow graduated prompting while allowing profile-conditioned branches (Jin &amp; Liu, 2024; Poehner et al., 2015).</w:t>
      </w:r>
    </w:p>
    <w:p>
      <w:pPr>
        <w:pStyle w:val="Heading2"/>
      </w:pPr>
      <w:r>
        <w:t>Procedure and analysis</w:t>
      </w:r>
    </w:p>
    <w:p>
      <w:r>
        <w:t>Participants will be randomly assigned to A-IDA, standard C-DA, or control. Dependent variables include accuracy, response time, mediation level, and LPS contrasts. Omnibus comparisons (e.g., one-way ANOVA or robust alternatives) will contrast arms; moderation by reader profile will use factorial or regression models; gaze–mediation relations will use correlational/regression frameworks with multiple-comparison control as appropriate. Effect sizes and confidence intervals will be reported alongside p-values.</w:t>
        <w:br/>
        <w:br/>
        <w:t>Ethics: institutional approval, informed consent, withdrawal rights, secure storage of logs, protocols for incidental findings. Data access will follow least privilege and pseudonymised identifiers.</w:t>
        <w:br/>
        <w:br/>
        <w:t>Open-science practices: the team will preregister the main confirmatory analysis plan (e.g., OSF) before the main data collection window, specifying primary contrasts, planned contrasts or simple effects for profiles, and rules for handling outliers and missing gaze segments. Materials that can be shared without violating Cambridge item copyright will be documented in a replication packet.</w:t>
        <w:br/>
        <w:br/>
        <w:t>Limitations: laboratory calibration requirements; generalisation initially to similar proficiency bands and task types; mediation rules versioned as A-IDA v1 for replication. Transparency: mediation codebook, analysis scripts, and (where copyright permits) aggregated process summaries for Cambridge stakeholders.</w:t>
      </w:r>
    </w:p>
    <w:p>
      <w:pPr>
        <w:pStyle w:val="Heading1"/>
      </w:pPr>
      <w:r>
        <w:t>Potential implications for Cambridge University Press &amp; Assessment and the wider field</w:t>
      </w:r>
    </w:p>
    <w:p>
      <w:r>
        <w:t>For Cambridge English, the project offers a research pathway toward digital assessments and learning products that pair high-quality items with interpretable, profile-sensitive feedback. Because stimuli come from Cambridge examinations, results can inform how diverse profiles engage with existing tasks—supporting item development, automated tutoring overlays, and transparency in score meaning when mediation is present.</w:t>
        <w:br/>
        <w:br/>
        <w:t>For the wider field, the work demonstrates how emerging-construct claims can be supported by linked process–product evidence (cf. Bax, 2013; Kuperman et al., 2023; Poehner &amp; Wang, 2021). Documenting mediation rules and gaze-derived features advances auditable inclusive design beyond fixed adaptive algorithms; later work can explore proxies where eye-tracking hardware is unavailable.</w:t>
      </w:r>
    </w:p>
    <w:p>
      <w:pPr>
        <w:pStyle w:val="Heading1"/>
      </w:pPr>
      <w:r>
        <w:t>References</w:t>
      </w:r>
    </w:p>
    <w:p>
      <w:pPr>
        <w:ind w:left="360" w:hanging="360"/>
      </w:pPr>
      <w:r>
        <w:t>Alexander, P. A. (2005). The path to competence: A lifespan developmental perspective on reading. Journal of Literacy Research, 37(4), 413–436.</w:t>
      </w:r>
    </w:p>
    <w:p>
      <w:pPr>
        <w:ind w:left="360" w:hanging="360"/>
      </w:pPr>
      <w:r>
        <w:t>Bax, S. (2013). The cognitive processing of candidates during reading tests: Evidence from eye-tracking. Language Testing, 30(4), 441–465. https://doi.org/10.1177/0265532212473244</w:t>
      </w:r>
    </w:p>
    <w:p>
      <w:pPr>
        <w:ind w:left="360" w:hanging="360"/>
      </w:pPr>
      <w:r>
        <w:t>Batty, A. (2020). An eye-tracking study of attention to visual cues in L2 listening tests. Language Testing, 38(4), 511–535. https://doi.org/10.1177/0265532220951504</w:t>
      </w:r>
    </w:p>
    <w:p>
      <w:pPr>
        <w:ind w:left="360" w:hanging="360"/>
      </w:pPr>
      <w:r>
        <w:t>Cao, X., &amp; Ma, Z. (2025). The review on eye-tracking studies in L2 assessment. Colombian Applied Linguistics Journal, 27(2), 51–63. https://doi.org/10.14483/22487085.22043</w:t>
      </w:r>
    </w:p>
    <w:p>
      <w:pPr>
        <w:ind w:left="360" w:hanging="360"/>
      </w:pPr>
      <w:r>
        <w:t>Dinsmore, D. L., Fox, E., Parkinson, M. M., &amp; Bilgili, F. (2018). The interplay of prior knowledge, interest, and reading comprehension. Learning and Individual Differences, 65, 477–490.</w:t>
      </w:r>
    </w:p>
    <w:p>
      <w:pPr>
        <w:ind w:left="360" w:hanging="360"/>
      </w:pPr>
      <w:r>
        <w:t>Godfroid, A., Winke, P., &amp; Conklin, K. (2020). Exploring the depths of second language processing with eye tracking: An introduction. Second Language Research, 36(3), 243–256. https://doi.org/10.1177/0267658320922578</w:t>
      </w:r>
    </w:p>
    <w:p>
      <w:pPr>
        <w:ind w:left="360" w:hanging="360"/>
      </w:pPr>
      <w:r>
        <w:t>Jin, C., &amp; Liu, Y. (2024). Diagnosing and promoting learners’ L2 inferential reading development through hybrid computerised dynamic assessment in the Chinese EFL classroom. Computer Assisted Language Learning. Advance online publication. https://doi.org/10.1080/09588221.2024.2421521</w:t>
      </w:r>
    </w:p>
    <w:p>
      <w:pPr>
        <w:ind w:left="360" w:hanging="360"/>
      </w:pPr>
      <w:r>
        <w:t>Kuperman, V., Siegelman, N., Schroeder, S., Acartürk, C., Alexeeva, S., Amenta, S., Bertram, R., Bonandrini, R., Brysbaert, M., Chernova, D., Da Fonseca, S. M., Dirix, N., Duyck, W., Fella, A., Frost, R., Gattei, C. A., Kalaitzi, A., Lõo, K., Marelli, M., … Usal, K. A. (2023). Text reading in English as a second language: Evidence from the Multilingual Eye-Movements Corpus. Studies in Second Language Acquisition, 45(1), 3–37. https://doi.org/10.1017/S0272263121000954</w:t>
      </w:r>
    </w:p>
    <w:p>
      <w:pPr>
        <w:ind w:left="360" w:hanging="360"/>
      </w:pPr>
      <w:r>
        <w:t>Lantolf, J. P., &amp; Poehner, M. E. (2004). Dynamic assessment of L2 development: Bringing the past into the future. Journal of Applied Linguistics, 1(1), 49–72.</w:t>
      </w:r>
    </w:p>
    <w:p>
      <w:pPr>
        <w:ind w:left="360" w:hanging="360"/>
      </w:pPr>
      <w:r>
        <w:t>Lantolf, J. P., &amp; Poehner, M. E. (2010). Dynamic assessment in the classroom: Vygotskian praxis for second language development. Language Teaching Research, 15(1), 11–33.</w:t>
      </w:r>
    </w:p>
    <w:p>
      <w:pPr>
        <w:ind w:left="360" w:hanging="360"/>
      </w:pPr>
      <w:r>
        <w:t>Lim, H. (2020). Exploring the validity evidence of a high-stake, second language reading test: An eye-tracking study. Language Testing in Asia, 10, Article 14. https://doi.org/10.1186/s40468-020-00107-0</w:t>
      </w:r>
    </w:p>
    <w:p>
      <w:pPr>
        <w:ind w:left="360" w:hanging="360"/>
      </w:pPr>
      <w:r>
        <w:t>McNamara, T. (2014). 30 years on—Evolution or revolution? Language Assessment Quarterly, 11(2), 226–232.</w:t>
      </w:r>
    </w:p>
    <w:p>
      <w:pPr>
        <w:ind w:left="360" w:hanging="360"/>
      </w:pPr>
      <w:r>
        <w:t>Poehner, M. E., &amp; Lantolf, J. P. (2005). Dynamic assessment in the language classroom. Language Teaching Research, 9(3), 233–265.</w:t>
      </w:r>
    </w:p>
    <w:p>
      <w:pPr>
        <w:ind w:left="360" w:hanging="360"/>
      </w:pPr>
      <w:r>
        <w:t>Poehner, M. E., &amp; Wang, Z. (2021). Dynamic Assessment and second language development. Language Teaching, 54(4), 472–490. https://doi.org/10.1017/S0261444820000555</w:t>
      </w:r>
    </w:p>
    <w:p>
      <w:pPr>
        <w:ind w:left="360" w:hanging="360"/>
      </w:pPr>
      <w:r>
        <w:t>Poehner, M. E., Zhang, J., &amp; Lu, X. (2015). Computerized dynamic assessment (C-DA): Diagnosing L2 development according to learner responsiveness to mediation. Language Testing, 32(3), 337–357. https://doi.org/10.1177/0265532214560390</w:t>
      </w:r>
    </w:p>
    <w:p>
      <w:pPr>
        <w:ind w:left="360" w:hanging="360"/>
      </w:pPr>
      <w:r>
        <w:t>Tywoniw, R. (2023). Compensatory effects of individual differences, language proficiency, and reading behavior: An eye-tracking study of second language reading assessment. Frontiers in Communication, 8, Article 1176986. https://doi.org/10.3389/fcomm.2023.1176986</w:t>
      </w:r>
    </w:p>
    <w:p>
      <w:pPr>
        <w:ind w:left="360" w:hanging="360"/>
      </w:pPr>
      <w:r>
        <w:t>Vygotsky, L. S. (1978). Mind in society: The development of higher psychological processes. Harvard University Press.</w:t>
      </w:r>
    </w:p>
    <w:p>
      <w:pPr>
        <w:ind w:left="360" w:hanging="360"/>
      </w:pPr>
      <w:r>
        <w:t>Zhang, J., &amp; Lu, X. (2019). Measuring and supporting second language development using computerized dynamic assessment. Language and Sociocultural Theory, 6(1), 92–115. https://doi.org/10.1558/lst.31710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