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814260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814260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817499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8174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814705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8147050"/>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75196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7519670"/>
                    </a:xfrm>
                    <a:prstGeom prst="rect">
                      <a:avLst/>
                    </a:prstGeom>
                  </pic:spPr>
                </pic:pic>
              </a:graphicData>
            </a:graphic>
          </wp:anchor>
        </w:drawing>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4894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48945"/>
                    </a:xfrm>
                    <a:prstGeom prst="rect">
                      <a:avLst/>
                    </a:prstGeom>
                  </pic:spPr>
                </pic:pic>
              </a:graphicData>
            </a:graphic>
          </wp:anchor>
        </w:drawing>
      </w:r>
    </w:p>
    <w:p>
      <w:pPr>
        <w:pStyle w:val="Normal"/>
        <w:rPr/>
      </w:pPr>
      <w:r>
        <w:rPr/>
      </w:r>
    </w:p>
    <w:p>
      <w:pPr>
        <w:pStyle w:val="Normal"/>
        <w:rPr/>
      </w:pPr>
      <w:r>
        <w:rPr/>
        <w:t xml:space="preserve">In view of the multibeam collimation it is beneficial to increase the beam cross section and decrease the divergence at the same time.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59194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1591945"/>
                    </a:xfrm>
                    <a:prstGeom prst="rect">
                      <a:avLst/>
                    </a:prstGeom>
                  </pic:spPr>
                </pic:pic>
              </a:graphicData>
            </a:graphic>
          </wp:anchor>
        </w:drawing>
      </w:r>
    </w:p>
    <w:p>
      <w:pPr>
        <w:pStyle w:val="Normal"/>
        <w:rPr/>
      </w:pPr>
      <w:r>
        <w:rPr/>
        <w:t>The use of multibeam collimation ensures the increase of the flux illuminating the sample by the</w:t>
      </w:r>
    </w:p>
    <w:p>
      <w:pPr>
        <w:pStyle w:val="Normal"/>
        <w:rPr/>
      </w:pPr>
      <w:r>
        <w:rPr/>
        <w:t>number of channels n. The collimator transmission parameter becomes:</w:t>
      </w:r>
    </w:p>
    <w:p>
      <w:pPr>
        <w:pStyle w:val="Normal"/>
        <w:rPr/>
      </w:pPr>
      <w:r>
        <w:rPr/>
      </w:r>
    </w:p>
    <w:p>
      <w:pPr>
        <w:pStyle w:val="Normal"/>
        <w:rPr/>
      </w:pPr>
      <w:r>
        <w:rPr/>
        <w:t>In order to accommodate a larger number of channels, the beam cross section has to be increased at</w:t>
      </w:r>
    </w:p>
    <w:p>
      <w:pPr>
        <w:pStyle w:val="Normal"/>
        <w:rPr/>
      </w:pPr>
      <w:r>
        <w:rPr/>
        <w:t>the entrance of the collimator, especially when a relatively small cross-section beam feeds the</w:t>
      </w:r>
    </w:p>
    <w:p>
      <w:pPr>
        <w:pStyle w:val="Normal"/>
        <w:rPr/>
      </w:pPr>
      <w:r>
        <w:rPr/>
        <w:t>instrument. This can be done by means of a beam expander (Figure 3), on the expense of divergence</w:t>
      </w:r>
    </w:p>
    <w:p>
      <w:pPr>
        <w:pStyle w:val="Normal"/>
        <w:rPr/>
      </w:pPr>
      <w:r>
        <w:rPr/>
        <w:t>decrease (Figure 4), to the extent of fully illuminating all channels. The condition is that the reflection angles seen from the sample upstream through the collimator do not exceed the critical angle of the incoming guide supermirror. The expander shown in Figure 3 is 5.6 m long and transforms the beam cross section from a 25 mm square to a 56 mm high octagon. The collimator is 4 m long and one channel diagonal is 2.8 mm at the inlet and 1.4 mm at the exit. The direct beam spot diagonal on the detector is 5.6 mm.</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81292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1812925"/>
                    </a:xfrm>
                    <a:prstGeom prst="rect">
                      <a:avLst/>
                    </a:prstGeom>
                  </pic:spPr>
                </pic:pic>
              </a:graphicData>
            </a:graphic>
          </wp:anchor>
        </w:drawing>
      </w:r>
    </w:p>
    <w:p>
      <w:pPr>
        <w:pStyle w:val="Normal"/>
        <w:rPr/>
      </w:pPr>
      <w:r>
        <w:rPr/>
        <w:t>Multibeam focusing offers an appealing compromise between high resolution and</w:t>
      </w:r>
    </w:p>
    <w:p>
      <w:pPr>
        <w:pStyle w:val="Normal"/>
        <w:rPr/>
      </w:pPr>
      <w:r>
        <w:rPr/>
        <w:t>high incident flux configurations for SANS spectrometers. In fact so many “spectrometers”</w:t>
      </w:r>
    </w:p>
    <w:p>
      <w:pPr>
        <w:pStyle w:val="Normal"/>
        <w:rPr/>
      </w:pPr>
      <w:r>
        <w:rPr/>
        <w:t>operate in parallel as the number of channels in the collimator. Each channel provides high</w:t>
      </w:r>
    </w:p>
    <w:p>
      <w:pPr>
        <w:pStyle w:val="Normal"/>
        <w:rPr/>
      </w:pPr>
      <w:r>
        <w:rPr/>
        <w:t>resolution by small spot size on the detector and long sample-to-detector distance, involving</w:t>
      </w:r>
    </w:p>
    <w:p>
      <w:pPr>
        <w:pStyle w:val="Normal"/>
        <w:rPr/>
      </w:pPr>
      <w:r>
        <w:rPr/>
        <w:t>significant limitation of the transmitted beam phase space volume, thus reducing the flux. The</w:t>
      </w:r>
    </w:p>
    <w:p>
      <w:pPr>
        <w:pStyle w:val="Normal"/>
        <w:rPr/>
      </w:pPr>
      <w:r>
        <w:rPr/>
        <w:t>flux on the sample is increased by the large number of channels. In view of the multibeam</w:t>
      </w:r>
    </w:p>
    <w:p>
      <w:pPr>
        <w:pStyle w:val="Normal"/>
        <w:rPr/>
      </w:pPr>
      <w:r>
        <w:rPr/>
        <w:t>collimation it is beneficial to increase the beam cross section and decrease the divergence at the</w:t>
      </w:r>
    </w:p>
    <w:p>
      <w:pPr>
        <w:pStyle w:val="Normal"/>
        <w:rPr/>
      </w:pPr>
      <w:r>
        <w:rPr/>
        <w:t xml:space="preserve">same time. Two aspects related to the use of rotational velocity selectors are investigated. </w:t>
      </w:r>
    </w:p>
    <w:p>
      <w:pPr>
        <w:pStyle w:val="Normal"/>
        <w:rPr/>
      </w:pPr>
      <w:r>
        <w:rPr/>
      </w:r>
    </w:p>
    <w:p>
      <w:pPr>
        <w:pStyle w:val="Normal"/>
        <w:rPr/>
      </w:pPr>
      <w:r>
        <w:rPr/>
        <w:t>Reflectometer LIRA</w:t>
      </w:r>
    </w:p>
    <w:p>
      <w:pPr>
        <w:pStyle w:val="Normal"/>
        <w:rPr/>
      </w:pPr>
      <w:r>
        <w:rPr/>
        <w:t>Reflectometer with a medium/low resolution, designed for experiments with</w:t>
      </w:r>
    </w:p>
    <w:p>
      <w:pPr>
        <w:pStyle w:val="Normal"/>
        <w:rPr/>
      </w:pPr>
      <w:r>
        <w:rPr/>
        <w:t>surfaces and interfaces of liquids.</w:t>
      </w:r>
    </w:p>
    <w:p>
      <w:pPr>
        <w:pStyle w:val="Normal"/>
        <w:rPr/>
      </w:pPr>
      <w:r>
        <w:rPr/>
        <w:t>LIRA = Liquid Interface Reflection Apparatus</w:t>
      </w:r>
    </w:p>
    <w:p>
      <w:pPr>
        <w:pStyle w:val="Normal"/>
        <w:rPr/>
      </w:pPr>
      <w:r>
        <w:rPr/>
        <w:t>Scattering plane: vertical (horizontal sample surface)</w:t>
      </w:r>
    </w:p>
    <w:p>
      <w:pPr>
        <w:pStyle w:val="Normal"/>
        <w:rPr/>
      </w:pPr>
      <w:r>
        <w:rPr/>
        <w:t xml:space="preserve"> </w:t>
      </w:r>
      <w:r>
        <w:rPr/>
        <w:t>Collimation geometry: slit geometry with focusing in the horizontal plane</w:t>
      </w:r>
    </w:p>
    <w:p>
      <w:pPr>
        <w:pStyle w:val="Normal"/>
        <w:rPr/>
      </w:pPr>
      <w:r>
        <w:rPr/>
        <w:t xml:space="preserve"> </w:t>
      </w:r>
      <w:r>
        <w:rPr/>
        <w:t>Modes: time-of-flight</w:t>
      </w:r>
    </w:p>
    <w:p>
      <w:pPr>
        <w:pStyle w:val="Normal"/>
        <w:rPr/>
      </w:pPr>
      <w:r>
        <w:rPr/>
        <w:t xml:space="preserve"> </w:t>
      </w:r>
      <w:r>
        <w:rPr/>
        <w:t>Options: non-polarized beam; polarized beam</w:t>
      </w:r>
    </w:p>
    <w:p>
      <w:pPr>
        <w:pStyle w:val="Normal"/>
        <w:rPr/>
      </w:pPr>
      <w:r>
        <w:rPr/>
        <w:t xml:space="preserve"> </w:t>
      </w:r>
      <w:r>
        <w:rPr/>
        <w:t>Specialization: surfaces and interfaces of liquids; ordering of nanoparticles at</w:t>
      </w:r>
    </w:p>
    <w:p>
      <w:pPr>
        <w:pStyle w:val="Normal"/>
        <w:rPr/>
      </w:pPr>
      <w:r>
        <w:rPr/>
        <w:t>interfaces of liquids; processes at interfaces and mass transport through interfaces</w:t>
      </w:r>
    </w:p>
    <w:p>
      <w:pPr>
        <w:pStyle w:val="Normal"/>
        <w:rPr/>
      </w:pPr>
      <w:r>
        <w:rPr/>
        <w:t>of liquid phases; magnetism of ferrofluids and magnetic nanoparticles in liquids</w:t>
      </w:r>
    </w:p>
    <w:p>
      <w:pPr>
        <w:pStyle w:val="Normal"/>
        <w:rPr/>
      </w:pPr>
      <w:r>
        <w:rPr/>
      </w:r>
    </w:p>
    <w:p>
      <w:pPr>
        <w:pStyle w:val="Normal"/>
        <w:rPr/>
      </w:pPr>
      <w:r>
        <w:rPr/>
      </w:r>
    </w:p>
    <w:p>
      <w:pPr>
        <w:pStyle w:val="Normal"/>
        <w:rPr/>
      </w:pPr>
      <w:r>
        <w:rPr/>
        <w:t>Diffractometer POWTEX</w:t>
      </w:r>
    </w:p>
    <w:p>
      <w:pPr>
        <w:pStyle w:val="Normal"/>
        <w:rPr/>
      </w:pPr>
      <w:r>
        <w:rPr/>
        <w:t>Nevertheless, with an increasing length, especially for</w:t>
      </w:r>
    </w:p>
    <w:p>
      <w:pPr>
        <w:pStyle w:val="Normal"/>
        <w:rPr/>
      </w:pPr>
      <w:r>
        <w:rPr/>
        <w:t>long wavelengths, the number of reflection increases, such that</w:t>
      </w:r>
    </w:p>
    <w:p>
      <w:pPr>
        <w:pStyle w:val="Normal"/>
        <w:rPr/>
      </w:pPr>
      <w:r>
        <w:rPr/>
        <w:t>the loss of neutron flux is significant even with high-reflectivity</w:t>
      </w:r>
    </w:p>
    <w:p>
      <w:pPr>
        <w:pStyle w:val="Normal"/>
        <w:rPr/>
      </w:pPr>
      <w:r>
        <w:rPr/>
        <w:t>neutron guides. To overcome these problems, it has been proposed</w:t>
      </w:r>
    </w:p>
    <w:p>
      <w:pPr>
        <w:pStyle w:val="Normal"/>
        <w:rPr/>
      </w:pPr>
      <w:r>
        <w:rPr/>
        <w:t>to change the neutron-guide geometry such that either the angle of</w:t>
      </w:r>
    </w:p>
    <w:p>
      <w:pPr>
        <w:pStyle w:val="Normal"/>
        <w:rPr/>
      </w:pPr>
      <w:r>
        <w:rPr/>
        <w:t>incidence or the number of reflections is reduced. Therefore, in a</w:t>
      </w:r>
    </w:p>
    <w:p>
      <w:pPr>
        <w:pStyle w:val="Normal"/>
        <w:rPr/>
      </w:pPr>
      <w:r>
        <w:rPr/>
        <w:t>first approach, the concept of a ballistic geometry was introduced</w:t>
      </w:r>
    </w:p>
    <w:p>
      <w:pPr>
        <w:pStyle w:val="Normal"/>
        <w:rPr/>
      </w:pPr>
      <w:r>
        <w:rPr/>
        <w:t>by Mezei [8]. A ballistic guide will open its initial cross section by a</w:t>
      </w:r>
    </w:p>
    <w:p>
      <w:pPr>
        <w:pStyle w:val="Normal"/>
        <w:rPr/>
      </w:pPr>
      <w:r>
        <w:rPr/>
        <w:t>linearly tapered section at the beginning, followed by a straight</w:t>
      </w:r>
    </w:p>
    <w:p>
      <w:pPr>
        <w:pStyle w:val="Normal"/>
        <w:rPr/>
      </w:pPr>
      <w:r>
        <w:rPr/>
        <w:t>guide and a reduction of the cross section by another linearly</w:t>
      </w:r>
    </w:p>
    <w:p>
      <w:pPr>
        <w:pStyle w:val="Normal"/>
        <w:rPr/>
      </w:pPr>
      <w:r>
        <w:rPr/>
        <w:t>tapering and such focusing section near the end. Meanwhile, other</w:t>
      </w:r>
    </w:p>
    <w:p>
      <w:pPr>
        <w:pStyle w:val="Normal"/>
        <w:rPr/>
      </w:pPr>
      <w:r>
        <w:rPr/>
        <w:t>and more sophisticated geometries, such as parabolic or elliptic</w:t>
      </w:r>
    </w:p>
    <w:p>
      <w:pPr>
        <w:pStyle w:val="Normal"/>
        <w:rPr/>
      </w:pPr>
      <w:r>
        <w:rPr/>
        <w:t>focusing guides, have been investigated [7,5].</w:t>
      </w:r>
    </w:p>
    <w:p>
      <w:pPr>
        <w:pStyle w:val="Normal"/>
        <w:rPr/>
      </w:pPr>
      <w:r>
        <w:rPr/>
      </w:r>
    </w:p>
    <w:p>
      <w:pPr>
        <w:pStyle w:val="Normal"/>
        <w:rPr/>
      </w:pPr>
      <w:r>
        <w:rPr/>
        <w:t>For a diffractometer, a simple peak shape is desirable. It is</w:t>
      </w:r>
    </w:p>
    <w:p>
      <w:pPr>
        <w:pStyle w:val="Normal"/>
        <w:rPr/>
      </w:pPr>
      <w:r>
        <w:rPr/>
        <w:t>obvious that in solution (c) the small divergences are not transported well enough such that a double peak appears in y and z</w:t>
      </w:r>
    </w:p>
    <w:p>
      <w:pPr>
        <w:pStyle w:val="Normal"/>
        <w:rPr/>
      </w:pPr>
      <w:r>
        <w:rPr/>
        <w:t>direction, i.e., a fourfold peak in 2D. It seems reasonable that</w:t>
      </w:r>
    </w:p>
    <w:p>
      <w:pPr>
        <w:pStyle w:val="Normal"/>
        <w:rPr/>
      </w:pPr>
      <w:r>
        <w:rPr/>
        <w:t>the peak structure follows from the quadratic cross section of the</w:t>
      </w:r>
    </w:p>
    <w:p>
      <w:pPr>
        <w:pStyle w:val="Normal"/>
        <w:rPr/>
      </w:pPr>
      <w:r>
        <w:rPr/>
        <w:t>guide. A possible explanation could be that the small divergences</w:t>
      </w:r>
    </w:p>
    <w:p>
      <w:pPr>
        <w:pStyle w:val="Normal"/>
        <w:rPr/>
      </w:pPr>
      <w:r>
        <w:rPr/>
        <w:t>are not as well transported in the very corners as in the middle of</w:t>
      </w:r>
    </w:p>
    <w:p>
      <w:pPr>
        <w:pStyle w:val="Normal"/>
        <w:rPr/>
      </w:pPr>
      <w:r>
        <w:rPr/>
        <w:t>each guide plane because here the difference to the most ideal</w:t>
      </w:r>
    </w:p>
    <w:p>
      <w:pPr>
        <w:pStyle w:val="Normal"/>
        <w:rPr/>
      </w:pPr>
      <w:r>
        <w:rPr/>
        <w:t>shape, i.e., a circular cross section, is most pronounced.</w:t>
      </w:r>
    </w:p>
    <w:p>
      <w:pPr>
        <w:pStyle w:val="Normal"/>
        <w:rPr/>
      </w:pPr>
      <w:r>
        <w:rPr/>
        <w:t>To overcome this, a more circular cross section would be needed.</w:t>
      </w:r>
    </w:p>
    <w:p>
      <w:pPr>
        <w:pStyle w:val="Normal"/>
        <w:rPr/>
      </w:pPr>
      <w:r>
        <w:rPr/>
        <w:t>Since truly circular cross sections are not available due to</w:t>
      </w:r>
    </w:p>
    <w:p>
      <w:pPr>
        <w:pStyle w:val="Normal"/>
        <w:rPr/>
      </w:pPr>
      <w:r>
        <w:rPr/>
        <w:t>technical limitations, a hexagonal or octagonal guide cross section</w:t>
      </w:r>
    </w:p>
    <w:p>
      <w:pPr>
        <w:pStyle w:val="Normal"/>
        <w:rPr/>
      </w:pPr>
      <w:r>
        <w:rPr/>
        <w:t xml:space="preserve">seems a feasible choice. </w:t>
      </w:r>
    </w:p>
    <w:p>
      <w:pPr>
        <w:pStyle w:val="Normal"/>
        <w:rPr/>
      </w:pPr>
      <w:r>
        <w:rPr/>
      </w:r>
    </w:p>
    <w:p>
      <w:pPr>
        <w:pStyle w:val="Normal"/>
        <w:rPr/>
      </w:pPr>
      <w:r>
        <w:rPr/>
        <w:t>A major improvement in the homogeneity of the divergence</w:t>
      </w:r>
    </w:p>
    <w:p>
      <w:pPr>
        <w:pStyle w:val="Normal"/>
        <w:rPr/>
      </w:pPr>
      <w:r>
        <w:rPr/>
        <w:t>profile is achieved by neutron guides with octagonal cross sections.</w:t>
      </w:r>
    </w:p>
    <w:p>
      <w:pPr>
        <w:pStyle w:val="Normal"/>
        <w:rPr/>
      </w:pPr>
      <w:r>
        <w:rPr/>
      </w:r>
    </w:p>
    <w:p>
      <w:pPr>
        <w:pStyle w:val="Normal"/>
        <w:rPr/>
      </w:pPr>
      <w:r>
        <w:rPr/>
        <w:t>A first prototype was already presented by</w:t>
      </w:r>
    </w:p>
    <w:p>
      <w:pPr>
        <w:pStyle w:val="Normal"/>
        <w:rPr/>
      </w:pPr>
      <w:r>
        <w:rPr/>
        <w:t>SwissNeutronics [21]. Except for guides with truly circular cross</w:t>
      </w:r>
    </w:p>
    <w:p>
      <w:pPr>
        <w:pStyle w:val="Normal"/>
        <w:rPr/>
      </w:pPr>
      <w:r>
        <w:rPr/>
        <w:t>sections it is not expectable to gain much from cross sections of a</w:t>
      </w:r>
    </w:p>
    <w:p>
      <w:pPr>
        <w:pStyle w:val="Normal"/>
        <w:rPr/>
      </w:pPr>
      <w:r>
        <w:rPr/>
        <w:t>higher order polygonal shape because test simulations show an</w:t>
      </w:r>
    </w:p>
    <w:p>
      <w:pPr>
        <w:pStyle w:val="Normal"/>
        <w:rPr/>
      </w:pPr>
      <w:r>
        <w:rPr/>
        <w:t>increase in the number of garland reflections</w:t>
      </w:r>
    </w:p>
    <w:p>
      <w:pPr>
        <w:pStyle w:val="Normal"/>
        <w:rPr/>
      </w:pPr>
      <w:r>
        <w:rPr/>
        <w:drawing>
          <wp:anchor behindDoc="0" distT="0" distB="0" distL="0" distR="0" simplePos="0" locked="0" layoutInCell="1" allowOverlap="1" relativeHeight="9">
            <wp:simplePos x="0" y="0"/>
            <wp:positionH relativeFrom="column">
              <wp:posOffset>-47625</wp:posOffset>
            </wp:positionH>
            <wp:positionV relativeFrom="paragraph">
              <wp:posOffset>-504825</wp:posOffset>
            </wp:positionV>
            <wp:extent cx="6120130" cy="199834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1998345"/>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posOffset>-152400</wp:posOffset>
            </wp:positionH>
            <wp:positionV relativeFrom="paragraph">
              <wp:posOffset>791845</wp:posOffset>
            </wp:positionV>
            <wp:extent cx="6120130" cy="841121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84112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99480" cy="878078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999480" cy="8780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123</TotalTime>
  <Application>LibreOffice/5.1.6.2$Linux_X86_64 LibreOffice_project/10m0$Build-2</Application>
  <Pages>8</Pages>
  <Words>715</Words>
  <Characters>3816</Characters>
  <CharactersWithSpaces>4475</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2018-05-10T12:46:23Z</dcterms:created>
  <dc:creator/>
  <dc:description/>
  <dc:language>en-US</dc:language>
  <cp:lastModifiedBy/>
  <dcterms:modified xsi:type="dcterms:W3CDTF">2018-05-10T18:01:14Z</dcterms:modified>
  <cp:revision>1</cp:revision>
  <dc:subject/>
  <dc:title/>
</cp:coreProperties>
</file>