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Инструкция по запуску сценариев автоматизированного тестирования</w:t>
      </w:r>
    </w:p>
    <w:p w14:paraId="02000000">
      <w:pPr>
        <w:ind/>
        <w:jc w:val="center"/>
        <w:rPr>
          <w:rFonts w:ascii="Times New Roman" w:hAnsi="Times New Roman"/>
          <w:b w:val="1"/>
        </w:rPr>
      </w:pPr>
    </w:p>
    <w:p w14:paraId="03000000">
      <w:pPr>
        <w:numPr>
          <w:ilvl w:val="0"/>
          <w:numId w:val="1"/>
        </w:numPr>
        <w:ind/>
        <w:jc w:val="both"/>
      </w:pPr>
      <w:r>
        <w:rPr>
          <w:rFonts w:ascii="Times New Roman" w:hAnsi="Times New Roman"/>
          <w:b w:val="0"/>
        </w:rPr>
        <w:t>Необ</w:t>
      </w:r>
      <w:r>
        <w:t>ходимо ска</w:t>
      </w:r>
      <w:r>
        <w:rPr>
          <w:rFonts w:ascii="Times New Roman" w:hAnsi="Times New Roman"/>
          <w:b w:val="0"/>
        </w:rPr>
        <w:t>чать</w:t>
      </w:r>
      <w:r>
        <w:rPr>
          <w:rStyle w:val="Style_1_ch"/>
        </w:rPr>
        <w:t> </w:t>
      </w:r>
      <w:r>
        <w:rPr>
          <w:rStyle w:val="Style_1_ch"/>
        </w:rPr>
        <w:t>инструмент тестирования прикладных решений на платформе «1С: Предприятие</w:t>
      </w:r>
      <w:r>
        <w:rPr>
          <w:rStyle w:val="Style_1_ch"/>
        </w:rPr>
        <w:t>» V</w:t>
      </w:r>
      <w:r>
        <w:t>anessa Automation.</w:t>
      </w:r>
    </w:p>
    <w:p w14:paraId="04000000">
      <w:pPr>
        <w:numPr>
          <w:ilvl w:val="0"/>
          <w:numId w:val="1"/>
        </w:numPr>
        <w:ind/>
        <w:jc w:val="both"/>
      </w:pPr>
      <w:r>
        <w:t xml:space="preserve">В тестовой базе данных необходимо снять безопасный режим в режиме конфигуратора. </w:t>
      </w:r>
    </w:p>
    <w:p w14:paraId="05000000">
      <w:pPr>
        <w:numPr>
          <w:ilvl w:val="0"/>
          <w:numId w:val="1"/>
        </w:numPr>
        <w:ind/>
        <w:jc w:val="both"/>
      </w:pPr>
      <w:r>
        <w:t>При запуске 1С: Предприятия необходимо изменить «Дополнительный параметр запуска», указав значение /TESTMANAGER.</w:t>
      </w:r>
    </w:p>
    <w:p w14:paraId="06000000">
      <w:pPr>
        <w:ind/>
        <w:jc w:val="both"/>
      </w:pPr>
    </w:p>
    <w:p w14:paraId="07000000">
      <w:pPr>
        <w:ind/>
        <w:jc w:val="center"/>
      </w:pPr>
      <w:r>
        <w:drawing>
          <wp:inline>
            <wp:extent cx="3562849" cy="37057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562849" cy="37057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ind/>
        <w:jc w:val="center"/>
      </w:pPr>
    </w:p>
    <w:p w14:paraId="09000000">
      <w:pPr>
        <w:numPr>
          <w:ilvl w:val="0"/>
          <w:numId w:val="1"/>
        </w:numPr>
        <w:ind/>
        <w:jc w:val="both"/>
      </w:pPr>
      <w:r>
        <w:t>Далее необходимо открыть базу данных в режиме 1С: Предприятие.</w:t>
      </w:r>
    </w:p>
    <w:p w14:paraId="0A000000">
      <w:pPr>
        <w:numPr>
          <w:ilvl w:val="0"/>
          <w:numId w:val="1"/>
        </w:numPr>
        <w:ind/>
        <w:jc w:val="both"/>
        <w:rPr>
          <w:b w:val="0"/>
        </w:rPr>
      </w:pPr>
      <w:r>
        <w:t xml:space="preserve">Через меню «Сервис и настройки» необходимо открыть файл c расширением </w:t>
      </w:r>
      <w:r>
        <w:rPr>
          <w:b w:val="1"/>
        </w:rPr>
        <w:t xml:space="preserve">.epf </w:t>
      </w:r>
    </w:p>
    <w:p w14:paraId="0B000000">
      <w:pPr>
        <w:ind/>
        <w:jc w:val="both"/>
        <w:rPr>
          <w:b w:val="1"/>
        </w:rPr>
      </w:pPr>
    </w:p>
    <w:p w14:paraId="0C000000">
      <w:pPr>
        <w:ind/>
        <w:jc w:val="center"/>
        <w:rPr>
          <w:b w:val="1"/>
        </w:rPr>
      </w:pPr>
      <w:r>
        <w:drawing>
          <wp:inline>
            <wp:extent cx="6481572" cy="184371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18437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ind/>
        <w:jc w:val="center"/>
      </w:pPr>
    </w:p>
    <w:p w14:paraId="0E000000">
      <w:pPr>
        <w:numPr>
          <w:ilvl w:val="0"/>
          <w:numId w:val="1"/>
        </w:numPr>
        <w:ind/>
        <w:jc w:val="both"/>
        <w:rPr>
          <w:b w:val="0"/>
        </w:rPr>
      </w:pPr>
      <w:r>
        <w:rPr>
          <w:b w:val="0"/>
        </w:rPr>
        <w:t>В открывшейся обработке необходимо выбрать раздел «Клиенты тестирования» (правое меню), чтобы добавить клиентов с разными правами доступа.</w:t>
      </w:r>
    </w:p>
    <w:p w14:paraId="0F000000">
      <w:pPr>
        <w:numPr>
          <w:ilvl w:val="0"/>
          <w:numId w:val="1"/>
        </w:numPr>
        <w:ind/>
        <w:jc w:val="both"/>
        <w:rPr>
          <w:b w:val="0"/>
        </w:rPr>
      </w:pPr>
      <w:r>
        <w:rPr>
          <w:b w:val="0"/>
        </w:rPr>
        <w:t>Добавьте 3 клиента тестирования: Менеджер, Специалист и БухгалтерИТФирмы. В поле «Путь к инфобазе» необходимо указать адрес базы данных, в поле «Доп. параметры» укажите пользователя с соответствующим профилем, как указано на рисунке.</w:t>
      </w:r>
    </w:p>
    <w:p w14:paraId="10000000">
      <w:pPr>
        <w:ind/>
        <w:jc w:val="both"/>
        <w:rPr>
          <w:b w:val="0"/>
        </w:rPr>
      </w:pPr>
    </w:p>
    <w:p w14:paraId="11000000">
      <w:pPr>
        <w:ind/>
        <w:jc w:val="center"/>
        <w:rPr>
          <w:b w:val="0"/>
        </w:rPr>
      </w:pPr>
      <w:r>
        <w:drawing>
          <wp:inline>
            <wp:extent cx="6481572" cy="2096859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20968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12000000">
      <w:pPr>
        <w:ind/>
        <w:jc w:val="center"/>
        <w:rPr>
          <w:b w:val="0"/>
        </w:rPr>
      </w:pPr>
    </w:p>
    <w:p w14:paraId="13000000">
      <w:pPr>
        <w:numPr>
          <w:ilvl w:val="0"/>
          <w:numId w:val="1"/>
        </w:numPr>
        <w:ind/>
        <w:jc w:val="both"/>
        <w:rPr>
          <w:b w:val="0"/>
        </w:rPr>
      </w:pPr>
      <w:r>
        <w:rPr>
          <w:b w:val="0"/>
        </w:rPr>
        <w:t>На вкладке «Запуск сценариев» (правое меню) необходимо выбрать сценарий тестирования. Для этого нажмите на пункт «Открыть feature файл...» и выберите нужный сценарий тестирования.</w:t>
      </w:r>
    </w:p>
    <w:p w14:paraId="14000000">
      <w:pPr>
        <w:ind/>
        <w:jc w:val="both"/>
        <w:rPr>
          <w:b w:val="0"/>
        </w:rPr>
      </w:pPr>
    </w:p>
    <w:p w14:paraId="15000000">
      <w:pPr>
        <w:ind/>
        <w:jc w:val="center"/>
        <w:rPr>
          <w:b w:val="0"/>
        </w:rPr>
      </w:pPr>
      <w:r>
        <w:drawing>
          <wp:inline>
            <wp:extent cx="4106085" cy="292475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106085" cy="29247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ind/>
        <w:jc w:val="center"/>
      </w:pPr>
    </w:p>
    <w:p w14:paraId="17000000">
      <w:pPr>
        <w:numPr>
          <w:ilvl w:val="0"/>
          <w:numId w:val="1"/>
        </w:numPr>
        <w:ind/>
        <w:jc w:val="both"/>
      </w:pPr>
      <w:r>
        <w:t xml:space="preserve">После того, как файл откроется нужно запустить автотест нажав на кнопку </w:t>
      </w:r>
      <w:r>
        <w:drawing>
          <wp:inline>
            <wp:extent cx="295328" cy="21911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95328" cy="219116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</w:p>
    <w:p w14:paraId="18000000">
      <w:pPr>
        <w:ind/>
        <w:jc w:val="both"/>
      </w:pPr>
    </w:p>
    <w:p w14:paraId="19000000">
      <w:pPr>
        <w:ind/>
        <w:jc w:val="center"/>
      </w:pPr>
      <w:r>
        <w:drawing>
          <wp:inline>
            <wp:extent cx="6481572" cy="4281991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481572" cy="42819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ind/>
        <w:jc w:val="center"/>
      </w:pPr>
    </w:p>
    <w:p w14:paraId="1B000000">
      <w:pPr>
        <w:numPr>
          <w:ilvl w:val="0"/>
          <w:numId w:val="1"/>
        </w:numPr>
        <w:ind/>
        <w:jc w:val="both"/>
      </w:pPr>
      <w:r>
        <w:t>После завершения сценария будет подан звуковой сигнал с результатом выполненного теста.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suff w:val="tab"/>
      <w:lvlText w:val="%1."/>
      <w:pPr>
        <w:ind w:hanging="360" w:left="720"/>
      </w:pPr>
    </w:lvl>
    <w:lvl w:ilvl="1">
      <w:start w:val="1"/>
      <w:numFmt w:val="lowerLetter"/>
      <w:suff w:val="tab"/>
      <w:lvlText w:val="%2."/>
      <w:pPr>
        <w:ind w:hanging="360" w:left="1440"/>
      </w:pPr>
    </w:lvl>
    <w:lvl w:ilvl="2">
      <w:start w:val="1"/>
      <w:numFmt w:val="lowerRoman"/>
      <w:suff w:val="tab"/>
      <w:lvlText w:val="%3."/>
      <w:lvlJc w:val="right"/>
      <w:pPr>
        <w:ind w:hanging="360" w:left="2160"/>
      </w:pPr>
    </w:lvl>
    <w:lvl w:ilvl="3">
      <w:start w:val="1"/>
      <w:numFmt w:val="decimal"/>
      <w:suff w:val="tab"/>
      <w:lvlText w:val="%4."/>
      <w:pPr>
        <w:ind w:hanging="360" w:left="2880"/>
      </w:pPr>
    </w:lvl>
    <w:lvl w:ilvl="4">
      <w:start w:val="1"/>
      <w:numFmt w:val="lowerLetter"/>
      <w:suff w:val="tab"/>
      <w:lvlText w:val="%5."/>
      <w:pPr>
        <w:ind w:hanging="360" w:left="3600"/>
      </w:pPr>
    </w:lvl>
    <w:lvl w:ilvl="5">
      <w:start w:val="1"/>
      <w:numFmt w:val="lowerRoman"/>
      <w:suff w:val="tab"/>
      <w:lvlText w:val="%6."/>
      <w:lvlJc w:val="right"/>
      <w:pPr>
        <w:ind w:hanging="360" w:left="4320"/>
      </w:pPr>
    </w:lvl>
    <w:lvl w:ilvl="6">
      <w:start w:val="1"/>
      <w:numFmt w:val="decimal"/>
      <w:suff w:val="tab"/>
      <w:lvlText w:val="%7."/>
      <w:pPr>
        <w:ind w:hanging="360" w:left="5040"/>
      </w:pPr>
    </w:lvl>
    <w:lvl w:ilvl="7">
      <w:start w:val="1"/>
      <w:numFmt w:val="lowerLetter"/>
      <w:suff w:val="tab"/>
      <w:lvlText w:val="%8."/>
      <w:pPr>
        <w:ind w:hanging="360" w:left="5760"/>
      </w:pPr>
    </w:lvl>
    <w:lvl w:ilvl="8">
      <w:start w:val="1"/>
      <w:numFmt w:val="lowerRoman"/>
      <w:suff w:val="tab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3" Target="numbering.xml" Type="http://schemas.openxmlformats.org/officeDocument/2006/relationships/numbering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2025-10-26T07:52:34Z</dcterms:created>
  <dcterms:modified xsi:type="dcterms:W3CDTF">2025-10-26T08:12:36Z</dcterms:modified>
</cp:coreProperties>
</file>