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right"/>
      </w:pPr>
      <w:r>
        <w:rPr>
          <w:rFonts w:ascii="Times New Roman" w:hAnsi="Times New Roman"/>
          <w:b/>
          <w:sz w:val="22"/>
        </w:rPr>
        <w:t>УТВЕРЖДАЮ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2"/>
        </w:rPr>
        <w:t xml:space="preserve">Генеральный директор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2"/>
        </w:rPr>
        <w:t xml:space="preserve">ООО «Гастрономия»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2"/>
        </w:rPr>
        <w:t>_______(_____________)</w:t>
      </w:r>
    </w:p>
    <w:p>
      <w:pPr>
        <w:spacing w:before="0" w:after="240" w:line="240" w:lineRule="auto"/>
        <w:jc w:val="right"/>
      </w:pPr>
      <w:r>
        <w:rPr>
          <w:rFonts w:ascii="Times New Roman" w:hAnsi="Times New Roman"/>
          <w:b w:val="0"/>
          <w:sz w:val="22"/>
        </w:rPr>
        <w:t xml:space="preserve">"07 июня 2026 г."</w:t>
      </w:r>
    </w:p>
    <w:p>
      <w:pPr>
        <w:spacing w:before="0" w:after="0" w:line="240" w:lineRule="auto"/>
        <w:jc w:val="center"/>
        <w:keepNext/>
      </w:pPr>
      <w:r>
        <w:rPr>
          <w:rFonts w:ascii="Times New Roman" w:hAnsi="Times New Roman"/>
          <w:b/>
          <w:sz w:val="26"/>
        </w:rPr>
        <w:t xml:space="preserve">ТЕХНИКО-ТЕХНОЛОГИЧЕСКАЯ КАРТА № 1</w:t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sz w:val="26"/>
        </w:rPr>
        <w:t xml:space="preserve">Гриль ролл с говядиной и соусом гриль-чиз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1. ОБЛАСТЬ ПРИМЕНЕНИЯ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2"/>
        </w:rPr>
        <w:t xml:space="preserve">Настоящая технико-технологическая карта распространяется на Гриль ролл с говядиной и соусом гриль-чиз, вырабатываемое (-ую) и реализуемое (-ую) в ООО «Гастрономия».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2. ТРЕБОВАНИЯ К СЫРЬЮ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2"/>
        </w:rPr>
        <w:t xml:space="preserve">2.1. Продовольственное сырьё, пищевые продукты и полуфабрикаты, вспомогательные материалы, используемые при производстве блюда, должны соответствовать требованиям ТР ТС 021/2011 «О безопасности пищевой продукции» и иной нормативной документации, действующей для каждого вида сырья, но не противоречащей ТР ТС 021/2011.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2"/>
        </w:rPr>
        <w:t>2.2. Каждая партия сырья, поступающая на предприятие для производства блюда, должна сопровождаться декларацией о соответствии и удостоверением качества и безопасности.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3. РЕЦЕПТУРА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сырья и продуктов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Брутто, г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Нетто, г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Соус табаско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60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Колбаски говяжьи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47.6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47.5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Салат айсберг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19.42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Сыр плавленный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19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Соус гриль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20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Томаты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33.77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Выход блюда: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—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190.5</w:t>
            </w:r>
          </w:p>
        </w:tc>
      </w:tr>
    </w:tbl>
    <w:p>
      <w:pPr>
        <w:spacing w:after="160"/>
      </w:pP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4. ТЕХНОЛОГИЧЕСКИЙ ПРОЦЕСС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2"/>
        </w:rPr>
        <w:t>Подготовка сырья производится в соответствии с рекомендациями Сборника технологических нормативов для предприятий общественного питания и технологическими рекомендациями для импортного сырья.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2"/>
        </w:rPr>
        <w:t xml:space="preserve">Продукт готовить под конкретный заказ. Сначала подготовь все ингредиенты: нарежь томаты и промой салат айсберг. Затем намажь плавленый сыр на говяжьи колбаски и добавь немного соуса табаско для остроты. Заверни колбаски с сыром в листья салата и добавь нарезанные томаты. Прогрей в пресс-гриле до золотистой корочки. После этого доб��вь соус гриль и аккуратно нарежь ролл на порции для подачи.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5. ТРЕБОВАНИЯ К ОФОРМЛЕНИЮ, РЕАЛИЗАЦИИ И ХРАНЕНИЮ</w:t>
      </w:r>
    </w:p>
    <w:p>
      <w:pPr>
        <w:spacing w:before="0" w:after="40" w:line="240" w:lineRule="auto"/>
        <w:jc w:val="both"/>
      </w:pPr>
      <w:r>
        <w:rPr>
          <w:rFonts w:ascii="Times New Roman" w:hAnsi="Times New Roman"/>
          <w:b w:val="0"/>
          <w:sz w:val="22"/>
        </w:rPr>
        <w:t>Готовый продукт пересыпать в картонную коробку.</w:t>
      </w:r>
    </w:p>
    <w:p>
      <w:pPr>
        <w:spacing w:before="0" w:after="40" w:line="240" w:lineRule="auto"/>
        <w:jc w:val="both"/>
      </w:pPr>
      <w:r>
        <w:rPr>
          <w:rFonts w:ascii="Times New Roman" w:hAnsi="Times New Roman"/>
          <w:b w:val="0"/>
          <w:sz w:val="22"/>
        </w:rPr>
        <w:t>Продукт реализовать в упакованном виде сразу после приготовления.</w:t>
      </w:r>
    </w:p>
    <w:p>
      <w:pPr>
        <w:spacing w:before="0" w:after="40" w:line="240" w:lineRule="auto"/>
        <w:jc w:val="both"/>
      </w:pPr>
      <w:r>
        <w:rPr>
          <w:rFonts w:ascii="Times New Roman" w:hAnsi="Times New Roman"/>
          <w:b w:val="0"/>
          <w:sz w:val="22"/>
        </w:rPr>
        <w:t>Срок реализации 3 часа на тепловой полке / в термосумке с момента готовности.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6. ПОКАЗАТЕЛИ КАЧЕСТВА И БЕЗОПАСНОСТИ</w:t>
      </w:r>
    </w:p>
    <w:p>
      <w:pPr>
        <w:spacing w:before="0" w:after="80" w:line="240" w:lineRule="auto"/>
        <w:jc w:val="both"/>
        <w:keepNext/>
      </w:pPr>
      <w:r>
        <w:rPr>
          <w:rFonts w:ascii="Times New Roman" w:hAnsi="Times New Roman"/>
          <w:b w:val="0"/>
          <w:sz w:val="22"/>
        </w:rPr>
        <w:t>6.1. По органолептическим показателям блюдо должно соответствовать требованиям, указанным в таблице: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показателей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Характеристика показателей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Внешний вид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Ролл имеет цилиндрическую форму, нарезан на порционные куски, подается на плоской тарелке с соусом гриль-чиз в отдельной емкости.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Цвет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Коричневая корочка колбасок, светло-желтый плавленый сыр, ярко-зеленый салат айсберг, красные томаты.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Вкус и запах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Аромат копченой говядины, легкая острота соуса табаско, сливочный привкус плавленого сыра, свежесть салата.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Консистенция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Хрустящая корочка снаружи, мягкая и сочная говядина внутри, кремовая текстура соуса, хрустящие листья салата.</w:t>
            </w:r>
          </w:p>
        </w:tc>
      </w:tr>
    </w:tbl>
    <w:p>
      <w:pPr>
        <w:spacing w:after="160"/>
      </w:pP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2"/>
        </w:rPr>
        <w:t>6.2. Физико-химические показатели для блюда не нормируются.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2"/>
        </w:rPr>
        <w:t xml:space="preserve">6.3. По микробиологическим показателям и показателям безопасности блюдо должно соответствовать ТР ТС 021/2011 «О безопасности пищевой продукции».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7. ПИЩЕВАЯ И ЭНЕРГЕТИЧЕСКАЯ ЦЕННОСТЬ</w:t>
      </w:r>
    </w:p>
    <w:p>
      <w:pPr>
        <w:spacing w:before="0" w:after="80" w:line="240" w:lineRule="auto"/>
        <w:jc w:val="left"/>
        <w:keepNext/>
      </w:pPr>
      <w:r>
        <w:rPr>
          <w:rFonts w:ascii="Times New Roman" w:hAnsi="Times New Roman"/>
          <w:b w:val="0"/>
          <w:sz w:val="22"/>
        </w:rPr>
        <w:t>Пищевая и энергетическая ценность на 100 г блюда: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Белки, г</w:t>
            </w:r>
          </w:p>
        </w:tc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Жиры, г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Углеводы, г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Энергетическая ценность, кКал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4.2</w:t>
            </w:r>
          </w:p>
        </w:tc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6.2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2.3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82</w:t>
            </w:r>
          </w:p>
        </w:tc>
      </w:tr>
    </w:tbl>
    <w:p>
      <w:pPr>
        <w:spacing w:after="160"/>
      </w:pPr>
    </w:p>
    <w:p>
      <w:pPr>
        <w:spacing w:before="0" w:after="80" w:line="240" w:lineRule="auto"/>
        <w:jc w:val="left"/>
        <w:keepNext/>
      </w:pPr>
      <w:r>
        <w:rPr>
          <w:rFonts w:ascii="Times New Roman" w:hAnsi="Times New Roman"/>
          <w:b w:val="0"/>
          <w:sz w:val="22"/>
        </w:rPr>
        <w:t xml:space="preserve">Пищевая и энергетическая ценность на 1 порцию (190.5 г):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Белки, г</w:t>
            </w:r>
          </w:p>
        </w:tc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Жиры, г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Углеводы, г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Энергетическая ценность, кКал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8</w:t>
            </w:r>
          </w:p>
        </w:tc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11.8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4.3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156</w:t>
            </w:r>
          </w:p>
        </w:tc>
      </w:tr>
    </w:tbl>
    <w:p>
      <w:pPr>
        <w:spacing w:after="160"/>
      </w:pP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8. ПРЕДУСМОТРЕННОЕ ПРИМЕНЕНИЕ И ОГРАНИЧЕНИЯ ПО ПРИМЕНЕНИЮ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sz w:val="22"/>
        </w:rPr>
        <w:t>Блюдо предназначено для непосредственного употребления в пищу. Ограничений по целевым группам потребления среди лиц, ожидаемо потребляющих продукцию, не предусмотрено. Продукт может содержать следы аллергенов, не входящих в основной состав блюда.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2"/>
        </w:rPr>
        <w:t>Разработал: _____________ ( _________________ 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