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right"/>
      </w:pPr>
      <w:r>
        <w:rPr>
          <w:rFonts w:ascii="Times New Roman" w:hAnsi="Times New Roman"/>
          <w:b/>
          <w:sz w:val="22"/>
        </w:rPr>
        <w:t>УТВЕРЖДАЮ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2"/>
        </w:rPr>
        <w:t xml:space="preserve">Генеральный директор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2"/>
        </w:rPr>
        <w:t xml:space="preserve">ООО «Гастрономия»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2"/>
        </w:rPr>
        <w:t>_______(_____________)</w:t>
      </w:r>
    </w:p>
    <w:p>
      <w:pPr>
        <w:spacing w:before="0" w:after="240" w:line="240" w:lineRule="auto"/>
        <w:jc w:val="right"/>
      </w:pPr>
      <w:r>
        <w:rPr>
          <w:rFonts w:ascii="Times New Roman" w:hAnsi="Times New Roman"/>
          <w:b w:val="0"/>
          <w:sz w:val="22"/>
        </w:rPr>
        <w:t xml:space="preserve">"02 июня 2026 г."</w:t>
      </w:r>
    </w:p>
    <w:p>
      <w:pPr>
        <w:spacing w:before="0" w:after="0" w:line="240" w:lineRule="auto"/>
        <w:jc w:val="center"/>
        <w:keepNext/>
      </w:pPr>
      <w:r>
        <w:rPr>
          <w:rFonts w:ascii="Times New Roman" w:hAnsi="Times New Roman"/>
          <w:b/>
          <w:sz w:val="26"/>
        </w:rPr>
        <w:t xml:space="preserve">ТЕХНИКО-ТЕХНОЛОГИЧЕСКАЯ КАРТА № 4</w:t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sz w:val="26"/>
        </w:rPr>
        <w:t xml:space="preserve">Шаурма классическая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1. ОБЛАСТЬ ПРИМЕНЕНИЯ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2"/>
        </w:rPr>
        <w:t xml:space="preserve">Настоящая технико-технологическая карта распространяется на Шаурма классическая, вырабатываемое (-ую) и реализуемое (-ую) в ООО «Гастрономия».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2. ТРЕБОВАНИЯ К СЫРЬЮ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2"/>
        </w:rPr>
        <w:t xml:space="preserve">2.1. Продовольственное сырьё, пищевые продукты и полуфабрикаты, вспомогательные материалы, используемые при производстве блюда, должны соответствовать требованиям ТР ТС 021/2011 «О безопасности пищевой продукции» и иной нормативной документации, действующей для каждого вида сырья, но не противоречащей ТР ТС 021/2011.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2"/>
        </w:rPr>
        <w:t>2.2. Каждая партия сырья, поступающая на предприятие для производства блюда, должна сопровождаться декларацией о соответствии и удостоверением качества и безопасности.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3. РЕЦЕПТУРА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сырья и продуктов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Брутто, г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Нетто, г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Тортилья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60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Томаты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30.39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Куриное филе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14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Огурцы маринованные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19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Соус для шаурмы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20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Выход блюда: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—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140</w:t>
            </w:r>
          </w:p>
        </w:tc>
      </w:tr>
    </w:tbl>
    <w:p>
      <w:pPr>
        <w:spacing w:after="160"/>
      </w:pP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4. ТЕХНОЛОГИЧЕСКИЙ ПРОЦЕСС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2"/>
        </w:rPr>
        <w:t>Подготовка сырья производится в соответствии с рекомендациями Сборника технологических нормативов для предприятий общественного питания и технологическими рекомендациями для импортного сырья.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2"/>
        </w:rPr>
        <w:t xml:space="preserve">Продукт готовить под конкретный заказ. Сначала нарезаем куриное филе на небольшие кусочки и обжариваем до золотистой корочки. Пока курица жарится, нарезаем помидоры и маринованные огурцы. Когда курица готова, выкладываем на тортилью обжаренное филе, добавляем нарезанные овощи и соус для шаурмы. Заворачиваем тортилью, плотно фиксируя начинку внутри.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5. ТРЕБОВАНИЯ К ОФОРМЛЕНИЮ, РЕАЛИЗАЦИИ И ХРАНЕНИЮ</w:t>
      </w:r>
    </w:p>
    <w:p>
      <w:pPr>
        <w:spacing w:before="0" w:after="40" w:line="240" w:lineRule="auto"/>
        <w:jc w:val="both"/>
      </w:pPr>
      <w:r>
        <w:rPr>
          <w:rFonts w:ascii="Times New Roman" w:hAnsi="Times New Roman"/>
          <w:b w:val="0"/>
          <w:sz w:val="22"/>
        </w:rPr>
        <w:t>Готовый продукт пересыпать в картонную коробку.</w:t>
      </w:r>
    </w:p>
    <w:p>
      <w:pPr>
        <w:spacing w:before="0" w:after="40" w:line="240" w:lineRule="auto"/>
        <w:jc w:val="both"/>
      </w:pPr>
      <w:r>
        <w:rPr>
          <w:rFonts w:ascii="Times New Roman" w:hAnsi="Times New Roman"/>
          <w:b w:val="0"/>
          <w:sz w:val="22"/>
        </w:rPr>
        <w:t>Продукт реализовать в упакованном виде сразу после приготовления.</w:t>
      </w:r>
    </w:p>
    <w:p>
      <w:pPr>
        <w:spacing w:before="0" w:after="40" w:line="240" w:lineRule="auto"/>
        <w:jc w:val="both"/>
      </w:pPr>
      <w:r>
        <w:rPr>
          <w:rFonts w:ascii="Times New Roman" w:hAnsi="Times New Roman"/>
          <w:b w:val="0"/>
          <w:sz w:val="22"/>
        </w:rPr>
        <w:t>Срок реализации 3 часа на тепловой полке / в термосумке с момента готовности.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6. ПОКАЗАТЕЛИ КАЧЕСТВА И БЕЗОПАСНОСТИ</w:t>
      </w:r>
    </w:p>
    <w:p>
      <w:pPr>
        <w:spacing w:before="0" w:after="80" w:line="240" w:lineRule="auto"/>
        <w:jc w:val="both"/>
        <w:keepNext/>
      </w:pPr>
      <w:r>
        <w:rPr>
          <w:rFonts w:ascii="Times New Roman" w:hAnsi="Times New Roman"/>
          <w:b w:val="0"/>
          <w:sz w:val="22"/>
        </w:rPr>
        <w:t>6.1. По органолептическим показателям блюдо должно соответствовать требованиям, указанным в таблице: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показателей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Характеристика показателей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Внешний вид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Завернутая тортилья с начинкой, нарезанная пополам, подаётся на бумажной подложке.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Цвет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Золотистая тортилья, ярко-красные томаты, белое куриное филе, зелёные огурцы и светлый соус.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Вкус и запах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Аромат обжаренной курицы, свежесть томатов и огурцов, легкая кислинка соуса.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Консистенция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Мягкая тортилья, сочная курица, хрустящие огурцы и томаты, кремообразный соус.</w:t>
            </w:r>
          </w:p>
        </w:tc>
      </w:tr>
    </w:tbl>
    <w:p>
      <w:pPr>
        <w:spacing w:after="160"/>
      </w:pP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2"/>
        </w:rPr>
        <w:t>6.2. Физико-химические показатели для блюда не нормируются.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2"/>
        </w:rPr>
        <w:t xml:space="preserve">6.3. По микробиологическим показателям и показателям безопасности блюдо должно соответствовать ТР ТС 021/2011 «О безопасности пищевой продукции».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7. ПИЩЕВАЯ И ЭНЕРГЕТИЧЕСКАЯ ЦЕННОСТЬ</w:t>
      </w:r>
    </w:p>
    <w:p>
      <w:pPr>
        <w:spacing w:before="0" w:after="80" w:line="240" w:lineRule="auto"/>
        <w:jc w:val="left"/>
        <w:keepNext/>
      </w:pPr>
      <w:r>
        <w:rPr>
          <w:rFonts w:ascii="Times New Roman" w:hAnsi="Times New Roman"/>
          <w:b w:val="0"/>
          <w:sz w:val="22"/>
        </w:rPr>
        <w:t>Пищевая и энергетическая ценность на 100 г блюда: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Белки, г</w:t>
            </w:r>
          </w:p>
        </w:tc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Жиры, г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Углеводы, г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Энергетическая ценность, кКал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3.2</w:t>
            </w:r>
          </w:p>
        </w:tc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3.6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22.3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137</w:t>
            </w:r>
          </w:p>
        </w:tc>
      </w:tr>
    </w:tbl>
    <w:p>
      <w:pPr>
        <w:spacing w:after="160"/>
      </w:pPr>
    </w:p>
    <w:p>
      <w:pPr>
        <w:spacing w:before="0" w:after="80" w:line="240" w:lineRule="auto"/>
        <w:jc w:val="left"/>
        <w:keepNext/>
      </w:pPr>
      <w:r>
        <w:rPr>
          <w:rFonts w:ascii="Times New Roman" w:hAnsi="Times New Roman"/>
          <w:b w:val="0"/>
          <w:sz w:val="22"/>
        </w:rPr>
        <w:t xml:space="preserve">Пищевая и энергетическая ценность на 1 порцию (140 г):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Белки, г</w:t>
            </w:r>
          </w:p>
        </w:tc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Жиры, г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Углеводы, г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Энергетическая ценность, кКал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4.5</w:t>
            </w:r>
          </w:p>
        </w:tc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5.1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31.2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192</w:t>
            </w:r>
          </w:p>
        </w:tc>
      </w:tr>
    </w:tbl>
    <w:p>
      <w:pPr>
        <w:spacing w:after="160"/>
      </w:pP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8. ПРЕДУСМОТРЕННОЕ ПРИМЕНЕНИЕ И ОГРАНИЧЕНИЯ ПО ПРИМЕНЕНИЮ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sz w:val="22"/>
        </w:rPr>
        <w:t>Блюдо предназначено для непосредственного употребления в пищу. Ограничений по целевым группам потребления среди лиц, ожидаемо потребляющих продукцию, не предусмотрено. Продукт может содержать следы аллергенов, не входящих в основной состав блюда.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2"/>
        </w:rPr>
        <w:t>Разработал: _____________ ( _________________ 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