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"/>
      </w:pPr>
      <w:r>
        <w:t xml:space="preserve">[ПОЛНОЕ НАИМЕНОВАНИЕ УЧЕБНОГО ЗАВЕДЕНИЯ]</w:t>
      </w:r>
    </w:p>
    <w:p>
      <w:pPr>
        <w:pStyle w:val="TitlePage"/>
      </w:pPr>
      <w:r>
        <w:t xml:space="preserve">[Наименование факультета / института]</w:t>
      </w:r>
    </w:p>
    <w:p>
      <w:pPr>
        <w:pStyle w:val="TitlePage"/>
      </w:pPr>
      <w:r>
        <w:t xml:space="preserve">[Наименование кафедры]</w:t>
      </w:r>
    </w:p>
    <w:p>
      <w:pPr>
        <w:pStyle w:val="TitlePageMain"/>
        <w:spacing w:before="1800"/>
      </w:pPr>
      <w:r>
        <w:t xml:space="preserve">ОТЧЁТ</w:t>
      </w:r>
    </w:p>
    <w:p>
      <w:pPr>
        <w:pStyle w:val="TitlePageMain"/>
      </w:pPr>
      <w:r>
        <w:t xml:space="preserve">по лабораторной работе № 1</w:t>
      </w:r>
    </w:p>
    <w:p>
      <w:pPr>
        <w:pStyle w:val="TitlePageMain"/>
      </w:pPr>
      <w:r>
        <w:t xml:space="preserve">«Выбор и обоснование архитектуры системы хранения и обработки данных для бизнес-задачи»</w:t>
      </w:r>
    </w:p>
    <w:p>
      <w:pPr>
        <w:pStyle w:val="TitlePageMain"/>
      </w:pPr>
      <w:r>
        <w:t xml:space="preserve">по дисциплине «[Название дисциплины]»</w:t>
      </w:r>
    </w:p>
    <w:p>
      <w:pPr>
        <w:pStyle w:val="TitlePageMain"/>
      </w:pPr>
      <w:r>
        <w:t xml:space="preserve">Индивидуальный вариант № 2</w:t>
      </w:r>
    </w:p>
    <w:p>
      <w:pPr>
        <w:pStyle w:val="TitlePageRight"/>
        <w:spacing w:before="1200"/>
      </w:pPr>
      <w:r>
        <w:t xml:space="preserve">Выполнил(а): студент(ка) группы [Номер группы]</w:t>
      </w:r>
    </w:p>
    <w:p>
      <w:pPr>
        <w:pStyle w:val="TitlePageRight"/>
      </w:pPr>
      <w:r>
        <w:t xml:space="preserve">[Фамилия Имя Отчество]</w:t>
      </w:r>
    </w:p>
    <w:p>
      <w:pPr>
        <w:pStyle w:val="TitlePageRight"/>
      </w:pPr>
      <w:r>
        <w:t xml:space="preserve">Проверил(а): [должность, учёная степень]</w:t>
      </w:r>
    </w:p>
    <w:p>
      <w:pPr>
        <w:pStyle w:val="TitlePageRight"/>
      </w:pPr>
      <w:r>
        <w:t xml:space="preserve">[Фамилия И. О. преподавателя]</w:t>
      </w:r>
    </w:p>
    <w:p>
      <w:pPr>
        <w:pStyle w:val="TitlePageBottom"/>
        <w:spacing w:before="2400"/>
      </w:pPr>
      <w:r>
        <w:t xml:space="preserve">[Город] [Год]</w:t>
      </w:r>
    </w:p>
    <w:bookmarkStart w:id="20" w:name="цель-работы"/>
    <w:p>
      <w:pPr>
        <w:pageBreakBefore/>
        <w:spacing w:after="240"/>
        <w:ind w:firstLine="0"/>
        <w:jc w:val="center"/>
      </w:pPr>
      <w:r>
        <w:rPr>
          <w:b/>
        </w:rPr>
        <w:t>СОДЕРЖАНИЕ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t>1. Цель работы</w:t>
        <w:tab/>
        <w:t>3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2. Постановка бизнес-задачи (индивидуальный вариант № 2)</w:t>
        <w:tab/>
        <w:t>3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3. Краткие теоретические сведения об архитектурах</w:t>
        <w:tab/>
        <w:t>5</w:t>
      </w:r>
    </w:p>
    <w:p>
      <w:pPr>
        <w:tabs>
          <w:tab w:pos="9355" w:val="right" w:leader="dot"/>
        </w:tabs>
        <w:spacing w:line="276" w:lineRule="auto"/>
        <w:ind w:firstLine="0" w:left="425"/>
        <w:jc w:val="left"/>
      </w:pPr>
      <w:r>
        <w:t>3.1 Data Warehouse (хранилище данных)</w:t>
        <w:tab/>
        <w:t>5</w:t>
      </w:r>
    </w:p>
    <w:p>
      <w:pPr>
        <w:tabs>
          <w:tab w:pos="9355" w:val="right" w:leader="dot"/>
        </w:tabs>
        <w:spacing w:line="276" w:lineRule="auto"/>
        <w:ind w:firstLine="0" w:left="425"/>
        <w:jc w:val="left"/>
      </w:pPr>
      <w:r>
        <w:t>3.2 Data Lake (озеро данных)</w:t>
        <w:tab/>
        <w:t>6</w:t>
      </w:r>
    </w:p>
    <w:p>
      <w:pPr>
        <w:tabs>
          <w:tab w:pos="9355" w:val="right" w:leader="dot"/>
        </w:tabs>
        <w:spacing w:line="276" w:lineRule="auto"/>
        <w:ind w:firstLine="0" w:left="425"/>
        <w:jc w:val="left"/>
      </w:pPr>
      <w:r>
        <w:t>3.3 Data Lakehouse</w:t>
        <w:tab/>
        <w:t>6</w:t>
      </w:r>
    </w:p>
    <w:p>
      <w:pPr>
        <w:tabs>
          <w:tab w:pos="9355" w:val="right" w:leader="dot"/>
        </w:tabs>
        <w:spacing w:line="276" w:lineRule="auto"/>
        <w:ind w:firstLine="0" w:left="425"/>
        <w:jc w:val="left"/>
      </w:pPr>
      <w:r>
        <w:t>3.4 Data Mesh</w:t>
        <w:tab/>
        <w:t>7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4. Сравнительная таблица архитектур</w:t>
        <w:tab/>
        <w:t>8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5. Обоснование выбранной архитектуры</w:t>
        <w:tab/>
        <w:t>10</w:t>
      </w:r>
    </w:p>
    <w:p>
      <w:pPr>
        <w:tabs>
          <w:tab w:pos="9355" w:val="right" w:leader="dot"/>
        </w:tabs>
        <w:spacing w:line="276" w:lineRule="auto"/>
        <w:ind w:firstLine="0" w:left="425"/>
        <w:jc w:val="left"/>
      </w:pPr>
      <w:r>
        <w:t>5.1 Выбор</w:t>
        <w:tab/>
        <w:t>10</w:t>
      </w:r>
    </w:p>
    <w:p>
      <w:pPr>
        <w:tabs>
          <w:tab w:pos="9355" w:val="right" w:leader="dot"/>
        </w:tabs>
        <w:spacing w:line="276" w:lineRule="auto"/>
        <w:ind w:firstLine="0" w:left="425"/>
        <w:jc w:val="left"/>
      </w:pPr>
      <w:r>
        <w:t>5.2 Соответствие требованиям варианта</w:t>
        <w:tab/>
        <w:t>10</w:t>
      </w:r>
    </w:p>
    <w:p>
      <w:pPr>
        <w:tabs>
          <w:tab w:pos="9355" w:val="right" w:leader="dot"/>
        </w:tabs>
        <w:spacing w:line="276" w:lineRule="auto"/>
        <w:ind w:firstLine="0" w:left="425"/>
        <w:jc w:val="left"/>
      </w:pPr>
      <w:r>
        <w:t>5.3 Компромиссы и отклонённые альтернативы</w:t>
        <w:tab/>
        <w:t>11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6. Описание целевой системы и используемых технологий</w:t>
        <w:tab/>
        <w:t>12</w:t>
      </w:r>
    </w:p>
    <w:p>
      <w:pPr>
        <w:tabs>
          <w:tab w:pos="9355" w:val="right" w:leader="dot"/>
        </w:tabs>
        <w:spacing w:line="276" w:lineRule="auto"/>
        <w:ind w:firstLine="0" w:left="425"/>
        <w:jc w:val="left"/>
      </w:pPr>
      <w:r>
        <w:t>6.1 Общее описание</w:t>
        <w:tab/>
        <w:t>12</w:t>
      </w:r>
    </w:p>
    <w:p>
      <w:pPr>
        <w:tabs>
          <w:tab w:pos="9355" w:val="right" w:leader="dot"/>
        </w:tabs>
        <w:spacing w:line="276" w:lineRule="auto"/>
        <w:ind w:firstLine="0" w:left="425"/>
        <w:jc w:val="left"/>
      </w:pPr>
      <w:r>
        <w:t>6.2 Технологический стек</w:t>
        <w:tab/>
        <w:t>12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7. Источники данных и стратегии ingestion</w:t>
        <w:tab/>
        <w:t>14</w:t>
      </w:r>
    </w:p>
    <w:p>
      <w:pPr>
        <w:tabs>
          <w:tab w:pos="9355" w:val="right" w:leader="dot"/>
        </w:tabs>
        <w:spacing w:line="276" w:lineRule="auto"/>
        <w:ind w:firstLine="0" w:left="425"/>
        <w:jc w:val="left"/>
      </w:pPr>
      <w:r>
        <w:t>7.1 Источники данных</w:t>
        <w:tab/>
        <w:t>14</w:t>
      </w:r>
    </w:p>
    <w:p>
      <w:pPr>
        <w:tabs>
          <w:tab w:pos="9355" w:val="right" w:leader="dot"/>
        </w:tabs>
        <w:spacing w:line="276" w:lineRule="auto"/>
        <w:ind w:firstLine="0" w:left="425"/>
        <w:jc w:val="left"/>
      </w:pPr>
      <w:r>
        <w:t>7.2 Потоковый приём clickstream-событий</w:t>
        <w:tab/>
        <w:t>15</w:t>
      </w:r>
    </w:p>
    <w:p>
      <w:pPr>
        <w:tabs>
          <w:tab w:pos="9355" w:val="right" w:leader="dot"/>
        </w:tabs>
        <w:spacing w:line="276" w:lineRule="auto"/>
        <w:ind w:firstLine="0" w:left="425"/>
        <w:jc w:val="left"/>
      </w:pPr>
      <w:r>
        <w:t>7.3 Пакетная загрузка CRM и A/B-данных</w:t>
        <w:tab/>
        <w:t>16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8. Слои хранения, обработки и потребления данных</w:t>
        <w:tab/>
        <w:t>17</w:t>
      </w:r>
    </w:p>
    <w:p>
      <w:pPr>
        <w:tabs>
          <w:tab w:pos="9355" w:val="right" w:leader="dot"/>
        </w:tabs>
        <w:spacing w:line="276" w:lineRule="auto"/>
        <w:ind w:firstLine="0" w:left="425"/>
        <w:jc w:val="left"/>
      </w:pPr>
      <w:r>
        <w:t>8.1 Слои хранения</w:t>
        <w:tab/>
        <w:t>17</w:t>
      </w:r>
    </w:p>
    <w:p>
      <w:pPr>
        <w:tabs>
          <w:tab w:pos="9355" w:val="right" w:leader="dot"/>
        </w:tabs>
        <w:spacing w:line="276" w:lineRule="auto"/>
        <w:ind w:firstLine="0" w:left="425"/>
        <w:jc w:val="left"/>
      </w:pPr>
      <w:r>
        <w:t>8.2 Обработка</w:t>
        <w:tab/>
        <w:t>18</w:t>
      </w:r>
    </w:p>
    <w:p>
      <w:pPr>
        <w:tabs>
          <w:tab w:pos="9355" w:val="right" w:leader="dot"/>
        </w:tabs>
        <w:spacing w:line="276" w:lineRule="auto"/>
        <w:ind w:firstLine="0" w:left="425"/>
        <w:jc w:val="left"/>
      </w:pPr>
      <w:r>
        <w:t>8.3 Потребление данных</w:t>
        <w:tab/>
        <w:t>19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9. Движение потоков данных (Data Flow)</w:t>
        <w:tab/>
        <w:t>19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10. Диаграмма C4 уровня 1 — System Context</w:t>
        <w:tab/>
        <w:t>22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11. Диаграмма C4 уровня 2 — Container</w:t>
        <w:tab/>
        <w:t>24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12. Ключевые аналитические метрики и формулы</w:t>
        <w:tab/>
        <w:t>26</w:t>
      </w:r>
    </w:p>
    <w:p>
      <w:pPr>
        <w:tabs>
          <w:tab w:pos="9355" w:val="right" w:leader="dot"/>
        </w:tabs>
        <w:spacing w:line="276" w:lineRule="auto"/>
        <w:ind w:firstLine="0" w:left="425"/>
        <w:jc w:val="left"/>
      </w:pPr>
      <w:r>
        <w:t>12.1 Определение этапов воронки</w:t>
        <w:tab/>
        <w:t>26</w:t>
      </w:r>
    </w:p>
    <w:p>
      <w:pPr>
        <w:tabs>
          <w:tab w:pos="9355" w:val="right" w:leader="dot"/>
        </w:tabs>
        <w:spacing w:line="276" w:lineRule="auto"/>
        <w:ind w:firstLine="0" w:left="425"/>
        <w:jc w:val="left"/>
      </w:pPr>
      <w:r>
        <w:t>12.2 Формулы</w:t>
        <w:tab/>
        <w:t>26</w:t>
      </w:r>
    </w:p>
    <w:p>
      <w:pPr>
        <w:tabs>
          <w:tab w:pos="9355" w:val="right" w:leader="dot"/>
        </w:tabs>
        <w:spacing w:line="276" w:lineRule="auto"/>
        <w:ind w:firstLine="0" w:left="425"/>
        <w:jc w:val="left"/>
      </w:pPr>
      <w:r>
        <w:t>12.3 Условный числовой пример</w:t>
        <w:tab/>
        <w:t>27</w:t>
      </w:r>
    </w:p>
    <w:p>
      <w:pPr>
        <w:tabs>
          <w:tab w:pos="9355" w:val="right" w:leader="dot"/>
        </w:tabs>
        <w:spacing w:line="276" w:lineRule="auto"/>
        <w:ind w:firstLine="0" w:left="425"/>
        <w:jc w:val="left"/>
      </w:pPr>
      <w:r>
        <w:t>12.4 Пример логики расчёта (SQL, Trino / Spark SQL)</w:t>
        <w:tab/>
        <w:t>28</w:t>
      </w:r>
    </w:p>
    <w:p>
      <w:pPr>
        <w:tabs>
          <w:tab w:pos="9355" w:val="right" w:leader="dot"/>
        </w:tabs>
        <w:spacing w:line="276" w:lineRule="auto"/>
        <w:ind w:firstLine="0" w:left="425"/>
        <w:jc w:val="left"/>
      </w:pPr>
      <w:r>
        <w:t>12.5 Почему важны окна, повторы, идентификаторы и связывание с CRM</w:t>
        <w:tab/>
        <w:t>28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13. Выводы</w:t>
        <w:tab/>
        <w:t>29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14. Список использованных источников</w:t>
        <w:tab/>
        <w:t>30</w:t>
      </w:r>
    </w:p>
    <w:p>
      <w:pPr>
        <w:tabs>
          <w:tab w:pos="9355" w:val="right" w:leader="dot"/>
        </w:tabs>
        <w:spacing w:line="276" w:lineRule="auto"/>
        <w:ind w:firstLine="0" w:left="0"/>
        <w:jc w:val="left"/>
      </w:pPr>
      <w:r>
        <w:t>Приложение А. Ответы на контрольные вопросы</w:t>
        <w:tab/>
        <w:t>33</w:t>
      </w:r>
      <w:r>
        <w:fldChar w:fldCharType="end"/>
      </w:r>
    </w:p>
    <w:p>
      <w:pPr>
        <w:pStyle w:val="Heading1"/>
        <w:pageBreakBefore/>
      </w:pPr>
      <w:r>
        <w:t xml:space="preserve">1. Цель работы</w:t>
      </w:r>
    </w:p>
    <w:p>
      <w:pPr>
        <w:pStyle w:val="FirstParagraph"/>
      </w:pPr>
      <w:r>
        <w:t xml:space="preserve">Цель работы — на примере конкретной бизнес-задачи сравнить архитектурные подходы к хранению и обработке данных (Data Warehouse, Data Lake, Data Lakehouse, Data Mesh), обоснованно выбрать целевую архитектуру, спроектировать систему приёма, хранения, обработки и потребления данных и представить её в нотации C4 на уровнях System Context и Container.</w:t>
      </w:r>
    </w:p>
    <w:p>
      <w:pPr>
        <w:pStyle w:val="BodyText"/>
      </w:pPr>
      <w:r>
        <w:t xml:space="preserve">Для достижения цели решаются следующие задачи:</w:t>
      </w:r>
    </w:p>
    <w:p>
      <w:pPr>
        <w:numPr>
          <w:ilvl w:val="0"/>
          <w:numId w:val="1001"/>
        </w:numPr>
        <w:pStyle w:val="Compact"/>
      </w:pPr>
      <w:r>
        <w:t xml:space="preserve">Проанализировать четыре архитектурных подхода и оценить их применимость к индивидуальному варианту.</w:t>
      </w:r>
    </w:p>
    <w:p>
      <w:pPr>
        <w:numPr>
          <w:ilvl w:val="0"/>
          <w:numId w:val="1001"/>
        </w:numPr>
        <w:pStyle w:val="Compact"/>
      </w:pPr>
      <w:r>
        <w:t xml:space="preserve">Выбрать и аргументировать целевую архитектуру с учётом компромиссов.</w:t>
      </w:r>
    </w:p>
    <w:p>
      <w:pPr>
        <w:numPr>
          <w:ilvl w:val="0"/>
          <w:numId w:val="1001"/>
        </w:numPr>
        <w:pStyle w:val="Compact"/>
      </w:pPr>
      <w:r>
        <w:t xml:space="preserve">Спроектировать источники, механизмы приёма (ingestion), слои хранения, обработку и потребление данных, предложить согласованный технологический стек.</w:t>
      </w:r>
    </w:p>
    <w:p>
      <w:pPr>
        <w:numPr>
          <w:ilvl w:val="0"/>
          <w:numId w:val="1001"/>
        </w:numPr>
        <w:pStyle w:val="Compact"/>
      </w:pPr>
      <w:r>
        <w:t xml:space="preserve">Построить диаграммы C4 уровней 1 и 2.</w:t>
      </w:r>
    </w:p>
    <w:p>
      <w:pPr>
        <w:numPr>
          <w:ilvl w:val="0"/>
          <w:numId w:val="1001"/>
        </w:numPr>
        <w:pStyle w:val="Compact"/>
      </w:pPr>
      <w:r>
        <w:t xml:space="preserve">Описать движение потоков данных (Data Flow) и ключевые метрики воронки продаж.</w:t>
      </w:r>
    </w:p>
    <w:p>
      <w:pPr>
        <w:pStyle w:val="FirstParagraph"/>
      </w:pPr>
      <w:r>
        <w:t xml:space="preserve">Работа носит проектный характер: система спроектирована, но не реализовывалась и не тестировалась. Все численные оценки в отчёте являются расчётными или условными и отмечены соответствующим образом.</w:t>
      </w:r>
    </w:p>
    <w:bookmarkEnd w:id="20"/>
    <w:bookmarkStart w:id="21" w:name="Xd807a88ad3eef3528e4bc3ec30f6dd8f5d51880"/>
    <w:p>
      <w:pPr>
        <w:pStyle w:val="Heading1"/>
      </w:pPr>
      <w:r>
        <w:t xml:space="preserve">2. Постановка бизнес-задачи (индивидуальный вариант № 2)</w:t>
      </w:r>
    </w:p>
    <w:p>
      <w:pPr>
        <w:pStyle w:val="FirstParagraph"/>
      </w:pPr>
      <w:r>
        <w:rPr>
          <w:bCs/>
          <w:b/>
        </w:rPr>
        <w:t xml:space="preserve">Бизнес-задача:</w:t>
      </w:r>
      <w:r>
        <w:t xml:space="preserve"> </w:t>
      </w:r>
      <w:r>
        <w:t xml:space="preserve">создать систему обработки clickstream-данных для оптимизации воронки продаж с использованием потоковых событий сайта объёмом 100–300 млн событий в месяц.</w:t>
      </w:r>
    </w:p>
    <w:p>
      <w:pPr>
        <w:pStyle w:val="BodyText"/>
      </w:pPr>
      <w:r>
        <w:rPr>
          <w:bCs/>
          <w:b/>
        </w:rPr>
        <w:t xml:space="preserve">Источники данных:</w:t>
      </w:r>
    </w:p>
    <w:p>
      <w:pPr>
        <w:numPr>
          <w:ilvl w:val="0"/>
          <w:numId w:val="1002"/>
        </w:numPr>
        <w:pStyle w:val="Compact"/>
      </w:pPr>
      <w:r>
        <w:t xml:space="preserve">JSON-логи сайта (серверные логи запросов, ошибок, шагов оформления заказа);</w:t>
      </w:r>
    </w:p>
    <w:p>
      <w:pPr>
        <w:numPr>
          <w:ilvl w:val="0"/>
          <w:numId w:val="1002"/>
        </w:numPr>
        <w:pStyle w:val="Compact"/>
      </w:pPr>
      <w:r>
        <w:t xml:space="preserve">события из систем веб-трекинга (визиты, источники трафика, UTM-метки);</w:t>
      </w:r>
    </w:p>
    <w:p>
      <w:pPr>
        <w:numPr>
          <w:ilvl w:val="0"/>
          <w:numId w:val="1002"/>
        </w:numPr>
        <w:pStyle w:val="Compact"/>
      </w:pPr>
      <w:r>
        <w:t xml:space="preserve">результаты и параметры A/B-тестов (эксперименты, варианты, назначения пользователей);</w:t>
      </w:r>
    </w:p>
    <w:p>
      <w:pPr>
        <w:numPr>
          <w:ilvl w:val="0"/>
          <w:numId w:val="1002"/>
        </w:numPr>
        <w:pStyle w:val="Compact"/>
      </w:pPr>
      <w:r>
        <w:t xml:space="preserve">CRM-данные о заказах (заказы, оплаты, отмены, возвраты).</w:t>
      </w:r>
    </w:p>
    <w:p>
      <w:pPr>
        <w:pStyle w:val="FirstParagraph"/>
      </w:pPr>
      <w:r>
        <w:rPr>
          <w:bCs/>
          <w:b/>
        </w:rPr>
        <w:t xml:space="preserve">Цель системы:</w:t>
      </w:r>
      <w:r>
        <w:t xml:space="preserve"> </w:t>
      </w:r>
      <w:r>
        <w:t xml:space="preserve">собирать, хранить и обрабатывать события пользовательского поведения, анализировать этапы воронки продаж, выявлять места потери пользователей, оценивать результаты A/B-тестов и предоставлять аналитические данные бизнес-пользователям (аналитикам, продуктовым менеджерам), BI-системе, внешним потребителям через API и ML-сервисам.</w:t>
      </w:r>
    </w:p>
    <w:p>
      <w:pPr>
        <w:pStyle w:val="BodyText"/>
      </w:pPr>
      <w:r>
        <w:rPr>
          <w:bCs/>
          <w:b/>
        </w:rPr>
        <w:t xml:space="preserve">Профиль нагрузки (расчётная оценка).</w:t>
      </w:r>
      <w:r>
        <w:t xml:space="preserve"> </w:t>
      </w:r>
      <w:r>
        <w:t xml:space="preserve">Объём 100–300 млн событий в месяц соответствует в среднем примерно 39–116 событиям в секунду (300 млн / (30 × 86 400 с) ≈ 116 событий/с). Clickstream имеет выраженную суточную и сезонную неравномерность, поэтому в пиках (распродажи, рассылки) следует закладывать запас порядка ×5–10, т. е. ~600–1 200 событий/с. При условном среднем размере JSON-события 1–2 КБ ежемесячный объём сырых данных составит порядка 100–600 ГБ, а с учётом хранения истории за несколько лет — единицы терабайт. Это не экстремальный, но устойчиво растущий поток, требующий горизонтально масштабируемого приёма и дешёвого долговременного хранения.</w:t>
      </w:r>
    </w:p>
    <w:p>
      <w:pPr>
        <w:pStyle w:val="BodyText"/>
      </w:pPr>
      <w:r>
        <w:rPr>
          <w:bCs/>
          <w:b/>
        </w:rPr>
        <w:t xml:space="preserve">Ключевые требования, вытекающие из варианта:</w:t>
      </w:r>
    </w:p>
    <w:p>
      <w:pPr>
        <w:pStyle w:val="BodyText"/>
        <w:keepNext/>
        <w:spacing w:before="120" w:after="60"/>
        <w:ind w:firstLine="0"/>
        <w:jc w:val="left"/>
      </w:pPr>
      <w:r>
        <w:t xml:space="preserve">Таблица 1 — Требования варианта № 2 и их архитектурные следствия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pct" w:w="5000"/>
      </w:tblPr>
      <w:tblGrid>
        <w:gridCol w:w="396"/>
        <w:gridCol w:w="2772"/>
        <w:gridCol w:w="4752"/>
      </w:tblGrid>
      <w:tr>
        <w:trPr>
          <w:tblHeader w:val="true"/>
          <w:tblHeader/>
        </w:trP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№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Требование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Следствие для архитектуры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Т1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Поток событий с высокой скоростью поступления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Нужен буфер (брокер сообщений) и потоковая обработка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Т2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Полуструктурированный формат JSON с меняющейся схемой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Хранение сырых данных без жёсткой схемы, эволюция схемы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Т3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Хранение сырых событий и истории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Дешёвое масштабируемое хранилище, повторная обработка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Т4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Объединение с CRM и A/B-платформой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Пакетная загрузка, надёжные ключи связывания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Т5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Быстрое получение показателей воронки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Аналитические витрины, SQL-доступ, BI и API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Т6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Возможность ML (персонализация, прогноз)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Доступ к детальным данным в открытом формате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Т7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Корректность метрик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Дедупликация, единые временные метки, транзакционность записи</w:t>
            </w:r>
          </w:p>
        </w:tc>
      </w:tr>
    </w:tbl>
    <w:bookmarkEnd w:id="21"/>
    <w:bookmarkStart w:id="26" w:name="X8fe437b4471ba4fcc2cd16296a64bb921bfae56"/>
    <w:p>
      <w:pPr>
        <w:pStyle w:val="Heading1"/>
      </w:pPr>
      <w:r>
        <w:t xml:space="preserve">3. Краткие теоретические сведения об архитектурах</w:t>
      </w:r>
    </w:p>
    <w:bookmarkStart w:id="22" w:name="data-warehouse-хранилище-данных"/>
    <w:p>
      <w:pPr>
        <w:pStyle w:val="Heading2"/>
      </w:pPr>
      <w:r>
        <w:t xml:space="preserve">3.1 Data Warehouse (хранилище данных)</w:t>
      </w:r>
    </w:p>
    <w:p>
      <w:pPr>
        <w:pStyle w:val="FirstParagraph"/>
      </w:pPr>
      <w:r>
        <w:rPr>
          <w:bCs/>
          <w:b/>
        </w:rPr>
        <w:t xml:space="preserve">Ключевая идея.</w:t>
      </w:r>
      <w:r>
        <w:t xml:space="preserve"> </w:t>
      </w:r>
      <w:r>
        <w:t xml:space="preserve">Централизованное предметно-ориентированное хранилище интегрированных, очищенных и исторических данных для аналитики (OLAP), отделённое от транзакционных систем (OLTP). Данные загружаются по заранее определённой схеме (Schema-on-Write), обычно процессом ETL.</w:t>
      </w:r>
    </w:p>
    <w:p>
      <w:pPr>
        <w:pStyle w:val="BodyText"/>
      </w:pPr>
      <w:r>
        <w:rPr>
          <w:bCs/>
          <w:b/>
        </w:rPr>
        <w:t xml:space="preserve">Где хранятся данные.</w:t>
      </w:r>
      <w:r>
        <w:t xml:space="preserve"> </w:t>
      </w:r>
      <w:r>
        <w:t xml:space="preserve">В аналитической СУБД (часто колоночной, MPP) в виде структурированных таблиц — звёздная или снежинковая схема, витрины данных (data marts).</w:t>
      </w:r>
    </w:p>
    <w:p>
      <w:pPr>
        <w:pStyle w:val="BodyText"/>
      </w:pPr>
      <w:r>
        <w:rPr>
          <w:bCs/>
          <w:b/>
        </w:rPr>
        <w:t xml:space="preserve">Кто управляет данными.</w:t>
      </w:r>
      <w:r>
        <w:t xml:space="preserve"> </w:t>
      </w:r>
      <w:r>
        <w:t xml:space="preserve">Централизованная команда хранилища (DWH/BI-команда), которая проектирует модель, ETL-процессы и отвечает за качество.</w:t>
      </w:r>
    </w:p>
    <w:p>
      <w:pPr>
        <w:pStyle w:val="BodyText"/>
      </w:pPr>
      <w:r>
        <w:rPr>
          <w:bCs/>
          <w:b/>
        </w:rPr>
        <w:t xml:space="preserve">Сильные стороны:</w:t>
      </w:r>
      <w:r>
        <w:t xml:space="preserve"> </w:t>
      </w:r>
      <w:r>
        <w:t xml:space="preserve">высокая производительность SQL-запросов; согласованные, проверенные данные («единая версия правды»); зрелые инструменты BI; транзакционность и контроль доступа.</w:t>
      </w:r>
    </w:p>
    <w:p>
      <w:pPr>
        <w:pStyle w:val="BodyText"/>
      </w:pPr>
      <w:r>
        <w:rPr>
          <w:bCs/>
          <w:b/>
        </w:rPr>
        <w:t xml:space="preserve">Ограничения:</w:t>
      </w:r>
      <w:r>
        <w:t xml:space="preserve"> </w:t>
      </w:r>
      <w:r>
        <w:t xml:space="preserve">жёсткая схема и дорогое изменение структуры; плохо подходит для полуструктурированных и неструктурированных данных; сырые данные обычно не сохраняются; хранение больших объёмов истории дорого (вычисления и хранение часто связаны); ограниченная поддержка ML-сценариев, которым нужны детальные данные.</w:t>
      </w:r>
    </w:p>
    <w:bookmarkEnd w:id="22"/>
    <w:bookmarkStart w:id="23" w:name="data-lake-озеро-данных"/>
    <w:p>
      <w:pPr>
        <w:pStyle w:val="Heading2"/>
      </w:pPr>
      <w:r>
        <w:t xml:space="preserve">3.2 Data Lake (озеро данных)</w:t>
      </w:r>
    </w:p>
    <w:p>
      <w:pPr>
        <w:pStyle w:val="FirstParagraph"/>
      </w:pPr>
      <w:r>
        <w:rPr>
          <w:bCs/>
          <w:b/>
        </w:rPr>
        <w:t xml:space="preserve">Ключевая идея.</w:t>
      </w:r>
      <w:r>
        <w:t xml:space="preserve"> </w:t>
      </w:r>
      <w:r>
        <w:t xml:space="preserve">Хранение данных любых типов в исходном виде в дешёвом масштабируемом хранилище; структура применяется при чтении (Schema-on-Read). Процесс загрузки — ELT: сначала загрузка, затем преобразование.</w:t>
      </w:r>
    </w:p>
    <w:p>
      <w:pPr>
        <w:pStyle w:val="BodyText"/>
      </w:pPr>
      <w:r>
        <w:rPr>
          <w:bCs/>
          <w:b/>
        </w:rPr>
        <w:t xml:space="preserve">Где хранятся данные.</w:t>
      </w:r>
      <w:r>
        <w:t xml:space="preserve"> </w:t>
      </w:r>
      <w:r>
        <w:t xml:space="preserve">В распределённой файловой системе (HDFS) или объектном хранилище (S3-совместимом) в виде файлов: JSON, CSV, Avro, Parquet, ORC, изображения и т. д.</w:t>
      </w:r>
    </w:p>
    <w:p>
      <w:pPr>
        <w:pStyle w:val="BodyText"/>
      </w:pPr>
      <w:r>
        <w:rPr>
          <w:bCs/>
          <w:b/>
        </w:rPr>
        <w:t xml:space="preserve">Кто управляет данными.</w:t>
      </w:r>
      <w:r>
        <w:t xml:space="preserve"> </w:t>
      </w:r>
      <w:r>
        <w:t xml:space="preserve">Центральная платформенная команда данных; потребители (аналитики, data scientists) сами интерпретируют структуру.</w:t>
      </w:r>
    </w:p>
    <w:p>
      <w:pPr>
        <w:pStyle w:val="BodyText"/>
      </w:pPr>
      <w:r>
        <w:rPr>
          <w:bCs/>
          <w:b/>
        </w:rPr>
        <w:t xml:space="preserve">Сильные стороны:</w:t>
      </w:r>
      <w:r>
        <w:t xml:space="preserve"> </w:t>
      </w:r>
      <w:r>
        <w:t xml:space="preserve">низкая стоимость хранения; поддержка любых форматов; хранение сырых данных и полной истории; разделение хранения и вычислений; удобство для ML и исследовательского анализа.</w:t>
      </w:r>
    </w:p>
    <w:p>
      <w:pPr>
        <w:pStyle w:val="BodyText"/>
      </w:pPr>
      <w:r>
        <w:rPr>
          <w:bCs/>
          <w:b/>
        </w:rPr>
        <w:t xml:space="preserve">Ограничения:</w:t>
      </w:r>
      <w:r>
        <w:t xml:space="preserve"> </w:t>
      </w:r>
      <w:r>
        <w:t xml:space="preserve">нет транзакций (ACID) на уровне файлов; сложны обновления и удаления записей; без каталога, метаданных и контроля качества озеро превращается в «болото данных» (Data Swamp); производительность SQL ниже, чем у DWH; для BI обычно приходится дополнительно копировать данные в DWH (двухуровневая архитектура Data Lake + DWH).</w:t>
      </w:r>
    </w:p>
    <w:bookmarkEnd w:id="23"/>
    <w:bookmarkStart w:id="24" w:name="data-lakehouse"/>
    <w:p>
      <w:pPr>
        <w:pStyle w:val="Heading2"/>
      </w:pPr>
      <w:r>
        <w:t xml:space="preserve">3.3 Data Lakehouse</w:t>
      </w:r>
    </w:p>
    <w:p>
      <w:pPr>
        <w:pStyle w:val="FirstParagraph"/>
      </w:pPr>
      <w:r>
        <w:rPr>
          <w:bCs/>
          <w:b/>
        </w:rPr>
        <w:t xml:space="preserve">Ключевая идея.</w:t>
      </w:r>
      <w:r>
        <w:t xml:space="preserve"> </w:t>
      </w:r>
      <w:r>
        <w:t xml:space="preserve">Объединить дешёвое открытое хранилище озера данных с возможностями хранилища: ACID-транзакциями, схемами и их эволюцией, версионированием (time travel), эффективными SQL-запросами. Достигается за счёт слоя метаданных — открытого табличного формата (Apache Iceberg, Delta Lake, Apache Hudi) поверх файлов Parquet/ORC.</w:t>
      </w:r>
    </w:p>
    <w:p>
      <w:pPr>
        <w:pStyle w:val="BodyText"/>
      </w:pPr>
      <w:r>
        <w:rPr>
          <w:bCs/>
          <w:b/>
        </w:rPr>
        <w:t xml:space="preserve">Где хранятся данные.</w:t>
      </w:r>
      <w:r>
        <w:t xml:space="preserve"> </w:t>
      </w:r>
      <w:r>
        <w:t xml:space="preserve">В объектном хранилище в открытых форматах; метаданные таблиц (схема, снапшоты, списки файлов) хранятся рядом с данными, а указатель на актуальную версию — в каталоге таблиц. Данные часто организуются в слои Bronze (сырые), Silver (очищенные), Gold (витрины) — так называемая medallion-архитектура.</w:t>
      </w:r>
    </w:p>
    <w:p>
      <w:pPr>
        <w:pStyle w:val="BodyText"/>
      </w:pPr>
      <w:r>
        <w:rPr>
          <w:bCs/>
          <w:b/>
        </w:rPr>
        <w:t xml:space="preserve">Кто управляет данными.</w:t>
      </w:r>
      <w:r>
        <w:t xml:space="preserve"> </w:t>
      </w:r>
      <w:r>
        <w:t xml:space="preserve">Как правило, центральная платформенная команда данных (организационная модель не меняется по сравнению с Data Lake / DWH).</w:t>
      </w:r>
    </w:p>
    <w:p>
      <w:pPr>
        <w:pStyle w:val="BodyText"/>
      </w:pPr>
      <w:r>
        <w:rPr>
          <w:bCs/>
          <w:b/>
        </w:rPr>
        <w:t xml:space="preserve">Сильные стороны:</w:t>
      </w:r>
      <w:r>
        <w:t xml:space="preserve"> </w:t>
      </w:r>
      <w:r>
        <w:t xml:space="preserve">одна копия данных для BI, SQL-аналитики, потоковой обработки и ML; ACID-транзакции и согласованное чтение; эволюция схемы; повторная обработка истории и time travel; несколько вычислительных движков (Spark, Trino, Flink) работают с одними таблицами; отсутствие привязки к поставщику.</w:t>
      </w:r>
    </w:p>
    <w:p>
      <w:pPr>
        <w:pStyle w:val="BodyText"/>
      </w:pPr>
      <w:r>
        <w:rPr>
          <w:bCs/>
          <w:b/>
        </w:rPr>
        <w:t xml:space="preserve">Ограничения:</w:t>
      </w:r>
      <w:r>
        <w:t xml:space="preserve"> </w:t>
      </w:r>
      <w:r>
        <w:t xml:space="preserve">более сложная эксплуатация (каталог, компактизация мелких файлов, очистка снапшотов); задержка интерактивных запросов, как правило, выше, чем у специализированной колоночной СУБД; требуется квалифицированная команда; технологии развиваются быстро, нужна проверка совместимости версий.</w:t>
      </w:r>
    </w:p>
    <w:bookmarkEnd w:id="24"/>
    <w:bookmarkStart w:id="25" w:name="data-mesh"/>
    <w:p>
      <w:pPr>
        <w:pStyle w:val="Heading2"/>
      </w:pPr>
      <w:r>
        <w:t xml:space="preserve">3.4 Data Mesh</w:t>
      </w:r>
    </w:p>
    <w:p>
      <w:pPr>
        <w:pStyle w:val="FirstParagraph"/>
      </w:pPr>
      <w:r>
        <w:rPr>
          <w:bCs/>
          <w:b/>
        </w:rPr>
        <w:t xml:space="preserve">Ключевая идея.</w:t>
      </w:r>
      <w:r>
        <w:t xml:space="preserve"> </w:t>
      </w:r>
      <w:r>
        <w:t xml:space="preserve">Не технология, а социотехнический (организационный) подход: ответственность за аналитические данные децентрализуется и передаётся доменным командам. Основные принципы (по Ж. Дехгани): доменное владение данными, данные как продукт, самообслуживаемая платформа данных, федеративное вычислительное управление (federated computational governance).</w:t>
      </w:r>
    </w:p>
    <w:p>
      <w:pPr>
        <w:pStyle w:val="BodyText"/>
      </w:pPr>
      <w:r>
        <w:rPr>
          <w:bCs/>
          <w:b/>
        </w:rPr>
        <w:t xml:space="preserve">Где хранятся данные.</w:t>
      </w:r>
      <w:r>
        <w:t xml:space="preserve"> </w:t>
      </w:r>
      <w:r>
        <w:t xml:space="preserve">Распределённо — в доменных data products. Каждый продукт данных может технически реализовываться как DWH, Data Lake или Lakehouse на общей платформе самообслуживания.</w:t>
      </w:r>
    </w:p>
    <w:p>
      <w:pPr>
        <w:pStyle w:val="BodyText"/>
      </w:pPr>
      <w:r>
        <w:rPr>
          <w:bCs/>
          <w:b/>
        </w:rPr>
        <w:t xml:space="preserve">Кто управляет данными.</w:t>
      </w:r>
      <w:r>
        <w:t xml:space="preserve"> </w:t>
      </w:r>
      <w:r>
        <w:t xml:space="preserve">Доменные команды (например, «Маркетинг», «Заказы», «Каталог»), которые владеют своими продуктами данных; общие стандарты задаются федеративным органом управления.</w:t>
      </w:r>
    </w:p>
    <w:p>
      <w:pPr>
        <w:pStyle w:val="BodyText"/>
      </w:pPr>
      <w:r>
        <w:rPr>
          <w:bCs/>
          <w:b/>
        </w:rPr>
        <w:t xml:space="preserve">Сильные стороны:</w:t>
      </w:r>
      <w:r>
        <w:t xml:space="preserve"> </w:t>
      </w:r>
      <w:r>
        <w:t xml:space="preserve">масштабирование в крупных организациях со множеством доменов; устранение «бутылочного горлышка» центральной команды; данные ближе к экспертам предметной области; явная ответственность за качество.</w:t>
      </w:r>
    </w:p>
    <w:p>
      <w:pPr>
        <w:pStyle w:val="BodyText"/>
      </w:pPr>
      <w:r>
        <w:rPr>
          <w:bCs/>
          <w:b/>
        </w:rPr>
        <w:t xml:space="preserve">Ограничения:</w:t>
      </w:r>
      <w:r>
        <w:t xml:space="preserve"> </w:t>
      </w:r>
      <w:r>
        <w:t xml:space="preserve">высокая организационная зрелость и стоимость внедрения; нужна развитая платформа самообслуживания; риск дублирования и несогласованности при слабом управлении; для одной предметной области и одной команды избыточен.</w:t>
      </w:r>
    </w:p>
    <w:bookmarkEnd w:id="25"/>
    <w:bookmarkEnd w:id="26"/>
    <w:bookmarkStart w:id="27" w:name="сравнительная-таблица-архитектур"/>
    <w:p>
      <w:pPr>
        <w:pStyle w:val="Heading1"/>
      </w:pPr>
      <w:r>
        <w:t xml:space="preserve">4. Сравнительная таблица архитектур</w:t>
      </w:r>
    </w:p>
    <w:p>
      <w:pPr>
        <w:pStyle w:val="FirstParagraph"/>
      </w:pPr>
      <w:r>
        <w:t xml:space="preserve">В таблице 2 приведено сравнение подходов по общим характеристикам, в таблице 3 — оценка применимости к варианту № 2.</w:t>
      </w:r>
    </w:p>
    <w:p>
      <w:pPr>
        <w:pStyle w:val="BodyText"/>
        <w:keepNext/>
        <w:spacing w:before="120" w:after="60"/>
        <w:ind w:firstLine="0"/>
        <w:jc w:val="left"/>
      </w:pPr>
      <w:r>
        <w:t xml:space="preserve">Таблица 2 — Общее сравнение архитектурных подходов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pct" w:w="500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/>
        </w:trP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Характеристика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Data Warehouse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Data Lake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Data Lakehouse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Data Mesh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Природа подхода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Технологическая архитектура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Технологическая архитектура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Технологическая архитектура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Организационная модель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Схема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Schema-on-Write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Schema-on-Read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Schema-on-Write для таблиц + эволюция схемы; сырые данные — Schema-on-Read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Определяется доменом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Типы данных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Структурированные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Любые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Любые (сырые) + табличные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Любые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Транзакции (ACID)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Нет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Да (табличный формат)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Зависит от реализации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Хранение сырых данных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Как правило, нет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Да (слой Bronze)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Зависит от реализации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Стоимость хранения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Высокая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Низкая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Низкая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Зависит от реализации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Потоковая запись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Ограниченно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Да, без транзакций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Да, транзакционно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Зависит от реализации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BI / SQL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Отлично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Слабо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Хорошо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Зависит от реализации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ML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Ограниченно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Хорошо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Хорошо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Зависит от реализации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Управление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Централизованное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Централизованное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Централизованное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Федеративное, доменное</w:t>
            </w:r>
          </w:p>
        </w:tc>
      </w:tr>
    </w:tbl>
    <w:p>
      <w:pPr>
        <w:pStyle w:val="BodyText"/>
        <w:keepNext/>
        <w:spacing w:before="160" w:after="60"/>
        <w:ind w:firstLine="0"/>
        <w:jc w:val="left"/>
      </w:pPr>
      <w:r>
        <w:t xml:space="preserve">Таблица 3 — Применимость архитектурных подходов к варианту № 2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pct" w:w="5000"/>
      </w:tblPr>
      <w:tblGrid>
        <w:gridCol w:w="1108"/>
        <w:gridCol w:w="1821"/>
        <w:gridCol w:w="2059"/>
        <w:gridCol w:w="1029"/>
        <w:gridCol w:w="1900"/>
      </w:tblGrid>
      <w:tr>
        <w:trPr>
          <w:tblHeader w:val="true"/>
          <w:tblHeader/>
        </w:trP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Архитектурный подход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Преимущества для варианта № 2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Ограничения для варианта № 2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Подходит ли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Обоснование оценки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Data Warehouse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Быстрые SQL-запросы для дашбордов воронки; удобное объединение с CRM (структурированные заказы); зрелые BI-инструменты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JSON-события с меняющимися полями нужно жёстко нормализовать до загрузки; сырые события не сохраняются — нельзя пересчитать воронку по новому определению этапа; хранение 100–300 млн строк в месяц с многолетней историей в DWH дорого; потоковая загрузка ограничена; детальные данные для ML неудобны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Частично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Подходит как слой витрин для уже агрегированных показателей, но не как основное хранилище сырого clickstream. Не выполняет требования Т2, Т3, Т6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Data Lake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Дешёвое хранение сырого JSON и полной истории; приём любых форматов; хорошая основа для ML; масштабируется под пики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Нет ACID: потоковая запись и параллельное чтение дают неполные или дублированные результаты; сложно обновлять заказы CRM (смена статуса, отмены) и устранять дубли; низкая скорость SQL для BI; без каталога высок риск Data Swamp; для дашбордов придётся дублировать данные в DWH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Частично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Хорошо решает хранение (Т2, Т3), но не обеспечивает корректность (Т7) и быстрый доступ (Т5) без дополнительного DWH, что ведёт к двойной записи и рассинхронизации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Data Lakehouse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Сырые события, очищенные данные и витрины хранятся в одном объектном хранилище в открытом формате; ACID-коммиты для потоковой и пакетной записи; MERGE для обновлений заказов и дедупликации; эволюция схемы JSON-событий; time travel и повторная обработка истории; SQL-движок для BI и прямой доступ для ML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Сложнее эксплуатация (компактизация мелких файлов от потоковой записи, очистка снапшотов, каталог); интерактивные запросы медленнее специализированной колоночной СУБД — нужны предагрегированные витрины; требуется команда с компетенциями в Spark/Iceberg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Да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Закрывает все требования Т1–Т7 одной копией данных; объём 100–300 млн событий/мес. укладывается в возможности стека без экзотических решений; ограничения устраняются регламентными процессами и витринами Gold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Data Mesh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Чёткое владение данными: домены «Веб-аналитика», «Заказы», «Эксперименты» могли бы публиковать свои продукты данных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Задача относится по сути к одной предметной области (воронка продаж) и решается одной командой; децентрализация увеличит стоимость и сроки без выигрыша; Data Mesh не отвечает на вопрос, как технически хранить и обрабатывать поток событий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Нет (на текущем этапе)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Организационная модель, избыточная для одной задачи. Её принципы (данные как продукт, контракты схем событий) можно применить точечно, а при росте числа доменов — эволюционировать к Mesh поверх той же Lakehouse-платформы</w:t>
            </w:r>
          </w:p>
        </w:tc>
      </w:tr>
    </w:tbl>
    <w:bookmarkEnd w:id="27"/>
    <w:bookmarkStart w:id="31" w:name="обоснование-выбранной-архитектуры"/>
    <w:p>
      <w:pPr>
        <w:pStyle w:val="Heading1"/>
      </w:pPr>
      <w:r>
        <w:t xml:space="preserve">5. Обоснование выбранной архитектуры</w:t>
      </w:r>
    </w:p>
    <w:bookmarkStart w:id="28" w:name="выбор"/>
    <w:p>
      <w:pPr>
        <w:pStyle w:val="Heading2"/>
      </w:pPr>
      <w:r>
        <w:t xml:space="preserve">5.1 Выбор</w:t>
      </w:r>
    </w:p>
    <w:p>
      <w:pPr>
        <w:pStyle w:val="FirstParagraph"/>
      </w:pPr>
      <w:r>
        <w:t xml:space="preserve">В качестве целевой выбрана архитектура</w:t>
      </w:r>
      <w:r>
        <w:t xml:space="preserve"> </w:t>
      </w:r>
      <w:r>
        <w:rPr>
          <w:bCs/>
          <w:b/>
        </w:rPr>
        <w:t xml:space="preserve">Data Lakehouse</w:t>
      </w:r>
      <w:r>
        <w:t xml:space="preserve"> </w:t>
      </w:r>
      <w:r>
        <w:t xml:space="preserve">(основной подход) на основе открытого табличного формата</w:t>
      </w:r>
      <w:r>
        <w:t xml:space="preserve"> </w:t>
      </w:r>
      <w:r>
        <w:rPr>
          <w:bCs/>
          <w:b/>
        </w:rPr>
        <w:t xml:space="preserve">Apache Iceberg</w:t>
      </w:r>
      <w:r>
        <w:t xml:space="preserve"> </w:t>
      </w:r>
      <w:r>
        <w:t xml:space="preserve">в</w:t>
      </w:r>
      <w:r>
        <w:t xml:space="preserve"> </w:t>
      </w:r>
      <w:r>
        <w:rPr>
          <w:bCs/>
          <w:b/>
        </w:rPr>
        <w:t xml:space="preserve">S3-совместимом объектном хранилище</w:t>
      </w:r>
      <w:r>
        <w:t xml:space="preserve"> </w:t>
      </w:r>
      <w:r>
        <w:t xml:space="preserve">с</w:t>
      </w:r>
      <w:r>
        <w:t xml:space="preserve"> </w:t>
      </w:r>
      <w:r>
        <w:rPr>
          <w:bCs/>
          <w:b/>
        </w:rPr>
        <w:t xml:space="preserve">потоковым приёмом событий через Apache Kafka</w:t>
      </w:r>
      <w:r>
        <w:t xml:space="preserve"> </w:t>
      </w:r>
      <w:r>
        <w:t xml:space="preserve">и обработкой на</w:t>
      </w:r>
      <w:r>
        <w:t xml:space="preserve"> </w:t>
      </w:r>
      <w:r>
        <w:rPr>
          <w:bCs/>
          <w:b/>
        </w:rPr>
        <w:t xml:space="preserve">Apache Spark</w:t>
      </w:r>
      <w:r>
        <w:t xml:space="preserve"> </w:t>
      </w:r>
      <w:r>
        <w:t xml:space="preserve">(Structured Streaming для потока, batch — для пакетных расчётов).</w:t>
      </w:r>
    </w:p>
    <w:p>
      <w:pPr>
        <w:pStyle w:val="BodyText"/>
      </w:pPr>
      <w:r>
        <w:t xml:space="preserve">Дополнительные компоненты не меняют основной архитектурный подход и служат его частями:</w:t>
      </w:r>
    </w:p>
    <w:p>
      <w:pPr>
        <w:numPr>
          <w:ilvl w:val="0"/>
          <w:numId w:val="1003"/>
        </w:numPr>
        <w:pStyle w:val="Compact"/>
      </w:pPr>
      <w:r>
        <w:t xml:space="preserve">брокер сообщений (Kafka) — слой потокового приёма и буферизации, а не хранилище аналитических данных;</w:t>
      </w:r>
    </w:p>
    <w:p>
      <w:pPr>
        <w:numPr>
          <w:ilvl w:val="0"/>
          <w:numId w:val="1003"/>
        </w:numPr>
        <w:pStyle w:val="Compact"/>
      </w:pPr>
      <w:r>
        <w:t xml:space="preserve">пакетный загрузчик — для CRM и A/B-платформы;</w:t>
      </w:r>
    </w:p>
    <w:p>
      <w:pPr>
        <w:numPr>
          <w:ilvl w:val="0"/>
          <w:numId w:val="1003"/>
        </w:numPr>
        <w:pStyle w:val="Compact"/>
      </w:pPr>
      <w:r>
        <w:t xml:space="preserve">SQL-движок (Trino) и API метрик — слой доступа к витринам Gold.</w:t>
      </w:r>
    </w:p>
    <w:p>
      <w:pPr>
        <w:pStyle w:val="FirstParagraph"/>
      </w:pPr>
      <w:r>
        <w:t xml:space="preserve">Data Lake и Data Mesh в проекте не используются как самостоятельные архитектуры: слой Bronze похож на озеро данных по содержанию (сырые данные), но технически является набором транзакционных Iceberg-таблиц с каталогом и схемой; Data Mesh рассматривается лишь как возможное направление организационного развития.</w:t>
      </w:r>
    </w:p>
    <w:bookmarkEnd w:id="28"/>
    <w:bookmarkStart w:id="29" w:name="соответствие-требованиям-варианта"/>
    <w:p>
      <w:pPr>
        <w:pStyle w:val="Heading2"/>
      </w:pPr>
      <w:r>
        <w:t xml:space="preserve">5.2 Соответствие требованиям варианта</w:t>
      </w:r>
    </w:p>
    <w:p>
      <w:pPr>
        <w:pStyle w:val="FirstParagraph"/>
        <w:keepNext/>
        <w:spacing w:before="120" w:after="60"/>
        <w:ind w:firstLine="0"/>
        <w:jc w:val="left"/>
      </w:pPr>
      <w:r>
        <w:t xml:space="preserve">Таблица 4 — Соответствие выбранной архитектуры требованиям варианта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pct" w:w="5000"/>
      </w:tblPr>
      <w:tblGrid>
        <w:gridCol w:w="2376"/>
        <w:gridCol w:w="5544"/>
      </w:tblGrid>
      <w:tr>
        <w:trPr>
          <w:tblHeader w:val="true"/>
          <w:tblHeader/>
        </w:trP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Требование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Как обеспечивается в Lakehouse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Большой объём событий (100–300 млн/мес.)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Объектное хранилище масштабируется практически неограниченно и дёшево; Parquet со сжатием уменьшает объём; Iceberg-партиционирование по дате позволяет читать только нужные периоды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Высокая скорость поступления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Kafka принимает и буферизует поток с пиками, Spark Structured Streaming пишет микробатчами (раз в 1 мин) с транзакционными коммитами Iceberg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Разнообразие источников и форматов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JSON-события и логи хранятся «как есть» в Bronze; CRM и A/B-данные загружаются пакетно в те же таблицы Lakehouse; эволюция схемы Iceberg позволяет добавлять поля без перезаписи данных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Хранение исходных и очищенных данных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Слои Bronze (сырые), Silver (очищенные), Gold (витрины) в одном хранилище, единый каталог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Пакетная и потоковая обработка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Один движок Spark для обоих режимов: одна кодовая база правил очистки, одни таблицы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Аналитические витрины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Слой Gold — предагрегированные таблицы воронки и A/B-тестов для BI и API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Подключение BI и ML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BI через SQL-движок Trino; ML читает детальные таблицы Silver напрямую (Spark, PyIceberg) без выгрузки в другую систему</w:t>
            </w:r>
          </w:p>
        </w:tc>
      </w:tr>
    </w:tbl>
    <w:bookmarkEnd w:id="29"/>
    <w:bookmarkStart w:id="30" w:name="компромиссы-и-отклонённые-альтернативы"/>
    <w:p>
      <w:pPr>
        <w:pStyle w:val="Heading2"/>
      </w:pPr>
      <w:r>
        <w:t xml:space="preserve">5.3 Компромиссы и отклонённые альтернативы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 Lake + DWH (двухуровневая схема).</w:t>
      </w:r>
      <w:r>
        <w:t xml:space="preserve"> </w:t>
      </w:r>
      <w:r>
        <w:t xml:space="preserve">Даёт тот же функционал, но требует двух копий данных, двух конвейеров и постоянной синхронизации: витрины в DWH отстают от озера, правила очистки дублируются. Lakehouse устраняет вторую копию, сохраняя аналитические возможности.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Только DWH / колоночная СУБД (например, ClickHouse).</w:t>
      </w:r>
      <w:r>
        <w:t xml:space="preserve"> </w:t>
      </w:r>
      <w:r>
        <w:t xml:space="preserve">Для объёма 100–300 млн событий в месяц колоночная СУБД технически справится и даст меньшую задержку запросов. Однако хранение сырых JSON-событий за годы, повторная обработка при изменении определения воронки, прямой доступ ML-сервисов и независимость вычислительных движков реализуются в такой схеме хуже или дороже. Поэтому ClickHouse рассматривается только как</w:t>
      </w:r>
      <w:r>
        <w:t xml:space="preserve"> </w:t>
      </w:r>
      <w:r>
        <w:rPr>
          <w:bCs/>
          <w:b/>
        </w:rPr>
        <w:t xml:space="preserve">опциональный</w:t>
      </w:r>
      <w:r>
        <w:t xml:space="preserve"> </w:t>
      </w:r>
      <w:r>
        <w:t xml:space="preserve">слой обслуживания (serving) для дашбордов с субсекундными требованиями, если задержки Trino окажутся недостаточными.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Apache Flink вместо Spark Structured Streaming.</w:t>
      </w:r>
      <w:r>
        <w:t xml:space="preserve"> </w:t>
      </w:r>
      <w:r>
        <w:t xml:space="preserve">Flink обеспечивает меньшую задержку (миллисекунды против секунд-минут у микробатчей) и развитую работу с event time. Для анализа воронки достаточно задержки порядка минут, а использование одного движка Spark для потока и пакета упрощает разработку и сопровождение. Flink целесообразен при появлении сценариев персонализации в реальном времени.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Delta Lake вместо Apache Iceberg.</w:t>
      </w:r>
      <w:r>
        <w:t xml:space="preserve"> </w:t>
      </w:r>
      <w:r>
        <w:t xml:space="preserve">Оба формата обеспечивают ACID, эволюцию схемы и time travel. Iceberg выбран из-за скрытого партиционирования, эволюции партиционирования без перезаписи данных и широкой поддержки разными движками через REST-каталог (Spark, Trino, Flink). Delta Lake — равноценная альтернатива, особенно в экосистеме Databricks.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 Mesh.</w:t>
      </w:r>
      <w:r>
        <w:t xml:space="preserve"> </w:t>
      </w:r>
      <w:r>
        <w:t xml:space="preserve">Отклонён по организационным причинам (см. таблицу 3).</w:t>
      </w:r>
    </w:p>
    <w:p>
      <w:pPr>
        <w:pStyle w:val="FirstParagraph"/>
      </w:pPr>
      <w:r>
        <w:rPr>
          <w:bCs/>
          <w:b/>
        </w:rPr>
        <w:t xml:space="preserve">Цена выбора:</w:t>
      </w:r>
      <w:r>
        <w:t xml:space="preserve"> </w:t>
      </w:r>
      <w:r>
        <w:t xml:space="preserve">необходимость регламентной компактизации мелких файлов, очистки старых снапшотов, эксплуатации каталога и наличия в команде компетенций Spark/Iceberg.</w:t>
      </w:r>
    </w:p>
    <w:bookmarkEnd w:id="30"/>
    <w:bookmarkEnd w:id="31"/>
    <w:bookmarkStart w:id="34" w:name="X5cf8730ba6586a9acc6389e7cfa5eae1c2ca196"/>
    <w:p>
      <w:pPr>
        <w:pStyle w:val="Heading1"/>
      </w:pPr>
      <w:r>
        <w:t xml:space="preserve">6. Описание целевой системы и используемых технологий</w:t>
      </w:r>
    </w:p>
    <w:bookmarkStart w:id="32" w:name="общее-описание"/>
    <w:p>
      <w:pPr>
        <w:pStyle w:val="Heading2"/>
      </w:pPr>
      <w:r>
        <w:t xml:space="preserve">6.1 Общее описание</w:t>
      </w:r>
    </w:p>
    <w:p>
      <w:pPr>
        <w:pStyle w:val="FirstParagraph"/>
      </w:pPr>
      <w:r>
        <w:t xml:space="preserve">Проектируемая система —</w:t>
      </w:r>
      <w:r>
        <w:t xml:space="preserve"> </w:t>
      </w:r>
      <w:r>
        <w:rPr>
          <w:bCs/>
          <w:b/>
        </w:rPr>
        <w:t xml:space="preserve">«Платформа clickstream-аналитики»</w:t>
      </w:r>
      <w:r>
        <w:t xml:space="preserve">. Она принимает события из браузера, JSON-логи сайта и события веб-трекинга в потоковом режиме, а заказы CRM и данные A/B-платформы — в пакетном режиме; хранит их в Lakehouse со слоями Bronze/Silver/Gold; рассчитывает воронку, конверсии и результаты A/B-тестов; предоставляет результаты через SQL-движок, BI-систему и API метрик.</w:t>
      </w:r>
    </w:p>
    <w:bookmarkEnd w:id="32"/>
    <w:bookmarkStart w:id="33" w:name="технологический-стек"/>
    <w:p>
      <w:pPr>
        <w:pStyle w:val="Heading2"/>
      </w:pPr>
      <w:r>
        <w:t xml:space="preserve">6.2 Технологический стек</w:t>
      </w:r>
    </w:p>
    <w:p>
      <w:pPr>
        <w:pStyle w:val="FirstParagraph"/>
        <w:keepNext/>
        <w:spacing w:before="120" w:after="60"/>
        <w:ind w:firstLine="0"/>
        <w:jc w:val="left"/>
      </w:pPr>
      <w:r>
        <w:t xml:space="preserve">Таблица 5 — Технологический стек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pct" w:w="5000"/>
      </w:tblPr>
      <w:tblGrid>
        <w:gridCol w:w="1108"/>
        <w:gridCol w:w="1108"/>
        <w:gridCol w:w="1584"/>
        <w:gridCol w:w="871"/>
        <w:gridCol w:w="1267"/>
        <w:gridCol w:w="1980"/>
      </w:tblGrid>
      <w:tr>
        <w:trPr>
          <w:tblHeader w:val="true"/>
          <w:tblHeader/>
        </w:trP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Функция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Компонент системы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Технология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Статус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Альтернативы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Причина выбора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Приём событий по HTTP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Сервис сбора событий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Собственный сервис на Go (Docker-образ, Kubernetes)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Обязательный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Snowplow Collector, Kafka REST Proxy, Vector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Простая логика, высокая пропускная способность, контроль формата и идентификаторов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Доставка серверных логов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Агент доставки логов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Fluent Bit (выход Kafka)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Обязательный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Vector, Filebeat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Лёгкий агент, штатный вывод в Kafka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Брокер сообщений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Брокер сообщений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Apache Kafka в режиме KRaft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Обязательный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Redpanda, Apache Pulsar, управляемый облачный Kafka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Стандарт отрасли, хранение и повторное чтение по offset, идемпотентный продюсер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Контракт схем событий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(часть Потокового обработчика)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JSON Schema в Git; опционально — Schema Registry (Apicurio / Confluent)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Опциональный реестр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Avro/Protobuf со Schema Registry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JSON остаётся форматом источника, схема версионируется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Потоковая обработка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Потоковый обработчик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Apache Spark Structured Streaming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Обязательный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Apache Flink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Один движок для потока и пакета, дедупликация с watermark, интеграция с Iceberg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Пакетная загрузка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Пакетный загрузчик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Apache Spark (PySpark)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Обязательный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Airbyte, Debezium (CDC)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Инкрементальная выгрузка по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updated_at</w:t>
            </w:r>
            <w:r>
              <w:rPr>
                <w:sz w:val="20"/>
              </w:rPr>
              <w:t xml:space="preserve">, тот же стек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Пакетная обработка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Пакетный обработчик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Apache Spark (batch, Spark SQL)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Обязательный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dbt + Trino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Сессионизация, объединения, MERGE, пересчёт истории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Оркестрация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Оркестратор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Apache Airflow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Обязательный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Dagster, Prefect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Зависимости задач, расписание, backfill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Табличный формат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Bronze / Silver / Gold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Apache Iceberg (формат таблиц v2), файлы Parquet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Обязательный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Delta Lake, Apache Hudi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ACID, эволюция схемы и партиций, time travel, мультидвижковость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Каталог таблиц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Каталог таблиц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Iceberg REST Catalog (например, Apache Polaris или Project Nessie)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Обязательный (какой-либо каталог)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Hive Metastore, AWS Glue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Единая точка атомарных коммитов для Spark и Trino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Хранение файлов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Объектное хранилище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S3-совместимое хранилище (облачный S3-сервис или Ceph RGW on-premise)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Обязательный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HDFS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Дешёвое масштабируемое хранение, разделение хранения и вычислений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SQL-доступ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SQL-движок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Trino (Iceberg connector)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Обязательный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Spark Thrift Server, StarRocks, Dremio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Интерактивный SQL для BI и ad-hoc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Ускорение дашбордов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ClickHouse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Опциональный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Кэш в API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Только при недостаточной скорости Trino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API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API метрик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Python, FastAPI (клиент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trino</w:t>
            </w:r>
            <w:r>
              <w:rPr>
                <w:sz w:val="20"/>
              </w:rPr>
              <w:t xml:space="preserve">), кэш Redis — опционально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Обязательный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Go, Spring Boot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Простая реализация REST поверх Gold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BI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BI-система (внешняя)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Apache Superset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Внешняя система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Metabase, Power BI, DataLens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Открытый инструмент, подключение к Trino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Мониторинг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Prometheus + Grafana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Опциональный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Облачный мониторинг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Метрики задержки потребителей Kafka, ошибок, DLQ</w:t>
            </w:r>
          </w:p>
        </w:tc>
      </w:tr>
    </w:tbl>
    <w:p>
      <w:pPr>
        <w:pStyle w:val="BodyText"/>
        <w:spacing w:before="160"/>
      </w:pPr>
      <w:r>
        <w:rPr>
          <w:bCs/>
          <w:b/>
        </w:rPr>
        <w:t xml:space="preserve">Проверка совместимости компонентов:</w:t>
      </w:r>
    </w:p>
    <w:p>
      <w:pPr>
        <w:numPr>
          <w:ilvl w:val="0"/>
          <w:numId w:val="1005"/>
        </w:numPr>
        <w:pStyle w:val="Compact"/>
      </w:pPr>
      <w:r>
        <w:t xml:space="preserve">Spark читает Kafka через коннектор</w:t>
      </w:r>
      <w:r>
        <w:t xml:space="preserve"> </w:t>
      </w:r>
      <w:r>
        <w:rPr>
          <w:rStyle w:val="VerbatimChar"/>
        </w:rPr>
        <w:t xml:space="preserve">spark-sql-kafka-0-10</w:t>
      </w:r>
      <w:r>
        <w:t xml:space="preserve">, версия которого должна совпадать с версией Spark.</w:t>
      </w:r>
    </w:p>
    <w:p>
      <w:pPr>
        <w:numPr>
          <w:ilvl w:val="0"/>
          <w:numId w:val="1005"/>
        </w:numPr>
        <w:pStyle w:val="Compact"/>
      </w:pPr>
      <w:r>
        <w:t xml:space="preserve">Iceberg подключается к Spark пакетом</w:t>
      </w:r>
      <w:r>
        <w:t xml:space="preserve"> </w:t>
      </w:r>
      <w:r>
        <w:rPr>
          <w:rStyle w:val="VerbatimChar"/>
        </w:rPr>
        <w:t xml:space="preserve">iceberg-spark-runtime-&lt;версия Spark&gt;_&lt;версия Scala&gt;</w:t>
      </w:r>
      <w:r>
        <w:t xml:space="preserve">; версию runtime подбирают строго под минорную версию Spark и Scala по матрице совместимости Iceberg.</w:t>
      </w:r>
    </w:p>
    <w:p>
      <w:pPr>
        <w:numPr>
          <w:ilvl w:val="0"/>
          <w:numId w:val="1005"/>
        </w:numPr>
        <w:pStyle w:val="Compact"/>
      </w:pPr>
      <w:r>
        <w:t xml:space="preserve">Trino поддерживает Iceberg-таблицы через Iceberg connector с типами каталога REST, Hive Metastore, Glue, Nessie и др.; Spark и Trino используют один и тот же REST-каталог, поэтому видят одинаковые снапшоты таблиц.</w:t>
      </w:r>
    </w:p>
    <w:p>
      <w:pPr>
        <w:numPr>
          <w:ilvl w:val="0"/>
          <w:numId w:val="1005"/>
        </w:numPr>
        <w:pStyle w:val="Compact"/>
      </w:pPr>
      <w:r>
        <w:t xml:space="preserve">Формат таблиц Iceberg v2 (row-level deletes) поддерживается и Spark, и Trino, что необходимо для</w:t>
      </w:r>
      <w:r>
        <w:t xml:space="preserve"> </w:t>
      </w:r>
      <w:r>
        <w:rPr>
          <w:rStyle w:val="VerbatimChar"/>
        </w:rPr>
        <w:t xml:space="preserve">MERGE INTO</w:t>
      </w:r>
      <w:r>
        <w:t xml:space="preserve"> </w:t>
      </w:r>
      <w:r>
        <w:t xml:space="preserve">в слое Silver; более новые версии формата следует включать только после проверки поддержки всеми движками.</w:t>
      </w:r>
    </w:p>
    <w:p>
      <w:pPr>
        <w:numPr>
          <w:ilvl w:val="0"/>
          <w:numId w:val="1005"/>
        </w:numPr>
        <w:pStyle w:val="Compact"/>
      </w:pPr>
      <w:r>
        <w:t xml:space="preserve">Apache Superset подключается к Trino через SQLAlchemy-диалект пакета</w:t>
      </w:r>
      <w:r>
        <w:t xml:space="preserve"> </w:t>
      </w:r>
      <w:r>
        <w:rPr>
          <w:rStyle w:val="VerbatimChar"/>
        </w:rPr>
        <w:t xml:space="preserve">trino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Kafka в режиме KRaft не требует ZooKeeper; клиенты Spark и Fluent Bit работают с ним по стандартному протоколу Kafka.</w:t>
      </w:r>
    </w:p>
    <w:p>
      <w:pPr>
        <w:pStyle w:val="FirstParagraph"/>
      </w:pPr>
      <w:r>
        <w:rPr>
          <w:bCs/>
          <w:b/>
        </w:rPr>
        <w:t xml:space="preserve">Различие понятий.</w:t>
      </w:r>
      <w:r>
        <w:t xml:space="preserve"> </w:t>
      </w:r>
      <w:r>
        <w:t xml:space="preserve">В отчёте «контейнер» в смысле C4 — это отдельно запускаемое приложение или хранилище данных (сервис сбора событий, брокер, SQL-движок, таблицы). Docker-контейнер — способ упаковки и запуска процесса; один C4-контейнер может работать во многих Docker-контейнерах (например, несколько реплик сервиса сбора событий в Kubernetes), а Iceberg-таблицы вовсе не являются процессами. Внешние системы (CRM, A/B-платформа, BI-система) не входят в границу проектируемой системы.</w:t>
      </w:r>
    </w:p>
    <w:bookmarkEnd w:id="33"/>
    <w:bookmarkEnd w:id="34"/>
    <w:bookmarkStart w:id="38" w:name="источники-данных-и-стратегии-ingestion"/>
    <w:p>
      <w:pPr>
        <w:pStyle w:val="Heading1"/>
      </w:pPr>
      <w:r>
        <w:t xml:space="preserve">7. Источники данных и стратегии ingestion</w:t>
      </w:r>
    </w:p>
    <w:bookmarkStart w:id="35" w:name="источники-данных"/>
    <w:p>
      <w:pPr>
        <w:pStyle w:val="Heading2"/>
      </w:pPr>
      <w:r>
        <w:t xml:space="preserve">7.1 Источники данных</w:t>
      </w:r>
    </w:p>
    <w:p>
      <w:pPr>
        <w:pStyle w:val="FirstParagraph"/>
        <w:keepNext/>
        <w:spacing w:before="120" w:after="60"/>
        <w:ind w:firstLine="0"/>
        <w:jc w:val="left"/>
      </w:pPr>
      <w:r>
        <w:t xml:space="preserve">Таблица 6 — Источники данных и стратегии приёма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pct" w:w="5000"/>
      </w:tblPr>
      <w:tblGrid>
        <w:gridCol w:w="1108"/>
        <w:gridCol w:w="2376"/>
        <w:gridCol w:w="950"/>
        <w:gridCol w:w="1584"/>
        <w:gridCol w:w="1900"/>
      </w:tblGrid>
      <w:tr>
        <w:trPr>
          <w:tblHeader w:val="true"/>
          <w:tblHeader/>
        </w:trP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Источник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Данные (пример полей)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Формат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Частота / объём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Стратегия приёма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Браузер / JS-трекер сайта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event_id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event_type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(page_view, product_view, add_to_cart, checkout_start, purchase, experiment_exposure),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event_ts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anonymous_id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user_id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session_id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page_url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product_id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order_id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experiment_id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variant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JSON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Непрерывно, основная доля 100–300 млн событий/мес.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Поток: HTTPS → Сервис сбора событий → Kafka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JSON-логи сайта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время,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request_id</w:t>
            </w:r>
            <w:r>
              <w:rPr>
                <w:sz w:val="20"/>
              </w:rPr>
              <w:t xml:space="preserve">, URL, HTTP-статус, длительность, шаг checkout, ошибки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JSON (строка на запись)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Непрерывно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Поток: Агент доставки логов → Kafka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Система веб-трекинга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визиты, источники трафика, UTM-метки, устройство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JSON (webhook или экспорт)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Непрерывно или каждые N минут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Поток: webhook → Сервис сбора событий → Kafka; при отсутствии webhook — пакетный экспорт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A/B-платформа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эксперименты (</w:t>
            </w:r>
            <w:r>
              <w:rPr>
                <w:rStyle w:val="VerbatimChar"/>
                <w:sz w:val="20"/>
              </w:rPr>
              <w:t xml:space="preserve">experiment_id</w:t>
            </w:r>
            <w:r>
              <w:rPr>
                <w:sz w:val="20"/>
              </w:rPr>
              <w:t xml:space="preserve">, гипотеза, даты, доли трафика), варианты, назначения пользователей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JSON через REST API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Изменения редки; назначения — ежечасно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Пакет: Пакетный загрузчик, инкрементально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CRM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order_id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customer_id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user_id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created_at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updated_at</w:t>
            </w:r>
            <w:r>
              <w:rPr>
                <w:sz w:val="20"/>
              </w:rPr>
              <w:t xml:space="preserve">, статус, сумма, позиции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Таблицы реплики БД / REST API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Сотни тысяч — миллионы записей в месяц; статусы меняются задним числом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Пакет: инкрементально по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updated_at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каждые 15–60 мин</w:t>
            </w:r>
          </w:p>
        </w:tc>
      </w:tr>
    </w:tbl>
    <w:bookmarkEnd w:id="35"/>
    <w:bookmarkStart w:id="36" w:name="потоковый-приём-clickstream-событий"/>
    <w:p>
      <w:pPr>
        <w:pStyle w:val="Heading2"/>
      </w:pPr>
      <w:r>
        <w:t xml:space="preserve">7.2 Потоковый приём clickstream-событий</w:t>
      </w:r>
    </w:p>
    <w:p>
      <w:pPr>
        <w:numPr>
          <w:ilvl w:val="0"/>
          <w:numId w:val="1006"/>
        </w:numPr>
        <w:pStyle w:val="Compact"/>
      </w:pPr>
      <w:r>
        <w:t xml:space="preserve">JS-трекер формирует для каждого события уникальный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(UUID) и метку времени клиента</w:t>
      </w:r>
      <w:r>
        <w:t xml:space="preserve"> </w:t>
      </w:r>
      <w:r>
        <w:rPr>
          <w:rStyle w:val="VerbatimChar"/>
        </w:rPr>
        <w:t xml:space="preserve">event_ts</w:t>
      </w:r>
      <w:r>
        <w:t xml:space="preserve">, накапливает события и отправляет пакетами (HTTPS POST) на Сервис сбора событий. При сетевой ошибке пакет отправляется повторно с теми же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Сервис сбора событий выполняет «лёгкую» проверку: корректность JSON, размер сообщения, наличие обязательных полей (</w:t>
      </w:r>
      <w:r>
        <w:rPr>
          <w:rStyle w:val="VerbatimChar"/>
        </w:rPr>
        <w:t xml:space="preserve">event_id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event_ts</w:t>
      </w:r>
      <w:r>
        <w:t xml:space="preserve">,</w:t>
      </w:r>
      <w:r>
        <w:t xml:space="preserve"> </w:t>
      </w:r>
      <w:r>
        <w:rPr>
          <w:rStyle w:val="VerbatimChar"/>
        </w:rPr>
        <w:t xml:space="preserve">anonymous_id</w:t>
      </w:r>
      <w:r>
        <w:t xml:space="preserve">); добавляет серверные поля</w:t>
      </w:r>
      <w:r>
        <w:t xml:space="preserve"> </w:t>
      </w:r>
      <w:r>
        <w:rPr>
          <w:rStyle w:val="VerbatimChar"/>
        </w:rPr>
        <w:t xml:space="preserve">received_at</w:t>
      </w:r>
      <w:r>
        <w:t xml:space="preserve"> </w:t>
      </w:r>
      <w:r>
        <w:t xml:space="preserve">(UTC) и</w:t>
      </w:r>
      <w:r>
        <w:t xml:space="preserve"> </w:t>
      </w:r>
      <w:r>
        <w:rPr>
          <w:rStyle w:val="VerbatimChar"/>
        </w:rPr>
        <w:t xml:space="preserve">ingest_id</w:t>
      </w:r>
      <w:r>
        <w:t xml:space="preserve">; отвечает клиенту</w:t>
      </w:r>
      <w:r>
        <w:t xml:space="preserve"> </w:t>
      </w:r>
      <w:r>
        <w:rPr>
          <w:rStyle w:val="VerbatimChar"/>
        </w:rPr>
        <w:t xml:space="preserve">2xx</w:t>
      </w:r>
      <w:r>
        <w:t xml:space="preserve"> </w:t>
      </w:r>
      <w:r>
        <w:t xml:space="preserve">только после подтверждения записи брокером.</w:t>
      </w:r>
    </w:p>
    <w:p>
      <w:pPr>
        <w:numPr>
          <w:ilvl w:val="0"/>
          <w:numId w:val="1006"/>
        </w:numPr>
        <w:pStyle w:val="Compact"/>
      </w:pPr>
      <w:r>
        <w:t xml:space="preserve">Публикация в топик</w:t>
      </w:r>
      <w:r>
        <w:t xml:space="preserve"> </w:t>
      </w:r>
      <w:r>
        <w:rPr>
          <w:rStyle w:val="VerbatimChar"/>
        </w:rPr>
        <w:t xml:space="preserve">clickstream.raw</w:t>
      </w:r>
      <w:r>
        <w:t xml:space="preserve"> </w:t>
      </w:r>
      <w:r>
        <w:t xml:space="preserve">выполняется продюсером Kafka с</w:t>
      </w:r>
      <w:r>
        <w:t xml:space="preserve"> </w:t>
      </w:r>
      <w:r>
        <w:rPr>
          <w:rStyle w:val="VerbatimChar"/>
        </w:rPr>
        <w:t xml:space="preserve">acks=all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enable.idempotence=true</w:t>
      </w:r>
      <w:r>
        <w:t xml:space="preserve">, ключ сообщения —</w:t>
      </w:r>
      <w:r>
        <w:t xml:space="preserve"> </w:t>
      </w:r>
      <w:r>
        <w:rPr>
          <w:rStyle w:val="VerbatimChar"/>
        </w:rPr>
        <w:t xml:space="preserve">anonymous_id</w:t>
      </w:r>
      <w:r>
        <w:t xml:space="preserve">, что сохраняет порядок событий одного посетителя внутри партиции.</w:t>
      </w:r>
    </w:p>
    <w:p>
      <w:pPr>
        <w:numPr>
          <w:ilvl w:val="0"/>
          <w:numId w:val="1006"/>
        </w:numPr>
        <w:pStyle w:val="Compact"/>
      </w:pPr>
      <w:r>
        <w:t xml:space="preserve">JSON-логи сайта Агент доставки логов отправляет в топик</w:t>
      </w:r>
      <w:r>
        <w:t xml:space="preserve"> </w:t>
      </w:r>
      <w:r>
        <w:rPr>
          <w:rStyle w:val="VerbatimChar"/>
        </w:rPr>
        <w:t xml:space="preserve">weblogs.raw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Обработка JSON и валидация схемы.</w:t>
      </w:r>
      <w:r>
        <w:t xml:space="preserve"> </w:t>
      </w:r>
      <w:r>
        <w:t xml:space="preserve">Полная проверка выполняется в Потоковом обработчике по версионированной JSON Schema (</w:t>
      </w:r>
      <w:r>
        <w:rPr>
          <w:rStyle w:val="VerbatimChar"/>
        </w:rPr>
        <w:t xml:space="preserve">schema_version</w:t>
      </w:r>
      <w:r>
        <w:t xml:space="preserve"> </w:t>
      </w:r>
      <w:r>
        <w:t xml:space="preserve">в событии): типы полей, допустимые значения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, формат времени. Неизвестные дополнительные поля не отбрасываются: они сохраняются в Bronze в исходном JSON и могут быть добавлены в Silver через эволюцию схемы.</w:t>
      </w:r>
    </w:p>
    <w:p>
      <w:pPr>
        <w:pStyle w:val="BodyText"/>
      </w:pPr>
      <w:r>
        <w:rPr>
          <w:bCs/>
          <w:b/>
        </w:rPr>
        <w:t xml:space="preserve">Обработка некорректных событий.</w:t>
      </w:r>
      <w:r>
        <w:t xml:space="preserve"> </w:t>
      </w:r>
      <w:r>
        <w:t xml:space="preserve">Событие, не прошедшее валидацию, не теряется: оно записывается в топик</w:t>
      </w:r>
      <w:r>
        <w:t xml:space="preserve"> </w:t>
      </w:r>
      <w:r>
        <w:rPr>
          <w:rStyle w:val="VerbatimChar"/>
        </w:rPr>
        <w:t xml:space="preserve">clickstream.dlq</w:t>
      </w:r>
      <w:r>
        <w:t xml:space="preserve"> </w:t>
      </w:r>
      <w:r>
        <w:t xml:space="preserve">(Dead Letter Queue) вместе с причиной ошибки и версией схемы, а затем — в карантинную таблицу Bronze</w:t>
      </w:r>
      <w:r>
        <w:t xml:space="preserve"> </w:t>
      </w:r>
      <w:r>
        <w:rPr>
          <w:rStyle w:val="VerbatimChar"/>
        </w:rPr>
        <w:t xml:space="preserve">bronze.rejected_events</w:t>
      </w:r>
      <w:r>
        <w:t xml:space="preserve">. Доля отбракованных событий — метрика качества с порогом оповещения.</w:t>
      </w:r>
    </w:p>
    <w:p>
      <w:pPr>
        <w:pStyle w:val="BodyText"/>
      </w:pPr>
      <w:r>
        <w:rPr>
          <w:bCs/>
          <w:b/>
        </w:rPr>
        <w:t xml:space="preserve">Обработка повторных сообщений.</w:t>
      </w:r>
      <w:r>
        <w:t xml:space="preserve"> </w:t>
      </w:r>
      <w:r>
        <w:t xml:space="preserve">Дубли возникают из-за повторной отправки браузером, повторов продюсера и перезапусков обработки. Защита многоуровневая: идемпотентный продюсер Kafka; дедупликация по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в потоке с watermark; финальная пакетная дедупликация в Silver (см. раздел 8.2).</w:t>
      </w:r>
    </w:p>
    <w:bookmarkEnd w:id="36"/>
    <w:bookmarkStart w:id="37" w:name="пакетная-загрузка-crm-и-ab-данных"/>
    <w:p>
      <w:pPr>
        <w:pStyle w:val="Heading2"/>
      </w:pPr>
      <w:r>
        <w:t xml:space="preserve">7.3 Пакетная загрузка CRM и A/B-данных</w:t>
      </w:r>
    </w:p>
    <w:p>
      <w:pPr>
        <w:pStyle w:val="FirstParagraph"/>
      </w:pPr>
      <w:r>
        <w:t xml:space="preserve">Пакетный режим обоснован, так как данные CRM и A/B-платформы изменяются значительно реже событий, а анализ воронки не требует их секундной актуальности. Кроме того, пакетная выгрузка не нагружает операционную CRM: чтение выполняется с реплики БД или через API.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Заказы CRM</w:t>
      </w:r>
      <w:r>
        <w:t xml:space="preserve"> </w:t>
      </w:r>
      <w:r>
        <w:t xml:space="preserve">выгружаются инкрементально по «водяному знаку»</w:t>
      </w:r>
      <w:r>
        <w:t xml:space="preserve"> </w:t>
      </w:r>
      <w:r>
        <w:rPr>
          <w:rStyle w:val="VerbatimChar"/>
        </w:rPr>
        <w:t xml:space="preserve">updated_at &gt; последнее загруженное значение − перекрытие</w:t>
      </w:r>
      <w:r>
        <w:t xml:space="preserve"> </w:t>
      </w:r>
      <w:r>
        <w:t xml:space="preserve">(перекрытие, например 1 час, защищает от потери записей при задержке коммитов в источнике). Выгрузка записывается в</w:t>
      </w:r>
      <w:r>
        <w:t xml:space="preserve"> </w:t>
      </w:r>
      <w:r>
        <w:rPr>
          <w:rStyle w:val="VerbatimChar"/>
        </w:rPr>
        <w:t xml:space="preserve">bronze.crm_orders_raw</w:t>
      </w:r>
      <w:r>
        <w:t xml:space="preserve"> </w:t>
      </w:r>
      <w:r>
        <w:t xml:space="preserve">с отметкой</w:t>
      </w:r>
      <w:r>
        <w:t xml:space="preserve"> </w:t>
      </w:r>
      <w:r>
        <w:rPr>
          <w:rStyle w:val="VerbatimChar"/>
        </w:rPr>
        <w:t xml:space="preserve">load_id</w:t>
      </w:r>
      <w:r>
        <w:t xml:space="preserve">. При необходимости актуальности порядка секунд пакетная загрузка заменяется на CDC (Debezium → Kafka) без изменения остальных слоёв.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Параметры экспериментов и назначения</w:t>
      </w:r>
      <w:r>
        <w:t xml:space="preserve"> </w:t>
      </w:r>
      <w:r>
        <w:t xml:space="preserve">A/B-платформы загружаются через REST API в</w:t>
      </w:r>
      <w:r>
        <w:t xml:space="preserve"> </w:t>
      </w:r>
      <w:r>
        <w:rPr>
          <w:rStyle w:val="VerbatimChar"/>
        </w:rPr>
        <w:t xml:space="preserve">bronze.ab_experiments_raw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bronze.ab_assignments_raw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Повторный запуск загрузки за тот же интервал безопасен: в Silver записи сливаются по первичному ключу (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по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, по паре</w:t>
      </w:r>
      <w:r>
        <w:t xml:space="preserve"> </w:t>
      </w:r>
      <w:r>
        <w:rPr>
          <w:rStyle w:val="VerbatimChar"/>
        </w:rPr>
        <w:t xml:space="preserve">experiment_id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subject_id</w:t>
      </w:r>
      <w:r>
        <w:t xml:space="preserve">).</w:t>
      </w:r>
    </w:p>
    <w:bookmarkEnd w:id="37"/>
    <w:bookmarkEnd w:id="38"/>
    <w:bookmarkStart w:id="42" w:name="X8f2991f3160f766169801efdfbc4a2af82b3514"/>
    <w:p>
      <w:pPr>
        <w:pStyle w:val="Heading1"/>
      </w:pPr>
      <w:r>
        <w:t xml:space="preserve">8. Слои хранения, обработки и потребления данных</w:t>
      </w:r>
    </w:p>
    <w:bookmarkStart w:id="39" w:name="слои-хранения"/>
    <w:p>
      <w:pPr>
        <w:pStyle w:val="Heading2"/>
      </w:pPr>
      <w:r>
        <w:t xml:space="preserve">8.1 Слои хранения</w:t>
      </w:r>
    </w:p>
    <w:p>
      <w:pPr>
        <w:pStyle w:val="FirstParagraph"/>
        <w:keepNext/>
        <w:spacing w:before="120" w:after="60"/>
        <w:ind w:firstLine="0"/>
        <w:jc w:val="left"/>
      </w:pPr>
      <w:r>
        <w:t xml:space="preserve">Таблица 7 — Слои хранения Lakehouse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pct" w:w="5000"/>
      </w:tblPr>
      <w:tblGrid>
        <w:gridCol w:w="1029"/>
        <w:gridCol w:w="1584"/>
        <w:gridCol w:w="2772"/>
        <w:gridCol w:w="1188"/>
        <w:gridCol w:w="1346"/>
      </w:tblGrid>
      <w:tr>
        <w:trPr>
          <w:tblHeader w:val="true"/>
          <w:tblHeader/>
        </w:trP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Слой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Назначение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Содержимое (таблицы)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Партиционирование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Хранение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Bronze — исходные данные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Неизменяемая копия данных «как есть» для аудита и повторной обработки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bronze.clickstream_raw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(исходный JSON +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received_at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kafka_partition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kafka_offset</w:t>
            </w:r>
            <w:r>
              <w:rPr>
                <w:sz w:val="20"/>
              </w:rPr>
              <w:t xml:space="preserve">),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bronze.weblogs_raw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bronze.crm_orders_raw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bronze.ab_experiments_raw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bronze.ab_assignments_raw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bronze.rejected_events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days(received_at)</w:t>
            </w:r>
            <w:r>
              <w:rPr>
                <w:sz w:val="20"/>
              </w:rPr>
              <w:t xml:space="preserve">, источник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Долговременно (согласно политике хранения и требованиям к персональным данным)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Silver — очищенные данные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Валидные, дедуплицированные, типизированные данные с единым временем UTC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silver.events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silver.sessions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silver.orders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(актуальный статус + история изменений),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silver.ab_assignments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silver.identity_map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</w:t>
            </w:r>
            <w:r>
              <w:rPr>
                <w:rStyle w:val="VerbatimChar"/>
                <w:sz w:val="20"/>
              </w:rPr>
              <w:t xml:space="preserve">anonymous_id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↔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user_id</w:t>
            </w:r>
            <w:r>
              <w:rPr>
                <w:sz w:val="20"/>
              </w:rPr>
              <w:t xml:space="preserve">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days(event_ts_utc)</w:t>
            </w:r>
            <w:r>
              <w:rPr>
                <w:sz w:val="20"/>
              </w:rPr>
              <w:t xml:space="preserve">; сортировка по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user_key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Долговременно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Gold — аналитические витрины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Предагрегированные данные для BI, API и отчётов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gold.funnel_daily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(этапы воронки по дням, каналам, устройствам),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gold.funnel_conversion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gold.stage_timing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gold.ab_results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gold.realtime_events_5m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days(date)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Пересчитываемые; глубина — по требованиям бизнеса</w:t>
            </w:r>
          </w:p>
        </w:tc>
      </w:tr>
    </w:tbl>
    <w:p>
      <w:pPr>
        <w:pStyle w:val="BodyText"/>
        <w:spacing w:before="160"/>
      </w:pPr>
      <w:r>
        <w:rPr>
          <w:bCs/>
          <w:b/>
        </w:rPr>
        <w:t xml:space="preserve">Хранение истории и повторная обработка.</w:t>
      </w:r>
      <w:r>
        <w:t xml:space="preserve"> </w:t>
      </w:r>
      <w:r>
        <w:t xml:space="preserve">Сырые данные в Bronze не изменяются, поэтому Silver и Gold можно полностью или частично пересчитать при исправлении ошибки, изменении правил очистки или определения этапов воронки. Iceberg хранит снапшоты таблиц: можно прочитать таблицу на прошлый момент (time travel) или откатиться к предыдущему снапшоту при ошибочной записи. Kafka хранит сообщения 7 суток, что позволяет повторно прочитать поток после сбоя без обращения к Bronze.</w:t>
      </w:r>
    </w:p>
    <w:p>
      <w:pPr>
        <w:pStyle w:val="BodyText"/>
      </w:pPr>
      <w:r>
        <w:rPr>
          <w:bCs/>
          <w:b/>
        </w:rPr>
        <w:t xml:space="preserve">Регламентное обслуживание таблиц</w:t>
      </w:r>
      <w:r>
        <w:t xml:space="preserve"> </w:t>
      </w:r>
      <w:r>
        <w:t xml:space="preserve">(задачи Оркестратора): компактизация мелких файлов после потоковой записи (</w:t>
      </w:r>
      <w:r>
        <w:rPr>
          <w:rStyle w:val="VerbatimChar"/>
        </w:rPr>
        <w:t xml:space="preserve">rewrite_data_files</w:t>
      </w:r>
      <w:r>
        <w:t xml:space="preserve">), удаление устаревших снапшотов (</w:t>
      </w:r>
      <w:r>
        <w:rPr>
          <w:rStyle w:val="VerbatimChar"/>
        </w:rPr>
        <w:t xml:space="preserve">expire_snapshots</w:t>
      </w:r>
      <w:r>
        <w:t xml:space="preserve">) и «осиротевших» файлов (</w:t>
      </w:r>
      <w:r>
        <w:rPr>
          <w:rStyle w:val="VerbatimChar"/>
        </w:rPr>
        <w:t xml:space="preserve">remove_orphan_files</w:t>
      </w:r>
      <w:r>
        <w:t xml:space="preserve">).</w:t>
      </w:r>
    </w:p>
    <w:bookmarkEnd w:id="39"/>
    <w:bookmarkStart w:id="40" w:name="обработка"/>
    <w:p>
      <w:pPr>
        <w:pStyle w:val="Heading2"/>
      </w:pPr>
      <w:r>
        <w:t xml:space="preserve">8.2 Обработка</w:t>
      </w:r>
    </w:p>
    <w:p>
      <w:pPr>
        <w:pStyle w:val="FirstParagraph"/>
        <w:keepNext/>
        <w:spacing w:before="120" w:after="60"/>
        <w:ind w:firstLine="0"/>
        <w:jc w:val="left"/>
      </w:pPr>
      <w:r>
        <w:t xml:space="preserve">Таблица 8 — Операции обработки данных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pct" w:w="5000"/>
      </w:tblPr>
      <w:tblGrid>
        <w:gridCol w:w="1346"/>
        <w:gridCol w:w="1425"/>
        <w:gridCol w:w="1980"/>
        <w:gridCol w:w="3168"/>
      </w:tblGrid>
      <w:tr>
        <w:trPr>
          <w:tblHeader w:val="true"/>
          <w:tblHeader/>
        </w:trP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Операция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Вход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Результат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Очистка и нормализация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Потоковый обработчик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Сырые JSON-события из Kafka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Типизированные записи: разбор JSON, приведение регистра и типов, нормализация URL (удаление служебных параметров), выделение UTM-меток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Приведение временных меток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Потоковый обработчик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event_ts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(ISO-8601 со смещением или epoch ms),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received_at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event_ts_utc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(TIMESTAMP UTC); при расхождении клиентского и серверного времени более порога — используется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received_at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и ставится флаг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ts_corrected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Дедупликация событий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Потоковый обработчик, Пакетный обработчик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Поток событий с возможными дублями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В потоке —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dropDuplicatesWithinWatermark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по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event_id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с watermark (например, 6 ч); в пакете — ежедневный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MERGE</w:t>
            </w:r>
            <w:r>
              <w:rPr>
                <w:sz w:val="20"/>
              </w:rPr>
              <w:t xml:space="preserve">/</w:t>
            </w:r>
            <w:r>
              <w:rPr>
                <w:rStyle w:val="VerbatimChar"/>
                <w:sz w:val="20"/>
              </w:rPr>
              <w:t xml:space="preserve">ROW_NUMBER()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по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event_id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за последние N дней для поздних дублей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Сессионизация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Пакетный обработчик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silver.events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silver.sessions</w:t>
            </w:r>
            <w:r>
              <w:rPr>
                <w:sz w:val="20"/>
              </w:rPr>
              <w:t xml:space="preserve">: новая сессия после 30 мин неактивности или смены UTM-источника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Склейка идентификаторов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Пакетный обработчик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События входа (</w:t>
            </w:r>
            <w:r>
              <w:rPr>
                <w:rStyle w:val="VerbatimChar"/>
                <w:sz w:val="20"/>
              </w:rPr>
              <w:t xml:space="preserve">anonymous_id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+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user_id</w:t>
            </w:r>
            <w:r>
              <w:rPr>
                <w:sz w:val="20"/>
              </w:rPr>
              <w:t xml:space="preserve">), CRM (</w:t>
            </w:r>
            <w:r>
              <w:rPr>
                <w:rStyle w:val="VerbatimChar"/>
                <w:sz w:val="20"/>
              </w:rPr>
              <w:t xml:space="preserve">customer_id</w:t>
            </w:r>
            <w:r>
              <w:rPr>
                <w:sz w:val="20"/>
              </w:rPr>
              <w:t xml:space="preserve">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silver.identity_map</w:t>
            </w:r>
            <w:r>
              <w:rPr>
                <w:sz w:val="20"/>
              </w:rPr>
              <w:t xml:space="preserve">, сквозной ключ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user_key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Связывание с заказами CRM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Пакетный обработчик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silver.events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(событие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purchase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с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order_id</w:t>
            </w:r>
            <w:r>
              <w:rPr>
                <w:sz w:val="20"/>
              </w:rPr>
              <w:t xml:space="preserve">),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silver.orders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Подтверждённые заказы; основной ключ —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order_id</w:t>
            </w:r>
            <w:r>
              <w:rPr>
                <w:sz w:val="20"/>
              </w:rPr>
              <w:t xml:space="preserve">, резервный —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user_key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+ окно времени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Вычисление этапов воронки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Пакетный обработчик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События, сессии, заказы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Для каждого пользователя/сессии — достигнутые этапы и время достижения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Расчёт конверсии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Пакетный обработчик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Этапы воронки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gold.funnel_daily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gold.funnel_conversion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gold.stage_timing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Анализ A/B-тестов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Пакетный обработчик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silver.ab_assignments</w:t>
            </w:r>
            <w:r>
              <w:rPr>
                <w:sz w:val="20"/>
              </w:rPr>
              <w:t xml:space="preserve">, события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experiment_exposure</w:t>
            </w:r>
            <w:r>
              <w:rPr>
                <w:sz w:val="20"/>
              </w:rPr>
              <w:t xml:space="preserve">, этапы воронки, заказы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gold.ab_results</w:t>
            </w:r>
            <w:r>
              <w:rPr>
                <w:sz w:val="20"/>
              </w:rPr>
              <w:t xml:space="preserve">: конверсии по вариантам, разница, доверительный интервал, проверка равномерности распределения (SRM)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Оперативные агрегаты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Потоковый обработчик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Очищенные события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gold.realtime_events_5m</w:t>
            </w:r>
            <w:r>
              <w:rPr>
                <w:sz w:val="20"/>
              </w:rPr>
              <w:t xml:space="preserve">: число событий и сессий в окнах 5 минут</w:t>
            </w:r>
          </w:p>
        </w:tc>
      </w:tr>
    </w:tbl>
    <w:p>
      <w:pPr>
        <w:pStyle w:val="BodyText"/>
        <w:spacing w:before="160"/>
      </w:pPr>
      <w:r>
        <w:rPr>
          <w:bCs/>
          <w:b/>
        </w:rPr>
        <w:t xml:space="preserve">Взаимодействие.</w:t>
      </w:r>
      <w:r>
        <w:t xml:space="preserve"> </w:t>
      </w:r>
      <w:r>
        <w:t xml:space="preserve">Потоковый обработчик непрерывно читает Kafka и пишет в Bronze, Silver и оперативные агрегаты Gold. Пакетный обработчик запускается Оркестратором (например, каждый час для текущего дня и ежедневно для пересчёта последних 3–7 дней с учётом поздних событий и изменения статусов заказов) и формирует Silver-сущности и витрины Gold.</w:t>
      </w:r>
    </w:p>
    <w:bookmarkEnd w:id="40"/>
    <w:bookmarkStart w:id="41" w:name="потребление-данных"/>
    <w:p>
      <w:pPr>
        <w:pStyle w:val="Heading2"/>
      </w:pPr>
      <w:r>
        <w:t xml:space="preserve">8.3 Потребление данных</w:t>
      </w:r>
    </w:p>
    <w:p>
      <w:pPr>
        <w:pStyle w:val="FirstParagraph"/>
        <w:keepNext/>
        <w:spacing w:before="120" w:after="60"/>
        <w:ind w:firstLine="0"/>
        <w:jc w:val="left"/>
      </w:pPr>
      <w:r>
        <w:t xml:space="preserve">Таблица 9 — Потребители данных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pct" w:w="5000"/>
      </w:tblPr>
      <w:tblGrid>
        <w:gridCol w:w="1742"/>
        <w:gridCol w:w="1742"/>
        <w:gridCol w:w="1584"/>
        <w:gridCol w:w="2851"/>
      </w:tblGrid>
      <w:tr>
        <w:trPr>
          <w:tblHeader w:val="true"/>
          <w:tblHeader/>
        </w:trP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Потребитель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Способ доступа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Данные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BI-система (Apache Superset)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SQL через SQL-движок (Trino)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Витрины Gold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Дашборды воронки, конверсий, A/B-тестов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Аналитики и продуктовые менеджеры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BI-дашборды; ad-hoc SQL через Trino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Gold, Silver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Поиск мест потери пользователей, исследования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Внешние потребители API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REST API метрик (JSON)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Агрегаты Gold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Маркетинговая платформа, внутренние сервисы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ML-сервисы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Чтение Iceberg-таблиц (Spark / PyIceberg)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Silver (сессии, события), Gold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Обучение моделей персонализации и прогноза вероятности покупки</w:t>
            </w:r>
          </w:p>
        </w:tc>
      </w:tr>
    </w:tbl>
    <w:p>
      <w:pPr>
        <w:pStyle w:val="BodyText"/>
        <w:spacing w:before="160"/>
      </w:pPr>
      <w:r>
        <w:t xml:space="preserve">Пример запросов к API метрик:</w:t>
      </w:r>
      <w:r>
        <w:t xml:space="preserve"> </w:t>
      </w:r>
      <w:r>
        <w:rPr>
          <w:rStyle w:val="VerbatimChar"/>
        </w:rPr>
        <w:t xml:space="preserve">GET /v1/funnel?date_from=…&amp;date_to=…&amp;channel=…</w:t>
      </w:r>
      <w:r>
        <w:t xml:space="preserve"> </w:t>
      </w:r>
      <w:r>
        <w:t xml:space="preserve">— этапы и конверсии;</w:t>
      </w:r>
      <w:r>
        <w:t xml:space="preserve"> </w:t>
      </w:r>
      <w:r>
        <w:rPr>
          <w:rStyle w:val="VerbatimChar"/>
        </w:rPr>
        <w:t xml:space="preserve">GET /v1/experiments/{experiment_id}/results</w:t>
      </w:r>
      <w:r>
        <w:t xml:space="preserve"> </w:t>
      </w:r>
      <w:r>
        <w:t xml:space="preserve">— результаты A/B-теста. API обращается только к Gold, что ограничивает нагрузку и исключает доступ внешних потребителей к персональным данным.</w:t>
      </w:r>
    </w:p>
    <w:bookmarkEnd w:id="41"/>
    <w:bookmarkEnd w:id="42"/>
    <w:bookmarkStart w:id="43" w:name="движение-потоков-данных-data-flow"/>
    <w:p>
      <w:pPr>
        <w:pStyle w:val="Heading1"/>
      </w:pPr>
      <w:r>
        <w:t xml:space="preserve">9. Движение потоков данных (Data Flow)</w:t>
      </w:r>
    </w:p>
    <w:p>
      <w:pPr>
        <w:pStyle w:val="FirstParagraph"/>
        <w:keepNext/>
        <w:spacing w:before="120" w:after="60"/>
        <w:ind w:firstLine="0"/>
        <w:jc w:val="left"/>
      </w:pPr>
      <w:r>
        <w:t xml:space="preserve">Таблица 10 — Этапы Data Flow: передаваемые данные, компоненты и результаты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pct" w:w="5000"/>
      </w:tblPr>
      <w:tblGrid>
        <w:gridCol w:w="475"/>
        <w:gridCol w:w="1267"/>
        <w:gridCol w:w="2296"/>
        <w:gridCol w:w="1742"/>
        <w:gridCol w:w="2138"/>
      </w:tblGrid>
      <w:tr>
        <w:trPr>
          <w:tblHeader w:val="true"/>
          <w:tblHeader/>
        </w:trP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№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Этап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Передаваемые данные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Компонент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Результат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Генерация события на сайте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Действие пользователя → JSON-событие с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event_id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event_ts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anonymous_id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session_id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JS-трекер на веб-сайте (внешняя система)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Событие в локальном буфере браузера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Передача через трекинг / ingestion-сервис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Пакет JSON-событий по HTTPS; события веб-трекинга (webhook); JSON-логи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Сервис сбора событий; Агент доставки логов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Проверенные по формату события с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received_at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Публикация в брокер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Сообщения в топиках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clickstream.raw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weblogs.raw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Брокер сообщений (Kafka)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Упорядоченный в рамках партиции журнал событий, реплицированный (RF = 3)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Потоковая обработка и валидация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Сырые сообщения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Потоковый обработчик (Spark Structured Streaming)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Разобранные, проверенные, нормализованные события в UTC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Сохранение исходных событий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Исходный JSON + метаданные Kafka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Потоковый обработчик → Bronze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bronze.clickstream_raw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bronze.weblogs_raw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Запись очищенных данных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Валидные дедуплицированные события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Потоковый обработчик → Silver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silver.events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7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Расчёт агрегатов и метрик воронки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События, сессии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Потоковый обработчик (оперативно), Пакетный обработчик (точно)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gold.realtime_events_5m</w:t>
            </w:r>
            <w:r>
              <w:rPr>
                <w:sz w:val="20"/>
              </w:rPr>
              <w:t xml:space="preserve">, этапы воронки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Объединение с CRM и A/B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События +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silver.orders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+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silver.ab_assignments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Пакетный загрузчик, Пакетный обработчик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Подтверждённые заказы, атрибуция к сессиям и вариантам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9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Формирование витрин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Этапы воронки, заказы, назначения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Пакетный обработчик → Gold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gold.funnel_daily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gold.funnel_conversion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gold.stage_timing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gold.ab_results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Получение результатов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SQL-запросы / REST-запросы, агрегаты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SQL-движок (Trino), API метрик, BI-система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Дашборды, ответы API, выборки для ML</w:t>
            </w:r>
          </w:p>
        </w:tc>
      </w:tr>
    </w:tbl>
    <w:p>
      <w:pPr>
        <w:pStyle w:val="BodyText"/>
        <w:keepNext/>
        <w:spacing w:before="160" w:after="60"/>
        <w:ind w:firstLine="0"/>
        <w:jc w:val="left"/>
      </w:pPr>
      <w:r>
        <w:t xml:space="preserve">Таблица 11 — Этапы Data Flow: ошибки, повторные события и повторная обработка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pct" w:w="5000"/>
      </w:tblPr>
      <w:tblGrid>
        <w:gridCol w:w="475"/>
        <w:gridCol w:w="1267"/>
        <w:gridCol w:w="2217"/>
        <w:gridCol w:w="1980"/>
        <w:gridCol w:w="1980"/>
      </w:tblGrid>
      <w:tr>
        <w:trPr>
          <w:tblHeader w:val="true"/>
          <w:tblHeader/>
        </w:trP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№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Этап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Обработка ошибок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Повторное поступление события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Возможность повторной обработки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Генерация события на сайте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При недоступности сервера — повторная отправка с задержкой; ограничение размера буфера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Повторная отправка содержит тот же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event_id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— (исходный факт)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Передача через трекинг / ingestion-сервис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Некорректный JSON или превышение размера — ответ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4xx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и счётчик ошибок; перегрузка —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429/503</w:t>
            </w:r>
            <w:r>
              <w:rPr>
                <w:sz w:val="20"/>
              </w:rPr>
              <w:t xml:space="preserve">, клиент повторяет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event_id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сохраняется; дедупликация на следующих этапах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Публикация в брокер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acks=all</w:t>
            </w:r>
            <w:r>
              <w:rPr>
                <w:sz w:val="20"/>
              </w:rPr>
              <w:t xml:space="preserve">; при недоступности брокера — повторы продюсера; клиенту подтверждается только успешная запись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Идемпотентный продюсер исключает дубли от собственных повторов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Хранение 7 суток: поток можно перечитать с нужного offset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Потоковая обработка и валидация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Невалидные события →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clickstream.dlq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bronze.rejected_events</w:t>
            </w:r>
            <w:r>
              <w:rPr>
                <w:sz w:val="20"/>
              </w:rPr>
              <w:t xml:space="preserve">; сбой задачи — перезапуск с checkpoint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dropDuplicatesWithinWatermark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по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event_id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Checkpoint хранит прочитанные offset; переобработка — запуск запроса с новым checkpoint и заданными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startingOffsets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Сохранение исходных событий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Атомарный коммит Iceberg: при сбое микробатч не виден частично и повторяется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Сырой слой хранит всё как есть (дубли допустимы, помечаются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kafka_offset</w:t>
            </w:r>
            <w:r>
              <w:rPr>
                <w:sz w:val="20"/>
              </w:rPr>
              <w:t xml:space="preserve">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Bronze — главный источник для пересчёта всей истории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6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Запись очищенных данных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Атомарный коммит; ошибки схемы — в DLQ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Поздние дубли (вне watermark) устраняются ежедневным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MERGE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Silver пересоздаётся из Bronze за любой период; time travel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7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Расчёт агрегатов и метрик воронки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Ошибка задачи — повтор Оркестратором; данные не публикуются частично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Пересчёт партиции целиком (overwrite) идемпотентен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Перезапуск задачи за любой диапазон дат (backfill)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8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Объединение с CRM и A/B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Записи CRM без соответствия — в отчёт о качестве (доля несвязанных заказов)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rStyle w:val="VerbatimChar"/>
                <w:sz w:val="20"/>
              </w:rPr>
              <w:t xml:space="preserve">MERGE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по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order_id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experiment_id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+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subject_id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Повторная выгрузка за интервал безопасна; пересчёт после изменения статусов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9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Формирование витрин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Проверки качества (полнота, отсутствие отрицательных конверсий) до публикации снапшота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Overwrite партиций по дате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Пересоздаются из Silver; старые версии доступны через снапшоты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10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Получение результатов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Тайм-ауты и ограничения нагрузки; при недоступности — кэш API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Запросы на чтение идемпотентны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Чтение на прошлый снапшот (time travel) для воспроизводимости отчётов</w:t>
            </w:r>
          </w:p>
        </w:tc>
      </w:tr>
    </w:tbl>
    <w:p>
      <w:pPr>
        <w:pStyle w:val="BodyText"/>
        <w:spacing w:before="160"/>
      </w:pPr>
      <w:r>
        <w:rPr>
          <w:bCs/>
          <w:b/>
        </w:rPr>
        <w:t xml:space="preserve">Различие потоковой и пакетной обработки в системе.</w:t>
      </w:r>
      <w:r>
        <w:t xml:space="preserve"> </w:t>
      </w:r>
      <w:r>
        <w:t xml:space="preserve">Потоковая обработка применяется к непрерывному неограниченному потоку событий сайта: данные обрабатываются микробатчами с задержкой порядка минуты, с учётом event time, watermark и состояния (дедупликация), а результат постоянно дополняется. Пакетная обработка применяется к ограниченным наборам данных — выгрузкам CRM и A/B-платформы за интервал, справочникам, а также к пересчёту исторических периодов: она проще, детерминирована, позволяет делать сложные объединения по полному набору данных и полностью перезаписывать партиции. В выбранной архитектуре оба режима используют один движок (Spark) и одни таблицы Iceberg, поэтому правила очистки едины, а точные итоговые метрики формирует пакетный расчёт поверх данных, накопленных потоком.</w:t>
      </w:r>
    </w:p>
    <w:bookmarkEnd w:id="43"/>
    <w:bookmarkStart w:id="47" w:name="диаграмма-c4-уровня-1-system-context"/>
    <w:p>
      <w:pPr>
        <w:pStyle w:val="Heading1"/>
      </w:pPr>
      <w:r>
        <w:t xml:space="preserve">10. Диаграмма C4 уровня 1 — System Context</w:t>
      </w:r>
    </w:p>
    <w:p>
      <w:pPr>
        <w:pStyle w:val="CaptionedFigure"/>
      </w:pPr>
      <w:r>
        <w:drawing>
          <wp:inline>
            <wp:extent cx="5930900" cy="6589326"/>
            <wp:effectExtent b="0" l="0" r="0" t="0"/>
            <wp:docPr descr="Рисунок 1 — Диаграмма C4 уровня 1 (System Context) платформы clickstream-аналитики" title="" id="45" name="Picture"/>
            <a:graphic>
              <a:graphicData uri="http://schemas.openxmlformats.org/drawingml/2006/picture">
                <pic:pic>
                  <pic:nvPicPr>
                    <pic:cNvPr descr="c4_context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6589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</w:pPr>
      <w:r>
        <w:t xml:space="preserve">Рисунок 1 — Диаграмма C4 уровня 1 (System Context) платформы clickstream-аналитики</w:t>
      </w:r>
    </w:p>
    <w:p>
      <w:pPr>
        <w:pStyle w:val="BodyText"/>
      </w:pPr>
      <w:r>
        <w:rPr>
          <w:bCs/>
          <w:b/>
        </w:rPr>
        <w:t xml:space="preserve">Пояснение.</w:t>
      </w:r>
      <w:r>
        <w:t xml:space="preserve"> </w:t>
      </w:r>
      <w:r>
        <w:t xml:space="preserve">Диаграмма показывает проектируемую систему «Платформа clickstream-аналитики» как единый блок внутри границы и её окружение: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Посетитель сайта</w:t>
      </w:r>
      <w:r>
        <w:t xml:space="preserve"> </w:t>
      </w:r>
      <w:r>
        <w:t xml:space="preserve">взаимодействует с веб-сайтом; JS-тег системы веб-трекинга в его браузере передаёт обращения в систему веб-трекинга.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Внешние источники:</w:t>
      </w:r>
      <w:r>
        <w:t xml:space="preserve"> </w:t>
      </w:r>
      <w:r>
        <w:t xml:space="preserve">веб-сайт передаёт clickstream-события из браузера (JSON, HTTPS) и JSON-логи сервера; система веб-трекинга — события визитов и источников трафика; A/B-платформа — параметры экспериментов и назначения вариантов; CRM — сведения о заказах, оплатах и отменах (пакетно).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Потребители:</w:t>
      </w:r>
      <w:r>
        <w:t xml:space="preserve"> </w:t>
      </w:r>
      <w:r>
        <w:t xml:space="preserve">BI-система получает агрегированные показатели конверсии и результаты анализа воронки по SQL; внешние потребители — агрегированные метрики через REST API; ML-сервисы — очищенные события сессий и признаки пользователей.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Пользователи:</w:t>
      </w:r>
      <w:r>
        <w:t xml:space="preserve"> </w:t>
      </w:r>
      <w:r>
        <w:t xml:space="preserve">аналитик данных и продуктовый менеджер работают с дашбордами BI-системы, аналитик также выполняет ad-hoc SQL-запросы; дата-инженер сопровождает конвейеры и запускает повторную обработку.</w:t>
      </w:r>
    </w:p>
    <w:p>
      <w:pPr>
        <w:pStyle w:val="FirstParagraph"/>
      </w:pPr>
      <w:r>
        <w:t xml:space="preserve">Для потоков данных стрелка указывает направление передачи данных; для людей — направление обращения (инициатора взаимодействия). Внутренние компоненты на этом уровне намеренно не показаны.</w:t>
      </w:r>
    </w:p>
    <w:bookmarkEnd w:id="47"/>
    <w:bookmarkStart w:id="51" w:name="диаграмма-c4-уровня-2-container"/>
    <w:p>
      <w:pPr>
        <w:pStyle w:val="Heading1"/>
      </w:pPr>
      <w:r>
        <w:t xml:space="preserve">11. Диаграмма C4 уровня 2 — Container</w:t>
      </w:r>
    </w:p>
    <w:p>
      <w:pPr>
        <w:pStyle w:val="CaptionedFigure"/>
      </w:pPr>
      <w:r>
        <w:drawing>
          <wp:inline>
            <wp:extent cx="5930900" cy="6160697"/>
            <wp:effectExtent b="0" l="0" r="0" t="0"/>
            <wp:docPr descr="Рисунок 2 — Диаграмма C4 уровня 2 (Container) платформы clickstream-аналитики" title="" id="49" name="Picture"/>
            <a:graphic>
              <a:graphicData uri="http://schemas.openxmlformats.org/drawingml/2006/picture">
                <pic:pic>
                  <pic:nvPicPr>
                    <pic:cNvPr descr="c4_container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6160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keepLines/>
      </w:pPr>
      <w:r>
        <w:t xml:space="preserve">Рисунок 2 — Диаграмма C4 уровня 2 (Container) платформы clickstream-аналитики</w:t>
      </w:r>
    </w:p>
    <w:p>
      <w:pPr>
        <w:pStyle w:val="BodyText"/>
      </w:pPr>
      <w:r>
        <w:rPr>
          <w:bCs/>
          <w:b/>
        </w:rPr>
        <w:t xml:space="preserve">Пояснение.</w:t>
      </w:r>
      <w:r>
        <w:t xml:space="preserve"> </w:t>
      </w:r>
      <w:r>
        <w:t xml:space="preserve">Диаграмма раскрывает внутреннее устройство платформы (векторная версия с возможностью масштабирования — файл</w:t>
      </w:r>
      <w:r>
        <w:t xml:space="preserve"> </w:t>
      </w:r>
      <w:r>
        <w:rPr>
          <w:rStyle w:val="VerbatimChar"/>
        </w:rPr>
        <w:t xml:space="preserve">c4_container.svg</w:t>
      </w:r>
      <w:r>
        <w:t xml:space="preserve">). Назначение и технологии контейнеров сведены в таблицу 12.</w:t>
      </w:r>
    </w:p>
    <w:p>
      <w:pPr>
        <w:pStyle w:val="BodyText"/>
        <w:keepNext/>
        <w:spacing w:before="120" w:after="60"/>
        <w:ind w:firstLine="0"/>
        <w:jc w:val="left"/>
      </w:pPr>
      <w:r>
        <w:t xml:space="preserve">Таблица 12 — Контейнеры C4 платформы clickstream-аналитики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pct" w:w="5000"/>
      </w:tblPr>
      <w:tblGrid>
        <w:gridCol w:w="1267"/>
        <w:gridCol w:w="2059"/>
        <w:gridCol w:w="1346"/>
        <w:gridCol w:w="1584"/>
        <w:gridCol w:w="1663"/>
      </w:tblGrid>
      <w:tr>
        <w:trPr>
          <w:tblHeader w:val="true"/>
          <w:tblHeader/>
        </w:trP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Контейнер C4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Ответственность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Технология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Вход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Выход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Сервис сбора событий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Приём событий браузера и веб-трекинга, первичная проверка, публикация в брокер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Go, HTTP/JSON (Docker-образ в Kubernetes)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JSON-события по HTTPS, webhook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Сообщения в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clickstream.raw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Агент доставки логов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Доставка серверных JSON-логов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Fluent Bit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Файлы / stdout сайта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Сообщения в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weblogs.raw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Брокер сообщений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Буферизация и надёжное хранение потока, повторное чтение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Apache Kafka (KRaft)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Сообщения продюсеров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Сообщения потребителям; DLQ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Потоковый обработчик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Валидация, нормализация, UTC, дедупликация, запись Bronze/Silver, оперативные агрегаты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Apache Spark Structured Streaming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Топики Kafka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Bronze, Silver,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gold.realtime_events_5m</w:t>
            </w:r>
            <w:r>
              <w:rPr>
                <w:sz w:val="20"/>
              </w:rPr>
              <w:t xml:space="preserve">, DLQ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Пакетный загрузчик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Инкрементальная выгрузка CRM и A/B-платформы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Apache Spark (PySpark)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Реплика CRM / REST API A/B-платформы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Таблицы Bronze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Пакетный обработчик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Сессионизация, связывание с CRM, воронка, A/B-анализ, MERGE поздних данных, пересчёт истории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Apache Spark (batch, Spark SQL)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Bronze, Silver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Silver (сессии, заказы, назначения), Gold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Оркестратор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Расписание, зависимости, backfill, обслуживание таблиц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Apache Airflow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Расписания, команды дата-инженера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Запуски задач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Bronze / Silver / Gold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Транзакционные таблицы слоёв Lakehouse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Apache Iceberg (Parquet)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Записи Spark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Данные для Spark, Trino, ML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Каталог таблиц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Указатели на актуальные метаданные, атомарные коммиты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Iceberg REST Catalog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Коммиты Spark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Метаданные для Spark и Trino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Объектное хранилище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Физическое хранение файлов данных и метаданных всех слоёв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S3-совместимое хранилище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Файлы Parquet, метаданные Iceberg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Файлы для чтения движками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SQL-движок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Интерактивные SQL-запросы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Trino (Iceberg connector)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Silver, Gold, метаданные каталога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Результаты для BI, API, аналитиков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API метрик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REST-доступ к агрегированным метрикам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Python, FastAPI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Результаты запросов Trino к Gold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JSON-ответы внешним потребителям</w:t>
            </w:r>
          </w:p>
        </w:tc>
      </w:tr>
    </w:tbl>
    <w:p>
      <w:pPr>
        <w:pStyle w:val="BodyText"/>
        <w:spacing w:before="160"/>
      </w:pPr>
      <w:r>
        <w:t xml:space="preserve">Внешние системы (веб-сайт, система веб-трекинга, A/B-платформа, CRM, BI-система, ML-сервисы, внешние потребители API) расположены вне границы системы. Слои Bronze, Silver, Gold, каталог и объектное хранилище объединены логической группой «Lakehouse»: таблицы являются логическими хранилищами, физически их файлы находятся в объектном хранилище, а каталог хранит указатели на актуальные версии. Обращения Spark к каталогу при коммитах на диаграмме не изображены отдельными стрелками, чтобы не перегружать схему; показано обращение Trino к каталогу.</w:t>
      </w:r>
    </w:p>
    <w:bookmarkEnd w:id="51"/>
    <w:bookmarkStart w:id="57" w:name="ключевые-аналитические-метрики-и-формулы"/>
    <w:p>
      <w:pPr>
        <w:pStyle w:val="Heading1"/>
      </w:pPr>
      <w:r>
        <w:t xml:space="preserve">12. Ключевые аналитические метрики и формулы</w:t>
      </w:r>
    </w:p>
    <w:bookmarkStart w:id="52" w:name="определение-этапов-воронки"/>
    <w:p>
      <w:pPr>
        <w:pStyle w:val="Heading2"/>
      </w:pPr>
      <w:r>
        <w:t xml:space="preserve">12.1 Определение этапов воронки</w:t>
      </w:r>
    </w:p>
    <w:p>
      <w:pPr>
        <w:pStyle w:val="FirstParagraph"/>
        <w:keepNext/>
        <w:spacing w:before="120" w:after="60"/>
        <w:ind w:firstLine="0"/>
        <w:jc w:val="left"/>
      </w:pPr>
      <w:r>
        <w:t xml:space="preserve">Таблица 13 — Этапы воронки продаж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pct" w:w="5000"/>
      </w:tblPr>
      <w:tblGrid>
        <w:gridCol w:w="633"/>
        <w:gridCol w:w="1980"/>
        <w:gridCol w:w="5306"/>
      </w:tblGrid>
      <w:tr>
        <w:trPr>
          <w:tblHeader w:val="true"/>
          <w:tblHeader/>
        </w:trP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Этап</w:t>
            </w:r>
            <w:r>
              <w:rPr>
                <w:b/>
                <w:sz w:val="20"/>
              </w:rP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Название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Условие достижения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Визит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Сессия с хотя бы одним событием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page_view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Просмотр товара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Событие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product_view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в сессии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Добавление в корзину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Событие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add_to_cart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Начало оформления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Событие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checkout_start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Заказ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Событие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purchase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с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order_id</w:t>
            </w:r>
            <w:r>
              <w:rPr>
                <w:sz w:val="20"/>
              </w:rPr>
              <w:t xml:space="preserve">, подтверждённым в CRM (заказ существует и не является тестовым)</w:t>
            </w:r>
          </w:p>
        </w:tc>
      </w:tr>
    </w:tbl>
    <w:p>
      <w:pPr>
        <w:pStyle w:val="BodyText"/>
        <w:spacing w:before="160"/>
      </w:pPr>
      <w:r>
        <w:t xml:space="preserve">Воронка считается</w:t>
      </w:r>
      <w:r>
        <w:t xml:space="preserve"> </w:t>
      </w:r>
      <w:r>
        <w:rPr>
          <w:bCs/>
          <w:b/>
        </w:rPr>
        <w:t xml:space="preserve">упорядоченной</w:t>
      </w:r>
      <w:r>
        <w:t xml:space="preserve">: этап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засчитывается, только если этап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достигнут раньше в пределах окна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(например, в рамках сессии для «сессионной» воронки или 7 дней от первого визита для «пользовательской»).</w:t>
      </w:r>
    </w:p>
    <w:bookmarkEnd w:id="52"/>
    <w:bookmarkStart w:id="53" w:name="формулы"/>
    <w:p>
      <w:pPr>
        <w:pStyle w:val="Heading2"/>
      </w:pPr>
      <w:r>
        <w:t xml:space="preserve">12.2 Формулы</w:t>
      </w:r>
    </w:p>
    <w:p>
      <w:pPr>
        <w:pStyle w:val="FirstParagraph"/>
      </w:pPr>
      <w:r>
        <w:t xml:space="preserve">Обозначения: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число уникальных объектов анализа (пользователей</w:t>
      </w:r>
      <w:r>
        <w:t xml:space="preserve"> </w:t>
      </w:r>
      <w:r>
        <w:rPr>
          <w:rStyle w:val="VerbatimChar"/>
        </w:rPr>
        <w:t xml:space="preserve">user_key</w:t>
      </w:r>
      <w:r>
        <w:t xml:space="preserve"> </w:t>
      </w:r>
      <w:r>
        <w:t xml:space="preserve">или сессий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), достигших этапа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в окне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время первого достижения этапа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Число событий</w:t>
      </w:r>
      <w:r>
        <w:t xml:space="preserve"> </w:t>
      </w:r>
      <w:r>
        <w:t xml:space="preserve">за период (после дедупликации), в разрезе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: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events</m:t>
            </m:r>
          </m:sub>
        </m:sSub>
      </m:oMath>
      <w:r>
        <w:t xml:space="preserve"> </w:t>
      </w:r>
      <w:r>
        <w:t xml:space="preserve">= COUNT(DISTINCT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Уникальные пользователи и сессии: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= COUNT(DISTINCT</w:t>
      </w:r>
      <w:r>
        <w:t xml:space="preserve"> </w:t>
      </w:r>
      <w:r>
        <w:rPr>
          <w:rStyle w:val="VerbatimChar"/>
        </w:rPr>
        <w:t xml:space="preserve">user_key</w:t>
      </w:r>
      <w:r>
        <w:t xml:space="preserve">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 COUNT(DISTINCT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), где</w:t>
      </w:r>
      <w:r>
        <w:t xml:space="preserve"> </w:t>
      </w:r>
      <w:r>
        <w:rPr>
          <w:rStyle w:val="VerbatimChar"/>
        </w:rPr>
        <w:t xml:space="preserve">user_key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для авторизованного пользователя, иначе</w:t>
      </w:r>
      <w:r>
        <w:t xml:space="preserve"> </w:t>
      </w:r>
      <w:r>
        <w:rPr>
          <w:rStyle w:val="VerbatimChar"/>
        </w:rPr>
        <w:t xml:space="preserve">anonymous_id</w:t>
      </w:r>
      <w:r>
        <w:t xml:space="preserve"> </w:t>
      </w:r>
      <w:r>
        <w:t xml:space="preserve">с учётом таблицы склейки идентификаторов.</w:t>
      </w:r>
    </w:p>
    <w:p>
      <w:pPr>
        <w:pStyle w:val="BodyText"/>
      </w:pPr>
      <w:r>
        <w:rPr>
          <w:bCs/>
          <w:b/>
        </w:rPr>
        <w:t xml:space="preserve">Конверсия между этапами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доля покинувших этап: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CR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U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Drop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CR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U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Время между этапами</w:t>
      </w:r>
      <w:r>
        <w:t xml:space="preserve"> </w:t>
      </w:r>
      <w:r>
        <w:t xml:space="preserve">для объектов, достигших обоих этапов:</w:t>
      </w:r>
      <w:r>
        <w:t xml:space="preserve"> </w:t>
      </w:r>
      <m:oMath>
        <m:r>
          <m:t>Δ</m:t>
        </m:r>
        <m:sSub>
          <m:e>
            <m:r>
              <m:t>t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→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 публикуются медиана и 90-й перцентиль (среднее неустойчиво к «долгим» сессиям).</w:t>
      </w:r>
    </w:p>
    <w:p>
      <w:pPr>
        <w:pStyle w:val="BodyText"/>
      </w:pPr>
      <w:r>
        <w:rPr>
          <w:bCs/>
          <w:b/>
        </w:rPr>
        <w:t xml:space="preserve">Количество оформленных заказов: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orders</m:t>
            </m:r>
          </m:sub>
        </m:sSub>
      </m:oMath>
      <w:r>
        <w:t xml:space="preserve"> </w:t>
      </w:r>
      <w:r>
        <w:t xml:space="preserve">= COUNT(DISTINCT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) из</w:t>
      </w:r>
      <w:r>
        <w:t xml:space="preserve"> </w:t>
      </w:r>
      <w:r>
        <w:rPr>
          <w:rStyle w:val="VerbatimChar"/>
        </w:rPr>
        <w:t xml:space="preserve">silver.orders</w:t>
      </w:r>
      <w:r>
        <w:t xml:space="preserve"> </w:t>
      </w:r>
      <w:r>
        <w:t xml:space="preserve">за период по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 без тестовых заказов; отдельно считаются оплаченные и не отменённые заказы.</w:t>
      </w:r>
    </w:p>
    <w:p>
      <w:pPr>
        <w:pStyle w:val="BodyText"/>
      </w:pPr>
      <w:r>
        <w:rPr>
          <w:bCs/>
          <w:b/>
        </w:rPr>
        <w:t xml:space="preserve">Конверсия из посещения в заказ: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CR</m:t>
              </m:r>
            </m:e>
            <m:sub>
              <m:r>
                <m:rPr>
                  <m:nor/>
                  <m:sty m:val="p"/>
                </m:rPr>
                <m:t>визит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заказ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num>
            <m:den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Для сессий — число сессий с подтверждённым заказом, делённое на число сессий.</w:t>
      </w:r>
    </w:p>
    <w:p>
      <w:pPr>
        <w:pStyle w:val="BodyText"/>
      </w:pPr>
      <w:r>
        <w:rPr>
          <w:bCs/>
          <w:b/>
        </w:rPr>
        <w:t xml:space="preserve">Сравнение вариантов A/B-теста.</w:t>
      </w:r>
      <w:r>
        <w:t xml:space="preserve"> </w:t>
      </w:r>
      <w:r>
        <w:t xml:space="preserve">Для варианта</w:t>
      </w:r>
      <w:r>
        <w:t xml:space="preserve"> </w:t>
      </w:r>
      <m:oMath>
        <m:r>
          <m:t>v</m:t>
        </m:r>
      </m:oMath>
      <w:r>
        <w:t xml:space="preserve">:</w:t>
      </w:r>
      <w:r>
        <w:t xml:space="preserve"> </w:t>
      </w:r>
      <m:oMath>
        <m:sSub>
          <m:e>
            <m:r>
              <m:t>n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— число пользователей, получивших показ эксперимента (</w:t>
      </w:r>
      <w:r>
        <w:rPr>
          <w:rStyle w:val="VerbatimChar"/>
        </w:rPr>
        <w:t xml:space="preserve">experiment_exposure</w:t>
      </w:r>
      <w:r>
        <w:t xml:space="preserve">) после назначения;</w:t>
      </w:r>
      <w:r>
        <w:t xml:space="preserve"> </w:t>
      </w:r>
      <m:oMath>
        <m:sSub>
          <m:e>
            <m:r>
              <m:t>x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— число из них, оформивших подтверждённый заказ в окне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после первого показа;</w:t>
      </w:r>
      <w:r>
        <w:t xml:space="preserve"> </w:t>
      </w:r>
      <m:oMath>
        <m:sSub>
          <m:e>
            <m:r>
              <m:rPr>
                <m:sty m:val="p"/>
              </m:rPr>
              <m:t>CR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v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v</m:t>
            </m:r>
          </m:sub>
        </m:sSub>
      </m:oMath>
      <w:r>
        <w:t xml:space="preserve">. Абсолютная разница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CR</m:t>
            </m:r>
          </m:e>
          <m:sub>
            <m:r>
              <m:t>B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CR</m:t>
            </m:r>
          </m:e>
          <m:sub>
            <m:r>
              <m:t>A</m:t>
            </m:r>
          </m:sub>
        </m:sSub>
      </m:oMath>
      <w:r>
        <w:t xml:space="preserve">, относительный прирост</w:t>
      </w:r>
      <w:r>
        <w:t xml:space="preserve"> </w:t>
      </w:r>
      <m:oMath>
        <m:r>
          <m:rPr>
            <m:sty m:val="p"/>
          </m:rPr>
          <m:t>lift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sSub>
          <m:e>
            <m:r>
              <m:rPr>
                <m:sty m:val="p"/>
              </m:rPr>
              <m:t>CR</m:t>
            </m:r>
          </m:e>
          <m:sub>
            <m:r>
              <m:t>A</m:t>
            </m:r>
          </m:sub>
        </m:sSub>
      </m:oMath>
      <w:r>
        <w:t xml:space="preserve">. Значимость оценивается z-критерием для двух долей, точность — доверительным интервалом: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CR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CR</m:t>
                  </m:r>
                </m:e>
                <m:sub>
                  <m:r>
                    <m:t>A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</m:den>
                      </m:f>
                    </m:e>
                  </m:d>
                </m:e>
              </m:ra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±</m:t>
          </m:r>
          <m:r>
            <m:t>1</m:t>
          </m:r>
          <m:r>
            <m:rPr>
              <m:sty m:val="p"/>
            </m:rPr>
            <m:t>,</m:t>
          </m:r>
          <m:r>
            <m:t>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CR</m:t>
                      </m:r>
                    </m:e>
                    <m:sub>
                      <m:r>
                        <m:t>A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CR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e>
                  </m:d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p"/>
                        </m:rPr>
                        <m:t>CR</m:t>
                      </m:r>
                    </m:e>
                    <m:sub>
                      <m:r>
                        <m:t>B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CR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e>
                  </m:d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</m:e>
          </m:rad>
        </m:oMath>
      </m:oMathPara>
    </w:p>
    <w:p>
      <w:pPr>
        <w:pStyle w:val="FirstParagraph"/>
      </w:pPr>
      <w:r>
        <w:t xml:space="preserve">Перед интерпретацией проверяется SRM (sample ratio mismatch): критерием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сравнивается фактическое соотношение</w:t>
      </w:r>
      <w: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sSub>
          <m:e>
            <m:r>
              <m:t>n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с запланированным; при значимом отклонении результаты эксперимента не интерпретируются.</w:t>
      </w:r>
    </w:p>
    <w:bookmarkEnd w:id="53"/>
    <w:bookmarkStart w:id="54" w:name="условный-числовой-пример"/>
    <w:p>
      <w:pPr>
        <w:pStyle w:val="Heading2"/>
      </w:pPr>
      <w:r>
        <w:t xml:space="preserve">12.3 Условный числовой пример</w:t>
      </w:r>
    </w:p>
    <w:p>
      <w:pPr>
        <w:pStyle w:val="FirstParagraph"/>
      </w:pPr>
      <w:r>
        <w:t xml:space="preserve">Данные ниже</w:t>
      </w:r>
      <w:r>
        <w:t xml:space="preserve"> </w:t>
      </w:r>
      <w:r>
        <w:rPr>
          <w:bCs/>
          <w:b/>
        </w:rPr>
        <w:t xml:space="preserve">условные</w:t>
      </w:r>
      <w:r>
        <w:t xml:space="preserve"> </w:t>
      </w:r>
      <w:r>
        <w:t xml:space="preserve">и приведены только для иллюстрации расчёта; фактические измерения не проводились.</w:t>
      </w:r>
    </w:p>
    <w:p>
      <w:pPr>
        <w:pStyle w:val="BodyText"/>
        <w:keepNext/>
        <w:spacing w:before="120" w:after="60"/>
        <w:ind w:firstLine="0"/>
        <w:jc w:val="left"/>
      </w:pPr>
      <w:r>
        <w:t xml:space="preserve">Таблица 14 — Условный пример расчёта воронки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type="pct" w:w="5000"/>
      </w:tblPr>
      <w:tblGrid>
        <w:gridCol w:w="2692"/>
        <w:gridCol w:w="1742"/>
        <w:gridCol w:w="1742"/>
        <w:gridCol w:w="1742"/>
      </w:tblGrid>
      <w:tr>
        <w:trPr>
          <w:tblHeader w:val="true"/>
          <w:tblHeader/>
        </w:trP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b/>
                <w:sz w:val="20"/>
              </w:rPr>
              <w:t xml:space="preserve">Этап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(сессии)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m:oMath>
              <m:sSub>
                <m:e>
                  <m:r>
                    <m:rPr>
                      <m:sty m:val="p"/>
                    </m:rPr>
                    <m:t>CR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→</m:t>
                  </m:r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m:oMath>
              <m:sSub>
                <m:e>
                  <m:r>
                    <m:rPr>
                      <m:sty m:val="p"/>
                    </m:rPr>
                    <m:t>Drop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1. Визит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100 000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—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2. Просмотр товара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60 000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60,0 %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40,0 %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3. Добавление в корзину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15 000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25,0 %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75,0 %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4. Начало оформления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6 000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40,0 %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60,0 %</w:t>
            </w:r>
          </w:p>
        </w:tc>
      </w:tr>
      <w:tr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5. Заказ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3 000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50,0 %</w:t>
            </w:r>
          </w:p>
        </w:tc>
        <w:tc>
          <w:tcPr/>
          <w:p>
            <w:pPr>
              <w:pStyle w:val="Compact"/>
              <w:spacing w:line="240" w:lineRule="auto" w:before="20" w:after="20"/>
              <w:ind w:firstLine="0"/>
              <w:jc w:val="left"/>
            </w:pPr>
            <w:r>
              <w:rPr>
                <w:sz w:val="20"/>
              </w:rPr>
              <w:t xml:space="preserve">50,0 %</w:t>
            </w:r>
          </w:p>
        </w:tc>
      </w:tr>
    </w:tbl>
    <w:p>
      <w:pPr>
        <w:pStyle w:val="BodyText"/>
        <w:spacing w:before="160"/>
      </w:pPr>
      <w:r>
        <w:t xml:space="preserve">Конверсия «визит → заказ» = 3 000 / 100 000 = 3,0 %. Наибольшая доля потерь в примере — между просмотром товара и добавлением в корзину (75 %), что указывало бы на необходимость анализа карточки товара.</w:t>
      </w:r>
    </w:p>
    <w:p>
      <w:pPr>
        <w:pStyle w:val="BodyText"/>
      </w:pPr>
      <w:r>
        <w:t xml:space="preserve">Условный A/B-тест:</w:t>
      </w:r>
      <w: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50</m:t>
        </m:r>
        <m:r>
          <m:t> </m:t>
        </m:r>
        <m:r>
          <m:t>000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</m:t>
        </m:r>
        <m:r>
          <m:t> </m:t>
        </m:r>
        <m:r>
          <m:t>500</m:t>
        </m:r>
      </m:oMath>
      <w:r>
        <w:t xml:space="preserve"> </w:t>
      </w:r>
      <w:r>
        <w:t xml:space="preserve">(</w:t>
      </w:r>
      <m:oMath>
        <m:sSub>
          <m:e>
            <m:r>
              <m:rPr>
                <m:sty m:val="p"/>
              </m:rPr>
              <m:t>CR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0</m:t>
        </m:r>
        <m:r>
          <m:t> </m:t>
        </m:r>
        <m:r>
          <m:rPr>
            <m:sty m:val="p"/>
          </m:rPr>
          <m:t>%</m:t>
        </m:r>
      </m:oMath>
      <w:r>
        <w:t xml:space="preserve">);</w:t>
      </w:r>
      <w: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50</m:t>
        </m:r>
        <m:r>
          <m:t> </m:t>
        </m:r>
        <m:r>
          <m:t>000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</m:t>
        </m:r>
        <m:r>
          <m:t> </m:t>
        </m:r>
        <m:r>
          <m:t>650</m:t>
        </m:r>
      </m:oMath>
      <w:r>
        <w:t xml:space="preserve"> </w:t>
      </w:r>
      <w:r>
        <w:t xml:space="preserve">(</w:t>
      </w:r>
      <m:oMath>
        <m:sSub>
          <m:e>
            <m:r>
              <m:rPr>
                <m:sty m:val="p"/>
              </m:rPr>
              <m:t>CR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3</m:t>
        </m:r>
        <m:r>
          <m:t> </m:t>
        </m:r>
        <m:r>
          <m:rPr>
            <m:sty m:val="p"/>
          </m:rPr>
          <m:t>%</m:t>
        </m:r>
      </m:oMath>
      <w:r>
        <w:t xml:space="preserve">). Тогда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п. п., lift = 10 %,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0315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72</m:t>
        </m:r>
      </m:oMath>
      <w:r>
        <w:t xml:space="preserve"> </w:t>
      </w:r>
      <w:r>
        <w:t xml:space="preserve">(двустороннее p ≈ 0,007), 95 %-й доверительный интервал Δ ≈ [0,08; 0,52] п. п. — в условном примере вариант B лучше статистически значимо.</w:t>
      </w:r>
    </w:p>
    <w:bookmarkEnd w:id="54"/>
    <w:bookmarkStart w:id="55" w:name="X1a230e60434f5f1a306a7699747ebf539d9f00f"/>
    <w:p>
      <w:pPr>
        <w:pStyle w:val="Heading2"/>
      </w:pPr>
      <w:r>
        <w:t xml:space="preserve">12.4 Пример логики расчёта (SQL, Trino / Spark SQL)</w:t>
      </w:r>
    </w:p>
    <w:p>
      <w:pPr>
        <w:pStyle w:val="SourceCode"/>
        <w:ind w:firstLine="0"/>
      </w:pPr>
      <w:r>
        <w:rPr>
          <w:rStyle w:val="CommentTok"/>
          <w:sz w:val="17"/>
        </w:rPr>
        <w:t xml:space="preserve">-- Сессионная упорядоченная воронка за день (упрощённо)</w:t>
      </w:r>
      <w:r>
        <w:rPr>
          <w:sz w:val="17"/>
        </w:rPr>
        <w:br/>
      </w:r>
      <w:r>
        <w:rPr>
          <w:rStyle w:val="KeywordTok"/>
          <w:sz w:val="17"/>
        </w:rPr>
        <w:t xml:space="preserve">WITH</w:t>
      </w:r>
      <w:r>
        <w:rPr>
          <w:rStyle w:val="NormalTok"/>
          <w:sz w:val="17"/>
        </w:rPr>
        <w:t xml:space="preserve"> s </w:t>
      </w:r>
      <w:r>
        <w:rPr>
          <w:rStyle w:val="KeywordTok"/>
          <w:sz w:val="17"/>
        </w:rPr>
        <w:t xml:space="preserve">AS</w:t>
      </w:r>
      <w:r>
        <w:rPr>
          <w:rStyle w:val="NormalTok"/>
          <w:sz w:val="17"/>
        </w:rPr>
        <w:t xml:space="preserve"> (</w:t>
      </w:r>
      <w:r>
        <w:rPr>
          <w:sz w:val="17"/>
        </w:rPr>
        <w:br/>
      </w:r>
      <w:r>
        <w:rPr>
          <w:rStyle w:val="NormalTok"/>
          <w:sz w:val="17"/>
        </w:rPr>
        <w:t xml:space="preserve">  </w:t>
      </w:r>
      <w:r>
        <w:rPr>
          <w:rStyle w:val="KeywordTok"/>
          <w:sz w:val="17"/>
        </w:rPr>
        <w:t xml:space="preserve">SELECT</w:t>
      </w:r>
      <w:r>
        <w:rPr>
          <w:rStyle w:val="NormalTok"/>
          <w:sz w:val="17"/>
        </w:rPr>
        <w:t xml:space="preserve"> session_id,</w:t>
      </w:r>
      <w:r>
        <w:rPr>
          <w:sz w:val="17"/>
        </w:rPr>
        <w:br/>
      </w:r>
      <w:r>
        <w:rPr>
          <w:rStyle w:val="NormalTok"/>
          <w:sz w:val="17"/>
        </w:rPr>
        <w:t xml:space="preserve">         </w:t>
      </w:r>
      <w:r>
        <w:rPr>
          <w:rStyle w:val="FunctionTok"/>
          <w:sz w:val="17"/>
        </w:rPr>
        <w:t xml:space="preserve">min</w:t>
      </w:r>
      <w:r>
        <w:rPr>
          <w:rStyle w:val="NormalTok"/>
          <w:sz w:val="17"/>
        </w:rPr>
        <w:t xml:space="preserve">(</w:t>
      </w:r>
      <w:r>
        <w:rPr>
          <w:rStyle w:val="ControlFlowTok"/>
          <w:sz w:val="17"/>
        </w:rPr>
        <w:t xml:space="preserve">CASE</w:t>
      </w:r>
      <w:r>
        <w:rPr>
          <w:rStyle w:val="NormalTok"/>
          <w:sz w:val="17"/>
        </w:rPr>
        <w:t xml:space="preserve"> </w:t>
      </w:r>
      <w:r>
        <w:rPr>
          <w:rStyle w:val="ControlFlowTok"/>
          <w:sz w:val="17"/>
        </w:rPr>
        <w:t xml:space="preserve">WHEN</w:t>
      </w:r>
      <w:r>
        <w:rPr>
          <w:rStyle w:val="NormalTok"/>
          <w:sz w:val="17"/>
        </w:rPr>
        <w:t xml:space="preserve"> event_type </w:t>
      </w:r>
      <w:r>
        <w:rPr>
          <w:rStyle w:val="OperatorTok"/>
          <w:sz w:val="17"/>
        </w:rPr>
        <w:t xml:space="preserve">=</w:t>
      </w:r>
      <w:r>
        <w:rPr>
          <w:rStyle w:val="NormalTok"/>
          <w:sz w:val="17"/>
        </w:rPr>
        <w:t xml:space="preserve"> </w:t>
      </w:r>
      <w:r>
        <w:rPr>
          <w:rStyle w:val="StringTok"/>
          <w:sz w:val="17"/>
        </w:rPr>
        <w:t xml:space="preserve">'page_view'</w:t>
      </w:r>
      <w:r>
        <w:rPr>
          <w:rStyle w:val="NormalTok"/>
          <w:sz w:val="17"/>
        </w:rPr>
        <w:t xml:space="preserve">      </w:t>
      </w:r>
      <w:r>
        <w:rPr>
          <w:rStyle w:val="ControlFlowTok"/>
          <w:sz w:val="17"/>
        </w:rPr>
        <w:t xml:space="preserve">THEN</w:t>
      </w:r>
      <w:r>
        <w:rPr>
          <w:rStyle w:val="NormalTok"/>
          <w:sz w:val="17"/>
        </w:rPr>
        <w:t xml:space="preserve"> event_ts_utc </w:t>
      </w:r>
      <w:r>
        <w:rPr>
          <w:rStyle w:val="ControlFlowTok"/>
          <w:sz w:val="17"/>
        </w:rPr>
        <w:t xml:space="preserve">END</w:t>
      </w:r>
      <w:r>
        <w:rPr>
          <w:rStyle w:val="NormalTok"/>
          <w:sz w:val="17"/>
        </w:rPr>
        <w:t xml:space="preserve">) </w:t>
      </w:r>
      <w:r>
        <w:rPr>
          <w:rStyle w:val="KeywordTok"/>
          <w:sz w:val="17"/>
        </w:rPr>
        <w:t xml:space="preserve">AS</w:t>
      </w:r>
      <w:r>
        <w:rPr>
          <w:rStyle w:val="NormalTok"/>
          <w:sz w:val="17"/>
        </w:rPr>
        <w:t xml:space="preserve"> t1,</w:t>
      </w:r>
      <w:r>
        <w:rPr>
          <w:sz w:val="17"/>
        </w:rPr>
        <w:br/>
      </w:r>
      <w:r>
        <w:rPr>
          <w:rStyle w:val="NormalTok"/>
          <w:sz w:val="17"/>
        </w:rPr>
        <w:t xml:space="preserve">         </w:t>
      </w:r>
      <w:r>
        <w:rPr>
          <w:rStyle w:val="FunctionTok"/>
          <w:sz w:val="17"/>
        </w:rPr>
        <w:t xml:space="preserve">min</w:t>
      </w:r>
      <w:r>
        <w:rPr>
          <w:rStyle w:val="NormalTok"/>
          <w:sz w:val="17"/>
        </w:rPr>
        <w:t xml:space="preserve">(</w:t>
      </w:r>
      <w:r>
        <w:rPr>
          <w:rStyle w:val="ControlFlowTok"/>
          <w:sz w:val="17"/>
        </w:rPr>
        <w:t xml:space="preserve">CASE</w:t>
      </w:r>
      <w:r>
        <w:rPr>
          <w:rStyle w:val="NormalTok"/>
          <w:sz w:val="17"/>
        </w:rPr>
        <w:t xml:space="preserve"> </w:t>
      </w:r>
      <w:r>
        <w:rPr>
          <w:rStyle w:val="ControlFlowTok"/>
          <w:sz w:val="17"/>
        </w:rPr>
        <w:t xml:space="preserve">WHEN</w:t>
      </w:r>
      <w:r>
        <w:rPr>
          <w:rStyle w:val="NormalTok"/>
          <w:sz w:val="17"/>
        </w:rPr>
        <w:t xml:space="preserve"> event_type </w:t>
      </w:r>
      <w:r>
        <w:rPr>
          <w:rStyle w:val="OperatorTok"/>
          <w:sz w:val="17"/>
        </w:rPr>
        <w:t xml:space="preserve">=</w:t>
      </w:r>
      <w:r>
        <w:rPr>
          <w:rStyle w:val="NormalTok"/>
          <w:sz w:val="17"/>
        </w:rPr>
        <w:t xml:space="preserve"> </w:t>
      </w:r>
      <w:r>
        <w:rPr>
          <w:rStyle w:val="StringTok"/>
          <w:sz w:val="17"/>
        </w:rPr>
        <w:t xml:space="preserve">'product_view'</w:t>
      </w:r>
      <w:r>
        <w:rPr>
          <w:rStyle w:val="NormalTok"/>
          <w:sz w:val="17"/>
        </w:rPr>
        <w:t xml:space="preserve">   </w:t>
      </w:r>
      <w:r>
        <w:rPr>
          <w:rStyle w:val="ControlFlowTok"/>
          <w:sz w:val="17"/>
        </w:rPr>
        <w:t xml:space="preserve">THEN</w:t>
      </w:r>
      <w:r>
        <w:rPr>
          <w:rStyle w:val="NormalTok"/>
          <w:sz w:val="17"/>
        </w:rPr>
        <w:t xml:space="preserve"> event_ts_utc </w:t>
      </w:r>
      <w:r>
        <w:rPr>
          <w:rStyle w:val="ControlFlowTok"/>
          <w:sz w:val="17"/>
        </w:rPr>
        <w:t xml:space="preserve">END</w:t>
      </w:r>
      <w:r>
        <w:rPr>
          <w:rStyle w:val="NormalTok"/>
          <w:sz w:val="17"/>
        </w:rPr>
        <w:t xml:space="preserve">) </w:t>
      </w:r>
      <w:r>
        <w:rPr>
          <w:rStyle w:val="KeywordTok"/>
          <w:sz w:val="17"/>
        </w:rPr>
        <w:t xml:space="preserve">AS</w:t>
      </w:r>
      <w:r>
        <w:rPr>
          <w:rStyle w:val="NormalTok"/>
          <w:sz w:val="17"/>
        </w:rPr>
        <w:t xml:space="preserve"> t2,</w:t>
      </w:r>
      <w:r>
        <w:rPr>
          <w:sz w:val="17"/>
        </w:rPr>
        <w:br/>
      </w:r>
      <w:r>
        <w:rPr>
          <w:rStyle w:val="NormalTok"/>
          <w:sz w:val="17"/>
        </w:rPr>
        <w:t xml:space="preserve">         </w:t>
      </w:r>
      <w:r>
        <w:rPr>
          <w:rStyle w:val="FunctionTok"/>
          <w:sz w:val="17"/>
        </w:rPr>
        <w:t xml:space="preserve">min</w:t>
      </w:r>
      <w:r>
        <w:rPr>
          <w:rStyle w:val="NormalTok"/>
          <w:sz w:val="17"/>
        </w:rPr>
        <w:t xml:space="preserve">(</w:t>
      </w:r>
      <w:r>
        <w:rPr>
          <w:rStyle w:val="ControlFlowTok"/>
          <w:sz w:val="17"/>
        </w:rPr>
        <w:t xml:space="preserve">CASE</w:t>
      </w:r>
      <w:r>
        <w:rPr>
          <w:rStyle w:val="NormalTok"/>
          <w:sz w:val="17"/>
        </w:rPr>
        <w:t xml:space="preserve"> </w:t>
      </w:r>
      <w:r>
        <w:rPr>
          <w:rStyle w:val="ControlFlowTok"/>
          <w:sz w:val="17"/>
        </w:rPr>
        <w:t xml:space="preserve">WHEN</w:t>
      </w:r>
      <w:r>
        <w:rPr>
          <w:rStyle w:val="NormalTok"/>
          <w:sz w:val="17"/>
        </w:rPr>
        <w:t xml:space="preserve"> event_type </w:t>
      </w:r>
      <w:r>
        <w:rPr>
          <w:rStyle w:val="OperatorTok"/>
          <w:sz w:val="17"/>
        </w:rPr>
        <w:t xml:space="preserve">=</w:t>
      </w:r>
      <w:r>
        <w:rPr>
          <w:rStyle w:val="NormalTok"/>
          <w:sz w:val="17"/>
        </w:rPr>
        <w:t xml:space="preserve"> </w:t>
      </w:r>
      <w:r>
        <w:rPr>
          <w:rStyle w:val="StringTok"/>
          <w:sz w:val="17"/>
        </w:rPr>
        <w:t xml:space="preserve">'add_to_cart'</w:t>
      </w:r>
      <w:r>
        <w:rPr>
          <w:rStyle w:val="NormalTok"/>
          <w:sz w:val="17"/>
        </w:rPr>
        <w:t xml:space="preserve">    </w:t>
      </w:r>
      <w:r>
        <w:rPr>
          <w:rStyle w:val="ControlFlowTok"/>
          <w:sz w:val="17"/>
        </w:rPr>
        <w:t xml:space="preserve">THEN</w:t>
      </w:r>
      <w:r>
        <w:rPr>
          <w:rStyle w:val="NormalTok"/>
          <w:sz w:val="17"/>
        </w:rPr>
        <w:t xml:space="preserve"> event_ts_utc </w:t>
      </w:r>
      <w:r>
        <w:rPr>
          <w:rStyle w:val="ControlFlowTok"/>
          <w:sz w:val="17"/>
        </w:rPr>
        <w:t xml:space="preserve">END</w:t>
      </w:r>
      <w:r>
        <w:rPr>
          <w:rStyle w:val="NormalTok"/>
          <w:sz w:val="17"/>
        </w:rPr>
        <w:t xml:space="preserve">) </w:t>
      </w:r>
      <w:r>
        <w:rPr>
          <w:rStyle w:val="KeywordTok"/>
          <w:sz w:val="17"/>
        </w:rPr>
        <w:t xml:space="preserve">AS</w:t>
      </w:r>
      <w:r>
        <w:rPr>
          <w:rStyle w:val="NormalTok"/>
          <w:sz w:val="17"/>
        </w:rPr>
        <w:t xml:space="preserve"> t3,</w:t>
      </w:r>
      <w:r>
        <w:rPr>
          <w:sz w:val="17"/>
        </w:rPr>
        <w:br/>
      </w:r>
      <w:r>
        <w:rPr>
          <w:rStyle w:val="NormalTok"/>
          <w:sz w:val="17"/>
        </w:rPr>
        <w:t xml:space="preserve">         </w:t>
      </w:r>
      <w:r>
        <w:rPr>
          <w:rStyle w:val="FunctionTok"/>
          <w:sz w:val="17"/>
        </w:rPr>
        <w:t xml:space="preserve">min</w:t>
      </w:r>
      <w:r>
        <w:rPr>
          <w:rStyle w:val="NormalTok"/>
          <w:sz w:val="17"/>
        </w:rPr>
        <w:t xml:space="preserve">(</w:t>
      </w:r>
      <w:r>
        <w:rPr>
          <w:rStyle w:val="ControlFlowTok"/>
          <w:sz w:val="17"/>
        </w:rPr>
        <w:t xml:space="preserve">CASE</w:t>
      </w:r>
      <w:r>
        <w:rPr>
          <w:rStyle w:val="NormalTok"/>
          <w:sz w:val="17"/>
        </w:rPr>
        <w:t xml:space="preserve"> </w:t>
      </w:r>
      <w:r>
        <w:rPr>
          <w:rStyle w:val="ControlFlowTok"/>
          <w:sz w:val="17"/>
        </w:rPr>
        <w:t xml:space="preserve">WHEN</w:t>
      </w:r>
      <w:r>
        <w:rPr>
          <w:rStyle w:val="NormalTok"/>
          <w:sz w:val="17"/>
        </w:rPr>
        <w:t xml:space="preserve"> event_type </w:t>
      </w:r>
      <w:r>
        <w:rPr>
          <w:rStyle w:val="OperatorTok"/>
          <w:sz w:val="17"/>
        </w:rPr>
        <w:t xml:space="preserve">=</w:t>
      </w:r>
      <w:r>
        <w:rPr>
          <w:rStyle w:val="NormalTok"/>
          <w:sz w:val="17"/>
        </w:rPr>
        <w:t xml:space="preserve"> </w:t>
      </w:r>
      <w:r>
        <w:rPr>
          <w:rStyle w:val="StringTok"/>
          <w:sz w:val="17"/>
        </w:rPr>
        <w:t xml:space="preserve">'checkout_start'</w:t>
      </w:r>
      <w:r>
        <w:rPr>
          <w:rStyle w:val="NormalTok"/>
          <w:sz w:val="17"/>
        </w:rPr>
        <w:t xml:space="preserve"> </w:t>
      </w:r>
      <w:r>
        <w:rPr>
          <w:rStyle w:val="ControlFlowTok"/>
          <w:sz w:val="17"/>
        </w:rPr>
        <w:t xml:space="preserve">THEN</w:t>
      </w:r>
      <w:r>
        <w:rPr>
          <w:rStyle w:val="NormalTok"/>
          <w:sz w:val="17"/>
        </w:rPr>
        <w:t xml:space="preserve"> event_ts_utc </w:t>
      </w:r>
      <w:r>
        <w:rPr>
          <w:rStyle w:val="ControlFlowTok"/>
          <w:sz w:val="17"/>
        </w:rPr>
        <w:t xml:space="preserve">END</w:t>
      </w:r>
      <w:r>
        <w:rPr>
          <w:rStyle w:val="NormalTok"/>
          <w:sz w:val="17"/>
        </w:rPr>
        <w:t xml:space="preserve">) </w:t>
      </w:r>
      <w:r>
        <w:rPr>
          <w:rStyle w:val="KeywordTok"/>
          <w:sz w:val="17"/>
        </w:rPr>
        <w:t xml:space="preserve">AS</w:t>
      </w:r>
      <w:r>
        <w:rPr>
          <w:rStyle w:val="NormalTok"/>
          <w:sz w:val="17"/>
        </w:rPr>
        <w:t xml:space="preserve"> t4</w:t>
      </w:r>
      <w:r>
        <w:rPr>
          <w:sz w:val="17"/>
        </w:rPr>
        <w:br/>
      </w:r>
      <w:r>
        <w:rPr>
          <w:rStyle w:val="NormalTok"/>
          <w:sz w:val="17"/>
        </w:rPr>
        <w:t xml:space="preserve">  </w:t>
      </w:r>
      <w:r>
        <w:rPr>
          <w:rStyle w:val="KeywordTok"/>
          <w:sz w:val="17"/>
        </w:rPr>
        <w:t xml:space="preserve">FROM</w:t>
      </w:r>
      <w:r>
        <w:rPr>
          <w:rStyle w:val="NormalTok"/>
          <w:sz w:val="17"/>
        </w:rPr>
        <w:t xml:space="preserve"> silver.</w:t>
      </w:r>
      <w:r>
        <w:rPr>
          <w:rStyle w:val="KeywordTok"/>
          <w:sz w:val="17"/>
        </w:rPr>
        <w:t xml:space="preserve">events</w:t>
      </w:r>
      <w:r>
        <w:rPr>
          <w:sz w:val="17"/>
        </w:rPr>
        <w:br/>
      </w:r>
      <w:r>
        <w:rPr>
          <w:rStyle w:val="NormalTok"/>
          <w:sz w:val="17"/>
        </w:rPr>
        <w:t xml:space="preserve">  </w:t>
      </w:r>
      <w:r>
        <w:rPr>
          <w:rStyle w:val="KeywordTok"/>
          <w:sz w:val="17"/>
        </w:rPr>
        <w:t xml:space="preserve">WHERE</w:t>
      </w:r>
      <w:r>
        <w:rPr>
          <w:rStyle w:val="NormalTok"/>
          <w:sz w:val="17"/>
        </w:rPr>
        <w:t xml:space="preserve"> event_ts_utc </w:t>
      </w:r>
      <w:r>
        <w:rPr>
          <w:rStyle w:val="OperatorTok"/>
          <w:sz w:val="17"/>
        </w:rPr>
        <w:t xml:space="preserve">&gt;=</w:t>
      </w:r>
      <w:r>
        <w:rPr>
          <w:rStyle w:val="NormalTok"/>
          <w:sz w:val="17"/>
        </w:rPr>
        <w:t xml:space="preserve"> </w:t>
      </w:r>
      <w:r>
        <w:rPr>
          <w:rStyle w:val="DataTypeTok"/>
          <w:sz w:val="17"/>
        </w:rPr>
        <w:t xml:space="preserve">TIMESTAMP</w:t>
      </w:r>
      <w:r>
        <w:rPr>
          <w:rStyle w:val="NormalTok"/>
          <w:sz w:val="17"/>
        </w:rPr>
        <w:t xml:space="preserve"> </w:t>
      </w:r>
      <w:r>
        <w:rPr>
          <w:rStyle w:val="StringTok"/>
          <w:sz w:val="17"/>
        </w:rPr>
        <w:t xml:space="preserve">'2026-01-15 00:00:00'</w:t>
      </w:r>
      <w:r>
        <w:rPr>
          <w:rStyle w:val="NormalTok"/>
          <w:sz w:val="17"/>
        </w:rPr>
        <w:t xml:space="preserve">   </w:t>
      </w:r>
      <w:r>
        <w:rPr>
          <w:rStyle w:val="CommentTok"/>
          <w:sz w:val="17"/>
        </w:rPr>
        <w:t xml:space="preserve">-- условная дата</w:t>
      </w:r>
      <w:r>
        <w:rPr>
          <w:sz w:val="17"/>
        </w:rP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sz w:val="17"/>
        </w:rPr>
        <w:t xml:space="preserve">AND</w:t>
      </w:r>
      <w:r>
        <w:rPr>
          <w:rStyle w:val="NormalTok"/>
          <w:sz w:val="17"/>
        </w:rPr>
        <w:t xml:space="preserve"> event_ts_utc </w:t>
      </w:r>
      <w:r>
        <w:rPr>
          <w:rStyle w:val="OperatorTok"/>
          <w:sz w:val="17"/>
        </w:rPr>
        <w:t xml:space="preserve">&lt;</w:t>
      </w:r>
      <w:r>
        <w:rPr>
          <w:rStyle w:val="NormalTok"/>
          <w:sz w:val="17"/>
        </w:rPr>
        <w:t xml:space="preserve">  </w:t>
      </w:r>
      <w:r>
        <w:rPr>
          <w:rStyle w:val="DataTypeTok"/>
          <w:sz w:val="17"/>
        </w:rPr>
        <w:t xml:space="preserve">TIMESTAMP</w:t>
      </w:r>
      <w:r>
        <w:rPr>
          <w:rStyle w:val="NormalTok"/>
          <w:sz w:val="17"/>
        </w:rPr>
        <w:t xml:space="preserve"> </w:t>
      </w:r>
      <w:r>
        <w:rPr>
          <w:rStyle w:val="StringTok"/>
          <w:sz w:val="17"/>
        </w:rPr>
        <w:t xml:space="preserve">'2026-01-16 00:00:00'</w:t>
      </w:r>
      <w:r>
        <w:rPr>
          <w:sz w:val="17"/>
        </w:rPr>
        <w:br/>
      </w:r>
      <w:r>
        <w:rPr>
          <w:rStyle w:val="NormalTok"/>
          <w:sz w:val="17"/>
        </w:rPr>
        <w:t xml:space="preserve">  </w:t>
      </w:r>
      <w:r>
        <w:rPr>
          <w:rStyle w:val="KeywordTok"/>
          <w:sz w:val="17"/>
        </w:rPr>
        <w:t xml:space="preserve">GROUP</w:t>
      </w:r>
      <w:r>
        <w:rPr>
          <w:rStyle w:val="NormalTok"/>
          <w:sz w:val="17"/>
        </w:rPr>
        <w:t xml:space="preserve"> </w:t>
      </w:r>
      <w:r>
        <w:rPr>
          <w:rStyle w:val="KeywordTok"/>
          <w:sz w:val="17"/>
        </w:rPr>
        <w:t xml:space="preserve">BY</w:t>
      </w:r>
      <w:r>
        <w:rPr>
          <w:rStyle w:val="NormalTok"/>
          <w:sz w:val="17"/>
        </w:rPr>
        <w:t xml:space="preserve"> session_id</w:t>
      </w:r>
      <w:r>
        <w:rPr>
          <w:sz w:val="17"/>
        </w:rPr>
        <w:br/>
      </w:r>
      <w:r>
        <w:rPr>
          <w:rStyle w:val="NormalTok"/>
          <w:sz w:val="17"/>
        </w:rPr>
        <w:t xml:space="preserve">), o </w:t>
      </w:r>
      <w:r>
        <w:rPr>
          <w:rStyle w:val="KeywordTok"/>
          <w:sz w:val="17"/>
        </w:rPr>
        <w:t xml:space="preserve">AS</w:t>
      </w:r>
      <w:r>
        <w:rPr>
          <w:rStyle w:val="NormalTok"/>
          <w:sz w:val="17"/>
        </w:rPr>
        <w:t xml:space="preserve"> (                                        </w:t>
      </w:r>
      <w:r>
        <w:rPr>
          <w:rStyle w:val="CommentTok"/>
          <w:sz w:val="17"/>
        </w:rPr>
        <w:t xml:space="preserve">-- заказ подтверждён в CRM</w:t>
      </w:r>
      <w:r>
        <w:rPr>
          <w:sz w:val="17"/>
        </w:rPr>
        <w:br/>
      </w:r>
      <w:r>
        <w:rPr>
          <w:rStyle w:val="NormalTok"/>
          <w:sz w:val="17"/>
        </w:rPr>
        <w:t xml:space="preserve">  </w:t>
      </w:r>
      <w:r>
        <w:rPr>
          <w:rStyle w:val="KeywordTok"/>
          <w:sz w:val="17"/>
        </w:rPr>
        <w:t xml:space="preserve">SELECT</w:t>
      </w:r>
      <w:r>
        <w:rPr>
          <w:rStyle w:val="NormalTok"/>
          <w:sz w:val="17"/>
        </w:rPr>
        <w:t xml:space="preserve"> e.session_id, </w:t>
      </w:r>
      <w:r>
        <w:rPr>
          <w:rStyle w:val="FunctionTok"/>
          <w:sz w:val="17"/>
        </w:rPr>
        <w:t xml:space="preserve">min</w:t>
      </w:r>
      <w:r>
        <w:rPr>
          <w:rStyle w:val="NormalTok"/>
          <w:sz w:val="17"/>
        </w:rPr>
        <w:t xml:space="preserve">(e.event_ts_utc) </w:t>
      </w:r>
      <w:r>
        <w:rPr>
          <w:rStyle w:val="KeywordTok"/>
          <w:sz w:val="17"/>
        </w:rPr>
        <w:t xml:space="preserve">AS</w:t>
      </w:r>
      <w:r>
        <w:rPr>
          <w:rStyle w:val="NormalTok"/>
          <w:sz w:val="17"/>
        </w:rPr>
        <w:t xml:space="preserve"> t5</w:t>
      </w:r>
      <w:r>
        <w:rPr>
          <w:sz w:val="17"/>
        </w:rPr>
        <w:br/>
      </w:r>
      <w:r>
        <w:rPr>
          <w:rStyle w:val="NormalTok"/>
          <w:sz w:val="17"/>
        </w:rPr>
        <w:t xml:space="preserve">  </w:t>
      </w:r>
      <w:r>
        <w:rPr>
          <w:rStyle w:val="KeywordTok"/>
          <w:sz w:val="17"/>
        </w:rPr>
        <w:t xml:space="preserve">FROM</w:t>
      </w:r>
      <w:r>
        <w:rPr>
          <w:rStyle w:val="NormalTok"/>
          <w:sz w:val="17"/>
        </w:rPr>
        <w:t xml:space="preserve"> silver.</w:t>
      </w:r>
      <w:r>
        <w:rPr>
          <w:rStyle w:val="KeywordTok"/>
          <w:sz w:val="17"/>
        </w:rPr>
        <w:t xml:space="preserve">events</w:t>
      </w:r>
      <w:r>
        <w:rPr>
          <w:rStyle w:val="NormalTok"/>
          <w:sz w:val="17"/>
        </w:rPr>
        <w:t xml:space="preserve"> e</w:t>
      </w:r>
      <w:r>
        <w:rPr>
          <w:sz w:val="17"/>
        </w:rPr>
        <w:br/>
      </w:r>
      <w:r>
        <w:rPr>
          <w:rStyle w:val="NormalTok"/>
          <w:sz w:val="17"/>
        </w:rPr>
        <w:t xml:space="preserve">  </w:t>
      </w:r>
      <w:r>
        <w:rPr>
          <w:rStyle w:val="KeywordTok"/>
          <w:sz w:val="17"/>
        </w:rPr>
        <w:t xml:space="preserve">JOIN</w:t>
      </w:r>
      <w:r>
        <w:rPr>
          <w:rStyle w:val="NormalTok"/>
          <w:sz w:val="17"/>
        </w:rPr>
        <w:t xml:space="preserve"> silver.orders c </w:t>
      </w:r>
      <w:r>
        <w:rPr>
          <w:rStyle w:val="KeywordTok"/>
          <w:sz w:val="17"/>
        </w:rPr>
        <w:t xml:space="preserve">ON</w:t>
      </w:r>
      <w:r>
        <w:rPr>
          <w:rStyle w:val="NormalTok"/>
          <w:sz w:val="17"/>
        </w:rPr>
        <w:t xml:space="preserve"> c.order_id </w:t>
      </w:r>
      <w:r>
        <w:rPr>
          <w:rStyle w:val="OperatorTok"/>
          <w:sz w:val="17"/>
        </w:rPr>
        <w:t xml:space="preserve">=</w:t>
      </w:r>
      <w:r>
        <w:rPr>
          <w:rStyle w:val="NormalTok"/>
          <w:sz w:val="17"/>
        </w:rPr>
        <w:t xml:space="preserve"> e.order_id </w:t>
      </w:r>
      <w:r>
        <w:rPr>
          <w:rStyle w:val="KeywordTok"/>
          <w:sz w:val="17"/>
        </w:rPr>
        <w:t xml:space="preserve">AND</w:t>
      </w:r>
      <w:r>
        <w:rPr>
          <w:rStyle w:val="NormalTok"/>
          <w:sz w:val="17"/>
        </w:rPr>
        <w:t xml:space="preserve"> </w:t>
      </w:r>
      <w:r>
        <w:rPr>
          <w:rStyle w:val="KeywordTok"/>
          <w:sz w:val="17"/>
        </w:rPr>
        <w:t xml:space="preserve">NOT</w:t>
      </w:r>
      <w:r>
        <w:rPr>
          <w:rStyle w:val="NormalTok"/>
          <w:sz w:val="17"/>
        </w:rPr>
        <w:t xml:space="preserve"> c.is_test</w:t>
      </w:r>
      <w:r>
        <w:rPr>
          <w:sz w:val="17"/>
        </w:rPr>
        <w:br/>
      </w:r>
      <w:r>
        <w:rPr>
          <w:rStyle w:val="NormalTok"/>
          <w:sz w:val="17"/>
        </w:rPr>
        <w:t xml:space="preserve">  </w:t>
      </w:r>
      <w:r>
        <w:rPr>
          <w:rStyle w:val="KeywordTok"/>
          <w:sz w:val="17"/>
        </w:rPr>
        <w:t xml:space="preserve">WHERE</w:t>
      </w:r>
      <w:r>
        <w:rPr>
          <w:rStyle w:val="NormalTok"/>
          <w:sz w:val="17"/>
        </w:rPr>
        <w:t xml:space="preserve"> e.event_type </w:t>
      </w:r>
      <w:r>
        <w:rPr>
          <w:rStyle w:val="OperatorTok"/>
          <w:sz w:val="17"/>
        </w:rPr>
        <w:t xml:space="preserve">=</w:t>
      </w:r>
      <w:r>
        <w:rPr>
          <w:rStyle w:val="NormalTok"/>
          <w:sz w:val="17"/>
        </w:rPr>
        <w:t xml:space="preserve"> </w:t>
      </w:r>
      <w:r>
        <w:rPr>
          <w:rStyle w:val="StringTok"/>
          <w:sz w:val="17"/>
        </w:rPr>
        <w:t xml:space="preserve">'purchase'</w:t>
      </w:r>
      <w:r>
        <w:rPr>
          <w:sz w:val="17"/>
        </w:rP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sz w:val="17"/>
        </w:rPr>
        <w:t xml:space="preserve">AND</w:t>
      </w:r>
      <w:r>
        <w:rPr>
          <w:rStyle w:val="NormalTok"/>
          <w:sz w:val="17"/>
        </w:rPr>
        <w:t xml:space="preserve"> e.event_ts_utc </w:t>
      </w:r>
      <w:r>
        <w:rPr>
          <w:rStyle w:val="OperatorTok"/>
          <w:sz w:val="17"/>
        </w:rPr>
        <w:t xml:space="preserve">&gt;=</w:t>
      </w:r>
      <w:r>
        <w:rPr>
          <w:rStyle w:val="NormalTok"/>
          <w:sz w:val="17"/>
        </w:rPr>
        <w:t xml:space="preserve"> </w:t>
      </w:r>
      <w:r>
        <w:rPr>
          <w:rStyle w:val="DataTypeTok"/>
          <w:sz w:val="17"/>
        </w:rPr>
        <w:t xml:space="preserve">TIMESTAMP</w:t>
      </w:r>
      <w:r>
        <w:rPr>
          <w:rStyle w:val="NormalTok"/>
          <w:sz w:val="17"/>
        </w:rPr>
        <w:t xml:space="preserve"> </w:t>
      </w:r>
      <w:r>
        <w:rPr>
          <w:rStyle w:val="StringTok"/>
          <w:sz w:val="17"/>
        </w:rPr>
        <w:t xml:space="preserve">'2026-01-15 00:00:00'</w:t>
      </w:r>
      <w:r>
        <w:rPr>
          <w:sz w:val="17"/>
        </w:rPr>
        <w:br/>
      </w:r>
      <w:r>
        <w:rPr>
          <w:rStyle w:val="NormalTok"/>
          <w:sz w:val="17"/>
        </w:rPr>
        <w:t xml:space="preserve">    </w:t>
      </w:r>
      <w:r>
        <w:rPr>
          <w:rStyle w:val="KeywordTok"/>
          <w:sz w:val="17"/>
        </w:rPr>
        <w:t xml:space="preserve">AND</w:t>
      </w:r>
      <w:r>
        <w:rPr>
          <w:rStyle w:val="NormalTok"/>
          <w:sz w:val="17"/>
        </w:rPr>
        <w:t xml:space="preserve"> e.event_ts_utc </w:t>
      </w:r>
      <w:r>
        <w:rPr>
          <w:rStyle w:val="OperatorTok"/>
          <w:sz w:val="17"/>
        </w:rPr>
        <w:t xml:space="preserve">&lt;</w:t>
      </w:r>
      <w:r>
        <w:rPr>
          <w:rStyle w:val="NormalTok"/>
          <w:sz w:val="17"/>
        </w:rPr>
        <w:t xml:space="preserve">  </w:t>
      </w:r>
      <w:r>
        <w:rPr>
          <w:rStyle w:val="DataTypeTok"/>
          <w:sz w:val="17"/>
        </w:rPr>
        <w:t xml:space="preserve">TIMESTAMP</w:t>
      </w:r>
      <w:r>
        <w:rPr>
          <w:rStyle w:val="NormalTok"/>
          <w:sz w:val="17"/>
        </w:rPr>
        <w:t xml:space="preserve"> </w:t>
      </w:r>
      <w:r>
        <w:rPr>
          <w:rStyle w:val="StringTok"/>
          <w:sz w:val="17"/>
        </w:rPr>
        <w:t xml:space="preserve">'2026-01-16 00:00:00'</w:t>
      </w:r>
      <w:r>
        <w:rPr>
          <w:sz w:val="17"/>
        </w:rPr>
        <w:br/>
      </w:r>
      <w:r>
        <w:rPr>
          <w:rStyle w:val="NormalTok"/>
          <w:sz w:val="17"/>
        </w:rPr>
        <w:t xml:space="preserve">  </w:t>
      </w:r>
      <w:r>
        <w:rPr>
          <w:rStyle w:val="KeywordTok"/>
          <w:sz w:val="17"/>
        </w:rPr>
        <w:t xml:space="preserve">GROUP</w:t>
      </w:r>
      <w:r>
        <w:rPr>
          <w:rStyle w:val="NormalTok"/>
          <w:sz w:val="17"/>
        </w:rPr>
        <w:t xml:space="preserve"> </w:t>
      </w:r>
      <w:r>
        <w:rPr>
          <w:rStyle w:val="KeywordTok"/>
          <w:sz w:val="17"/>
        </w:rPr>
        <w:t xml:space="preserve">BY</w:t>
      </w:r>
      <w:r>
        <w:rPr>
          <w:rStyle w:val="NormalTok"/>
          <w:sz w:val="17"/>
        </w:rPr>
        <w:t xml:space="preserve"> e.session_id</w:t>
      </w:r>
      <w:r>
        <w:rPr>
          <w:sz w:val="17"/>
        </w:rPr>
        <w:br/>
      </w:r>
      <w:r>
        <w:rPr>
          <w:rStyle w:val="NormalTok"/>
          <w:sz w:val="17"/>
        </w:rPr>
        <w:t xml:space="preserve">)</w:t>
      </w:r>
      <w:r>
        <w:rPr>
          <w:sz w:val="17"/>
        </w:rPr>
        <w:br/>
      </w:r>
      <w:r>
        <w:rPr>
          <w:rStyle w:val="KeywordTok"/>
          <w:sz w:val="17"/>
        </w:rPr>
        <w:t xml:space="preserve">SELECT</w:t>
      </w:r>
      <w:r>
        <w:rPr>
          <w:rStyle w:val="NormalTok"/>
          <w:sz w:val="17"/>
        </w:rPr>
        <w:t xml:space="preserve"> count_if(t1 </w:t>
      </w:r>
      <w:r>
        <w:rPr>
          <w:rStyle w:val="KeywordTok"/>
          <w:sz w:val="17"/>
        </w:rPr>
        <w:t xml:space="preserve">IS</w:t>
      </w:r>
      <w:r>
        <w:rPr>
          <w:rStyle w:val="NormalTok"/>
          <w:sz w:val="17"/>
        </w:rPr>
        <w:t xml:space="preserve"> </w:t>
      </w:r>
      <w:r>
        <w:rPr>
          <w:rStyle w:val="KeywordTok"/>
          <w:sz w:val="17"/>
        </w:rPr>
        <w:t xml:space="preserve">NOT</w:t>
      </w:r>
      <w:r>
        <w:rPr>
          <w:rStyle w:val="NormalTok"/>
          <w:sz w:val="17"/>
        </w:rPr>
        <w:t xml:space="preserve"> </w:t>
      </w:r>
      <w:r>
        <w:rPr>
          <w:rStyle w:val="KeywordTok"/>
          <w:sz w:val="17"/>
        </w:rPr>
        <w:t xml:space="preserve">NULL</w:t>
      </w:r>
      <w:r>
        <w:rPr>
          <w:rStyle w:val="NormalTok"/>
          <w:sz w:val="17"/>
        </w:rPr>
        <w:t xml:space="preserve">)                       </w:t>
      </w:r>
      <w:r>
        <w:rPr>
          <w:rStyle w:val="KeywordTok"/>
          <w:sz w:val="17"/>
        </w:rPr>
        <w:t xml:space="preserve">AS</w:t>
      </w:r>
      <w:r>
        <w:rPr>
          <w:rStyle w:val="NormalTok"/>
          <w:sz w:val="17"/>
        </w:rPr>
        <w:t xml:space="preserve"> u1,</w:t>
      </w:r>
      <w:r>
        <w:rPr>
          <w:sz w:val="17"/>
        </w:rPr>
        <w:br/>
      </w:r>
      <w:r>
        <w:rPr>
          <w:rStyle w:val="NormalTok"/>
          <w:sz w:val="17"/>
        </w:rPr>
        <w:t xml:space="preserve">       count_if(t2 </w:t>
      </w:r>
      <w:r>
        <w:rPr>
          <w:rStyle w:val="OperatorTok"/>
          <w:sz w:val="17"/>
        </w:rPr>
        <w:t xml:space="preserve">&gt;</w:t>
      </w:r>
      <w:r>
        <w:rPr>
          <w:rStyle w:val="NormalTok"/>
          <w:sz w:val="17"/>
        </w:rPr>
        <w:t xml:space="preserve"> t1)                              </w:t>
      </w:r>
      <w:r>
        <w:rPr>
          <w:rStyle w:val="KeywordTok"/>
          <w:sz w:val="17"/>
        </w:rPr>
        <w:t xml:space="preserve">AS</w:t>
      </w:r>
      <w:r>
        <w:rPr>
          <w:rStyle w:val="NormalTok"/>
          <w:sz w:val="17"/>
        </w:rPr>
        <w:t xml:space="preserve"> u2,</w:t>
      </w:r>
      <w:r>
        <w:rPr>
          <w:sz w:val="17"/>
        </w:rPr>
        <w:br/>
      </w:r>
      <w:r>
        <w:rPr>
          <w:rStyle w:val="NormalTok"/>
          <w:sz w:val="17"/>
        </w:rPr>
        <w:t xml:space="preserve">       count_if(t3 </w:t>
      </w:r>
      <w:r>
        <w:rPr>
          <w:rStyle w:val="OperatorTok"/>
          <w:sz w:val="17"/>
        </w:rPr>
        <w:t xml:space="preserve">&gt;</w:t>
      </w:r>
      <w:r>
        <w:rPr>
          <w:rStyle w:val="NormalTok"/>
          <w:sz w:val="17"/>
        </w:rPr>
        <w:t xml:space="preserve"> t2 </w:t>
      </w:r>
      <w:r>
        <w:rPr>
          <w:rStyle w:val="KeywordTok"/>
          <w:sz w:val="17"/>
        </w:rPr>
        <w:t xml:space="preserve">AND</w:t>
      </w:r>
      <w:r>
        <w:rPr>
          <w:rStyle w:val="NormalTok"/>
          <w:sz w:val="17"/>
        </w:rPr>
        <w:t xml:space="preserve"> t2 </w:t>
      </w:r>
      <w:r>
        <w:rPr>
          <w:rStyle w:val="OperatorTok"/>
          <w:sz w:val="17"/>
        </w:rPr>
        <w:t xml:space="preserve">&gt;</w:t>
      </w:r>
      <w:r>
        <w:rPr>
          <w:rStyle w:val="NormalTok"/>
          <w:sz w:val="17"/>
        </w:rPr>
        <w:t xml:space="preserve"> t1)                  </w:t>
      </w:r>
      <w:r>
        <w:rPr>
          <w:rStyle w:val="KeywordTok"/>
          <w:sz w:val="17"/>
        </w:rPr>
        <w:t xml:space="preserve">AS</w:t>
      </w:r>
      <w:r>
        <w:rPr>
          <w:rStyle w:val="NormalTok"/>
          <w:sz w:val="17"/>
        </w:rPr>
        <w:t xml:space="preserve"> u3,</w:t>
      </w:r>
      <w:r>
        <w:rPr>
          <w:sz w:val="17"/>
        </w:rPr>
        <w:br/>
      </w:r>
      <w:r>
        <w:rPr>
          <w:rStyle w:val="NormalTok"/>
          <w:sz w:val="17"/>
        </w:rPr>
        <w:t xml:space="preserve">       count_if(t4 </w:t>
      </w:r>
      <w:r>
        <w:rPr>
          <w:rStyle w:val="OperatorTok"/>
          <w:sz w:val="17"/>
        </w:rPr>
        <w:t xml:space="preserve">&gt;</w:t>
      </w:r>
      <w:r>
        <w:rPr>
          <w:rStyle w:val="NormalTok"/>
          <w:sz w:val="17"/>
        </w:rPr>
        <w:t xml:space="preserve"> t3 </w:t>
      </w:r>
      <w:r>
        <w:rPr>
          <w:rStyle w:val="KeywordTok"/>
          <w:sz w:val="17"/>
        </w:rPr>
        <w:t xml:space="preserve">AND</w:t>
      </w:r>
      <w:r>
        <w:rPr>
          <w:rStyle w:val="NormalTok"/>
          <w:sz w:val="17"/>
        </w:rPr>
        <w:t xml:space="preserve"> t3 </w:t>
      </w:r>
      <w:r>
        <w:rPr>
          <w:rStyle w:val="OperatorTok"/>
          <w:sz w:val="17"/>
        </w:rPr>
        <w:t xml:space="preserve">&gt;</w:t>
      </w:r>
      <w:r>
        <w:rPr>
          <w:rStyle w:val="NormalTok"/>
          <w:sz w:val="17"/>
        </w:rPr>
        <w:t xml:space="preserve"> t2 </w:t>
      </w:r>
      <w:r>
        <w:rPr>
          <w:rStyle w:val="KeywordTok"/>
          <w:sz w:val="17"/>
        </w:rPr>
        <w:t xml:space="preserve">AND</w:t>
      </w:r>
      <w:r>
        <w:rPr>
          <w:rStyle w:val="NormalTok"/>
          <w:sz w:val="17"/>
        </w:rPr>
        <w:t xml:space="preserve"> t2 </w:t>
      </w:r>
      <w:r>
        <w:rPr>
          <w:rStyle w:val="OperatorTok"/>
          <w:sz w:val="17"/>
        </w:rPr>
        <w:t xml:space="preserve">&gt;</w:t>
      </w:r>
      <w:r>
        <w:rPr>
          <w:rStyle w:val="NormalTok"/>
          <w:sz w:val="17"/>
        </w:rPr>
        <w:t xml:space="preserve"> t1)      </w:t>
      </w:r>
      <w:r>
        <w:rPr>
          <w:rStyle w:val="KeywordTok"/>
          <w:sz w:val="17"/>
        </w:rPr>
        <w:t xml:space="preserve">AS</w:t>
      </w:r>
      <w:r>
        <w:rPr>
          <w:rStyle w:val="NormalTok"/>
          <w:sz w:val="17"/>
        </w:rPr>
        <w:t xml:space="preserve"> u4,</w:t>
      </w:r>
      <w:r>
        <w:rPr>
          <w:sz w:val="17"/>
        </w:rPr>
        <w:br/>
      </w:r>
      <w:r>
        <w:rPr>
          <w:rStyle w:val="NormalTok"/>
          <w:sz w:val="17"/>
        </w:rPr>
        <w:t xml:space="preserve">       count_if(o.t5 </w:t>
      </w:r>
      <w:r>
        <w:rPr>
          <w:rStyle w:val="OperatorTok"/>
          <w:sz w:val="17"/>
        </w:rPr>
        <w:t xml:space="preserve">&gt;</w:t>
      </w:r>
      <w:r>
        <w:rPr>
          <w:rStyle w:val="NormalTok"/>
          <w:sz w:val="17"/>
        </w:rPr>
        <w:t xml:space="preserve"> t4 </w:t>
      </w:r>
      <w:r>
        <w:rPr>
          <w:rStyle w:val="KeywordTok"/>
          <w:sz w:val="17"/>
        </w:rPr>
        <w:t xml:space="preserve">AND</w:t>
      </w:r>
      <w:r>
        <w:rPr>
          <w:rStyle w:val="NormalTok"/>
          <w:sz w:val="17"/>
        </w:rPr>
        <w:t xml:space="preserve"> t4 </w:t>
      </w:r>
      <w:r>
        <w:rPr>
          <w:rStyle w:val="OperatorTok"/>
          <w:sz w:val="17"/>
        </w:rPr>
        <w:t xml:space="preserve">&gt;</w:t>
      </w:r>
      <w:r>
        <w:rPr>
          <w:rStyle w:val="NormalTok"/>
          <w:sz w:val="17"/>
        </w:rPr>
        <w:t xml:space="preserve"> t3 </w:t>
      </w:r>
      <w:r>
        <w:rPr>
          <w:rStyle w:val="KeywordTok"/>
          <w:sz w:val="17"/>
        </w:rPr>
        <w:t xml:space="preserve">AND</w:t>
      </w:r>
      <w:r>
        <w:rPr>
          <w:rStyle w:val="NormalTok"/>
          <w:sz w:val="17"/>
        </w:rPr>
        <w:t xml:space="preserve"> t3 </w:t>
      </w:r>
      <w:r>
        <w:rPr>
          <w:rStyle w:val="OperatorTok"/>
          <w:sz w:val="17"/>
        </w:rPr>
        <w:t xml:space="preserve">&gt;</w:t>
      </w:r>
      <w:r>
        <w:rPr>
          <w:rStyle w:val="NormalTok"/>
          <w:sz w:val="17"/>
        </w:rPr>
        <w:t xml:space="preserve"> t2 </w:t>
      </w:r>
      <w:r>
        <w:rPr>
          <w:rStyle w:val="KeywordTok"/>
          <w:sz w:val="17"/>
        </w:rPr>
        <w:t xml:space="preserve">AND</w:t>
      </w:r>
      <w:r>
        <w:rPr>
          <w:rStyle w:val="NormalTok"/>
          <w:sz w:val="17"/>
        </w:rPr>
        <w:t xml:space="preserve"> t2 </w:t>
      </w:r>
      <w:r>
        <w:rPr>
          <w:rStyle w:val="OperatorTok"/>
          <w:sz w:val="17"/>
        </w:rPr>
        <w:t xml:space="preserve">&gt;</w:t>
      </w:r>
      <w:r>
        <w:rPr>
          <w:rStyle w:val="NormalTok"/>
          <w:sz w:val="17"/>
        </w:rPr>
        <w:t xml:space="preserve"> t1) </w:t>
      </w:r>
      <w:r>
        <w:rPr>
          <w:rStyle w:val="KeywordTok"/>
          <w:sz w:val="17"/>
        </w:rPr>
        <w:t xml:space="preserve">AS</w:t>
      </w:r>
      <w:r>
        <w:rPr>
          <w:rStyle w:val="NormalTok"/>
          <w:sz w:val="17"/>
        </w:rPr>
        <w:t xml:space="preserve"> u5</w:t>
      </w:r>
      <w:r>
        <w:rPr>
          <w:sz w:val="17"/>
        </w:rPr>
        <w:br/>
      </w:r>
      <w:r>
        <w:rPr>
          <w:rStyle w:val="KeywordTok"/>
          <w:sz w:val="17"/>
        </w:rPr>
        <w:t xml:space="preserve">FROM</w:t>
      </w:r>
      <w:r>
        <w:rPr>
          <w:rStyle w:val="NormalTok"/>
          <w:sz w:val="17"/>
        </w:rPr>
        <w:t xml:space="preserve"> s </w:t>
      </w:r>
      <w:r>
        <w:rPr>
          <w:rStyle w:val="KeywordTok"/>
          <w:sz w:val="17"/>
        </w:rPr>
        <w:t xml:space="preserve">LEFT</w:t>
      </w:r>
      <w:r>
        <w:rPr>
          <w:rStyle w:val="NormalTok"/>
          <w:sz w:val="17"/>
        </w:rPr>
        <w:t xml:space="preserve"> </w:t>
      </w:r>
      <w:r>
        <w:rPr>
          <w:rStyle w:val="KeywordTok"/>
          <w:sz w:val="17"/>
        </w:rPr>
        <w:t xml:space="preserve">JOIN</w:t>
      </w:r>
      <w:r>
        <w:rPr>
          <w:rStyle w:val="NormalTok"/>
          <w:sz w:val="17"/>
        </w:rPr>
        <w:t xml:space="preserve"> o </w:t>
      </w:r>
      <w:r>
        <w:rPr>
          <w:rStyle w:val="KeywordTok"/>
          <w:sz w:val="17"/>
        </w:rPr>
        <w:t xml:space="preserve">USING</w:t>
      </w:r>
      <w:r>
        <w:rPr>
          <w:rStyle w:val="NormalTok"/>
          <w:sz w:val="17"/>
        </w:rPr>
        <w:t xml:space="preserve"> (session_id);</w:t>
      </w:r>
    </w:p>
    <w:p>
      <w:pPr>
        <w:pStyle w:val="FirstParagraph"/>
      </w:pPr>
      <w:r>
        <w:t xml:space="preserve">Конверсии</w:t>
      </w:r>
      <w:r>
        <w:t xml:space="preserve"> </w:t>
      </w:r>
      <m:oMath>
        <m:sSub>
          <m:e>
            <m:r>
              <m:rPr>
                <m:sty m:val="p"/>
              </m:rPr>
              <m:t>CR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→</m:t>
            </m:r>
            <m:r>
              <m:t>k</m:t>
            </m:r>
          </m:sub>
        </m:sSub>
      </m:oMath>
      <w:r>
        <w:t xml:space="preserve"> </w:t>
      </w:r>
      <w:r>
        <w:t xml:space="preserve">затем вычисляются как отношения соседних столбцов и сохраняются в</w:t>
      </w:r>
      <w:r>
        <w:t xml:space="preserve"> </w:t>
      </w:r>
      <w:r>
        <w:rPr>
          <w:rStyle w:val="VerbatimChar"/>
        </w:rPr>
        <w:t xml:space="preserve">gold.funnel_conversion</w:t>
      </w:r>
      <w:r>
        <w:t xml:space="preserve">.</w:t>
      </w:r>
    </w:p>
    <w:bookmarkEnd w:id="55"/>
    <w:bookmarkStart w:id="56" w:name="X9691bb42d1c1b28b582a79a70d0a499affebd08"/>
    <w:p>
      <w:pPr>
        <w:pStyle w:val="Heading2"/>
      </w:pPr>
      <w:r>
        <w:t xml:space="preserve">12.5 Почему важны окна, повторы, идентификаторы и связывание с CRM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Временные окна.</w:t>
      </w:r>
      <w:r>
        <w:t xml:space="preserve"> </w:t>
      </w:r>
      <w:r>
        <w:t xml:space="preserve">Без окна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конверсия зависит от длины периода отчёта: пользователь, начавший путь в конце дня, «не успевает» дойти до заказа. Фиксированное окно делает показатели сопоставимыми между днями и вариантами A/B-теста. Окно также определяет, как учитывать поздние события (watermark и пересчёт последних дней).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Повторные события.</w:t>
      </w:r>
      <w:r>
        <w:t xml:space="preserve"> </w:t>
      </w:r>
      <w:r>
        <w:t xml:space="preserve">Повторная отправка пакета, двойной клик, обновление страницы завышают число событий и этапов. Дедупликация по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и подсчёт этапа один раз на объект анализа (</w:t>
      </w:r>
      <w:r>
        <w:rPr>
          <w:rStyle w:val="VerbatimChar"/>
        </w:rPr>
        <w:t xml:space="preserve">min(event_ts)</w:t>
      </w:r>
      <w:r>
        <w:t xml:space="preserve">) защищают метрики.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Идентификаторы сессий и пользователей.</w:t>
      </w:r>
      <w:r>
        <w:t xml:space="preserve"> </w:t>
      </w:r>
      <w:r>
        <w:t xml:space="preserve">Один человек может иметь несколько</w:t>
      </w:r>
      <w:r>
        <w:t xml:space="preserve"> </w:t>
      </w:r>
      <w:r>
        <w:rPr>
          <w:rStyle w:val="VerbatimChar"/>
        </w:rPr>
        <w:t xml:space="preserve">anonymous_id</w:t>
      </w:r>
      <w:r>
        <w:t xml:space="preserve"> </w:t>
      </w:r>
      <w:r>
        <w:t xml:space="preserve">(разные устройства, очистка cookie), а после входа —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. Без склейки идентификаторов конверсия занижается (заказ «не связан» с визитом), а число уникальных пользователей завышается. Выбор объекта анализа (сессия или пользователь) должен быть явным и единым для всех витрин.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Связывание с CRM.</w:t>
      </w:r>
      <w:r>
        <w:t xml:space="preserve"> </w:t>
      </w:r>
      <w:r>
        <w:t xml:space="preserve">Событие</w:t>
      </w:r>
      <w:r>
        <w:t xml:space="preserve"> </w:t>
      </w:r>
      <w:r>
        <w:rPr>
          <w:rStyle w:val="VerbatimChar"/>
        </w:rPr>
        <w:t xml:space="preserve">purchase</w:t>
      </w:r>
      <w:r>
        <w:t xml:space="preserve"> </w:t>
      </w:r>
      <w:r>
        <w:t xml:space="preserve">в браузере может не отправиться (блокировщики, закрытие вкладки) или отправиться для неоплаченного или отменённого заказа. Источник истины о заказах — CRM; связывание по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 </w:t>
      </w:r>
      <w:r>
        <w:t xml:space="preserve">позволяет учитывать только подтверждённые заказы и корректировать метрики при отменах. Для A/B-тестов это критично: эффект должен измеряться на реальных заказах, а не на клиентских событиях.</w:t>
      </w:r>
    </w:p>
    <w:bookmarkEnd w:id="56"/>
    <w:bookmarkEnd w:id="57"/>
    <w:bookmarkStart w:id="58" w:name="выводы"/>
    <w:p>
      <w:pPr>
        <w:pStyle w:val="Heading1"/>
      </w:pPr>
      <w:r>
        <w:t xml:space="preserve">13. Выводы</w:t>
      </w:r>
    </w:p>
    <w:p>
      <w:pPr>
        <w:numPr>
          <w:ilvl w:val="0"/>
          <w:numId w:val="1010"/>
        </w:numPr>
        <w:pStyle w:val="Compact"/>
      </w:pPr>
      <w:r>
        <w:t xml:space="preserve">Проведено сравнение четырёх архитектурных подходов. Data Warehouse обеспечивает быстрый SQL, но не подходит для хранения сырых JSON-событий и их повторной обработки; Data Lake решает задачу дешёвого хранения, но без ACID и каталога не обеспечивает корректность метрик и быстрый доступ для BI; Data Mesh является организационной моделью и избыточен для задачи одной предметной области.</w:t>
      </w:r>
    </w:p>
    <w:p>
      <w:pPr>
        <w:numPr>
          <w:ilvl w:val="0"/>
          <w:numId w:val="1010"/>
        </w:numPr>
        <w:pStyle w:val="Compact"/>
      </w:pPr>
      <w:r>
        <w:t xml:space="preserve">Для варианта № 2 выбрана архитектура Data Lakehouse с потоковым приёмом: Apache Kafka → Apache Spark Structured Streaming → таблицы Apache Iceberg в S3-совместимом объектном хранилище со слоями Bronze/Silver/Gold, пакетная обработка на Apache Spark под управлением Apache Airflow, доступ через Trino, API метрик и BI-систему Apache Superset. Выбор обусловлен требованиями к объёму (100–300 млн событий/мес.), скорости поступления, полуструктурированному формату, хранению сырых данных, объединению с CRM и A/B-данными и поддержке ML, а не популярностью подхода. Цена решения — более сложная эксплуатация (компактизация, обслуживание снапшотов, каталог).</w:t>
      </w:r>
    </w:p>
    <w:p>
      <w:pPr>
        <w:numPr>
          <w:ilvl w:val="0"/>
          <w:numId w:val="1010"/>
        </w:numPr>
        <w:pStyle w:val="Compact"/>
      </w:pPr>
      <w:r>
        <w:t xml:space="preserve">Спроектированы источники, стратегии приёма (поток для событий и логов, пакет для CRM и A/B), слои хранения, операции обработки и способы потребления; определены обязательные и опциональные технологии и проверена их совместимость.</w:t>
      </w:r>
    </w:p>
    <w:p>
      <w:pPr>
        <w:numPr>
          <w:ilvl w:val="0"/>
          <w:numId w:val="1010"/>
        </w:numPr>
        <w:pStyle w:val="Compact"/>
      </w:pPr>
      <w:r>
        <w:t xml:space="preserve">Построены диаграммы C4 уровней System Context и Container, согласованные с текстом отчёта по названиям компонентов и направлениям потоков.</w:t>
      </w:r>
    </w:p>
    <w:p>
      <w:pPr>
        <w:numPr>
          <w:ilvl w:val="0"/>
          <w:numId w:val="1010"/>
        </w:numPr>
        <w:pStyle w:val="Compact"/>
      </w:pPr>
      <w:r>
        <w:t xml:space="preserve">Описан Data Flow из 10 этапов с обработкой ошибок, повторных событий и возможностью повторной обработки истории; определены метрики воронки, формулы конверсий и сравнения вариантов A/B-тестов, а также условия их корректного расчёта.</w:t>
      </w:r>
    </w:p>
    <w:p>
      <w:pPr>
        <w:pStyle w:val="FirstParagraph"/>
      </w:pPr>
      <w:r>
        <w:t xml:space="preserve">Работа выполнена на уровне архитектурного проектирования; реализация и нагрузочное тестирование системы не проводились, поэтому параметры (размеры событий, пиковая нагрузка, окна дедупликации) требуют уточнения на реальных данных.</w:t>
      </w:r>
    </w:p>
    <w:bookmarkEnd w:id="58"/>
    <w:bookmarkStart w:id="59" w:name="список-использованных-источников"/>
    <w:p>
      <w:pPr>
        <w:pStyle w:val="Heading1"/>
      </w:pPr>
      <w:r>
        <w:t xml:space="preserve">14. Список использованных источников</w:t>
      </w:r>
    </w:p>
    <w:p>
      <w:pPr>
        <w:pStyle w:val="FirstParagraph"/>
        <w:jc w:val="left"/>
      </w:pPr>
      <w:r>
        <w:t xml:space="preserve">Основной источник:</w:t>
      </w:r>
    </w:p>
    <w:p>
      <w:pPr>
        <w:numPr>
          <w:ilvl w:val="0"/>
          <w:numId w:val="1011"/>
        </w:numPr>
        <w:pStyle w:val="Compact"/>
        <w:jc w:val="left"/>
      </w:pPr>
      <w:r>
        <w:t xml:space="preserve">Методические указания к лабораторной работе № 1 «Выбор и обоснование архитектуры системы хранения и обработки данных для бизнес-задачи» / [автор(ы), учебное заведение, год — заполнить по выходным данным методички].</w:t>
      </w:r>
    </w:p>
    <w:p>
      <w:pPr>
        <w:pStyle w:val="FirstParagraph"/>
        <w:jc w:val="left"/>
      </w:pPr>
      <w:r>
        <w:t xml:space="preserve">Дополнительные технические материалы (дата обращения для всех электронных ресурсов — 19.10.2026):</w:t>
      </w:r>
    </w:p>
    <w:p>
      <w:pPr>
        <w:numPr>
          <w:ilvl w:val="0"/>
          <w:numId w:val="1012"/>
        </w:numPr>
        <w:pStyle w:val="Compact"/>
        <w:jc w:val="left"/>
      </w:pPr>
      <w:r>
        <w:t xml:space="preserve">IBM. What Is a Data Warehouse? [Электронный ресурс]. — URL: https://www.ibm.com/think/topics/data-warehouse</w:t>
      </w:r>
    </w:p>
    <w:p>
      <w:pPr>
        <w:numPr>
          <w:ilvl w:val="0"/>
          <w:numId w:val="1012"/>
        </w:numPr>
        <w:pStyle w:val="Compact"/>
        <w:jc w:val="left"/>
      </w:pPr>
      <w:r>
        <w:t xml:space="preserve">IBM. What is Data Ingestion? [Электронный ресурс]. — URL: https://www.ibm.com/think/topics/data-ingestion</w:t>
      </w:r>
    </w:p>
    <w:p>
      <w:pPr>
        <w:numPr>
          <w:ilvl w:val="0"/>
          <w:numId w:val="1012"/>
        </w:numPr>
        <w:pStyle w:val="Compact"/>
        <w:jc w:val="left"/>
      </w:pPr>
      <w:r>
        <w:t xml:space="preserve">IBM. What Is a Data Lake? [Электронный ресурс]. — URL: https://www.ibm.com/think/topics/data-lake</w:t>
      </w:r>
    </w:p>
    <w:p>
      <w:pPr>
        <w:numPr>
          <w:ilvl w:val="0"/>
          <w:numId w:val="1012"/>
        </w:numPr>
        <w:pStyle w:val="Compact"/>
        <w:jc w:val="left"/>
      </w:pPr>
      <w:r>
        <w:t xml:space="preserve">IBM. What Is a Data Lakehouse? [Электронный ресурс]. — URL: https://www.ibm.com/think/topics/data-lakehouse</w:t>
      </w:r>
    </w:p>
    <w:p>
      <w:pPr>
        <w:numPr>
          <w:ilvl w:val="0"/>
          <w:numId w:val="1012"/>
        </w:numPr>
        <w:pStyle w:val="Compact"/>
        <w:jc w:val="left"/>
      </w:pPr>
      <w:r>
        <w:t xml:space="preserve">IBM. What Is a Data Mesh? [Электронный ресурс]. — URL: https://www.ibm.com/think/topics/data-mesh</w:t>
      </w:r>
    </w:p>
    <w:p>
      <w:pPr>
        <w:numPr>
          <w:ilvl w:val="0"/>
          <w:numId w:val="1012"/>
        </w:numPr>
        <w:pStyle w:val="Compact"/>
        <w:jc w:val="left"/>
      </w:pPr>
      <w:r>
        <w:t xml:space="preserve">IBM. OLTP vs. OLAP [Электронный ресурс]. — URL: https://www.ibm.com/think/topics/oltp-vs-olap</w:t>
      </w:r>
    </w:p>
    <w:p>
      <w:pPr>
        <w:numPr>
          <w:ilvl w:val="0"/>
          <w:numId w:val="1012"/>
        </w:numPr>
        <w:pStyle w:val="Compact"/>
        <w:jc w:val="left"/>
      </w:pPr>
      <w:r>
        <w:t xml:space="preserve">Armbrust M., Ghodsi A., Xin R., Zaharia M. Lakehouse: A New Generation of Open Platforms that Unify Data Warehousing and Advanced Analytics // CIDR 2021. — URL: https://www.cidrdb.org/cidr2021/papers/cidr2021_paper17.pdf</w:t>
      </w:r>
    </w:p>
    <w:p>
      <w:pPr>
        <w:numPr>
          <w:ilvl w:val="0"/>
          <w:numId w:val="1012"/>
        </w:numPr>
        <w:pStyle w:val="Compact"/>
        <w:jc w:val="left"/>
      </w:pPr>
      <w:r>
        <w:t xml:space="preserve">Dehghani Z. How to Move Beyond a Monolithic Data Lake to a Distributed Data Mesh [Электронный ресурс]. — martinfowler.com, 2019. — URL: https://martinfowler.com/articles/data-monolith-to-mesh.html</w:t>
      </w:r>
    </w:p>
    <w:p>
      <w:pPr>
        <w:numPr>
          <w:ilvl w:val="0"/>
          <w:numId w:val="1012"/>
        </w:numPr>
        <w:pStyle w:val="Compact"/>
        <w:jc w:val="left"/>
      </w:pPr>
      <w:r>
        <w:t xml:space="preserve">Dehghani Z. Data Mesh Principles and Logical Architecture [Электронный ресурс]. — martinfowler.com, 2020. — URL: https://martinfowler.com/articles/data-mesh-principles.html</w:t>
      </w:r>
    </w:p>
    <w:p>
      <w:pPr>
        <w:numPr>
          <w:ilvl w:val="0"/>
          <w:numId w:val="1012"/>
        </w:numPr>
        <w:pStyle w:val="Compact"/>
        <w:jc w:val="left"/>
      </w:pPr>
      <w:r>
        <w:t xml:space="preserve">Apache Kafka. Documentation [Электронный ресурс]. — URL: https://kafka.apache.org/documentation/</w:t>
      </w:r>
    </w:p>
    <w:p>
      <w:pPr>
        <w:numPr>
          <w:ilvl w:val="0"/>
          <w:numId w:val="1012"/>
        </w:numPr>
        <w:pStyle w:val="Compact"/>
        <w:jc w:val="left"/>
      </w:pPr>
      <w:r>
        <w:t xml:space="preserve">Apache Spark. Structured Streaming Programming Guide [Электронный ресурс]. — URL: https://spark.apache.org/docs/latest/streaming/index.html</w:t>
      </w:r>
    </w:p>
    <w:p>
      <w:pPr>
        <w:numPr>
          <w:ilvl w:val="0"/>
          <w:numId w:val="1012"/>
        </w:numPr>
        <w:pStyle w:val="Compact"/>
        <w:jc w:val="left"/>
      </w:pPr>
      <w:r>
        <w:t xml:space="preserve">Apache Iceberg. Documentation [Электронный ресурс]. — URL: https://iceberg.apache.org/docs/latest/</w:t>
      </w:r>
    </w:p>
    <w:p>
      <w:pPr>
        <w:numPr>
          <w:ilvl w:val="0"/>
          <w:numId w:val="1012"/>
        </w:numPr>
        <w:pStyle w:val="Compact"/>
        <w:jc w:val="left"/>
      </w:pPr>
      <w:r>
        <w:t xml:space="preserve">Apache Iceberg. Table Spec [Электронный ресурс]. — URL: https://iceberg.apache.org/spec/</w:t>
      </w:r>
    </w:p>
    <w:p>
      <w:pPr>
        <w:numPr>
          <w:ilvl w:val="0"/>
          <w:numId w:val="1012"/>
        </w:numPr>
        <w:pStyle w:val="Compact"/>
        <w:jc w:val="left"/>
      </w:pPr>
      <w:r>
        <w:t xml:space="preserve">Apache Iceberg. Spark Structured Streaming [Электронный ресурс]. — URL: https://iceberg.apache.org/docs/latest/spark-structured-streaming/</w:t>
      </w:r>
    </w:p>
    <w:p>
      <w:pPr>
        <w:numPr>
          <w:ilvl w:val="0"/>
          <w:numId w:val="1012"/>
        </w:numPr>
        <w:pStyle w:val="Compact"/>
        <w:jc w:val="left"/>
      </w:pPr>
      <w:r>
        <w:t xml:space="preserve">Delta Lake. Documentation [Электронный ресурс]. — URL: https://docs.delta.io/latest/index.html</w:t>
      </w:r>
    </w:p>
    <w:p>
      <w:pPr>
        <w:numPr>
          <w:ilvl w:val="0"/>
          <w:numId w:val="1012"/>
        </w:numPr>
        <w:pStyle w:val="Compact"/>
        <w:jc w:val="left"/>
      </w:pPr>
      <w:r>
        <w:t xml:space="preserve">Trino. Iceberg connector [Электронный ресурс]. — URL: https://trino.io/docs/current/connector/iceberg.html</w:t>
      </w:r>
    </w:p>
    <w:p>
      <w:pPr>
        <w:numPr>
          <w:ilvl w:val="0"/>
          <w:numId w:val="1012"/>
        </w:numPr>
        <w:pStyle w:val="Compact"/>
        <w:jc w:val="left"/>
      </w:pPr>
      <w:r>
        <w:t xml:space="preserve">Databricks. What is Medallion Architecture? [Электронный ресурс]. — URL: https://www.databricks.com/glossary/medallion-architecture</w:t>
      </w:r>
    </w:p>
    <w:p>
      <w:pPr>
        <w:numPr>
          <w:ilvl w:val="0"/>
          <w:numId w:val="1012"/>
        </w:numPr>
        <w:pStyle w:val="Compact"/>
        <w:jc w:val="left"/>
      </w:pPr>
      <w:r>
        <w:t xml:space="preserve">Fluent Bit. Kafka Producer (output plugin) [Электронный ресурс]. — URL: https://docs.fluentbit.io/manual/pipeline/outputs/kafka</w:t>
      </w:r>
    </w:p>
    <w:p>
      <w:pPr>
        <w:numPr>
          <w:ilvl w:val="0"/>
          <w:numId w:val="1012"/>
        </w:numPr>
        <w:pStyle w:val="Compact"/>
        <w:jc w:val="left"/>
      </w:pPr>
      <w:r>
        <w:t xml:space="preserve">Apache Airflow. Documentation [Электронный ресурс]. — URL: https://airflow.apache.org/docs/apache-airflow/stable/index.html</w:t>
      </w:r>
    </w:p>
    <w:p>
      <w:pPr>
        <w:numPr>
          <w:ilvl w:val="0"/>
          <w:numId w:val="1012"/>
        </w:numPr>
        <w:pStyle w:val="Compact"/>
        <w:jc w:val="left"/>
      </w:pPr>
      <w:r>
        <w:t xml:space="preserve">Apache Superset. Documentation [Электронный ресурс]. — URL: https://superset.apache.org/docs/intro</w:t>
      </w:r>
    </w:p>
    <w:p>
      <w:pPr>
        <w:numPr>
          <w:ilvl w:val="0"/>
          <w:numId w:val="1012"/>
        </w:numPr>
        <w:pStyle w:val="Compact"/>
        <w:jc w:val="left"/>
      </w:pPr>
      <w:r>
        <w:t xml:space="preserve">Brown S. The C4 model for visualising software architecture [Электронный ресурс]. — URL: https://c4model.com/</w:t>
      </w:r>
    </w:p>
    <w:p>
      <w:pPr>
        <w:numPr>
          <w:ilvl w:val="0"/>
          <w:numId w:val="1012"/>
        </w:numPr>
        <w:pStyle w:val="Compact"/>
        <w:jc w:val="left"/>
      </w:pPr>
      <w:r>
        <w:t xml:space="preserve">C4 model. System context diagram [Электронный ресурс]. — URL: https://c4model.com/diagrams/system-context</w:t>
      </w:r>
    </w:p>
    <w:p>
      <w:pPr>
        <w:numPr>
          <w:ilvl w:val="0"/>
          <w:numId w:val="1012"/>
        </w:numPr>
        <w:pStyle w:val="Compact"/>
        <w:jc w:val="left"/>
      </w:pPr>
      <w:r>
        <w:t xml:space="preserve">C4 model. Container diagram [Электронный ресурс]. — URL: https://c4model.com/diagrams/container</w:t>
      </w:r>
    </w:p>
    <w:p>
      <w:pPr>
        <w:numPr>
          <w:ilvl w:val="0"/>
          <w:numId w:val="1012"/>
        </w:numPr>
        <w:pStyle w:val="Compact"/>
        <w:jc w:val="left"/>
      </w:pPr>
      <w:r>
        <w:t xml:space="preserve">C4-PlantUML [Электронный ресурс]. — URL: https://github.com/plantuml-stdlib/C4-PlantUML</w:t>
      </w:r>
    </w:p>
    <w:p>
      <w:pPr>
        <w:numPr>
          <w:ilvl w:val="0"/>
          <w:numId w:val="1012"/>
        </w:numPr>
        <w:pStyle w:val="Compact"/>
        <w:jc w:val="left"/>
      </w:pPr>
      <w:r>
        <w:t xml:space="preserve">PlantUML. Standard Library [Электронный ресурс]. — URL: https://plantuml.com/stdlib</w:t>
      </w:r>
    </w:p>
    <w:p>
      <w:pPr>
        <w:numPr>
          <w:ilvl w:val="0"/>
          <w:numId w:val="1012"/>
        </w:numPr>
        <w:pStyle w:val="Compact"/>
        <w:jc w:val="left"/>
      </w:pPr>
      <w:r>
        <w:t xml:space="preserve">JSON Schema. Specification [Электронный ресурс]. — URL: https://json-schema.org/specification</w:t>
      </w:r>
    </w:p>
    <w:bookmarkEnd w:id="59"/>
    <w:bookmarkStart w:id="60" w:name="X40ceab96410b86bbb3857333febcf86a65efb53"/>
    <w:p>
      <w:pPr>
        <w:pStyle w:val="Heading1"/>
        <w:pageBreakBefore/>
        <w:ind w:firstLine="0"/>
        <w:jc w:val="center"/>
      </w:pPr>
      <w:r>
        <w:t xml:space="preserve">Приложение А. Ответы на контрольные вопросы</w:t>
      </w:r>
    </w:p>
    <w:p>
      <w:pPr>
        <w:pStyle w:val="FirstParagraph"/>
      </w:pPr>
      <w:r>
        <w:rPr>
          <w:bCs/>
          <w:b/>
        </w:rPr>
        <w:t xml:space="preserve">1. В чём принципиальное отличие OLTP от OLAP и почему возникла необходимость их разделения?</w:t>
      </w:r>
      <w:r>
        <w:t xml:space="preserve"> </w:t>
      </w:r>
      <w:r>
        <w:t xml:space="preserve">OLTP (Online Transaction Processing) обслуживает операционную деятельность: множество коротких транзакций чтения и записи отдельных строк (создать заказ, изменить статус), нормализованная схема, требования к согласованности и малой задержке. OLAP (Online Analytical Processing) обслуживает анализ: небольшое число сложных запросов, сканирующих и агрегирующих миллионы строк по историческим данным, денормализованные (звёздные) схемы, колоночное хранение. Совмещение нагрузок приводит к тому, что тяжёлые аналитические запросы блокируют и замедляют транзакции, а нормализованная схема и отсутствие истории неудобны для анализа. Поэтому данные копируют из OLTP в отдельное аналитическое хранилище. В проекте CRM — OLTP-система, поэтому заказы выгружаются из реплики пакетно, а аналитика выполняется в Lakehouse.</w:t>
      </w:r>
    </w:p>
    <w:p>
      <w:pPr>
        <w:pStyle w:val="BodyText"/>
      </w:pPr>
      <w:r>
        <w:rPr>
          <w:bCs/>
          <w:b/>
        </w:rPr>
        <w:t xml:space="preserve">2. Что подразумевается под Schema-on-Write в Data Warehouse и как это влияет на гибкость?</w:t>
      </w:r>
      <w:r>
        <w:t xml:space="preserve"> </w:t>
      </w:r>
      <w:r>
        <w:t xml:space="preserve">Schema-on-Write означает, что структура таблиц (поля, типы, ограничения) определяется до загрузки, а данные приводятся к ней при записи; несоответствующие записи отвергаются. Плюс — качество и предсказуемость данных, высокая скорость запросов. Минус — низкая гибкость: добавление нового поля в событие сайта требует изменения модели, ETL-процессов и, нередко, перезагрузки данных; новые атрибуты, не предусмотренные схемой, теряются. Для clickstream, где фронтенд часто добавляет поля, это существенное ограничение.</w:t>
      </w:r>
    </w:p>
    <w:p>
      <w:pPr>
        <w:pStyle w:val="BodyText"/>
      </w:pPr>
      <w:r>
        <w:rPr>
          <w:bCs/>
          <w:b/>
        </w:rPr>
        <w:t xml:space="preserve">3. Опишите процесс ETL и объясните, почему этап трансформации наиболее ресурсоёмкий.</w:t>
      </w:r>
      <w:r>
        <w:t xml:space="preserve"> </w:t>
      </w:r>
      <w:r>
        <w:t xml:space="preserve">ETL — Extract (извлечение данных из источников), Transform (очистка, приведение типов, дедупликация, объединение источников, расчёт производных показателей, агрегация, приведение к модели хранилища), Load (загрузка в целевое хранилище). Трансформация наиболее ресурсоёмка, потому что требует чтения больших объёмов данных, объединений (join) и группировок с перераспределением данных между узлами (shuffle), сортировок, проверок качества, а также реализации и поддержки сложной бизнес-логики. Извлечение и загрузка же в основном ограничены пропускной способностью ввода-вывода. В проекте трансформации — сессионизация, склейка идентификаторов и связывание с CRM — самые тяжёлые задачи Пакетного обработчика.</w:t>
      </w:r>
    </w:p>
    <w:p>
      <w:pPr>
        <w:pStyle w:val="BodyText"/>
      </w:pPr>
      <w:r>
        <w:rPr>
          <w:bCs/>
          <w:b/>
        </w:rPr>
        <w:t xml:space="preserve">4. Какие ограничения Data Warehouse привели к появлению Data Lake?</w:t>
      </w:r>
      <w:r>
        <w:t xml:space="preserve"> </w:t>
      </w:r>
      <w:r>
        <w:t xml:space="preserve">Рост объёмов и разнообразия данных (логи, JSON, тексты, изображения), высокая стоимость хранения в DWH, жёсткая схема и долгий цикл изменений ETL, невозможность хранить сырые данные «на будущее», связанность хранения и вычислений, неудобство для data science, которому нужны детальные исходные данные. Data Lake предложил дешёвое хранение данных любого типа в исходном виде с Schema-on-Read.</w:t>
      </w:r>
    </w:p>
    <w:p>
      <w:pPr>
        <w:pStyle w:val="BodyText"/>
      </w:pPr>
      <w:r>
        <w:rPr>
          <w:bCs/>
          <w:b/>
        </w:rPr>
        <w:t xml:space="preserve">5. В чём суть Schema-on-Read и какие преимущества она даёт для машинного обучения?</w:t>
      </w:r>
      <w:r>
        <w:t xml:space="preserve"> </w:t>
      </w:r>
      <w:r>
        <w:t xml:space="preserve">Данные сохраняются без предварительного приведения к схеме, а структура применяется в момент чтения конкретным потребителем. Для ML это даёт доступ к полным детальным данным, включая поля, о полезности которых при загрузке ещё не знали; возможность по-разному интерпретировать одни и те же данные для разных моделей; быстрые эксперименты без изменения общей модели хранилища; воспроизводимость обучения на исходных данных. Например, модель прогноза покупки может использовать последовательность сырых событий сессии из Bronze/Silver, которые в витрины Gold не попадают.</w:t>
      </w:r>
    </w:p>
    <w:p>
      <w:pPr>
        <w:pStyle w:val="BodyText"/>
      </w:pPr>
      <w:r>
        <w:rPr>
          <w:bCs/>
          <w:b/>
        </w:rPr>
        <w:t xml:space="preserve">6. Что такое Data Swamp и отсутствие каких механизмов управления приводит к его возникновению?</w:t>
      </w:r>
      <w:r>
        <w:t xml:space="preserve"> </w:t>
      </w:r>
      <w:r>
        <w:t xml:space="preserve">Data Swamp («болото данных») — озеро, в котором данные есть, но ими невозможно надёжно пользоваться: неизвестно, что хранится, откуда получено, насколько актуально и корректно. Причины — отсутствие каталога и метаданных, описания схем и владельцев, контроля качества, отслеживания происхождения (lineage), политик хранения и доступа, стандартов именования. В проекте риск снижается каталогом Iceberg, версионированными схемами событий, слоями Bronze/Silver/Gold и проверками качества.</w:t>
      </w:r>
    </w:p>
    <w:p>
      <w:pPr>
        <w:pStyle w:val="BodyText"/>
      </w:pPr>
      <w:r>
        <w:rPr>
          <w:bCs/>
          <w:b/>
        </w:rPr>
        <w:t xml:space="preserve">7. Каким образом Lakehouse обеспечивает поддержку ACID-транзакций поверх файлов в объектном хранилище?</w:t>
      </w:r>
      <w:r>
        <w:t xml:space="preserve"> </w:t>
      </w:r>
      <w:r>
        <w:t xml:space="preserve">Файлы данных (Parquet) неизменяемы; поверх них табличный формат ведёт слой метаданных. В Iceberg это файл метаданных таблицы (схема, партиционирование, список снапшотов), списки манифестов и манифесты с перечнем файлов данных. Запись создаёт новые файлы данных и новый файл метаданных, а фиксация (commit) — атомарная замена указателя на актуальный файл метаданных в каталоге (операция compare-and-swap). Если два писателя конфликтуют, один из коммитов отклоняется и повторяется (оптимистичная конкуренция). Читатели всегда видят целостный снапшот (изоляция снапшотов); незавершённая запись не видна. Delta Lake достигает того же с помощью упорядоченного журнала транзакций</w:t>
      </w:r>
      <w:r>
        <w:t xml:space="preserve"> </w:t>
      </w:r>
      <w:r>
        <w:rPr>
          <w:rStyle w:val="VerbatimChar"/>
        </w:rPr>
        <w:t xml:space="preserve">_delta_log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8. Какую проблему двойной записи и дублирования решает Lakehouse по сравнению со связкой Data Lake и Data Warehouse?</w:t>
      </w:r>
      <w:r>
        <w:t xml:space="preserve"> </w:t>
      </w:r>
      <w:r>
        <w:t xml:space="preserve">В двухуровневой архитектуре данные сначала пишутся в озеро, затем отдельным ETL копируются в DWH: две копии, два конвейера, дублирование правил трансформации, задержка и рассинхронизация (витрина DWH отличается от данных озера), двойная стоимость хранения, а ML и BI работают с разными версиями данных. Lakehouse хранит одну копию в открытом формате, к которой с транзакционными гарантиями обращаются и BI (через SQL-движок), и ML, и потоковая обработка.</w:t>
      </w:r>
    </w:p>
    <w:p>
      <w:pPr>
        <w:pStyle w:val="BodyText"/>
      </w:pPr>
      <w:r>
        <w:rPr>
          <w:bCs/>
          <w:b/>
        </w:rPr>
        <w:t xml:space="preserve">9. В чём организационное отличие Data Mesh от DWH, Data Lake и Lakehouse?</w:t>
      </w:r>
      <w:r>
        <w:t xml:space="preserve"> </w:t>
      </w:r>
      <w:r>
        <w:t xml:space="preserve">DWH, Data Lake и Lakehouse — технологические архитектуры, которые обычно предполагают централизованную команду данных, владеющую единой платформой и всеми конвейерами. Data Mesh — организационная модель: владение аналитическими данными переносится в доменные команды, которые публикуют свои данные как продукты с гарантированным качеством и интерфейсами; центральная команда предоставляет платформу и стандарты, но не делает всю работу с данными. Технически продукты данных в Mesh могут строиться на Lakehouse.</w:t>
      </w:r>
    </w:p>
    <w:p>
      <w:pPr>
        <w:pStyle w:val="BodyText"/>
      </w:pPr>
      <w:r>
        <w:rPr>
          <w:bCs/>
          <w:b/>
        </w:rPr>
        <w:t xml:space="preserve">10. Раскройте суть федеративного управления и платформы самообслуживания в Data Mesh.</w:t>
      </w:r>
      <w:r>
        <w:t xml:space="preserve"> </w:t>
      </w:r>
      <w:r>
        <w:t xml:space="preserve">Федеративное вычислительное управление — набор глобальных правил (безопасность, приватность, форматы, идентификаторы, стандарты качества и совместимости), которые вырабатывают представители доменов и платформенной команды, а соблюдение автоматизируется средствами платформы («политики как код»); остальные решения домен принимает сам. Платформа самообслуживания — общая инфраструктура (хранилище, обработка, каталог, контроль доступа, мониторинг, шаблоны конвейеров), позволяющая доменным командам создавать и публиковать продукты данных без глубокой инфраструктурной экспертизы и без обращений к центральной команде.</w:t>
      </w:r>
    </w:p>
    <w:p>
      <w:pPr>
        <w:pStyle w:val="BodyText"/>
      </w:pPr>
      <w:r>
        <w:rPr>
          <w:bCs/>
          <w:b/>
        </w:rPr>
        <w:t xml:space="preserve">11. Какие критерии определяют выбор между Batch и Streaming?</w:t>
      </w:r>
      <w:r>
        <w:t xml:space="preserve"> </w:t>
      </w:r>
      <w:r>
        <w:t xml:space="preserve">Требуемая задержка результата (минуты-часы или секунды); характер данных (непрерывный поток событий или периодические выгрузки); частота изменения источника; стоимость и сложность (потоковая обработка дороже в разработке и эксплуатации); требования к точности и полноте (пакет удобнее для точных расчётов и сложных объединений); возможности источника (поддерживает ли он поток, webhook, CDC); нагрузка на источник. В проекте события сайта обрабатываются потоком (непрерывные, нужен оперативный мониторинг), CRM и A/B-платформа — пакетно (меньше изменений, не нужна секундная актуальность, важна нагрузка на CRM).</w:t>
      </w:r>
    </w:p>
    <w:p>
      <w:pPr>
        <w:pStyle w:val="BodyText"/>
      </w:pPr>
      <w:r>
        <w:rPr>
          <w:bCs/>
          <w:b/>
        </w:rPr>
        <w:t xml:space="preserve">12. С какими техническими сложностями сопряжена потоковая обработка по сравнению с пакетной?</w:t>
      </w:r>
      <w:r>
        <w:t xml:space="preserve"> </w:t>
      </w:r>
      <w:r>
        <w:t xml:space="preserve">Обработка событий, пришедших с опозданием или не по порядку (event time vs processing time, watermark); управление состоянием (окна, дедупликация) и его объёмом; семантика доставки (at-least-once, exactly-once) и дубли; отказоустойчивость и восстановление с checkpoint; обратное давление (backpressure) при пиках; эволюция схемы без остановки потока; мелкие файлы при частой записи в хранилище; сложность отладки и тестирования; необходимость постоянного мониторинга задержки потребителей. В проекте эти вопросы решаются watermark и</w:t>
      </w:r>
      <w:r>
        <w:t xml:space="preserve"> </w:t>
      </w:r>
      <w:r>
        <w:rPr>
          <w:rStyle w:val="VerbatimChar"/>
        </w:rPr>
        <w:t xml:space="preserve">dropDuplicatesWithinWatermark</w:t>
      </w:r>
      <w:r>
        <w:t xml:space="preserve">, checkpoint Spark, атомарными коммитами Iceberg, DLQ и компактизацией.</w:t>
      </w:r>
    </w:p>
    <w:p>
      <w:pPr>
        <w:pStyle w:val="BodyText"/>
      </w:pPr>
      <w:r>
        <w:rPr>
          <w:bCs/>
          <w:b/>
        </w:rPr>
        <w:t xml:space="preserve">13. Какова цель диаграммы System Context в модели C4 и какие элементы на ней изображаются?</w:t>
      </w:r>
      <w:r>
        <w:t xml:space="preserve"> </w:t>
      </w:r>
      <w:r>
        <w:t xml:space="preserve">Показать систему «с высоты» как единый блок, её место в окружении: кто ею пользуется и с какими внешними системами она взаимодействует. Диаграмма понятна нетехнической аудитории. Изображаются: проектируемая система (и её граница), люди (роли пользователей), внешние программные системы, связи с подписями о характере взаимодействия и передаваемых данных. Внутренние детали (контейнеры, технологии) на этом уровне не показываются. Пример — рисунок 1.</w:t>
      </w:r>
    </w:p>
    <w:p>
      <w:pPr>
        <w:pStyle w:val="BodyText"/>
      </w:pPr>
      <w:r>
        <w:rPr>
          <w:bCs/>
          <w:b/>
        </w:rPr>
        <w:t xml:space="preserve">14. Что понимается под контейнером на втором уровне C4 и какую информацию он должен раскрывать?</w:t>
      </w:r>
      <w:r>
        <w:t xml:space="preserve"> </w:t>
      </w:r>
      <w:r>
        <w:t xml:space="preserve">Контейнер — отдельно запускаемое или развёртываемое приложение либо хранилище данных, которое должно работать, чтобы работала система: веб-приложение, сервис, база данных, брокер сообщений, файловое хранилище, задача обработки. Это не Docker-контейнер. Для каждого контейнера указываются название, ответственность, технология реализации, а для связей — назначение взаимодействия и протокол/технология. Диаграмма показывает высокоуровневую структуру системы и распределение ответственности. Пример — рисунок 2 и таблица 12.</w:t>
      </w:r>
    </w:p>
    <w:p>
      <w:pPr>
        <w:pStyle w:val="BodyText"/>
      </w:pPr>
      <w:r>
        <w:rPr>
          <w:bCs/>
          <w:b/>
        </w:rPr>
        <w:t xml:space="preserve">15. Какие три ключевые характеристики данных (3V) анализируются при профилировании источников?</w:t>
      </w:r>
      <w:r>
        <w:t xml:space="preserve"> </w:t>
      </w:r>
      <w:r>
        <w:t xml:space="preserve">Volume (объём) — сколько данных поступает и накапливается: 100–300 млн событий в месяц, сотни гигабайт сырых данных в месяц. Velocity (скорость) — с какой интенсивностью и задержкой поступают данные и как быстро нужен результат: непрерывный поток в среднем десятки-сотни событий в секунду с пиками. Variety (разнообразие) — разнообразие форматов и структур: JSON-события и логи с меняющейся схемой, структурированные данные CRM, данные A/B-платформы через API. Анализ 3V определяет выбор механизма приёма, хранилища и режима обработки.</w:t>
      </w:r>
    </w:p>
    <w:bookmarkEnd w:id="60"/>
    <w:sectPr>
      <w:footerReference w:type="default" r:id="rId9"/>
      <w:pgSz w:h="16838" w:w="11906"/>
      <w:pgMar w:bottom="1134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fldChar w:fldCharType="begin" w:dirty="true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styleId="BodyText" w:type="paragraph">
    <w:name w:val="Body Text"/>
    <w:basedOn w:val="Normal"/>
    <w:link w:val="BodyTextChar"/>
    <w:pPr>
      <w:spacing w:after="0" w:before="0" w:line="360" w:lineRule="auto"/>
      <w:ind w:firstLine="709"/>
      <w:jc w:val="both"/>
    </w:pPr>
    <w:qFormat/>
    <w:rPr>
      <w:rFonts w:ascii="Times New Roman" w:cs="Times New Roman" w:eastAsia="Times New Roman" w:hAnsi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0" w:before="0" w:line="360" w:lineRule="auto"/>
    </w:pPr>
    <w:rPr>
      <w:rFonts w:ascii="Times New Roman" w:cs="Times New Roman" w:eastAsia="Times New Roman" w:hAnsi="Times New Roman"/>
      <w:color w:val="000000"/>
      <w:sz w:val="28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val="000000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color w:val="000000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color w:val="000000"/>
      <w:sz w:val="28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color w:val="000000"/>
      <w:sz w:val="28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ind w:firstLine="709"/>
      <w:jc w:val="left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ind w:firstLine="709"/>
      <w:jc w:val="left"/>
      <w:outlineLvl w:val="1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ind w:firstLine="709"/>
      <w:jc w:val="left"/>
      <w:outlineLvl w:val="2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spacing w:after="240"/>
      <w:ind w:firstLine="0"/>
      <w:jc w:val="center"/>
    </w:pPr>
    <w:rPr>
      <w:rFonts w:ascii="Times New Roman" w:cs="Times New Roman" w:eastAsia="Times New Roman" w:hAnsi="Times New Roman"/>
      <w:i w:val="0"/>
      <w:color w:val="000000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ind w:firstLine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pPr>
      <w:spacing w:line="240" w:lineRule="auto"/>
    </w:pPr>
    <w:rPr>
      <w:sz w:val="18"/>
    </w:rPr>
  </w:style>
  <w:style w:customStyle="1" w:styleId="TitlePage" w:type="paragraph">
    <w:name w:val="Title Page"/>
    <w:basedOn w:val="Normal"/>
    <w:pPr>
      <w:spacing w:after="120" w:line="360" w:lineRule="auto"/>
      <w:ind w:firstLine="0" w:left="0"/>
      <w:jc w:val="center"/>
    </w:pPr>
    <w:rPr>
      <w:rFonts w:ascii="Times New Roman" w:cs="Times New Roman" w:eastAsia="Times New Roman" w:hAnsi="Times New Roman"/>
      <w:b w:val="0"/>
      <w:color w:val="000000"/>
      <w:sz w:val="28"/>
    </w:rPr>
  </w:style>
  <w:style w:customStyle="1" w:styleId="TitlePageMain" w:type="paragraph">
    <w:name w:val="Title Page Main"/>
    <w:basedOn w:val="Normal"/>
    <w:pPr>
      <w:spacing w:after="120" w:line="360" w:lineRule="auto"/>
      <w:ind w:firstLine="0" w:left="0"/>
      <w:jc w:val="center"/>
    </w:pPr>
    <w:rPr>
      <w:rFonts w:ascii="Times New Roman" w:cs="Times New Roman" w:eastAsia="Times New Roman" w:hAnsi="Times New Roman"/>
      <w:b/>
      <w:color w:val="000000"/>
      <w:sz w:val="32"/>
    </w:rPr>
  </w:style>
  <w:style w:customStyle="1" w:styleId="TitlePageRight" w:type="paragraph">
    <w:name w:val="Title Page Right"/>
    <w:basedOn w:val="Normal"/>
    <w:pPr>
      <w:spacing w:after="120" w:line="360" w:lineRule="auto"/>
      <w:ind w:firstLine="0" w:left="5102"/>
      <w:jc w:val="left"/>
    </w:pPr>
    <w:rPr>
      <w:rFonts w:ascii="Times New Roman" w:cs="Times New Roman" w:eastAsia="Times New Roman" w:hAnsi="Times New Roman"/>
      <w:b w:val="0"/>
      <w:color w:val="000000"/>
      <w:sz w:val="28"/>
    </w:rPr>
  </w:style>
  <w:style w:customStyle="1" w:styleId="TitlePageBottom" w:type="paragraph">
    <w:name w:val="Title Page Bottom"/>
    <w:basedOn w:val="Normal"/>
    <w:pPr>
      <w:spacing w:after="120" w:line="360" w:lineRule="auto"/>
      <w:ind w:firstLine="0" w:left="0"/>
      <w:jc w:val="center"/>
    </w:pPr>
    <w:rPr>
      <w:rFonts w:ascii="Times New Roman" w:cs="Times New Roman" w:eastAsia="Times New Roman" w:hAnsi="Times New Roman"/>
      <w:b w:val="0"/>
      <w:color w:val="000000"/>
      <w:sz w:val="28"/>
    </w:rPr>
  </w:style>
  <w:style w:type="character" w:customStyle="1" w:styleId="KeywordTok">
    <w:name w:val="KeywordTok"/>
    <w:basedOn w:val="VerbatimChar"/>
    <w:rPr>
      <w:b/>
    </w:rPr>
  </w:style>
  <w:style w:type="character" w:customStyle="1" w:styleId="DataTypeTok">
    <w:name w:val="DataTypeTok"/>
    <w:basedOn w:val="VerbatimChar"/>
    <w:rPr>
      <w:u/>
    </w:rPr>
  </w:style>
  <w:style w:type="character" w:customStyle="1" w:styleId="DecValTok">
    <w:name w:val="DecValTok"/>
    <w:basedOn w:val="VerbatimChar"/>
    <w:rPr/>
  </w:style>
  <w:style w:type="character" w:customStyle="1" w:styleId="BaseNTok">
    <w:name w:val="BaseNTok"/>
    <w:basedOn w:val="VerbatimChar"/>
    <w:rPr/>
  </w:style>
  <w:style w:type="character" w:customStyle="1" w:styleId="FloatTok">
    <w:name w:val="FloatTok"/>
    <w:basedOn w:val="VerbatimChar"/>
    <w:rPr/>
  </w:style>
  <w:style w:type="character" w:customStyle="1" w:styleId="ConstantTok">
    <w:name w:val="ConstantTok"/>
    <w:basedOn w:val="VerbatimChar"/>
    <w:rPr/>
  </w:style>
  <w:style w:type="character" w:customStyle="1" w:styleId="CharTok">
    <w:name w:val="CharTok"/>
    <w:basedOn w:val="VerbatimChar"/>
    <w:rPr/>
  </w:style>
  <w:style w:type="character" w:customStyle="1" w:styleId="SpecialCharTok">
    <w:name w:val="SpecialCharTok"/>
    <w:basedOn w:val="VerbatimChar"/>
    <w:rPr/>
  </w:style>
  <w:style w:type="character" w:customStyle="1" w:styleId="StringTok">
    <w:name w:val="StringTok"/>
    <w:basedOn w:val="VerbatimChar"/>
    <w:rPr/>
  </w:style>
  <w:style w:type="character" w:customStyle="1" w:styleId="VerbatimStringTok">
    <w:name w:val="VerbatimStringTok"/>
    <w:basedOn w:val="VerbatimChar"/>
    <w:rPr/>
  </w:style>
  <w:style w:type="character" w:customStyle="1" w:styleId="SpecialStringTok">
    <w:name w:val="SpecialStringTok"/>
    <w:basedOn w:val="VerbatimChar"/>
    <w:rPr/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i/>
    </w:rPr>
  </w:style>
  <w:style w:type="character" w:customStyle="1" w:styleId="DocumentationTok">
    <w:name w:val="DocumentationTok"/>
    <w:basedOn w:val="VerbatimChar"/>
    <w:rPr>
      <w:i/>
    </w:rPr>
  </w:style>
  <w:style w:type="character" w:customStyle="1" w:styleId="AnnotationTok">
    <w:name w:val="AnnotationTok"/>
    <w:basedOn w:val="VerbatimChar"/>
    <w:rPr>
      <w:i/>
    </w:rPr>
  </w:style>
  <w:style w:type="character" w:customStyle="1" w:styleId="CommentVarTok">
    <w:name w:val="CommentVarTok"/>
    <w:basedOn w:val="VerbatimChar"/>
    <w:rPr>
      <w:i/>
    </w:rPr>
  </w:style>
  <w:style w:type="character" w:customStyle="1" w:styleId="OtherTok">
    <w:name w:val="OtherTok"/>
    <w:basedOn w:val="VerbatimChar"/>
    <w:rPr/>
  </w:style>
  <w:style w:type="character" w:customStyle="1" w:styleId="FunctionTok">
    <w:name w:val="FunctionTok"/>
    <w:basedOn w:val="VerbatimChar"/>
    <w:rPr/>
  </w:style>
  <w:style w:type="character" w:customStyle="1" w:styleId="VariableTok">
    <w:name w:val="VariableTok"/>
    <w:basedOn w:val="VerbatimChar"/>
    <w:rPr/>
  </w:style>
  <w:style w:type="character" w:customStyle="1" w:styleId="ControlFlowTok">
    <w:name w:val="ControlFlowTok"/>
    <w:basedOn w:val="VerbatimChar"/>
    <w:rPr>
      <w:b/>
    </w:rPr>
  </w:style>
  <w:style w:type="character" w:customStyle="1" w:styleId="OperatorTok">
    <w:name w:val="OperatorTok"/>
    <w:basedOn w:val="VerbatimChar"/>
    <w:rPr/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b/>
    </w:rPr>
  </w:style>
  <w:style w:type="character" w:customStyle="1" w:styleId="AttributeTok">
    <w:name w:val="AttributeTok"/>
    <w:basedOn w:val="VerbatimChar"/>
    <w:rPr/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i/>
    </w:rPr>
  </w:style>
  <w:style w:type="character" w:customStyle="1" w:styleId="WarningTok">
    <w:name w:val="WarningTok"/>
    <w:basedOn w:val="VerbatimChar"/>
    <w:rPr>
      <w:i/>
    </w:rPr>
  </w:style>
  <w:style w:type="character" w:customStyle="1" w:styleId="AlertTok">
    <w:name w:val="AlertTok"/>
    <w:basedOn w:val="VerbatimChar"/>
    <w:rPr>
      <w:b/>
    </w:rPr>
  </w:style>
  <w:style w:type="character" w:customStyle="1" w:styleId="ErrorTok">
    <w:name w:val="ErrorTok"/>
    <w:basedOn w:val="VerbatimChar"/>
    <w:rPr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8" Type="http://schemas.openxmlformats.org/officeDocument/2006/relationships/image" Target="media/rId48.png"/><Relationship Id="rId44" Type="http://schemas.openxmlformats.org/officeDocument/2006/relationships/image" Target="media/rId44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1. Архитектура платформы clickstream-аналитики (вариант № 2)</dc:title>
  <dc:creator>[ФИО студента]</dc:creator>
  <cp:keywords/>
  <dcterms:created xsi:type="dcterms:W3CDTF">2026-10-19T17:49:07Z</dcterms:created>
  <dcterms:modified xsi:type="dcterms:W3CDTF">2026-10-19T17:49:07Z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