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40" w:lineRule="auto"/>
        <w:jc w:val="center"/>
      </w:pPr>
      <w:r>
        <w:rPr>
          <w:rFonts w:ascii="Times New Roman" w:hAnsi="Times New Roman"/>
          <w:i/>
          <w:color w:val="000000"/>
          <w:sz w:val="24"/>
        </w:rPr>
        <w:t>A project report on</w:t>
      </w:r>
    </w:p>
    <w:p>
      <w:pPr>
        <w:spacing w:before="0" w:after="400" w:line="276" w:lineRule="auto"/>
        <w:jc w:val="center"/>
      </w:pPr>
      <w:r>
        <w:rPr>
          <w:rFonts w:ascii="Times New Roman" w:hAnsi="Times New Roman"/>
          <w:b/>
          <w:color w:val="000000"/>
          <w:sz w:val="40"/>
        </w:rPr>
        <w:t>PATENTIQ: EVIDENCE-BASED AI PATENT READINESS ASSESSMENT SYSTEM</w:t>
      </w:r>
    </w:p>
    <w:p>
      <w:pPr>
        <w:spacing w:before="120" w:after="200" w:line="240" w:lineRule="auto"/>
        <w:jc w:val="center"/>
      </w:pPr>
      <w:r>
        <w:rPr>
          <w:rFonts w:ascii="Times New Roman" w:hAnsi="Times New Roman"/>
          <w:i/>
          <w:color w:val="000000"/>
          <w:sz w:val="28"/>
        </w:rPr>
        <w:t>Submitted in partial fulfillment for the award of the degree of</w:t>
      </w:r>
    </w:p>
    <w:p>
      <w:pPr>
        <w:spacing w:before="0" w:after="360" w:line="276" w:lineRule="auto"/>
        <w:jc w:val="center"/>
      </w:pPr>
      <w:r>
        <w:rPr>
          <w:rFonts w:ascii="Times New Roman" w:hAnsi="Times New Roman"/>
          <w:b/>
          <w:color w:val="000000"/>
          <w:sz w:val="36"/>
        </w:rPr>
        <w:t>Bachelor of Technology in Computer Science and Engineering with Specialization in Data Science</w:t>
      </w:r>
    </w:p>
    <w:p>
      <w:pPr>
        <w:spacing w:before="0" w:after="200" w:line="240" w:lineRule="auto"/>
        <w:jc w:val="center"/>
      </w:pPr>
      <w:r>
        <w:rPr>
          <w:rFonts w:ascii="Times New Roman" w:hAnsi="Times New Roman"/>
          <w:i/>
          <w:color w:val="000000"/>
          <w:sz w:val="28"/>
        </w:rPr>
        <w:t>by</w:t>
      </w:r>
    </w:p>
    <w:p>
      <w:pPr>
        <w:spacing w:before="0" w:after="400" w:line="288" w:lineRule="auto"/>
        <w:jc w:val="center"/>
      </w:pPr>
      <w:r>
        <w:rPr>
          <w:rFonts w:ascii="Times New Roman" w:hAnsi="Times New Roman"/>
          <w:b/>
          <w:color w:val="000000"/>
          <w:sz w:val="30"/>
        </w:rPr>
        <w:t>N. GAGAN KARTHIK (23BDS1100)</w:t>
        <w:br/>
      </w:r>
      <w:r>
        <w:rPr>
          <w:rFonts w:ascii="Times New Roman" w:hAnsi="Times New Roman"/>
          <w:b/>
          <w:color w:val="000000"/>
          <w:sz w:val="30"/>
        </w:rPr>
        <w:t>K. BHARATH (23BDS1033)</w:t>
        <w:br/>
      </w:r>
      <w:r>
        <w:rPr>
          <w:rFonts w:ascii="Times New Roman" w:hAnsi="Times New Roman"/>
          <w:b/>
          <w:color w:val="000000"/>
          <w:sz w:val="30"/>
        </w:rPr>
        <w:t>P. SRUJAN (23BCE1111)</w:t>
      </w:r>
    </w:p>
    <w:p>
      <w:pPr>
        <w:spacing w:before="160" w:after="280"/>
        <w:jc w:val="center"/>
      </w:pPr>
      <w:r>
        <w:drawing>
          <wp:inline xmlns:a="http://schemas.openxmlformats.org/drawingml/2006/main" xmlns:pic="http://schemas.openxmlformats.org/drawingml/2006/picture">
            <wp:extent cx="4140000" cy="1380000"/>
            <wp:docPr id="1" name="Picture 1"/>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4140000" cy="1380000"/>
                    </a:xfrm>
                    <a:prstGeom prst="rect"/>
                  </pic:spPr>
                </pic:pic>
              </a:graphicData>
            </a:graphic>
          </wp:inline>
        </w:drawing>
      </w:r>
    </w:p>
    <w:p>
      <w:pPr>
        <w:spacing w:before="0" w:after="120" w:line="276" w:lineRule="auto"/>
        <w:jc w:val="center"/>
      </w:pPr>
      <w:r>
        <w:rPr>
          <w:rFonts w:ascii="Times New Roman" w:hAnsi="Times New Roman"/>
          <w:b/>
          <w:color w:val="000000"/>
          <w:sz w:val="30"/>
        </w:rPr>
        <w:t>SCHOOL OF COMPUTER SCIENCE AND ENGINEERING</w:t>
        <w:br/>
        <w:t>VELLORE INSTITUTE OF TECHNOLOGY, CHENNAI</w:t>
      </w:r>
    </w:p>
    <w:p>
      <w:pPr>
        <w:spacing w:before="0" w:after="0" w:line="240" w:lineRule="auto"/>
        <w:jc w:val="center"/>
      </w:pPr>
      <w:r>
        <w:rPr>
          <w:rFonts w:ascii="Times New Roman" w:hAnsi="Times New Roman"/>
          <w:b/>
          <w:color w:val="000000"/>
          <w:sz w:val="24"/>
        </w:rPr>
        <w:t>MAY, 2026</w:t>
      </w:r>
    </w:p>
    <w:p>
      <w:pPr>
        <w:sectPr>
          <w:headerReference w:type="default" r:id="rId9"/>
          <w:footerReference w:type="default" r:id="rId10"/>
          <w:pgSz w:w="11906" w:h="16838"/>
          <w:pgMar w:top="1440" w:right="1440" w:bottom="1440" w:left="2160" w:header="720" w:footer="720" w:gutter="0"/>
          <w:cols w:space="720"/>
          <w:docGrid w:linePitch="360"/>
        </w:sectPr>
      </w:pPr>
    </w:p>
    <w:p>
      <w:pPr>
        <w:spacing w:before="240" w:after="360" w:line="240" w:lineRule="auto"/>
        <w:jc w:val="center"/>
      </w:pPr>
      <w:r>
        <w:rPr>
          <w:rFonts w:ascii="Times New Roman" w:hAnsi="Times New Roman"/>
          <w:i/>
          <w:color w:val="000000"/>
          <w:sz w:val="24"/>
        </w:rPr>
        <w:t>A project report on</w:t>
      </w:r>
    </w:p>
    <w:p>
      <w:pPr>
        <w:spacing w:before="0" w:after="400" w:line="276" w:lineRule="auto"/>
        <w:jc w:val="center"/>
      </w:pPr>
      <w:r>
        <w:rPr>
          <w:rFonts w:ascii="Times New Roman" w:hAnsi="Times New Roman"/>
          <w:b/>
          <w:color w:val="000000"/>
          <w:sz w:val="40"/>
        </w:rPr>
        <w:t>PATENTIQ: EVIDENCE-BASED AI PATENT READINESS ASSESSMENT SYSTEM</w:t>
      </w:r>
    </w:p>
    <w:p>
      <w:pPr>
        <w:spacing w:before="120" w:after="200" w:line="240" w:lineRule="auto"/>
        <w:jc w:val="center"/>
      </w:pPr>
      <w:r>
        <w:rPr>
          <w:rFonts w:ascii="Times New Roman" w:hAnsi="Times New Roman"/>
          <w:i/>
          <w:color w:val="000000"/>
          <w:sz w:val="28"/>
        </w:rPr>
        <w:t>Submitted in partial fulfillment for the award of the degree of</w:t>
      </w:r>
    </w:p>
    <w:p>
      <w:pPr>
        <w:spacing w:before="0" w:after="360" w:line="276" w:lineRule="auto"/>
        <w:jc w:val="center"/>
      </w:pPr>
      <w:r>
        <w:rPr>
          <w:rFonts w:ascii="Times New Roman" w:hAnsi="Times New Roman"/>
          <w:b/>
          <w:color w:val="000000"/>
          <w:sz w:val="36"/>
        </w:rPr>
        <w:t>Bachelor of Technology in Computer Science and Engineering with Specialization in Data Science</w:t>
      </w:r>
    </w:p>
    <w:p>
      <w:pPr>
        <w:spacing w:before="0" w:after="200" w:line="240" w:lineRule="auto"/>
        <w:jc w:val="center"/>
      </w:pPr>
      <w:r>
        <w:rPr>
          <w:rFonts w:ascii="Times New Roman" w:hAnsi="Times New Roman"/>
          <w:i/>
          <w:color w:val="000000"/>
          <w:sz w:val="28"/>
        </w:rPr>
        <w:t>by</w:t>
      </w:r>
    </w:p>
    <w:p>
      <w:pPr>
        <w:spacing w:before="0" w:after="400" w:line="288" w:lineRule="auto"/>
        <w:jc w:val="center"/>
      </w:pPr>
      <w:r>
        <w:rPr>
          <w:rFonts w:ascii="Times New Roman" w:hAnsi="Times New Roman"/>
          <w:b/>
          <w:color w:val="000000"/>
          <w:sz w:val="30"/>
        </w:rPr>
        <w:t>N. GAGAN KARTHIK (23BDS1100)</w:t>
        <w:br/>
      </w:r>
      <w:r>
        <w:rPr>
          <w:rFonts w:ascii="Times New Roman" w:hAnsi="Times New Roman"/>
          <w:b/>
          <w:color w:val="000000"/>
          <w:sz w:val="30"/>
        </w:rPr>
        <w:t>K. BHARATH (23BDS1033)</w:t>
        <w:br/>
      </w:r>
      <w:r>
        <w:rPr>
          <w:rFonts w:ascii="Times New Roman" w:hAnsi="Times New Roman"/>
          <w:b/>
          <w:color w:val="000000"/>
          <w:sz w:val="30"/>
        </w:rPr>
        <w:t>P. SRUJAN (23BCE1111)</w:t>
      </w:r>
    </w:p>
    <w:p>
      <w:pPr>
        <w:spacing w:before="160" w:after="280"/>
        <w:jc w:val="center"/>
      </w:pPr>
      <w:r>
        <w:drawing>
          <wp:inline xmlns:a="http://schemas.openxmlformats.org/drawingml/2006/main" xmlns:pic="http://schemas.openxmlformats.org/drawingml/2006/picture">
            <wp:extent cx="4140000" cy="1380000"/>
            <wp:docPr id="2" name="Picture 2"/>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4140000" cy="1380000"/>
                    </a:xfrm>
                    <a:prstGeom prst="rect"/>
                  </pic:spPr>
                </pic:pic>
              </a:graphicData>
            </a:graphic>
          </wp:inline>
        </w:drawing>
      </w:r>
    </w:p>
    <w:p>
      <w:pPr>
        <w:spacing w:before="0" w:after="120" w:line="276" w:lineRule="auto"/>
        <w:jc w:val="center"/>
      </w:pPr>
      <w:r>
        <w:rPr>
          <w:rFonts w:ascii="Times New Roman" w:hAnsi="Times New Roman"/>
          <w:b/>
          <w:color w:val="000000"/>
          <w:sz w:val="30"/>
        </w:rPr>
        <w:t>SCHOOL OF COMPUTER SCIENCE AND ENGINEERING</w:t>
        <w:br/>
        <w:t>VELLORE INSTITUTE OF TECHNOLOGY, CHENNAI</w:t>
      </w:r>
    </w:p>
    <w:p>
      <w:pPr>
        <w:spacing w:before="0" w:after="0" w:line="240" w:lineRule="auto"/>
        <w:jc w:val="center"/>
      </w:pPr>
      <w:r>
        <w:rPr>
          <w:rFonts w:ascii="Times New Roman" w:hAnsi="Times New Roman"/>
          <w:b/>
          <w:color w:val="000000"/>
          <w:sz w:val="24"/>
        </w:rPr>
        <w:t>MAY, 2026</w:t>
      </w:r>
    </w:p>
    <w:p>
      <w:pPr>
        <w:sectPr>
          <w:headerReference w:type="default" r:id="rId12"/>
          <w:footerReference w:type="default" r:id="rId13"/>
          <w:pgSz w:w="11906" w:h="16838"/>
          <w:pgMar w:top="1440" w:right="1440" w:bottom="1440" w:left="2160" w:header="720" w:footer="720" w:gutter="0"/>
          <w:cols w:space="720"/>
          <w:docGrid w:linePitch="360"/>
        </w:sectPr>
      </w:pPr>
    </w:p>
    <w:p>
      <w:pPr>
        <w:spacing w:before="240" w:after="280"/>
        <w:jc w:val="center"/>
      </w:pPr>
      <w:r>
        <w:drawing>
          <wp:inline xmlns:a="http://schemas.openxmlformats.org/drawingml/2006/main" xmlns:pic="http://schemas.openxmlformats.org/drawingml/2006/picture">
            <wp:extent cx="3780000" cy="1260000"/>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3780000" cy="1260000"/>
                    </a:xfrm>
                    <a:prstGeom prst="rect"/>
                  </pic:spPr>
                </pic:pic>
              </a:graphicData>
            </a:graphic>
          </wp:inline>
        </w:drawing>
      </w:r>
    </w:p>
    <w:p>
      <w:pPr>
        <w:spacing w:before="200" w:after="480"/>
        <w:jc w:val="center"/>
      </w:pPr>
      <w:r>
        <w:rPr>
          <w:rFonts w:ascii="Times New Roman" w:hAnsi="Times New Roman"/>
          <w:b/>
          <w:color w:val="000000"/>
          <w:sz w:val="28"/>
          <w:u w:val="single"/>
        </w:rPr>
        <w:t>DECLARATION</w:t>
      </w:r>
    </w:p>
    <w:p>
      <w:pPr>
        <w:spacing w:line="360" w:lineRule="auto" w:after="280"/>
        <w:jc w:val="both"/>
      </w:pPr>
      <w:r>
        <w:rPr>
          <w:rFonts w:ascii="Times New Roman" w:hAnsi="Times New Roman"/>
          <w:sz w:val="24"/>
        </w:rPr>
        <w:t>I hereby declare that the thesis entitled “PATENTIQ: EVIDENCE-BASED AI PATENT READINESS ASSESSMENT SYSTEM” submitted by N. GAGAN KARTHIK (REGISTER NO: 23BDS1100), for the award of the degree of Bachelor of Technology in Computer Science and Engineering with Specialization in Data Science, Vellore Institute of Technology, Chennai is a record of bonafide work carried out by me under the supervision of [Dr./Prof. Guide Name], School of Computer Science and Engineering.</w:t>
      </w:r>
    </w:p>
    <w:p>
      <w:pPr>
        <w:spacing w:line="360" w:lineRule="auto" w:after="80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line="312" w:lineRule="auto" w:after="0"/>
        <w:jc w:val="left"/>
      </w:pPr>
      <w:r>
        <w:rPr>
          <w:rFonts w:ascii="Times New Roman" w:hAnsi="Times New Roman"/>
          <w:b/>
          <w:sz w:val="24"/>
        </w:rPr>
        <w:t>Place: Chennai</w:t>
        <w:br/>
        <w:t>Date:  [Date]</w:t>
        <w:br/>
        <w:br/>
        <w:br/>
        <w:br/>
        <w:t>________________________________________</w:t>
        <w:br/>
        <w:t>Signature of the Candidate</w:t>
        <w:br/>
        <w:t>N. GAGAN KARTHIK (23BDS1100)</w:t>
      </w:r>
    </w:p>
    <w:p>
      <w:pPr>
        <w:sectPr>
          <w:headerReference w:type="default" r:id="rId14"/>
          <w:footerReference w:type="default" r:id="rId15"/>
          <w:pgSz w:w="11906" w:h="16838"/>
          <w:pgMar w:top="1440" w:right="1440" w:bottom="1440" w:left="2160" w:header="720" w:footer="720" w:gutter="0"/>
          <w:cols w:space="720"/>
          <w:docGrid w:linePitch="360"/>
        </w:sectPr>
      </w:pPr>
    </w:p>
    <w:p>
      <w:pPr>
        <w:spacing w:before="160" w:after="160"/>
        <w:jc w:val="center"/>
      </w:pPr>
      <w:r>
        <w:drawing>
          <wp:inline xmlns:a="http://schemas.openxmlformats.org/drawingml/2006/main" xmlns:pic="http://schemas.openxmlformats.org/drawingml/2006/picture">
            <wp:extent cx="3780000" cy="1260000"/>
            <wp:docPr id="4" name="Picture 4"/>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3780000" cy="1260000"/>
                    </a:xfrm>
                    <a:prstGeom prst="rect"/>
                  </pic:spPr>
                </pic:pic>
              </a:graphicData>
            </a:graphic>
          </wp:inline>
        </w:drawing>
      </w:r>
    </w:p>
    <w:p>
      <w:pPr>
        <w:spacing w:before="0" w:after="120"/>
        <w:jc w:val="center"/>
      </w:pPr>
      <w:r>
        <w:rPr>
          <w:rFonts w:ascii="Times New Roman" w:hAnsi="Times New Roman"/>
          <w:b/>
          <w:sz w:val="26"/>
        </w:rPr>
        <w:t>School of Computer Science and Engineering</w:t>
      </w:r>
    </w:p>
    <w:p>
      <w:pPr>
        <w:spacing w:before="0" w:after="320"/>
        <w:jc w:val="center"/>
      </w:pPr>
      <w:r>
        <w:rPr>
          <w:rFonts w:ascii="Times New Roman" w:hAnsi="Times New Roman"/>
          <w:b/>
          <w:sz w:val="28"/>
          <w:u w:val="single"/>
        </w:rPr>
        <w:t>CERTIFICATE</w:t>
      </w:r>
    </w:p>
    <w:p>
      <w:pPr>
        <w:spacing w:line="336" w:lineRule="auto" w:after="400"/>
        <w:jc w:val="both"/>
      </w:pPr>
      <w:r>
        <w:rPr>
          <w:rFonts w:ascii="Times New Roman" w:hAnsi="Times New Roman"/>
          <w:sz w:val="23"/>
        </w:rPr>
        <w:t>This is to certify that the report entitled “PATENTIQ: EVIDENCE-BASED AI PATENT READINESS ASSESSMENT SYSTEM” is prepared and submitted by N. GAGAN KARTHIK (Reg. No. 23BDS1100) to Vellore Institute of Technology, Chennai, in partial fulfillment of the requirement for the award of the degree of Bachelor of Technology in Computer Science and Engineering with Specialization in Data Science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line="288" w:lineRule="auto" w:after="320"/>
      </w:pPr>
      <w:r>
        <w:rPr>
          <w:rFonts w:ascii="Times New Roman" w:hAnsi="Times New Roman"/>
          <w:sz w:val="22"/>
        </w:rPr>
        <w:t>Signature of the Guide: _________________________________</w:t>
        <w:br/>
        <w:t>Name: [Dr./Prof. Guide Name], [Designation]</w:t>
        <w:br/>
        <w:t>School of Computer Science and Engineering</w:t>
        <w:br/>
        <w:t>Date: [Date]</w:t>
      </w:r>
    </w:p>
    <w:p>
      <w:pPr>
        <w:spacing w:line="288" w:lineRule="auto" w:after="320"/>
      </w:pPr>
      <w:r>
        <w:rPr>
          <w:rFonts w:ascii="Times New Roman" w:hAnsi="Times New Roman"/>
          <w:sz w:val="20"/>
        </w:rPr>
        <w:t>Signature of Internal Examiner: _______________________      Signature of External Examiner: _______________________</w:t>
        <w:br/>
        <w:t>Name: [Internal Examiner Name]                                Name: [External Examiner Name]</w:t>
        <w:br/>
        <w:t>Date: [Date]                                                 Date: [Date]</w:t>
      </w:r>
    </w:p>
    <w:p>
      <w:pPr>
        <w:spacing w:line="288" w:lineRule="auto" w:after="0"/>
        <w:jc w:val="center"/>
      </w:pPr>
      <w:r>
        <w:rPr>
          <w:rFonts w:ascii="Times New Roman" w:hAnsi="Times New Roman"/>
          <w:b/>
          <w:sz w:val="22"/>
        </w:rPr>
        <w:t>Approved by the Head of the Department</w:t>
        <w:br/>
        <w:t>B.Tech Computer Science and Engineering (Data Science)</w:t>
        <w:br/>
        <w:br/>
        <w:br/>
        <w:t>Name: [Dr./Prof. HoD Name]</w:t>
        <w:br/>
        <w:t>Date: [Date]</w:t>
        <w:br/>
        <w:t>(Seal of the School of Computer Science and Engineering)</w:t>
      </w:r>
    </w:p>
    <w:p>
      <w:pPr>
        <w:sectPr>
          <w:headerReference w:type="default" r:id="rId16"/>
          <w:footerReference w:type="default" r:id="rId17"/>
          <w:pgSz w:w="11906" w:h="16838"/>
          <w:pgMar w:top="1440" w:right="1440" w:bottom="1440" w:left="2160" w:header="720" w:footer="720" w:gutter="0"/>
          <w:cols w:space="720"/>
          <w:docGrid w:linePitch="360"/>
        </w:sectPr>
      </w:pPr>
    </w:p>
    <w:p>
      <w:pPr>
        <w:spacing w:before="320" w:after="360"/>
        <w:jc w:val="center"/>
      </w:pPr>
      <w:r>
        <w:rPr>
          <w:rFonts w:ascii="Times New Roman" w:hAnsi="Times New Roman"/>
          <w:b/>
          <w:sz w:val="28"/>
          <w:u w:val="single"/>
        </w:rPr>
        <w:t>ABSTRACT</w:t>
      </w:r>
    </w:p>
    <w:p>
      <w:pPr>
        <w:spacing w:line="360" w:lineRule="auto" w:after="160"/>
        <w:jc w:val="both"/>
      </w:pPr>
      <w:r>
        <w:rPr>
          <w:rFonts w:ascii="Times New Roman" w:hAnsi="Times New Roman"/>
          <w:sz w:val="24"/>
        </w:rPr>
        <w:t>Early-stage patent screening represents a critical yet structurally bottlenecked challenge for academic researchers, university technology transfer offices (TTOs), independent inventors, and student innovators. While intellectual property creation is accelerating globally, conventional patent analysis workflows remain bifurcated between expensive manual legal audits and simplistic keyword-based or generic similarity searches. Commercial generative language model tools offer accessible natural language summaries, but suffer from catastrophic legal and technical unreliability, including ungrounded hallucinations, opaque holistic scoring, and a profound inability to provide verifiable passage-level evidence chains. To resolve this dilemma, this thesis presents PatentIQ, an Evidence-Based Artificial Intelligence Patent Readiness Assessment System. Designed around the strict operational maxim “Algorithms calculate. Evidence supports. Gemini explains.”, PatentIQ establishes a transparent, reproducible, and explainable decision-support pipeline for pre-filing technical invention evaluation.</w:t>
      </w:r>
    </w:p>
    <w:p>
      <w:pPr>
        <w:spacing w:line="360" w:lineRule="auto" w:after="160"/>
        <w:jc w:val="both"/>
      </w:pPr>
      <w:r>
        <w:rPr>
          <w:rFonts w:ascii="Times New Roman" w:hAnsi="Times New Roman"/>
          <w:sz w:val="24"/>
        </w:rPr>
        <w:t>The PatentIQ technical architecture deconstructs uploaded invention documents (PDF, DOCX, or text) into granular technical features across four structured categories: core problems, constituent technical components, operational mechanisms, and technical effects. For each decomposed feature, PatentIQ executes a dual-channel hybrid prior-art retrieval protocol that couples sparse lexical matching (Okapi BM25) with dense semantic vector representations (BAAI/bge-base-en-v1.5 embeddings indexed within a dedicated Qdrant vector database). The heterogeneous candidate rankings are fused using Reciprocal Rank Fusion (RRF, k=60) and subsequently refined through a cross-encoder neural reranker (BAAI/bge-reranker-base) that models deep bidirectional query-passage interactions. PatentIQ maps each feature against retrieved passages using a five-tiered severity vocabulary (direct match, partial match, contextual match, weak match, and no material match), synthesizing the findings into a two-dimensional Feature-to-Prior-Art Evidence Matrix. Unlike superficial chatbots that treat any retrieved document as prior art, PatentIQ strictly distinguishes material overlap (direct and partial matches) from contextual or weak background disclosures.</w:t>
      </w:r>
    </w:p>
    <w:p>
      <w:pPr>
        <w:spacing w:line="360" w:lineRule="auto" w:after="160"/>
        <w:jc w:val="both"/>
      </w:pPr>
      <w:r>
        <w:rPr>
          <w:rFonts w:ascii="Times New Roman" w:hAnsi="Times New Roman"/>
          <w:sz w:val="24"/>
        </w:rPr>
        <w:t>Based on this empirical matrix, the Evidence-Based Patent Readiness Engine (EB-PRE) deterministically computes readiness scores across six calibrated dimensions: Feature Novelty (30%), Prior-Art Overlap Density (20%), Technical Differentiation Ratio (20%), Innovation Characteristics (15%), Documentation Quality &amp; Completeness (10%), and Commercial &amp; Industrial Potential (5%). EB-PRE rigorously decouples the aggregated readiness score from an independent assessment confidence score, flagging specific uncertainties such as unsearched feature spaces or narrow corpus scope. Grounded explanations are generated using Gemini 2.5 Pro under strict prompt guardrails that forbid hallucinating scores, accompanied by an automatic deterministic fallback mode on API quota exhaustion. All relational entities, features, evidence items, and generated reports are persisted in Supabase PostgreSQL under strict Row Level Security (RLS). Comprehensive evaluation verifies 199 passing backend automated test suites (with long-running inference isolated) and 16/16 schema compatibility tests, validating PatentIQ as a robust, legally defensive, and transformative decision-support system.</w:t>
      </w:r>
    </w:p>
    <w:p>
      <w:r>
        <w:br w:type="page"/>
      </w:r>
    </w:p>
    <w:p>
      <w:pPr>
        <w:spacing w:before="320" w:after="360"/>
        <w:jc w:val="center"/>
      </w:pPr>
      <w:r>
        <w:rPr>
          <w:rFonts w:ascii="Times New Roman" w:hAnsi="Times New Roman"/>
          <w:b/>
          <w:sz w:val="28"/>
          <w:u w:val="single"/>
        </w:rPr>
        <w:t>ACKNOWLEDGEMENT</w:t>
      </w:r>
    </w:p>
    <w:p>
      <w:pPr>
        <w:spacing w:line="360" w:lineRule="auto" w:after="160"/>
        <w:jc w:val="both"/>
      </w:pPr>
      <w:r>
        <w:rPr>
          <w:rFonts w:ascii="Times New Roman" w:hAnsi="Times New Roman"/>
          <w:sz w:val="24"/>
        </w:rPr>
        <w:t>It is my pleasure to express with deep sense of gratitude to [Dr./Prof. Guide Name], [Designation],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to work with an intellectual and expert in the field of Artificial Intelligence, Data Science, and Natural Language Processing.</w:t>
      </w:r>
    </w:p>
    <w:p>
      <w:pPr>
        <w:spacing w:line="360" w:lineRule="auto" w:after="160"/>
        <w:jc w:val="both"/>
      </w:pPr>
      <w:r>
        <w:rPr>
          <w:rFonts w:ascii="Times New Roman" w:hAnsi="Times New Roman"/>
          <w:sz w:val="24"/>
        </w:rPr>
        <w:t>It is with gratitude that I would like to extend my thanks to the visionary leader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world-class research facilities, and inspiring all of us during the tenure of the course.</w:t>
      </w:r>
    </w:p>
    <w:p>
      <w:pPr>
        <w:spacing w:line="360" w:lineRule="auto" w:after="160"/>
        <w:jc w:val="both"/>
      </w:pPr>
      <w:r>
        <w:rPr>
          <w:rFonts w:ascii="Times New Roman" w:hAnsi="Times New Roman"/>
          <w:sz w:val="24"/>
        </w:rP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 of our academic curriculum and capstone project execution.</w:t>
      </w:r>
    </w:p>
    <w:p>
      <w:pPr>
        <w:spacing w:line="360" w:lineRule="auto" w:after="160"/>
        <w:jc w:val="both"/>
      </w:pPr>
      <w:r>
        <w:rPr>
          <w:rFonts w:ascii="Times New Roman" w:hAnsi="Times New Roman"/>
          <w:sz w:val="24"/>
        </w:rPr>
        <w:t>In jubilant state, I express ingeniously my whole-hearted thanks to [Dr./Prof. HoD Name], Head of the Department, B.Tech. Computer Science and Engineering (Data Science) and the Project Coordinators for their valuable support and encouragement to take up and complete the thesis.</w:t>
      </w:r>
    </w:p>
    <w:p>
      <w:pPr>
        <w:spacing w:line="360" w:lineRule="auto" w:after="160"/>
        <w:jc w:val="both"/>
      </w:pPr>
      <w:r>
        <w:rPr>
          <w:rFonts w:ascii="Times New Roman" w:hAnsi="Times New Roman"/>
          <w:sz w:val="24"/>
        </w:rPr>
        <w:t>My sincere thanks to all the faculty members and staff at Vellore Institute of Technology, Chennai who helped me acquire the requisite technical knowledge. I would like to thank my parents for their unconditional love, blessings, and constant moral support. It is indeed a pleasure to thank my team members, K. Bharath and P. Srujan, and my friends who encouraged and collaborated with me to bring this research and engineering endeavor to fruition.</w:t>
      </w:r>
    </w:p>
    <w:p>
      <w:pPr>
        <w:spacing w:line="312" w:lineRule="auto" w:before="320" w:after="0"/>
      </w:pPr>
      <w:r>
        <w:rPr>
          <w:rFonts w:ascii="Times New Roman" w:hAnsi="Times New Roman"/>
          <w:b/>
          <w:sz w:val="24"/>
        </w:rPr>
        <w:t>Place: Chennai</w:t>
        <w:br/>
        <w:t>Date:  [Date]</w:t>
        <w:br/>
        <w:br/>
        <w:t>N. GAGAN KARTHIK (23BDS1100)</w:t>
      </w:r>
    </w:p>
    <w:p>
      <w:r>
        <w:br w:type="page"/>
      </w:r>
    </w:p>
    <w:p>
      <w:pPr>
        <w:spacing w:before="320" w:after="360"/>
        <w:jc w:val="center"/>
      </w:pPr>
      <w:r>
        <w:rPr>
          <w:rFonts w:ascii="Times New Roman" w:hAnsi="Times New Roman"/>
          <w:b/>
          <w:sz w:val="32"/>
        </w:rPr>
        <w:t>CONTENTS</w:t>
      </w:r>
    </w:p>
    <w:p>
      <w:pPr>
        <w:spacing w:line="276" w:lineRule="auto" w:after="40" w:before="40"/>
      </w:pPr>
      <w:r>
        <w:rPr>
          <w:rFonts w:ascii="Times New Roman" w:hAnsi="Times New Roman"/>
          <w:b/>
          <w:sz w:val="23"/>
        </w:rPr>
        <w:t>DECLARATION</w:t>
      </w:r>
      <w:r>
        <w:rPr>
          <w:rFonts w:ascii="Times New Roman" w:hAnsi="Times New Roman"/>
          <w:color w:val="505050"/>
          <w:sz w:val="18"/>
        </w:rPr>
        <w:t xml:space="preserve"> ............................................................ </w:t>
      </w:r>
      <w:r>
        <w:rPr>
          <w:rFonts w:ascii="Times New Roman" w:hAnsi="Times New Roman"/>
          <w:b/>
          <w:sz w:val="22"/>
        </w:rPr>
        <w:t>iii</w:t>
      </w:r>
    </w:p>
    <w:p>
      <w:pPr>
        <w:spacing w:line="276" w:lineRule="auto" w:after="40" w:before="40"/>
      </w:pPr>
      <w:r>
        <w:rPr>
          <w:rFonts w:ascii="Times New Roman" w:hAnsi="Times New Roman"/>
          <w:b/>
          <w:sz w:val="23"/>
        </w:rPr>
        <w:t>CERTIFICATE</w:t>
      </w:r>
      <w:r>
        <w:rPr>
          <w:rFonts w:ascii="Times New Roman" w:hAnsi="Times New Roman"/>
          <w:color w:val="505050"/>
          <w:sz w:val="18"/>
        </w:rPr>
        <w:t xml:space="preserve"> ............................................................ </w:t>
      </w:r>
      <w:r>
        <w:rPr>
          <w:rFonts w:ascii="Times New Roman" w:hAnsi="Times New Roman"/>
          <w:b/>
          <w:sz w:val="22"/>
        </w:rPr>
        <w:t>iv</w:t>
      </w:r>
    </w:p>
    <w:p>
      <w:pPr>
        <w:spacing w:line="276" w:lineRule="auto" w:after="40" w:before="40"/>
      </w:pPr>
      <w:r>
        <w:rPr>
          <w:rFonts w:ascii="Times New Roman" w:hAnsi="Times New Roman"/>
          <w:b/>
          <w:sz w:val="23"/>
        </w:rPr>
        <w:t>ABSTRACT</w:t>
      </w:r>
      <w:r>
        <w:rPr>
          <w:rFonts w:ascii="Times New Roman" w:hAnsi="Times New Roman"/>
          <w:color w:val="505050"/>
          <w:sz w:val="18"/>
        </w:rPr>
        <w:t xml:space="preserve"> .............................................................. </w:t>
      </w:r>
      <w:r>
        <w:rPr>
          <w:rFonts w:ascii="Times New Roman" w:hAnsi="Times New Roman"/>
          <w:b/>
          <w:sz w:val="22"/>
        </w:rPr>
        <w:t>v</w:t>
      </w:r>
    </w:p>
    <w:p>
      <w:pPr>
        <w:spacing w:line="276" w:lineRule="auto" w:after="40" w:before="40"/>
      </w:pPr>
      <w:r>
        <w:rPr>
          <w:rFonts w:ascii="Times New Roman" w:hAnsi="Times New Roman"/>
          <w:b/>
          <w:sz w:val="23"/>
        </w:rPr>
        <w:t>ACKNOWLEDGEMENT</w:t>
      </w:r>
      <w:r>
        <w:rPr>
          <w:rFonts w:ascii="Times New Roman" w:hAnsi="Times New Roman"/>
          <w:color w:val="505050"/>
          <w:sz w:val="18"/>
        </w:rPr>
        <w:t xml:space="preserve"> ........................................................ </w:t>
      </w:r>
      <w:r>
        <w:rPr>
          <w:rFonts w:ascii="Times New Roman" w:hAnsi="Times New Roman"/>
          <w:b/>
          <w:sz w:val="22"/>
        </w:rPr>
        <w:t>vi</w:t>
      </w:r>
    </w:p>
    <w:p>
      <w:pPr>
        <w:spacing w:line="276" w:lineRule="auto" w:after="40" w:before="40"/>
      </w:pPr>
      <w:r>
        <w:rPr>
          <w:rFonts w:ascii="Times New Roman" w:hAnsi="Times New Roman"/>
          <w:b w:val="0"/>
          <w:sz w:val="22"/>
        </w:rPr>
        <w:t>LIST OF TABLES</w:t>
      </w:r>
      <w:r>
        <w:rPr>
          <w:rFonts w:ascii="Times New Roman" w:hAnsi="Times New Roman"/>
          <w:color w:val="505050"/>
          <w:sz w:val="18"/>
        </w:rPr>
        <w:t xml:space="preserve"> ......................................................... </w:t>
      </w:r>
      <w:r>
        <w:rPr>
          <w:rFonts w:ascii="Times New Roman" w:hAnsi="Times New Roman"/>
          <w:b w:val="0"/>
          <w:sz w:val="22"/>
        </w:rPr>
        <w:t>ix</w:t>
      </w:r>
    </w:p>
    <w:p>
      <w:pPr>
        <w:spacing w:line="276" w:lineRule="auto" w:after="40" w:before="40"/>
      </w:pPr>
      <w:r>
        <w:rPr>
          <w:rFonts w:ascii="Times New Roman" w:hAnsi="Times New Roman"/>
          <w:b w:val="0"/>
          <w:sz w:val="22"/>
        </w:rPr>
        <w:t>LIST OF FIGURES</w:t>
      </w:r>
      <w:r>
        <w:rPr>
          <w:rFonts w:ascii="Times New Roman" w:hAnsi="Times New Roman"/>
          <w:color w:val="505050"/>
          <w:sz w:val="18"/>
        </w:rPr>
        <w:t xml:space="preserve"> ........................................................ </w:t>
      </w:r>
      <w:r>
        <w:rPr>
          <w:rFonts w:ascii="Times New Roman" w:hAnsi="Times New Roman"/>
          <w:b w:val="0"/>
          <w:sz w:val="22"/>
        </w:rPr>
        <w:t>xi</w:t>
      </w:r>
    </w:p>
    <w:p>
      <w:pPr>
        <w:spacing w:line="276" w:lineRule="auto" w:after="40" w:before="40"/>
      </w:pPr>
      <w:r>
        <w:rPr>
          <w:rFonts w:ascii="Times New Roman" w:hAnsi="Times New Roman"/>
          <w:b w:val="0"/>
          <w:sz w:val="22"/>
        </w:rPr>
        <w:t>LIST OF ACRONYMS AND NOMENCLATURE</w:t>
      </w:r>
      <w:r>
        <w:rPr>
          <w:rFonts w:ascii="Times New Roman" w:hAnsi="Times New Roman"/>
          <w:color w:val="505050"/>
          <w:sz w:val="18"/>
        </w:rPr>
        <w:t xml:space="preserve"> ........................................ </w:t>
      </w:r>
      <w:r>
        <w:rPr>
          <w:rFonts w:ascii="Times New Roman" w:hAnsi="Times New Roman"/>
          <w:b w:val="0"/>
          <w:sz w:val="22"/>
        </w:rPr>
        <w:t>xiii</w:t>
      </w:r>
    </w:p>
    <w:p>
      <w:pPr>
        <w:spacing w:line="276" w:lineRule="auto" w:after="40" w:before="40"/>
      </w:pPr>
      <w:r>
        <w:rPr>
          <w:rFonts w:ascii="Times New Roman" w:hAnsi="Times New Roman"/>
          <w:b/>
          <w:sz w:val="23"/>
        </w:rPr>
        <w:t>CHAPTER 1: INTRODUCTION</w:t>
      </w:r>
      <w:r>
        <w:rPr>
          <w:rFonts w:ascii="Times New Roman" w:hAnsi="Times New Roman"/>
          <w:color w:val="505050"/>
          <w:sz w:val="18"/>
        </w:rPr>
        <w:t xml:space="preserve"> ................................................. </w:t>
      </w:r>
      <w:r>
        <w:rPr>
          <w:rFonts w:ascii="Times New Roman" w:hAnsi="Times New Roman"/>
          <w:b/>
          <w:sz w:val="22"/>
        </w:rPr>
        <w:t>1</w:t>
      </w:r>
    </w:p>
    <w:p>
      <w:pPr>
        <w:spacing w:line="276" w:lineRule="auto" w:after="40" w:before="40"/>
      </w:pPr>
      <w:r>
        <w:rPr>
          <w:rFonts w:ascii="Times New Roman" w:hAnsi="Times New Roman"/>
          <w:b w:val="0"/>
          <w:sz w:val="22"/>
        </w:rPr>
        <w:t xml:space="preserve">    1.1 Background and Problem Context</w:t>
      </w:r>
      <w:r>
        <w:rPr>
          <w:rFonts w:ascii="Times New Roman" w:hAnsi="Times New Roman"/>
          <w:color w:val="505050"/>
          <w:sz w:val="18"/>
        </w:rPr>
        <w:t xml:space="preserve"> ................................... </w:t>
      </w:r>
      <w:r>
        <w:rPr>
          <w:rFonts w:ascii="Times New Roman" w:hAnsi="Times New Roman"/>
          <w:b w:val="0"/>
          <w:sz w:val="22"/>
        </w:rPr>
        <w:t>1</w:t>
      </w:r>
    </w:p>
    <w:p>
      <w:pPr>
        <w:spacing w:line="276" w:lineRule="auto" w:after="40" w:before="40"/>
      </w:pPr>
      <w:r>
        <w:rPr>
          <w:rFonts w:ascii="Times New Roman" w:hAnsi="Times New Roman"/>
          <w:b w:val="0"/>
          <w:sz w:val="22"/>
        </w:rPr>
        <w:t xml:space="preserve">    1.2 Challenges in Academic and Early-Stage Patent Screening</w:t>
      </w:r>
      <w:r>
        <w:rPr>
          <w:rFonts w:ascii="Times New Roman" w:hAnsi="Times New Roman"/>
          <w:color w:val="505050"/>
          <w:sz w:val="18"/>
        </w:rPr>
        <w:t xml:space="preserve"> ............. </w:t>
      </w:r>
      <w:r>
        <w:rPr>
          <w:rFonts w:ascii="Times New Roman" w:hAnsi="Times New Roman"/>
          <w:b w:val="0"/>
          <w:sz w:val="22"/>
        </w:rPr>
        <w:t>3</w:t>
      </w:r>
    </w:p>
    <w:p>
      <w:pPr>
        <w:spacing w:line="276" w:lineRule="auto" w:after="40" w:before="40"/>
      </w:pPr>
      <w:r>
        <w:rPr>
          <w:rFonts w:ascii="Times New Roman" w:hAnsi="Times New Roman"/>
          <w:b w:val="0"/>
          <w:sz w:val="22"/>
        </w:rPr>
        <w:t xml:space="preserve">    1.3 Problem Statement and Research Questions</w:t>
      </w:r>
      <w:r>
        <w:rPr>
          <w:rFonts w:ascii="Times New Roman" w:hAnsi="Times New Roman"/>
          <w:color w:val="505050"/>
          <w:sz w:val="18"/>
        </w:rPr>
        <w:t xml:space="preserve"> .......................... </w:t>
      </w:r>
      <w:r>
        <w:rPr>
          <w:rFonts w:ascii="Times New Roman" w:hAnsi="Times New Roman"/>
          <w:b w:val="0"/>
          <w:sz w:val="22"/>
        </w:rPr>
        <w:t>5</w:t>
      </w:r>
    </w:p>
    <w:p>
      <w:pPr>
        <w:spacing w:line="276" w:lineRule="auto" w:after="40" w:before="40"/>
      </w:pPr>
      <w:r>
        <w:rPr>
          <w:rFonts w:ascii="Times New Roman" w:hAnsi="Times New Roman"/>
          <w:b w:val="0"/>
          <w:sz w:val="22"/>
        </w:rPr>
        <w:t xml:space="preserve">    1.4 Project Objectives</w:t>
      </w:r>
      <w:r>
        <w:rPr>
          <w:rFonts w:ascii="Times New Roman" w:hAnsi="Times New Roman"/>
          <w:color w:val="505050"/>
          <w:sz w:val="18"/>
        </w:rPr>
        <w:t xml:space="preserve"> .............................................. </w:t>
      </w:r>
      <w:r>
        <w:rPr>
          <w:rFonts w:ascii="Times New Roman" w:hAnsi="Times New Roman"/>
          <w:b w:val="0"/>
          <w:sz w:val="22"/>
        </w:rPr>
        <w:t>7</w:t>
      </w:r>
    </w:p>
    <w:p>
      <w:pPr>
        <w:spacing w:line="276" w:lineRule="auto" w:after="40" w:before="40"/>
      </w:pPr>
      <w:r>
        <w:rPr>
          <w:rFonts w:ascii="Times New Roman" w:hAnsi="Times New Roman"/>
          <w:b w:val="0"/>
          <w:sz w:val="22"/>
        </w:rPr>
        <w:t xml:space="preserve">    1.5 Core Guiding Principle: Algorithms Calculate, Evidence Supports, Gemini Explains</w:t>
      </w:r>
      <w:r>
        <w:rPr>
          <w:rFonts w:ascii="Times New Roman" w:hAnsi="Times New Roman"/>
          <w:color w:val="505050"/>
          <w:sz w:val="18"/>
        </w:rPr>
        <w:t xml:space="preserve"> ..... </w:t>
      </w:r>
      <w:r>
        <w:rPr>
          <w:rFonts w:ascii="Times New Roman" w:hAnsi="Times New Roman"/>
          <w:b w:val="0"/>
          <w:sz w:val="22"/>
        </w:rPr>
        <w:t>8</w:t>
      </w:r>
    </w:p>
    <w:p>
      <w:pPr>
        <w:spacing w:line="276" w:lineRule="auto" w:after="40" w:before="40"/>
      </w:pPr>
      <w:r>
        <w:rPr>
          <w:rFonts w:ascii="Times New Roman" w:hAnsi="Times New Roman"/>
          <w:b w:val="0"/>
          <w:sz w:val="22"/>
        </w:rPr>
        <w:t xml:space="preserve">    1.6 Scope, Boundaries, and Operational Delimitations</w:t>
      </w:r>
      <w:r>
        <w:rPr>
          <w:rFonts w:ascii="Times New Roman" w:hAnsi="Times New Roman"/>
          <w:color w:val="505050"/>
          <w:sz w:val="18"/>
        </w:rPr>
        <w:t xml:space="preserve"> ................... </w:t>
      </w:r>
      <w:r>
        <w:rPr>
          <w:rFonts w:ascii="Times New Roman" w:hAnsi="Times New Roman"/>
          <w:b w:val="0"/>
          <w:sz w:val="22"/>
        </w:rPr>
        <w:t>9</w:t>
      </w:r>
    </w:p>
    <w:p>
      <w:pPr>
        <w:spacing w:line="276" w:lineRule="auto" w:after="40" w:before="40"/>
      </w:pPr>
      <w:r>
        <w:rPr>
          <w:rFonts w:ascii="Times New Roman" w:hAnsi="Times New Roman"/>
          <w:b w:val="0"/>
          <w:sz w:val="22"/>
        </w:rPr>
        <w:t xml:space="preserve">    1.7 Organization of the Report</w:t>
      </w:r>
      <w:r>
        <w:rPr>
          <w:rFonts w:ascii="Times New Roman" w:hAnsi="Times New Roman"/>
          <w:color w:val="505050"/>
          <w:sz w:val="18"/>
        </w:rPr>
        <w:t xml:space="preserve"> ....................................... </w:t>
      </w:r>
      <w:r>
        <w:rPr>
          <w:rFonts w:ascii="Times New Roman" w:hAnsi="Times New Roman"/>
          <w:b w:val="0"/>
          <w:sz w:val="22"/>
        </w:rPr>
        <w:t>11</w:t>
      </w:r>
    </w:p>
    <w:p>
      <w:pPr>
        <w:spacing w:line="276" w:lineRule="auto" w:after="40" w:before="40"/>
      </w:pPr>
      <w:r>
        <w:rPr>
          <w:rFonts w:ascii="Times New Roman" w:hAnsi="Times New Roman"/>
          <w:b/>
          <w:sz w:val="23"/>
        </w:rPr>
        <w:t>CHAPTER 2: LITERATURE REVIEW AND THEORETICAL FOUNDATIONS</w:t>
      </w:r>
      <w:r>
        <w:rPr>
          <w:rFonts w:ascii="Times New Roman" w:hAnsi="Times New Roman"/>
          <w:color w:val="505050"/>
          <w:sz w:val="18"/>
        </w:rPr>
        <w:t xml:space="preserve"> ................... </w:t>
      </w:r>
      <w:r>
        <w:rPr>
          <w:rFonts w:ascii="Times New Roman" w:hAnsi="Times New Roman"/>
          <w:b/>
          <w:sz w:val="22"/>
        </w:rPr>
        <w:t>13</w:t>
      </w:r>
    </w:p>
    <w:p>
      <w:pPr>
        <w:spacing w:line="276" w:lineRule="auto" w:after="40" w:before="40"/>
      </w:pPr>
      <w:r>
        <w:rPr>
          <w:rFonts w:ascii="Times New Roman" w:hAnsi="Times New Roman"/>
          <w:b w:val="0"/>
          <w:sz w:val="22"/>
        </w:rPr>
        <w:t xml:space="preserve">    2.1 Evolution of Patent Retrieval Systems</w:t>
      </w:r>
      <w:r>
        <w:rPr>
          <w:rFonts w:ascii="Times New Roman" w:hAnsi="Times New Roman"/>
          <w:color w:val="505050"/>
          <w:sz w:val="18"/>
        </w:rPr>
        <w:t xml:space="preserve"> ............................. </w:t>
      </w:r>
      <w:r>
        <w:rPr>
          <w:rFonts w:ascii="Times New Roman" w:hAnsi="Times New Roman"/>
          <w:b w:val="0"/>
          <w:sz w:val="22"/>
        </w:rPr>
        <w:t>13</w:t>
      </w:r>
    </w:p>
    <w:p>
      <w:pPr>
        <w:spacing w:line="276" w:lineRule="auto" w:after="40" w:before="40"/>
      </w:pPr>
      <w:r>
        <w:rPr>
          <w:rFonts w:ascii="Times New Roman" w:hAnsi="Times New Roman"/>
          <w:b w:val="0"/>
          <w:sz w:val="22"/>
        </w:rPr>
        <w:t xml:space="preserve">    2.2 Dense Semantic Representations and Cross-Encoder Reranking</w:t>
      </w:r>
      <w:r>
        <w:rPr>
          <w:rFonts w:ascii="Times New Roman" w:hAnsi="Times New Roman"/>
          <w:color w:val="505050"/>
          <w:sz w:val="18"/>
        </w:rPr>
        <w:t xml:space="preserve"> .......... </w:t>
      </w:r>
      <w:r>
        <w:rPr>
          <w:rFonts w:ascii="Times New Roman" w:hAnsi="Times New Roman"/>
          <w:b w:val="0"/>
          <w:sz w:val="22"/>
        </w:rPr>
        <w:t>16</w:t>
      </w:r>
    </w:p>
    <w:p>
      <w:pPr>
        <w:spacing w:line="276" w:lineRule="auto" w:after="40" w:before="40"/>
      </w:pPr>
      <w:r>
        <w:rPr>
          <w:rFonts w:ascii="Times New Roman" w:hAnsi="Times New Roman"/>
          <w:b w:val="0"/>
          <w:sz w:val="22"/>
        </w:rPr>
        <w:t xml:space="preserve">    2.3 Patent Novelty and Inventive-Step Screening Methodologies</w:t>
      </w:r>
      <w:r>
        <w:rPr>
          <w:rFonts w:ascii="Times New Roman" w:hAnsi="Times New Roman"/>
          <w:color w:val="505050"/>
          <w:sz w:val="18"/>
        </w:rPr>
        <w:t xml:space="preserve"> ........... </w:t>
      </w:r>
      <w:r>
        <w:rPr>
          <w:rFonts w:ascii="Times New Roman" w:hAnsi="Times New Roman"/>
          <w:b w:val="0"/>
          <w:sz w:val="22"/>
        </w:rPr>
        <w:t>19</w:t>
      </w:r>
    </w:p>
    <w:p>
      <w:pPr>
        <w:spacing w:line="276" w:lineRule="auto" w:after="40" w:before="40"/>
      </w:pPr>
      <w:r>
        <w:rPr>
          <w:rFonts w:ascii="Times New Roman" w:hAnsi="Times New Roman"/>
          <w:b w:val="0"/>
          <w:sz w:val="22"/>
        </w:rPr>
        <w:t xml:space="preserve">    2.4 Retrieval-Augmented Generation (RAG) in Technical Domains</w:t>
      </w:r>
      <w:r>
        <w:rPr>
          <w:rFonts w:ascii="Times New Roman" w:hAnsi="Times New Roman"/>
          <w:color w:val="505050"/>
          <w:sz w:val="18"/>
        </w:rPr>
        <w:t xml:space="preserve"> ........... </w:t>
      </w:r>
      <w:r>
        <w:rPr>
          <w:rFonts w:ascii="Times New Roman" w:hAnsi="Times New Roman"/>
          <w:b w:val="0"/>
          <w:sz w:val="22"/>
        </w:rPr>
        <w:t>22</w:t>
      </w:r>
    </w:p>
    <w:p>
      <w:pPr>
        <w:spacing w:line="276" w:lineRule="auto" w:after="40" w:before="40"/>
      </w:pPr>
      <w:r>
        <w:rPr>
          <w:rFonts w:ascii="Times New Roman" w:hAnsi="Times New Roman"/>
          <w:b w:val="0"/>
          <w:sz w:val="22"/>
        </w:rPr>
        <w:t xml:space="preserve">    2.5 Explainable AI (XAI) and Transparent Evidence Attribution</w:t>
      </w:r>
      <w:r>
        <w:rPr>
          <w:rFonts w:ascii="Times New Roman" w:hAnsi="Times New Roman"/>
          <w:color w:val="505050"/>
          <w:sz w:val="18"/>
        </w:rPr>
        <w:t xml:space="preserve"> ........... </w:t>
      </w:r>
      <w:r>
        <w:rPr>
          <w:rFonts w:ascii="Times New Roman" w:hAnsi="Times New Roman"/>
          <w:b w:val="0"/>
          <w:sz w:val="22"/>
        </w:rPr>
        <w:t>25</w:t>
      </w:r>
    </w:p>
    <w:p>
      <w:pPr>
        <w:spacing w:line="276" w:lineRule="auto" w:after="40" w:before="40"/>
      </w:pPr>
      <w:r>
        <w:rPr>
          <w:rFonts w:ascii="Times New Roman" w:hAnsi="Times New Roman"/>
          <w:b w:val="0"/>
          <w:sz w:val="22"/>
        </w:rPr>
        <w:t xml:space="preserve">    2.6 Multi-Dimensional Patent Quality Evaluation Frameworks</w:t>
      </w:r>
      <w:r>
        <w:rPr>
          <w:rFonts w:ascii="Times New Roman" w:hAnsi="Times New Roman"/>
          <w:color w:val="505050"/>
          <w:sz w:val="18"/>
        </w:rPr>
        <w:t xml:space="preserve"> .............. </w:t>
      </w:r>
      <w:r>
        <w:rPr>
          <w:rFonts w:ascii="Times New Roman" w:hAnsi="Times New Roman"/>
          <w:b w:val="0"/>
          <w:sz w:val="22"/>
        </w:rPr>
        <w:t>28</w:t>
      </w:r>
    </w:p>
    <w:p>
      <w:pPr>
        <w:spacing w:line="276" w:lineRule="auto" w:after="40" w:before="40"/>
      </w:pPr>
      <w:r>
        <w:rPr>
          <w:rFonts w:ascii="Times New Roman" w:hAnsi="Times New Roman"/>
          <w:b w:val="0"/>
          <w:sz w:val="22"/>
        </w:rPr>
        <w:t xml:space="preserve">    2.7 Literature Synthesis Matrix of 15 Key Research Works</w:t>
      </w:r>
      <w:r>
        <w:rPr>
          <w:rFonts w:ascii="Times New Roman" w:hAnsi="Times New Roman"/>
          <w:color w:val="505050"/>
          <w:sz w:val="18"/>
        </w:rPr>
        <w:t xml:space="preserve"> ................ </w:t>
      </w:r>
      <w:r>
        <w:rPr>
          <w:rFonts w:ascii="Times New Roman" w:hAnsi="Times New Roman"/>
          <w:b w:val="0"/>
          <w:sz w:val="22"/>
        </w:rPr>
        <w:t>31</w:t>
      </w:r>
    </w:p>
    <w:p>
      <w:pPr>
        <w:spacing w:line="276" w:lineRule="auto" w:after="40" w:before="40"/>
      </w:pPr>
      <w:r>
        <w:rPr>
          <w:rFonts w:ascii="Times New Roman" w:hAnsi="Times New Roman"/>
          <w:b w:val="0"/>
          <w:sz w:val="22"/>
        </w:rPr>
        <w:t xml:space="preserve">    2.8 Critical Research Gaps and PatentIQ Differentiation</w:t>
      </w:r>
      <w:r>
        <w:rPr>
          <w:rFonts w:ascii="Times New Roman" w:hAnsi="Times New Roman"/>
          <w:color w:val="505050"/>
          <w:sz w:val="18"/>
        </w:rPr>
        <w:t xml:space="preserve"> ................ </w:t>
      </w:r>
      <w:r>
        <w:rPr>
          <w:rFonts w:ascii="Times New Roman" w:hAnsi="Times New Roman"/>
          <w:b w:val="0"/>
          <w:sz w:val="22"/>
        </w:rPr>
        <w:t>35</w:t>
      </w:r>
    </w:p>
    <w:p>
      <w:pPr>
        <w:spacing w:line="276" w:lineRule="auto" w:after="40" w:before="40"/>
      </w:pPr>
      <w:r>
        <w:rPr>
          <w:rFonts w:ascii="Times New Roman" w:hAnsi="Times New Roman"/>
          <w:b/>
          <w:sz w:val="23"/>
        </w:rPr>
        <w:t>CHAPTER 3: REQUIREMENTS ANALYSIS AND SYSTEM SPECIFICATIONS</w:t>
      </w:r>
      <w:r>
        <w:rPr>
          <w:rFonts w:ascii="Times New Roman" w:hAnsi="Times New Roman"/>
          <w:color w:val="505050"/>
          <w:sz w:val="18"/>
        </w:rPr>
        <w:t xml:space="preserve"> ................. </w:t>
      </w:r>
      <w:r>
        <w:rPr>
          <w:rFonts w:ascii="Times New Roman" w:hAnsi="Times New Roman"/>
          <w:b/>
          <w:sz w:val="22"/>
        </w:rPr>
        <w:t>38</w:t>
      </w:r>
    </w:p>
    <w:p>
      <w:pPr>
        <w:spacing w:line="276" w:lineRule="auto" w:after="40" w:before="40"/>
      </w:pPr>
      <w:r>
        <w:rPr>
          <w:rFonts w:ascii="Times New Roman" w:hAnsi="Times New Roman"/>
          <w:b w:val="0"/>
          <w:sz w:val="22"/>
        </w:rPr>
        <w:t xml:space="preserve">    3.1 User Personas and Stakeholder Use Cases</w:t>
      </w:r>
      <w:r>
        <w:rPr>
          <w:rFonts w:ascii="Times New Roman" w:hAnsi="Times New Roman"/>
          <w:color w:val="505050"/>
          <w:sz w:val="18"/>
        </w:rPr>
        <w:t xml:space="preserve"> ........................... </w:t>
      </w:r>
      <w:r>
        <w:rPr>
          <w:rFonts w:ascii="Times New Roman" w:hAnsi="Times New Roman"/>
          <w:b w:val="0"/>
          <w:sz w:val="22"/>
        </w:rPr>
        <w:t>38</w:t>
      </w:r>
    </w:p>
    <w:p>
      <w:pPr>
        <w:spacing w:line="276" w:lineRule="auto" w:after="40" w:before="40"/>
      </w:pPr>
      <w:r>
        <w:rPr>
          <w:rFonts w:ascii="Times New Roman" w:hAnsi="Times New Roman"/>
          <w:b w:val="0"/>
          <w:sz w:val="22"/>
        </w:rPr>
        <w:t xml:space="preserve">    3.2 Functional Requirements (FR-1 to FR-12)</w:t>
      </w:r>
      <w:r>
        <w:rPr>
          <w:rFonts w:ascii="Times New Roman" w:hAnsi="Times New Roman"/>
          <w:color w:val="505050"/>
          <w:sz w:val="18"/>
        </w:rPr>
        <w:t xml:space="preserve"> ........................... </w:t>
      </w:r>
      <w:r>
        <w:rPr>
          <w:rFonts w:ascii="Times New Roman" w:hAnsi="Times New Roman"/>
          <w:b w:val="0"/>
          <w:sz w:val="22"/>
        </w:rPr>
        <w:t>40</w:t>
      </w:r>
    </w:p>
    <w:p>
      <w:pPr>
        <w:spacing w:line="276" w:lineRule="auto" w:after="40" w:before="40"/>
      </w:pPr>
      <w:r>
        <w:rPr>
          <w:rFonts w:ascii="Times New Roman" w:hAnsi="Times New Roman"/>
          <w:b w:val="0"/>
          <w:sz w:val="22"/>
        </w:rPr>
        <w:t xml:space="preserve">    3.3 Non-Functional Requirements (NFR-1 to NFR-8)</w:t>
      </w:r>
      <w:r>
        <w:rPr>
          <w:rFonts w:ascii="Times New Roman" w:hAnsi="Times New Roman"/>
          <w:color w:val="505050"/>
          <w:sz w:val="18"/>
        </w:rPr>
        <w:t xml:space="preserve"> ....................... </w:t>
      </w:r>
      <w:r>
        <w:rPr>
          <w:rFonts w:ascii="Times New Roman" w:hAnsi="Times New Roman"/>
          <w:b w:val="0"/>
          <w:sz w:val="22"/>
        </w:rPr>
        <w:t>43</w:t>
      </w:r>
    </w:p>
    <w:p>
      <w:pPr>
        <w:spacing w:line="276" w:lineRule="auto" w:after="40" w:before="40"/>
      </w:pPr>
      <w:r>
        <w:rPr>
          <w:rFonts w:ascii="Times New Roman" w:hAnsi="Times New Roman"/>
          <w:b w:val="0"/>
          <w:sz w:val="22"/>
        </w:rPr>
        <w:t xml:space="preserve">    3.4 Locked Technology Stack Justification</w:t>
      </w:r>
      <w:r>
        <w:rPr>
          <w:rFonts w:ascii="Times New Roman" w:hAnsi="Times New Roman"/>
          <w:color w:val="505050"/>
          <w:sz w:val="18"/>
        </w:rPr>
        <w:t xml:space="preserve"> ............................. </w:t>
      </w:r>
      <w:r>
        <w:rPr>
          <w:rFonts w:ascii="Times New Roman" w:hAnsi="Times New Roman"/>
          <w:b w:val="0"/>
          <w:sz w:val="22"/>
        </w:rPr>
        <w:t>46</w:t>
      </w:r>
    </w:p>
    <w:p>
      <w:pPr>
        <w:spacing w:line="276" w:lineRule="auto" w:after="40" w:before="40"/>
      </w:pPr>
      <w:r>
        <w:rPr>
          <w:rFonts w:ascii="Times New Roman" w:hAnsi="Times New Roman"/>
          <w:b w:val="0"/>
          <w:sz w:val="22"/>
        </w:rPr>
        <w:t xml:space="preserve">    3.5 Development Corpus vs Worldwide Patent Coverage</w:t>
      </w:r>
      <w:r>
        <w:rPr>
          <w:rFonts w:ascii="Times New Roman" w:hAnsi="Times New Roman"/>
          <w:color w:val="505050"/>
          <w:sz w:val="18"/>
        </w:rPr>
        <w:t xml:space="preserve"> .................... </w:t>
      </w:r>
      <w:r>
        <w:rPr>
          <w:rFonts w:ascii="Times New Roman" w:hAnsi="Times New Roman"/>
          <w:b w:val="0"/>
          <w:sz w:val="22"/>
        </w:rPr>
        <w:t>49</w:t>
      </w:r>
    </w:p>
    <w:p>
      <w:pPr>
        <w:spacing w:line="276" w:lineRule="auto" w:after="40" w:before="40"/>
      </w:pPr>
      <w:r>
        <w:rPr>
          <w:rFonts w:ascii="Times New Roman" w:hAnsi="Times New Roman"/>
          <w:b/>
          <w:sz w:val="23"/>
        </w:rPr>
        <w:t>CHAPTER 4: SYSTEM ARCHITECTURE AND DATA FLOW</w:t>
      </w:r>
      <w:r>
        <w:rPr>
          <w:rFonts w:ascii="Times New Roman" w:hAnsi="Times New Roman"/>
          <w:color w:val="505050"/>
          <w:sz w:val="18"/>
        </w:rPr>
        <w:t xml:space="preserve"> .............................. </w:t>
      </w:r>
      <w:r>
        <w:rPr>
          <w:rFonts w:ascii="Times New Roman" w:hAnsi="Times New Roman"/>
          <w:b/>
          <w:sz w:val="22"/>
        </w:rPr>
        <w:t>52</w:t>
      </w:r>
    </w:p>
    <w:p>
      <w:pPr>
        <w:spacing w:line="276" w:lineRule="auto" w:after="40" w:before="40"/>
      </w:pPr>
      <w:r>
        <w:rPr>
          <w:rFonts w:ascii="Times New Roman" w:hAnsi="Times New Roman"/>
          <w:b w:val="0"/>
          <w:sz w:val="22"/>
        </w:rPr>
        <w:t xml:space="preserve">    4.1 High-Level End-to-End System Architecture</w:t>
      </w:r>
      <w:r>
        <w:rPr>
          <w:rFonts w:ascii="Times New Roman" w:hAnsi="Times New Roman"/>
          <w:color w:val="505050"/>
          <w:sz w:val="18"/>
        </w:rPr>
        <w:t xml:space="preserve"> ......................... </w:t>
      </w:r>
      <w:r>
        <w:rPr>
          <w:rFonts w:ascii="Times New Roman" w:hAnsi="Times New Roman"/>
          <w:b w:val="0"/>
          <w:sz w:val="22"/>
        </w:rPr>
        <w:t>52</w:t>
      </w:r>
    </w:p>
    <w:p>
      <w:pPr>
        <w:spacing w:line="276" w:lineRule="auto" w:after="40" w:before="40"/>
      </w:pPr>
      <w:r>
        <w:rPr>
          <w:rFonts w:ascii="Times New Roman" w:hAnsi="Times New Roman"/>
          <w:b w:val="0"/>
          <w:sz w:val="22"/>
        </w:rPr>
        <w:t xml:space="preserve">    4.2 Pipeline Orchestration and Lifecycle Stages</w:t>
      </w:r>
      <w:r>
        <w:rPr>
          <w:rFonts w:ascii="Times New Roman" w:hAnsi="Times New Roman"/>
          <w:color w:val="505050"/>
          <w:sz w:val="18"/>
        </w:rPr>
        <w:t xml:space="preserve"> ........................ </w:t>
      </w:r>
      <w:r>
        <w:rPr>
          <w:rFonts w:ascii="Times New Roman" w:hAnsi="Times New Roman"/>
          <w:b w:val="0"/>
          <w:sz w:val="22"/>
        </w:rPr>
        <w:t>55</w:t>
      </w:r>
    </w:p>
    <w:p>
      <w:pPr>
        <w:spacing w:line="276" w:lineRule="auto" w:after="40" w:before="40"/>
      </w:pPr>
      <w:r>
        <w:rPr>
          <w:rFonts w:ascii="Times New Roman" w:hAnsi="Times New Roman"/>
          <w:b w:val="0"/>
          <w:sz w:val="22"/>
        </w:rPr>
        <w:t xml:space="preserve">    4.3 Separation of Concerns: Relational Persistence vs Vector Storage</w:t>
      </w:r>
      <w:r>
        <w:rPr>
          <w:rFonts w:ascii="Times New Roman" w:hAnsi="Times New Roman"/>
          <w:color w:val="505050"/>
          <w:sz w:val="18"/>
        </w:rPr>
        <w:t xml:space="preserve"> ..... </w:t>
      </w:r>
      <w:r>
        <w:rPr>
          <w:rFonts w:ascii="Times New Roman" w:hAnsi="Times New Roman"/>
          <w:b w:val="0"/>
          <w:sz w:val="22"/>
        </w:rPr>
        <w:t>58</w:t>
      </w:r>
    </w:p>
    <w:p>
      <w:pPr>
        <w:spacing w:line="276" w:lineRule="auto" w:after="40" w:before="40"/>
      </w:pPr>
      <w:r>
        <w:rPr>
          <w:rFonts w:ascii="Times New Roman" w:hAnsi="Times New Roman"/>
          <w:b w:val="0"/>
          <w:sz w:val="22"/>
        </w:rPr>
        <w:t xml:space="preserve">    4.4 Multi-Tenant Row Level Security (RLS) Isolation Boundary</w:t>
      </w:r>
      <w:r>
        <w:rPr>
          <w:rFonts w:ascii="Times New Roman" w:hAnsi="Times New Roman"/>
          <w:color w:val="505050"/>
          <w:sz w:val="18"/>
        </w:rPr>
        <w:t xml:space="preserve"> ............ </w:t>
      </w:r>
      <w:r>
        <w:rPr>
          <w:rFonts w:ascii="Times New Roman" w:hAnsi="Times New Roman"/>
          <w:b w:val="0"/>
          <w:sz w:val="22"/>
        </w:rPr>
        <w:t>61</w:t>
      </w:r>
    </w:p>
    <w:p>
      <w:pPr>
        <w:spacing w:line="276" w:lineRule="auto" w:after="40" w:before="40"/>
      </w:pPr>
      <w:r>
        <w:rPr>
          <w:rFonts w:ascii="Times New Roman" w:hAnsi="Times New Roman"/>
          <w:b w:val="0"/>
          <w:sz w:val="22"/>
        </w:rPr>
        <w:t xml:space="preserve">    4.5 Degradation Strategies, Local Fallback, and Error Handling</w:t>
      </w:r>
      <w:r>
        <w:rPr>
          <w:rFonts w:ascii="Times New Roman" w:hAnsi="Times New Roman"/>
          <w:color w:val="505050"/>
          <w:sz w:val="18"/>
        </w:rPr>
        <w:t xml:space="preserve"> .......... </w:t>
      </w:r>
      <w:r>
        <w:rPr>
          <w:rFonts w:ascii="Times New Roman" w:hAnsi="Times New Roman"/>
          <w:b w:val="0"/>
          <w:sz w:val="22"/>
        </w:rPr>
        <w:t>63</w:t>
      </w:r>
    </w:p>
    <w:p>
      <w:pPr>
        <w:spacing w:line="276" w:lineRule="auto" w:after="40" w:before="40"/>
      </w:pPr>
      <w:r>
        <w:rPr>
          <w:rFonts w:ascii="Times New Roman" w:hAnsi="Times New Roman"/>
          <w:b/>
          <w:sz w:val="23"/>
        </w:rPr>
        <w:t>CHAPTER 5: DOCUMENT INGESTION, PARSING, AND FEATURE EXTRACTION</w:t>
      </w:r>
      <w:r>
        <w:rPr>
          <w:rFonts w:ascii="Times New Roman" w:hAnsi="Times New Roman"/>
          <w:color w:val="505050"/>
          <w:sz w:val="18"/>
        </w:rPr>
        <w:t xml:space="preserve"> .............. </w:t>
      </w:r>
      <w:r>
        <w:rPr>
          <w:rFonts w:ascii="Times New Roman" w:hAnsi="Times New Roman"/>
          <w:b/>
          <w:sz w:val="22"/>
        </w:rPr>
        <w:t>66</w:t>
      </w:r>
    </w:p>
    <w:p>
      <w:pPr>
        <w:spacing w:line="276" w:lineRule="auto" w:after="40" w:before="40"/>
      </w:pPr>
      <w:r>
        <w:rPr>
          <w:rFonts w:ascii="Times New Roman" w:hAnsi="Times New Roman"/>
          <w:b w:val="0"/>
          <w:sz w:val="22"/>
        </w:rPr>
        <w:t xml:space="preserve">    5.1 Multi-Format Document Ingestion Engine</w:t>
      </w:r>
      <w:r>
        <w:rPr>
          <w:rFonts w:ascii="Times New Roman" w:hAnsi="Times New Roman"/>
          <w:color w:val="505050"/>
          <w:sz w:val="18"/>
        </w:rPr>
        <w:t xml:space="preserve"> ............................ </w:t>
      </w:r>
      <w:r>
        <w:rPr>
          <w:rFonts w:ascii="Times New Roman" w:hAnsi="Times New Roman"/>
          <w:b w:val="0"/>
          <w:sz w:val="22"/>
        </w:rPr>
        <w:t>66</w:t>
      </w:r>
    </w:p>
    <w:p>
      <w:pPr>
        <w:spacing w:line="276" w:lineRule="auto" w:after="40" w:before="40"/>
      </w:pPr>
      <w:r>
        <w:rPr>
          <w:rFonts w:ascii="Times New Roman" w:hAnsi="Times New Roman"/>
          <w:b w:val="0"/>
          <w:sz w:val="22"/>
        </w:rPr>
        <w:t xml:space="preserve">    5.2 Document Validation, Sanitization, and Boundary Enforcement</w:t>
      </w:r>
      <w:r>
        <w:rPr>
          <w:rFonts w:ascii="Times New Roman" w:hAnsi="Times New Roman"/>
          <w:color w:val="505050"/>
          <w:sz w:val="18"/>
        </w:rPr>
        <w:t xml:space="preserve"> ......... </w:t>
      </w:r>
      <w:r>
        <w:rPr>
          <w:rFonts w:ascii="Times New Roman" w:hAnsi="Times New Roman"/>
          <w:b w:val="0"/>
          <w:sz w:val="22"/>
        </w:rPr>
        <w:t>68</w:t>
      </w:r>
    </w:p>
    <w:p>
      <w:pPr>
        <w:spacing w:line="276" w:lineRule="auto" w:after="40" w:before="40"/>
      </w:pPr>
      <w:r>
        <w:rPr>
          <w:rFonts w:ascii="Times New Roman" w:hAnsi="Times New Roman"/>
          <w:b w:val="0"/>
          <w:sz w:val="22"/>
        </w:rPr>
        <w:t xml:space="preserve">    5.3 Patent-Aware Structural Chunking and Section Detection</w:t>
      </w:r>
      <w:r>
        <w:rPr>
          <w:rFonts w:ascii="Times New Roman" w:hAnsi="Times New Roman"/>
          <w:color w:val="505050"/>
          <w:sz w:val="18"/>
        </w:rPr>
        <w:t xml:space="preserve"> .............. </w:t>
      </w:r>
      <w:r>
        <w:rPr>
          <w:rFonts w:ascii="Times New Roman" w:hAnsi="Times New Roman"/>
          <w:b w:val="0"/>
          <w:sz w:val="22"/>
        </w:rPr>
        <w:t>70</w:t>
      </w:r>
    </w:p>
    <w:p>
      <w:pPr>
        <w:spacing w:line="276" w:lineRule="auto" w:after="40" w:before="40"/>
      </w:pPr>
      <w:r>
        <w:rPr>
          <w:rFonts w:ascii="Times New Roman" w:hAnsi="Times New Roman"/>
          <w:b w:val="0"/>
          <w:sz w:val="22"/>
        </w:rPr>
        <w:t xml:space="preserve">    5.4 Technical Feature Extraction and Decomposition Hierarchy</w:t>
      </w:r>
      <w:r>
        <w:rPr>
          <w:rFonts w:ascii="Times New Roman" w:hAnsi="Times New Roman"/>
          <w:color w:val="505050"/>
          <w:sz w:val="18"/>
        </w:rPr>
        <w:t xml:space="preserve"> ............ </w:t>
      </w:r>
      <w:r>
        <w:rPr>
          <w:rFonts w:ascii="Times New Roman" w:hAnsi="Times New Roman"/>
          <w:b w:val="0"/>
          <w:sz w:val="22"/>
        </w:rPr>
        <w:t>73</w:t>
      </w:r>
    </w:p>
    <w:p>
      <w:pPr>
        <w:spacing w:line="276" w:lineRule="auto" w:after="40" w:before="40"/>
      </w:pPr>
      <w:r>
        <w:rPr>
          <w:rFonts w:ascii="Times New Roman" w:hAnsi="Times New Roman"/>
          <w:b w:val="0"/>
          <w:sz w:val="22"/>
        </w:rPr>
        <w:t xml:space="preserve">    5.5 Feature Confidence Scoring and Verbatim Traceability</w:t>
      </w:r>
      <w:r>
        <w:rPr>
          <w:rFonts w:ascii="Times New Roman" w:hAnsi="Times New Roman"/>
          <w:color w:val="505050"/>
          <w:sz w:val="18"/>
        </w:rPr>
        <w:t xml:space="preserve"> ................ </w:t>
      </w:r>
      <w:r>
        <w:rPr>
          <w:rFonts w:ascii="Times New Roman" w:hAnsi="Times New Roman"/>
          <w:b w:val="0"/>
          <w:sz w:val="22"/>
        </w:rPr>
        <w:t>76</w:t>
      </w:r>
    </w:p>
    <w:p>
      <w:pPr>
        <w:spacing w:line="276" w:lineRule="auto" w:after="40" w:before="40"/>
      </w:pPr>
      <w:r>
        <w:rPr>
          <w:rFonts w:ascii="Times New Roman" w:hAnsi="Times New Roman"/>
          <w:b/>
          <w:sz w:val="23"/>
        </w:rPr>
        <w:t>CHAPTER 6: HYBRID PRIOR-ART RETRIEVAL, FUSION, AND RERANKING</w:t>
      </w:r>
      <w:r>
        <w:rPr>
          <w:rFonts w:ascii="Times New Roman" w:hAnsi="Times New Roman"/>
          <w:color w:val="505050"/>
          <w:sz w:val="18"/>
        </w:rPr>
        <w:t xml:space="preserve"> ................ </w:t>
      </w:r>
      <w:r>
        <w:rPr>
          <w:rFonts w:ascii="Times New Roman" w:hAnsi="Times New Roman"/>
          <w:b/>
          <w:sz w:val="22"/>
        </w:rPr>
        <w:t>79</w:t>
      </w:r>
    </w:p>
    <w:p>
      <w:pPr>
        <w:spacing w:line="276" w:lineRule="auto" w:after="40" w:before="40"/>
      </w:pPr>
      <w:r>
        <w:rPr>
          <w:rFonts w:ascii="Times New Roman" w:hAnsi="Times New Roman"/>
          <w:b w:val="0"/>
          <w:sz w:val="22"/>
        </w:rPr>
        <w:t xml:space="preserve">    6.1 Prior-Art Corpus Architecture: Baseline Development vs Real-World USPTO Pilot Corpus</w:t>
      </w:r>
      <w:r>
        <w:rPr>
          <w:rFonts w:ascii="Times New Roman" w:hAnsi="Times New Roman"/>
          <w:color w:val="505050"/>
          <w:sz w:val="18"/>
        </w:rPr>
        <w:t xml:space="preserve"> ..... </w:t>
      </w:r>
      <w:r>
        <w:rPr>
          <w:rFonts w:ascii="Times New Roman" w:hAnsi="Times New Roman"/>
          <w:b w:val="0"/>
          <w:sz w:val="22"/>
        </w:rPr>
        <w:t>79</w:t>
      </w:r>
    </w:p>
    <w:p>
      <w:pPr>
        <w:spacing w:line="276" w:lineRule="auto" w:after="40" w:before="40"/>
      </w:pPr>
      <w:r>
        <w:rPr>
          <w:rFonts w:ascii="Times New Roman" w:hAnsi="Times New Roman"/>
          <w:b w:val="0"/>
          <w:sz w:val="22"/>
        </w:rPr>
        <w:t xml:space="preserve">    6.2 Dense Semantic Retrieval via BGE Embeddings and Qdrant</w:t>
      </w:r>
      <w:r>
        <w:rPr>
          <w:rFonts w:ascii="Times New Roman" w:hAnsi="Times New Roman"/>
          <w:color w:val="505050"/>
          <w:sz w:val="18"/>
        </w:rPr>
        <w:t xml:space="preserve"> .............. </w:t>
      </w:r>
      <w:r>
        <w:rPr>
          <w:rFonts w:ascii="Times New Roman" w:hAnsi="Times New Roman"/>
          <w:b w:val="0"/>
          <w:sz w:val="22"/>
        </w:rPr>
        <w:t>81</w:t>
      </w:r>
    </w:p>
    <w:p>
      <w:pPr>
        <w:spacing w:line="276" w:lineRule="auto" w:after="40" w:before="40"/>
      </w:pPr>
      <w:r>
        <w:rPr>
          <w:rFonts w:ascii="Times New Roman" w:hAnsi="Times New Roman"/>
          <w:b w:val="0"/>
          <w:sz w:val="22"/>
        </w:rPr>
        <w:t xml:space="preserve">    6.3 Sparse Lexical Retrieval via Okapi BM25</w:t>
      </w:r>
      <w:r>
        <w:rPr>
          <w:rFonts w:ascii="Times New Roman" w:hAnsi="Times New Roman"/>
          <w:color w:val="505050"/>
          <w:sz w:val="18"/>
        </w:rPr>
        <w:t xml:space="preserve"> ........................... </w:t>
      </w:r>
      <w:r>
        <w:rPr>
          <w:rFonts w:ascii="Times New Roman" w:hAnsi="Times New Roman"/>
          <w:b w:val="0"/>
          <w:sz w:val="22"/>
        </w:rPr>
        <w:t>83</w:t>
      </w:r>
    </w:p>
    <w:p>
      <w:pPr>
        <w:spacing w:line="276" w:lineRule="auto" w:after="40" w:before="40"/>
      </w:pPr>
      <w:r>
        <w:rPr>
          <w:rFonts w:ascii="Times New Roman" w:hAnsi="Times New Roman"/>
          <w:b w:val="0"/>
          <w:sz w:val="22"/>
        </w:rPr>
        <w:t xml:space="preserve">    6.4 Reciprocal Rank Fusion (RRF) Formulation</w:t>
      </w:r>
      <w:r>
        <w:rPr>
          <w:rFonts w:ascii="Times New Roman" w:hAnsi="Times New Roman"/>
          <w:color w:val="505050"/>
          <w:sz w:val="18"/>
        </w:rPr>
        <w:t xml:space="preserve"> .......................... </w:t>
      </w:r>
      <w:r>
        <w:rPr>
          <w:rFonts w:ascii="Times New Roman" w:hAnsi="Times New Roman"/>
          <w:b w:val="0"/>
          <w:sz w:val="22"/>
        </w:rPr>
        <w:t>85</w:t>
      </w:r>
    </w:p>
    <w:p>
      <w:pPr>
        <w:spacing w:line="276" w:lineRule="auto" w:after="40" w:before="40"/>
      </w:pPr>
      <w:r>
        <w:rPr>
          <w:rFonts w:ascii="Times New Roman" w:hAnsi="Times New Roman"/>
          <w:b w:val="0"/>
          <w:sz w:val="22"/>
        </w:rPr>
        <w:t xml:space="preserve">    6.5 Cross-Encoder BGE Neural Reranking</w:t>
      </w:r>
      <w:r>
        <w:rPr>
          <w:rFonts w:ascii="Times New Roman" w:hAnsi="Times New Roman"/>
          <w:color w:val="505050"/>
          <w:sz w:val="18"/>
        </w:rPr>
        <w:t xml:space="preserve"> ................................ </w:t>
      </w:r>
      <w:r>
        <w:rPr>
          <w:rFonts w:ascii="Times New Roman" w:hAnsi="Times New Roman"/>
          <w:b w:val="0"/>
          <w:sz w:val="22"/>
        </w:rPr>
        <w:t>88</w:t>
      </w:r>
    </w:p>
    <w:p>
      <w:pPr>
        <w:spacing w:line="276" w:lineRule="auto" w:after="40" w:before="40"/>
      </w:pPr>
      <w:r>
        <w:rPr>
          <w:rFonts w:ascii="Times New Roman" w:hAnsi="Times New Roman"/>
          <w:b w:val="0"/>
          <w:sz w:val="22"/>
        </w:rPr>
        <w:t xml:space="preserve">    6.6 Top-K Evidence Passage Selection and Contextual Filtering</w:t>
      </w:r>
      <w:r>
        <w:rPr>
          <w:rFonts w:ascii="Times New Roman" w:hAnsi="Times New Roman"/>
          <w:color w:val="505050"/>
          <w:sz w:val="18"/>
        </w:rPr>
        <w:t xml:space="preserve"> ........... </w:t>
      </w:r>
      <w:r>
        <w:rPr>
          <w:rFonts w:ascii="Times New Roman" w:hAnsi="Times New Roman"/>
          <w:b w:val="0"/>
          <w:sz w:val="22"/>
        </w:rPr>
        <w:t>91</w:t>
      </w:r>
    </w:p>
    <w:p>
      <w:pPr>
        <w:spacing w:line="276" w:lineRule="auto" w:after="40" w:before="40"/>
      </w:pPr>
      <w:r>
        <w:rPr>
          <w:rFonts w:ascii="Times New Roman" w:hAnsi="Times New Roman"/>
          <w:b/>
          <w:sz w:val="23"/>
        </w:rPr>
        <w:t>CHAPTER 7: FEATURE-TO-EVIDENCE MAPPING AND EVIDENCE MATRIX</w:t>
      </w:r>
      <w:r>
        <w:rPr>
          <w:rFonts w:ascii="Times New Roman" w:hAnsi="Times New Roman"/>
          <w:color w:val="505050"/>
          <w:sz w:val="18"/>
        </w:rPr>
        <w:t xml:space="preserve"> ................. </w:t>
      </w:r>
      <w:r>
        <w:rPr>
          <w:rFonts w:ascii="Times New Roman" w:hAnsi="Times New Roman"/>
          <w:b/>
          <w:sz w:val="22"/>
        </w:rPr>
        <w:t>94</w:t>
      </w:r>
    </w:p>
    <w:p>
      <w:pPr>
        <w:spacing w:line="276" w:lineRule="auto" w:after="40" w:before="40"/>
      </w:pPr>
      <w:r>
        <w:rPr>
          <w:rFonts w:ascii="Times New Roman" w:hAnsi="Times New Roman"/>
          <w:b w:val="0"/>
          <w:sz w:val="22"/>
        </w:rPr>
        <w:t xml:space="preserve">    7.1 Controlled Vocabulary of Evidence Relationships</w:t>
      </w:r>
      <w:r>
        <w:rPr>
          <w:rFonts w:ascii="Times New Roman" w:hAnsi="Times New Roman"/>
          <w:color w:val="505050"/>
          <w:sz w:val="18"/>
        </w:rPr>
        <w:t xml:space="preserve"> .................... </w:t>
      </w:r>
      <w:r>
        <w:rPr>
          <w:rFonts w:ascii="Times New Roman" w:hAnsi="Times New Roman"/>
          <w:b w:val="0"/>
          <w:sz w:val="22"/>
        </w:rPr>
        <w:t>94</w:t>
      </w:r>
    </w:p>
    <w:p>
      <w:pPr>
        <w:spacing w:line="276" w:lineRule="auto" w:after="40" w:before="40"/>
      </w:pPr>
      <w:r>
        <w:rPr>
          <w:rFonts w:ascii="Times New Roman" w:hAnsi="Times New Roman"/>
          <w:b w:val="0"/>
          <w:sz w:val="22"/>
        </w:rPr>
        <w:t xml:space="preserve">    7.2 Multi-Signal Correspondence Scoring Formulation</w:t>
      </w:r>
      <w:r>
        <w:rPr>
          <w:rFonts w:ascii="Times New Roman" w:hAnsi="Times New Roman"/>
          <w:color w:val="505050"/>
          <w:sz w:val="18"/>
        </w:rPr>
        <w:t xml:space="preserve"> .................... </w:t>
      </w:r>
      <w:r>
        <w:rPr>
          <w:rFonts w:ascii="Times New Roman" w:hAnsi="Times New Roman"/>
          <w:b w:val="0"/>
          <w:sz w:val="22"/>
        </w:rPr>
        <w:t>97</w:t>
      </w:r>
    </w:p>
    <w:p>
      <w:pPr>
        <w:spacing w:line="276" w:lineRule="auto" w:after="40" w:before="40"/>
      </w:pPr>
      <w:r>
        <w:rPr>
          <w:rFonts w:ascii="Times New Roman" w:hAnsi="Times New Roman"/>
          <w:b w:val="0"/>
          <w:sz w:val="22"/>
        </w:rPr>
        <w:t xml:space="preserve">    7.3 Threshold Calibration and Non-Material Contextual Exclusion</w:t>
      </w:r>
      <w:r>
        <w:rPr>
          <w:rFonts w:ascii="Times New Roman" w:hAnsi="Times New Roman"/>
          <w:color w:val="505050"/>
          <w:sz w:val="18"/>
        </w:rPr>
        <w:t xml:space="preserve"> ......... </w:t>
      </w:r>
      <w:r>
        <w:rPr>
          <w:rFonts w:ascii="Times New Roman" w:hAnsi="Times New Roman"/>
          <w:b w:val="0"/>
          <w:sz w:val="22"/>
        </w:rPr>
        <w:t>100</w:t>
      </w:r>
    </w:p>
    <w:p>
      <w:pPr>
        <w:spacing w:line="276" w:lineRule="auto" w:after="40" w:before="40"/>
      </w:pPr>
      <w:r>
        <w:rPr>
          <w:rFonts w:ascii="Times New Roman" w:hAnsi="Times New Roman"/>
          <w:b w:val="0"/>
          <w:sz w:val="22"/>
        </w:rPr>
        <w:t xml:space="preserve">    7.4 Two-Dimensional Evidence Matrix Architecture</w:t>
      </w:r>
      <w:r>
        <w:rPr>
          <w:rFonts w:ascii="Times New Roman" w:hAnsi="Times New Roman"/>
          <w:color w:val="505050"/>
          <w:sz w:val="18"/>
        </w:rPr>
        <w:t xml:space="preserve"> ....................... </w:t>
      </w:r>
      <w:r>
        <w:rPr>
          <w:rFonts w:ascii="Times New Roman" w:hAnsi="Times New Roman"/>
          <w:b w:val="0"/>
          <w:sz w:val="22"/>
        </w:rPr>
        <w:t>103</w:t>
      </w:r>
    </w:p>
    <w:p>
      <w:pPr>
        <w:spacing w:line="276" w:lineRule="auto" w:after="40" w:before="40"/>
      </w:pPr>
      <w:r>
        <w:rPr>
          <w:rFonts w:ascii="Times New Roman" w:hAnsi="Times New Roman"/>
          <w:b w:val="0"/>
          <w:sz w:val="22"/>
        </w:rPr>
        <w:t xml:space="preserve">    7.5 Granular Provenance Chains and Auditability</w:t>
      </w:r>
      <w:r>
        <w:rPr>
          <w:rFonts w:ascii="Times New Roman" w:hAnsi="Times New Roman"/>
          <w:color w:val="505050"/>
          <w:sz w:val="18"/>
        </w:rPr>
        <w:t xml:space="preserve"> ........................ </w:t>
      </w:r>
      <w:r>
        <w:rPr>
          <w:rFonts w:ascii="Times New Roman" w:hAnsi="Times New Roman"/>
          <w:b w:val="0"/>
          <w:sz w:val="22"/>
        </w:rPr>
        <w:t>106</w:t>
      </w:r>
    </w:p>
    <w:p>
      <w:pPr>
        <w:spacing w:line="276" w:lineRule="auto" w:after="40" w:before="40"/>
      </w:pPr>
      <w:r>
        <w:rPr>
          <w:rFonts w:ascii="Times New Roman" w:hAnsi="Times New Roman"/>
          <w:b/>
          <w:sz w:val="23"/>
        </w:rPr>
        <w:t>CHAPTER 8: EVIDENCE-BASED PATENT READINESS ENGINE (EB-PRE)</w:t>
      </w:r>
      <w:r>
        <w:rPr>
          <w:rFonts w:ascii="Times New Roman" w:hAnsi="Times New Roman"/>
          <w:color w:val="505050"/>
          <w:sz w:val="18"/>
        </w:rPr>
        <w:t xml:space="preserve"> ................. </w:t>
      </w:r>
      <w:r>
        <w:rPr>
          <w:rFonts w:ascii="Times New Roman" w:hAnsi="Times New Roman"/>
          <w:b/>
          <w:sz w:val="22"/>
        </w:rPr>
        <w:t>109</w:t>
      </w:r>
    </w:p>
    <w:p>
      <w:pPr>
        <w:spacing w:line="276" w:lineRule="auto" w:after="40" w:before="40"/>
      </w:pPr>
      <w:r>
        <w:rPr>
          <w:rFonts w:ascii="Times New Roman" w:hAnsi="Times New Roman"/>
          <w:b w:val="0"/>
          <w:sz w:val="22"/>
        </w:rPr>
        <w:t xml:space="preserve">    8.1 Mathematical Formalism of EB-PRE Scoring</w:t>
      </w:r>
      <w:r>
        <w:rPr>
          <w:rFonts w:ascii="Times New Roman" w:hAnsi="Times New Roman"/>
          <w:color w:val="505050"/>
          <w:sz w:val="18"/>
        </w:rPr>
        <w:t xml:space="preserve"> .......................... </w:t>
      </w:r>
      <w:r>
        <w:rPr>
          <w:rFonts w:ascii="Times New Roman" w:hAnsi="Times New Roman"/>
          <w:b w:val="0"/>
          <w:sz w:val="22"/>
        </w:rPr>
        <w:t>109</w:t>
      </w:r>
    </w:p>
    <w:p>
      <w:pPr>
        <w:spacing w:line="276" w:lineRule="auto" w:after="40" w:before="40"/>
      </w:pPr>
      <w:r>
        <w:rPr>
          <w:rFonts w:ascii="Times New Roman" w:hAnsi="Times New Roman"/>
          <w:b w:val="0"/>
          <w:sz w:val="22"/>
        </w:rPr>
        <w:t xml:space="preserve">    8.2 Dimension 1: Feature Novelty Score (30% Weight)</w:t>
      </w:r>
      <w:r>
        <w:rPr>
          <w:rFonts w:ascii="Times New Roman" w:hAnsi="Times New Roman"/>
          <w:color w:val="505050"/>
          <w:sz w:val="18"/>
        </w:rPr>
        <w:t xml:space="preserve"> .................... </w:t>
      </w:r>
      <w:r>
        <w:rPr>
          <w:rFonts w:ascii="Times New Roman" w:hAnsi="Times New Roman"/>
          <w:b w:val="0"/>
          <w:sz w:val="22"/>
        </w:rPr>
        <w:t>111</w:t>
      </w:r>
    </w:p>
    <w:p>
      <w:pPr>
        <w:spacing w:line="276" w:lineRule="auto" w:after="40" w:before="40"/>
      </w:pPr>
      <w:r>
        <w:rPr>
          <w:rFonts w:ascii="Times New Roman" w:hAnsi="Times New Roman"/>
          <w:b w:val="0"/>
          <w:sz w:val="22"/>
        </w:rPr>
        <w:t xml:space="preserve">    8.3 Dimension 2: Prior-Art Overlap Density (20% Weight)</w:t>
      </w:r>
      <w:r>
        <w:rPr>
          <w:rFonts w:ascii="Times New Roman" w:hAnsi="Times New Roman"/>
          <w:color w:val="505050"/>
          <w:sz w:val="18"/>
        </w:rPr>
        <w:t xml:space="preserve"> ................ </w:t>
      </w:r>
      <w:r>
        <w:rPr>
          <w:rFonts w:ascii="Times New Roman" w:hAnsi="Times New Roman"/>
          <w:b w:val="0"/>
          <w:sz w:val="22"/>
        </w:rPr>
        <w:t>114</w:t>
      </w:r>
    </w:p>
    <w:p>
      <w:pPr>
        <w:spacing w:line="276" w:lineRule="auto" w:after="40" w:before="40"/>
      </w:pPr>
      <w:r>
        <w:rPr>
          <w:rFonts w:ascii="Times New Roman" w:hAnsi="Times New Roman"/>
          <w:b w:val="0"/>
          <w:sz w:val="22"/>
        </w:rPr>
        <w:t xml:space="preserve">    8.4 Dimension 3: Technical Differentiation Ratio (20% Weight)</w:t>
      </w:r>
      <w:r>
        <w:rPr>
          <w:rFonts w:ascii="Times New Roman" w:hAnsi="Times New Roman"/>
          <w:color w:val="505050"/>
          <w:sz w:val="18"/>
        </w:rPr>
        <w:t xml:space="preserve"> ........... </w:t>
      </w:r>
      <w:r>
        <w:rPr>
          <w:rFonts w:ascii="Times New Roman" w:hAnsi="Times New Roman"/>
          <w:b w:val="0"/>
          <w:sz w:val="22"/>
        </w:rPr>
        <w:t>117</w:t>
      </w:r>
    </w:p>
    <w:p>
      <w:pPr>
        <w:spacing w:line="276" w:lineRule="auto" w:after="40" w:before="40"/>
      </w:pPr>
      <w:r>
        <w:rPr>
          <w:rFonts w:ascii="Times New Roman" w:hAnsi="Times New Roman"/>
          <w:b w:val="0"/>
          <w:sz w:val="22"/>
        </w:rPr>
        <w:t xml:space="preserve">    8.5 Dimension 4: Innovation Characteristics (15% Weight)</w:t>
      </w:r>
      <w:r>
        <w:rPr>
          <w:rFonts w:ascii="Times New Roman" w:hAnsi="Times New Roman"/>
          <w:color w:val="505050"/>
          <w:sz w:val="18"/>
        </w:rPr>
        <w:t xml:space="preserve"> ................ </w:t>
      </w:r>
      <w:r>
        <w:rPr>
          <w:rFonts w:ascii="Times New Roman" w:hAnsi="Times New Roman"/>
          <w:b w:val="0"/>
          <w:sz w:val="22"/>
        </w:rPr>
        <w:t>120</w:t>
      </w:r>
    </w:p>
    <w:p>
      <w:pPr>
        <w:spacing w:line="276" w:lineRule="auto" w:after="40" w:before="40"/>
      </w:pPr>
      <w:r>
        <w:rPr>
          <w:rFonts w:ascii="Times New Roman" w:hAnsi="Times New Roman"/>
          <w:b w:val="0"/>
          <w:sz w:val="22"/>
        </w:rPr>
        <w:t xml:space="preserve">    8.6 Dimension 5: Documentation Quality and Completeness (10% Weight)</w:t>
      </w:r>
      <w:r>
        <w:rPr>
          <w:rFonts w:ascii="Times New Roman" w:hAnsi="Times New Roman"/>
          <w:color w:val="505050"/>
          <w:sz w:val="18"/>
        </w:rPr>
        <w:t xml:space="preserve"> ..... </w:t>
      </w:r>
      <w:r>
        <w:rPr>
          <w:rFonts w:ascii="Times New Roman" w:hAnsi="Times New Roman"/>
          <w:b w:val="0"/>
          <w:sz w:val="22"/>
        </w:rPr>
        <w:t>123</w:t>
      </w:r>
    </w:p>
    <w:p>
      <w:pPr>
        <w:spacing w:line="276" w:lineRule="auto" w:after="40" w:before="40"/>
      </w:pPr>
      <w:r>
        <w:rPr>
          <w:rFonts w:ascii="Times New Roman" w:hAnsi="Times New Roman"/>
          <w:b w:val="0"/>
          <w:sz w:val="22"/>
        </w:rPr>
        <w:t xml:space="preserve">    8.7 Dimension 6: Commercial and Industrial Potential (5% Weight)</w:t>
      </w:r>
      <w:r>
        <w:rPr>
          <w:rFonts w:ascii="Times New Roman" w:hAnsi="Times New Roman"/>
          <w:color w:val="505050"/>
          <w:sz w:val="18"/>
        </w:rPr>
        <w:t xml:space="preserve"> ........ </w:t>
      </w:r>
      <w:r>
        <w:rPr>
          <w:rFonts w:ascii="Times New Roman" w:hAnsi="Times New Roman"/>
          <w:b w:val="0"/>
          <w:sz w:val="22"/>
        </w:rPr>
        <w:t>126</w:t>
      </w:r>
    </w:p>
    <w:p>
      <w:pPr>
        <w:spacing w:line="276" w:lineRule="auto" w:after="40" w:before="40"/>
      </w:pPr>
      <w:r>
        <w:rPr>
          <w:rFonts w:ascii="Times New Roman" w:hAnsi="Times New Roman"/>
          <w:b w:val="0"/>
          <w:sz w:val="22"/>
        </w:rPr>
        <w:t xml:space="preserve">    8.8 Readiness Score vs Readiness Category Mapping</w:t>
      </w:r>
      <w:r>
        <w:rPr>
          <w:rFonts w:ascii="Times New Roman" w:hAnsi="Times New Roman"/>
          <w:color w:val="505050"/>
          <w:sz w:val="18"/>
        </w:rPr>
        <w:t xml:space="preserve"> ...................... </w:t>
      </w:r>
      <w:r>
        <w:rPr>
          <w:rFonts w:ascii="Times New Roman" w:hAnsi="Times New Roman"/>
          <w:b w:val="0"/>
          <w:sz w:val="22"/>
        </w:rPr>
        <w:t>128</w:t>
      </w:r>
    </w:p>
    <w:p>
      <w:pPr>
        <w:spacing w:line="276" w:lineRule="auto" w:after="40" w:before="40"/>
      </w:pPr>
      <w:r>
        <w:rPr>
          <w:rFonts w:ascii="Times New Roman" w:hAnsi="Times New Roman"/>
          <w:b w:val="0"/>
          <w:sz w:val="22"/>
        </w:rPr>
        <w:t xml:space="preserve">    8.9 Assessment Confidence Calculation and Uncertainty Flags</w:t>
      </w:r>
      <w:r>
        <w:rPr>
          <w:rFonts w:ascii="Times New Roman" w:hAnsi="Times New Roman"/>
          <w:color w:val="505050"/>
          <w:sz w:val="18"/>
        </w:rPr>
        <w:t xml:space="preserve"> ............. </w:t>
      </w:r>
      <w:r>
        <w:rPr>
          <w:rFonts w:ascii="Times New Roman" w:hAnsi="Times New Roman"/>
          <w:b w:val="0"/>
          <w:sz w:val="22"/>
        </w:rPr>
        <w:t>131</w:t>
      </w:r>
    </w:p>
    <w:p>
      <w:pPr>
        <w:spacing w:line="276" w:lineRule="auto" w:after="40" w:before="40"/>
      </w:pPr>
      <w:r>
        <w:rPr>
          <w:rFonts w:ascii="Times New Roman" w:hAnsi="Times New Roman"/>
          <w:b/>
          <w:sz w:val="23"/>
        </w:rPr>
        <w:t>CHAPTER 9: GROUNDED EXPLANATION GENERATION AND REPORTING</w:t>
      </w:r>
      <w:r>
        <w:rPr>
          <w:rFonts w:ascii="Times New Roman" w:hAnsi="Times New Roman"/>
          <w:color w:val="505050"/>
          <w:sz w:val="18"/>
        </w:rPr>
        <w:t xml:space="preserve"> ................... </w:t>
      </w:r>
      <w:r>
        <w:rPr>
          <w:rFonts w:ascii="Times New Roman" w:hAnsi="Times New Roman"/>
          <w:b/>
          <w:sz w:val="22"/>
        </w:rPr>
        <w:t>134</w:t>
      </w:r>
    </w:p>
    <w:p>
      <w:pPr>
        <w:spacing w:line="276" w:lineRule="auto" w:after="40" w:before="40"/>
      </w:pPr>
      <w:r>
        <w:rPr>
          <w:rFonts w:ascii="Times New Roman" w:hAnsi="Times New Roman"/>
          <w:b w:val="0"/>
          <w:sz w:val="22"/>
        </w:rPr>
        <w:t xml:space="preserve">    9.1 Grounded RAG Architecture via Gemini 2.5 Pro</w:t>
      </w:r>
      <w:r>
        <w:rPr>
          <w:rFonts w:ascii="Times New Roman" w:hAnsi="Times New Roman"/>
          <w:color w:val="505050"/>
          <w:sz w:val="18"/>
        </w:rPr>
        <w:t xml:space="preserve"> ....................... </w:t>
      </w:r>
      <w:r>
        <w:rPr>
          <w:rFonts w:ascii="Times New Roman" w:hAnsi="Times New Roman"/>
          <w:b w:val="0"/>
          <w:sz w:val="22"/>
        </w:rPr>
        <w:t>134</w:t>
      </w:r>
    </w:p>
    <w:p>
      <w:pPr>
        <w:spacing w:line="276" w:lineRule="auto" w:after="40" w:before="40"/>
      </w:pPr>
      <w:r>
        <w:rPr>
          <w:rFonts w:ascii="Times New Roman" w:hAnsi="Times New Roman"/>
          <w:b w:val="0"/>
          <w:sz w:val="22"/>
        </w:rPr>
        <w:t xml:space="preserve">    9.2 Anti-Hallucination Prompt Constraints and Guardrails</w:t>
      </w:r>
      <w:r>
        <w:rPr>
          <w:rFonts w:ascii="Times New Roman" w:hAnsi="Times New Roman"/>
          <w:color w:val="505050"/>
          <w:sz w:val="18"/>
        </w:rPr>
        <w:t xml:space="preserve"> ................ </w:t>
      </w:r>
      <w:r>
        <w:rPr>
          <w:rFonts w:ascii="Times New Roman" w:hAnsi="Times New Roman"/>
          <w:b w:val="0"/>
          <w:sz w:val="22"/>
        </w:rPr>
        <w:t>137</w:t>
      </w:r>
    </w:p>
    <w:p>
      <w:pPr>
        <w:spacing w:line="276" w:lineRule="auto" w:after="40" w:before="40"/>
      </w:pPr>
      <w:r>
        <w:rPr>
          <w:rFonts w:ascii="Times New Roman" w:hAnsi="Times New Roman"/>
          <w:b w:val="0"/>
          <w:sz w:val="22"/>
        </w:rPr>
        <w:t xml:space="preserve">    9.3 Gemini API Quota Management and Deterministic Fallback Mode</w:t>
      </w:r>
      <w:r>
        <w:rPr>
          <w:rFonts w:ascii="Times New Roman" w:hAnsi="Times New Roman"/>
          <w:color w:val="505050"/>
          <w:sz w:val="18"/>
        </w:rPr>
        <w:t xml:space="preserve"> ......... </w:t>
      </w:r>
      <w:r>
        <w:rPr>
          <w:rFonts w:ascii="Times New Roman" w:hAnsi="Times New Roman"/>
          <w:b w:val="0"/>
          <w:sz w:val="22"/>
        </w:rPr>
        <w:t>140</w:t>
      </w:r>
    </w:p>
    <w:p>
      <w:pPr>
        <w:spacing w:line="276" w:lineRule="auto" w:after="40" w:before="40"/>
      </w:pPr>
      <w:r>
        <w:rPr>
          <w:rFonts w:ascii="Times New Roman" w:hAnsi="Times New Roman"/>
          <w:b w:val="0"/>
          <w:sz w:val="22"/>
        </w:rPr>
        <w:t xml:space="preserve">    9.4 Ten-Section Comprehensive Assessment Report Structure</w:t>
      </w:r>
      <w:r>
        <w:rPr>
          <w:rFonts w:ascii="Times New Roman" w:hAnsi="Times New Roman"/>
          <w:color w:val="505050"/>
          <w:sz w:val="18"/>
        </w:rPr>
        <w:t xml:space="preserve"> ............... </w:t>
      </w:r>
      <w:r>
        <w:rPr>
          <w:rFonts w:ascii="Times New Roman" w:hAnsi="Times New Roman"/>
          <w:b w:val="0"/>
          <w:sz w:val="22"/>
        </w:rPr>
        <w:t>143</w:t>
      </w:r>
    </w:p>
    <w:p>
      <w:pPr>
        <w:spacing w:line="276" w:lineRule="auto" w:after="40" w:before="40"/>
      </w:pPr>
      <w:r>
        <w:rPr>
          <w:rFonts w:ascii="Times New Roman" w:hAnsi="Times New Roman"/>
          <w:b w:val="0"/>
          <w:sz w:val="22"/>
        </w:rPr>
        <w:t xml:space="preserve">    9.5 Multi-Format Report Export (PDF, JSON, Markdown)</w:t>
      </w:r>
      <w:r>
        <w:rPr>
          <w:rFonts w:ascii="Times New Roman" w:hAnsi="Times New Roman"/>
          <w:color w:val="505050"/>
          <w:sz w:val="18"/>
        </w:rPr>
        <w:t xml:space="preserve"> ................... </w:t>
      </w:r>
      <w:r>
        <w:rPr>
          <w:rFonts w:ascii="Times New Roman" w:hAnsi="Times New Roman"/>
          <w:b w:val="0"/>
          <w:sz w:val="22"/>
        </w:rPr>
        <w:t>146</w:t>
      </w:r>
    </w:p>
    <w:p>
      <w:pPr>
        <w:spacing w:line="276" w:lineRule="auto" w:after="40" w:before="40"/>
      </w:pPr>
      <w:r>
        <w:rPr>
          <w:rFonts w:ascii="Times New Roman" w:hAnsi="Times New Roman"/>
          <w:b/>
          <w:sz w:val="23"/>
        </w:rPr>
        <w:t>CHAPTER 10: DATABASE DESIGN, STORAGE, AND PERSISTENCE</w:t>
      </w:r>
      <w:r>
        <w:rPr>
          <w:rFonts w:ascii="Times New Roman" w:hAnsi="Times New Roman"/>
          <w:color w:val="505050"/>
          <w:sz w:val="18"/>
        </w:rPr>
        <w:t xml:space="preserve"> ...................... </w:t>
      </w:r>
      <w:r>
        <w:rPr>
          <w:rFonts w:ascii="Times New Roman" w:hAnsi="Times New Roman"/>
          <w:b/>
          <w:sz w:val="22"/>
        </w:rPr>
        <w:t>149</w:t>
      </w:r>
    </w:p>
    <w:p>
      <w:pPr>
        <w:spacing w:line="276" w:lineRule="auto" w:after="40" w:before="40"/>
      </w:pPr>
      <w:r>
        <w:rPr>
          <w:rFonts w:ascii="Times New Roman" w:hAnsi="Times New Roman"/>
          <w:b w:val="0"/>
          <w:sz w:val="22"/>
        </w:rPr>
        <w:t xml:space="preserve">    10.1 PostgreSQL Relational Schema Architecture (9 Core Tables)</w:t>
      </w:r>
      <w:r>
        <w:rPr>
          <w:rFonts w:ascii="Times New Roman" w:hAnsi="Times New Roman"/>
          <w:color w:val="505050"/>
          <w:sz w:val="18"/>
        </w:rPr>
        <w:t xml:space="preserve"> .......... </w:t>
      </w:r>
      <w:r>
        <w:rPr>
          <w:rFonts w:ascii="Times New Roman" w:hAnsi="Times New Roman"/>
          <w:b w:val="0"/>
          <w:sz w:val="22"/>
        </w:rPr>
        <w:t>149</w:t>
      </w:r>
    </w:p>
    <w:p>
      <w:pPr>
        <w:spacing w:line="276" w:lineRule="auto" w:after="40" w:before="40"/>
      </w:pPr>
      <w:r>
        <w:rPr>
          <w:rFonts w:ascii="Times New Roman" w:hAnsi="Times New Roman"/>
          <w:b w:val="0"/>
          <w:sz w:val="22"/>
        </w:rPr>
        <w:t xml:space="preserve">    10.2 Table Definitions, Constraints, and Synthetic UUIDv5 Handling</w:t>
      </w:r>
      <w:r>
        <w:rPr>
          <w:rFonts w:ascii="Times New Roman" w:hAnsi="Times New Roman"/>
          <w:color w:val="505050"/>
          <w:sz w:val="18"/>
        </w:rPr>
        <w:t xml:space="preserve"> ....... </w:t>
      </w:r>
      <w:r>
        <w:rPr>
          <w:rFonts w:ascii="Times New Roman" w:hAnsi="Times New Roman"/>
          <w:b w:val="0"/>
          <w:sz w:val="22"/>
        </w:rPr>
        <w:t>152</w:t>
      </w:r>
    </w:p>
    <w:p>
      <w:pPr>
        <w:spacing w:line="276" w:lineRule="auto" w:after="40" w:before="40"/>
      </w:pPr>
      <w:r>
        <w:rPr>
          <w:rFonts w:ascii="Times New Roman" w:hAnsi="Times New Roman"/>
          <w:b w:val="0"/>
          <w:sz w:val="22"/>
        </w:rPr>
        <w:t xml:space="preserve">    10.3 Row Level Security Policies and Dual USING / WITH CHECK Guarantees</w:t>
      </w:r>
      <w:r>
        <w:rPr>
          <w:rFonts w:ascii="Times New Roman" w:hAnsi="Times New Roman"/>
          <w:color w:val="505050"/>
          <w:sz w:val="18"/>
        </w:rPr>
        <w:t xml:space="preserve"> ..... </w:t>
      </w:r>
      <w:r>
        <w:rPr>
          <w:rFonts w:ascii="Times New Roman" w:hAnsi="Times New Roman"/>
          <w:b w:val="0"/>
          <w:sz w:val="22"/>
        </w:rPr>
        <w:t>155</w:t>
      </w:r>
    </w:p>
    <w:p>
      <w:pPr>
        <w:spacing w:line="276" w:lineRule="auto" w:after="40" w:before="40"/>
      </w:pPr>
      <w:r>
        <w:rPr>
          <w:rFonts w:ascii="Times New Roman" w:hAnsi="Times New Roman"/>
          <w:b w:val="0"/>
          <w:sz w:val="22"/>
        </w:rPr>
        <w:t xml:space="preserve">    10.4 In-Memory Demo Store and Unconfigured State Handling</w:t>
      </w:r>
      <w:r>
        <w:rPr>
          <w:rFonts w:ascii="Times New Roman" w:hAnsi="Times New Roman"/>
          <w:color w:val="505050"/>
          <w:sz w:val="18"/>
        </w:rPr>
        <w:t xml:space="preserve"> ............... </w:t>
      </w:r>
      <w:r>
        <w:rPr>
          <w:rFonts w:ascii="Times New Roman" w:hAnsi="Times New Roman"/>
          <w:b w:val="0"/>
          <w:sz w:val="22"/>
        </w:rPr>
        <w:t>158</w:t>
      </w:r>
    </w:p>
    <w:p>
      <w:pPr>
        <w:spacing w:line="276" w:lineRule="auto" w:after="40" w:before="40"/>
      </w:pPr>
      <w:r>
        <w:rPr>
          <w:rFonts w:ascii="Times New Roman" w:hAnsi="Times New Roman"/>
          <w:b w:val="0"/>
          <w:sz w:val="22"/>
        </w:rPr>
        <w:t xml:space="preserve">    10.5 Database Health Monitoring and Schema Verification Endpoints</w:t>
      </w:r>
      <w:r>
        <w:rPr>
          <w:rFonts w:ascii="Times New Roman" w:hAnsi="Times New Roman"/>
          <w:color w:val="505050"/>
          <w:sz w:val="18"/>
        </w:rPr>
        <w:t xml:space="preserve"> ....... </w:t>
      </w:r>
      <w:r>
        <w:rPr>
          <w:rFonts w:ascii="Times New Roman" w:hAnsi="Times New Roman"/>
          <w:b w:val="0"/>
          <w:sz w:val="22"/>
        </w:rPr>
        <w:t>160</w:t>
      </w:r>
    </w:p>
    <w:p>
      <w:pPr>
        <w:spacing w:line="276" w:lineRule="auto" w:after="40" w:before="40"/>
      </w:pPr>
      <w:r>
        <w:rPr>
          <w:rFonts w:ascii="Times New Roman" w:hAnsi="Times New Roman"/>
          <w:b/>
          <w:sz w:val="23"/>
        </w:rPr>
        <w:t>CHAPTER 11: FRONTEND DESIGN AND API INTEGRATION</w:t>
      </w:r>
      <w:r>
        <w:rPr>
          <w:rFonts w:ascii="Times New Roman" w:hAnsi="Times New Roman"/>
          <w:color w:val="505050"/>
          <w:sz w:val="18"/>
        </w:rPr>
        <w:t xml:space="preserve"> ........................... </w:t>
      </w:r>
      <w:r>
        <w:rPr>
          <w:rFonts w:ascii="Times New Roman" w:hAnsi="Times New Roman"/>
          <w:b/>
          <w:sz w:val="22"/>
        </w:rPr>
        <w:t>163</w:t>
      </w:r>
    </w:p>
    <w:p>
      <w:pPr>
        <w:spacing w:line="276" w:lineRule="auto" w:after="40" w:before="40"/>
      </w:pPr>
      <w:r>
        <w:rPr>
          <w:rFonts w:ascii="Times New Roman" w:hAnsi="Times New Roman"/>
          <w:b w:val="0"/>
          <w:sz w:val="22"/>
        </w:rPr>
        <w:t xml:space="preserve">    11.1 Modern React 19 Architecture and Component Hierarchy</w:t>
      </w:r>
      <w:r>
        <w:rPr>
          <w:rFonts w:ascii="Times New Roman" w:hAnsi="Times New Roman"/>
          <w:color w:val="505050"/>
          <w:sz w:val="18"/>
        </w:rPr>
        <w:t xml:space="preserve"> ............... </w:t>
      </w:r>
      <w:r>
        <w:rPr>
          <w:rFonts w:ascii="Times New Roman" w:hAnsi="Times New Roman"/>
          <w:b w:val="0"/>
          <w:sz w:val="22"/>
        </w:rPr>
        <w:t>163</w:t>
      </w:r>
    </w:p>
    <w:p>
      <w:pPr>
        <w:spacing w:line="276" w:lineRule="auto" w:after="40" w:before="40"/>
      </w:pPr>
      <w:r>
        <w:rPr>
          <w:rFonts w:ascii="Times New Roman" w:hAnsi="Times New Roman"/>
          <w:b w:val="0"/>
          <w:sz w:val="22"/>
        </w:rPr>
        <w:t xml:space="preserve">    11.2 Key Views: Upload, Pipeline Monitor, Dashboard, Evidence Matrix</w:t>
      </w:r>
      <w:r>
        <w:rPr>
          <w:rFonts w:ascii="Times New Roman" w:hAnsi="Times New Roman"/>
          <w:color w:val="505050"/>
          <w:sz w:val="18"/>
        </w:rPr>
        <w:t xml:space="preserve"> ..... </w:t>
      </w:r>
      <w:r>
        <w:rPr>
          <w:rFonts w:ascii="Times New Roman" w:hAnsi="Times New Roman"/>
          <w:b w:val="0"/>
          <w:sz w:val="22"/>
        </w:rPr>
        <w:t>166</w:t>
      </w:r>
    </w:p>
    <w:p>
      <w:pPr>
        <w:spacing w:line="276" w:lineRule="auto" w:after="40" w:before="40"/>
      </w:pPr>
      <w:r>
        <w:rPr>
          <w:rFonts w:ascii="Times New Roman" w:hAnsi="Times New Roman"/>
          <w:b w:val="0"/>
          <w:sz w:val="22"/>
        </w:rPr>
        <w:t xml:space="preserve">    11.3 State Management, Real-Time Polling, and Progress Tracking</w:t>
      </w:r>
      <w:r>
        <w:rPr>
          <w:rFonts w:ascii="Times New Roman" w:hAnsi="Times New Roman"/>
          <w:color w:val="505050"/>
          <w:sz w:val="18"/>
        </w:rPr>
        <w:t xml:space="preserve"> ......... </w:t>
      </w:r>
      <w:r>
        <w:rPr>
          <w:rFonts w:ascii="Times New Roman" w:hAnsi="Times New Roman"/>
          <w:b w:val="0"/>
          <w:sz w:val="22"/>
        </w:rPr>
        <w:t>169</w:t>
      </w:r>
    </w:p>
    <w:p>
      <w:pPr>
        <w:spacing w:line="276" w:lineRule="auto" w:after="40" w:before="40"/>
      </w:pPr>
      <w:r>
        <w:rPr>
          <w:rFonts w:ascii="Times New Roman" w:hAnsi="Times New Roman"/>
          <w:b w:val="0"/>
          <w:sz w:val="22"/>
        </w:rPr>
        <w:t xml:space="preserve">    11.4 REST API Endpoint Specification and Data Contracts</w:t>
      </w:r>
      <w:r>
        <w:rPr>
          <w:rFonts w:ascii="Times New Roman" w:hAnsi="Times New Roman"/>
          <w:color w:val="505050"/>
          <w:sz w:val="18"/>
        </w:rPr>
        <w:t xml:space="preserve"> ................ </w:t>
      </w:r>
      <w:r>
        <w:rPr>
          <w:rFonts w:ascii="Times New Roman" w:hAnsi="Times New Roman"/>
          <w:b w:val="0"/>
          <w:sz w:val="22"/>
        </w:rPr>
        <w:t>172</w:t>
      </w:r>
    </w:p>
    <w:p>
      <w:pPr>
        <w:spacing w:line="276" w:lineRule="auto" w:after="40" w:before="40"/>
      </w:pPr>
      <w:r>
        <w:rPr>
          <w:rFonts w:ascii="Times New Roman" w:hAnsi="Times New Roman"/>
          <w:b w:val="0"/>
          <w:sz w:val="22"/>
        </w:rPr>
        <w:t xml:space="preserve">    11.5 Responsive Design, Dark Mode Support, and Accessibility</w:t>
      </w:r>
      <w:r>
        <w:rPr>
          <w:rFonts w:ascii="Times New Roman" w:hAnsi="Times New Roman"/>
          <w:color w:val="505050"/>
          <w:sz w:val="18"/>
        </w:rPr>
        <w:t xml:space="preserve"> ............ </w:t>
      </w:r>
      <w:r>
        <w:rPr>
          <w:rFonts w:ascii="Times New Roman" w:hAnsi="Times New Roman"/>
          <w:b w:val="0"/>
          <w:sz w:val="22"/>
        </w:rPr>
        <w:t>175</w:t>
      </w:r>
    </w:p>
    <w:p>
      <w:pPr>
        <w:spacing w:line="276" w:lineRule="auto" w:after="40" w:before="40"/>
      </w:pPr>
      <w:r>
        <w:rPr>
          <w:rFonts w:ascii="Times New Roman" w:hAnsi="Times New Roman"/>
          <w:b/>
          <w:sz w:val="23"/>
        </w:rPr>
        <w:t>CHAPTER 12: TESTING STRATEGY, EXPERIMENTAL RESULTS, AND PERFORMANCE ANALYSIS</w:t>
      </w:r>
      <w:r>
        <w:rPr>
          <w:rFonts w:ascii="Times New Roman" w:hAnsi="Times New Roman"/>
          <w:color w:val="505050"/>
          <w:sz w:val="18"/>
        </w:rPr>
        <w:t xml:space="preserve"> ..... </w:t>
      </w:r>
      <w:r>
        <w:rPr>
          <w:rFonts w:ascii="Times New Roman" w:hAnsi="Times New Roman"/>
          <w:b/>
          <w:sz w:val="22"/>
        </w:rPr>
        <w:t>178</w:t>
      </w:r>
    </w:p>
    <w:p>
      <w:pPr>
        <w:spacing w:line="276" w:lineRule="auto" w:after="40" w:before="40"/>
      </w:pPr>
      <w:r>
        <w:rPr>
          <w:rFonts w:ascii="Times New Roman" w:hAnsi="Times New Roman"/>
          <w:b w:val="0"/>
          <w:sz w:val="22"/>
        </w:rPr>
        <w:t xml:space="preserve">    12.1 Comprehensive Testing Methodology</w:t>
      </w:r>
      <w:r>
        <w:rPr>
          <w:rFonts w:ascii="Times New Roman" w:hAnsi="Times New Roman"/>
          <w:color w:val="505050"/>
          <w:sz w:val="18"/>
        </w:rPr>
        <w:t xml:space="preserve"> ................................ </w:t>
      </w:r>
      <w:r>
        <w:rPr>
          <w:rFonts w:ascii="Times New Roman" w:hAnsi="Times New Roman"/>
          <w:b w:val="0"/>
          <w:sz w:val="22"/>
        </w:rPr>
        <w:t>178</w:t>
      </w:r>
    </w:p>
    <w:p>
      <w:pPr>
        <w:spacing w:line="276" w:lineRule="auto" w:after="40" w:before="40"/>
      </w:pPr>
      <w:r>
        <w:rPr>
          <w:rFonts w:ascii="Times New Roman" w:hAnsi="Times New Roman"/>
          <w:b w:val="0"/>
          <w:sz w:val="22"/>
        </w:rPr>
        <w:t xml:space="preserve">    12.2 Verified Automated Test Suite Results (199 Tests Passing)</w:t>
      </w:r>
      <w:r>
        <w:rPr>
          <w:rFonts w:ascii="Times New Roman" w:hAnsi="Times New Roman"/>
          <w:color w:val="505050"/>
          <w:sz w:val="18"/>
        </w:rPr>
        <w:t xml:space="preserve"> .......... </w:t>
      </w:r>
      <w:r>
        <w:rPr>
          <w:rFonts w:ascii="Times New Roman" w:hAnsi="Times New Roman"/>
          <w:b w:val="0"/>
          <w:sz w:val="22"/>
        </w:rPr>
        <w:t>180</w:t>
      </w:r>
    </w:p>
    <w:p>
      <w:pPr>
        <w:spacing w:line="276" w:lineRule="auto" w:after="40" w:before="40"/>
      </w:pPr>
      <w:r>
        <w:rPr>
          <w:rFonts w:ascii="Times New Roman" w:hAnsi="Times New Roman"/>
          <w:b w:val="0"/>
          <w:sz w:val="22"/>
        </w:rPr>
        <w:t xml:space="preserve">    12.3 Real USPTO Pilot Dataset Validation and Scaled Indexing</w:t>
      </w:r>
      <w:r>
        <w:rPr>
          <w:rFonts w:ascii="Times New Roman" w:hAnsi="Times New Roman"/>
          <w:color w:val="505050"/>
          <w:sz w:val="18"/>
        </w:rPr>
        <w:t xml:space="preserve"> ............ </w:t>
      </w:r>
      <w:r>
        <w:rPr>
          <w:rFonts w:ascii="Times New Roman" w:hAnsi="Times New Roman"/>
          <w:b w:val="0"/>
          <w:sz w:val="22"/>
        </w:rPr>
        <w:t>182</w:t>
      </w:r>
    </w:p>
    <w:p>
      <w:pPr>
        <w:spacing w:line="276" w:lineRule="auto" w:after="40" w:before="40"/>
      </w:pPr>
      <w:r>
        <w:rPr>
          <w:rFonts w:ascii="Times New Roman" w:hAnsi="Times New Roman"/>
          <w:b w:val="0"/>
          <w:sz w:val="22"/>
        </w:rPr>
        <w:t xml:space="preserve">    12.4 Live Empirical Pipeline Execution Case Study</w:t>
      </w:r>
      <w:r>
        <w:rPr>
          <w:rFonts w:ascii="Times New Roman" w:hAnsi="Times New Roman"/>
          <w:color w:val="505050"/>
          <w:sz w:val="18"/>
        </w:rPr>
        <w:t xml:space="preserve"> ...................... </w:t>
      </w:r>
      <w:r>
        <w:rPr>
          <w:rFonts w:ascii="Times New Roman" w:hAnsi="Times New Roman"/>
          <w:b w:val="0"/>
          <w:sz w:val="22"/>
        </w:rPr>
        <w:t>184</w:t>
      </w:r>
    </w:p>
    <w:p>
      <w:pPr>
        <w:spacing w:line="276" w:lineRule="auto" w:after="40" w:before="40"/>
      </w:pPr>
      <w:r>
        <w:rPr>
          <w:rFonts w:ascii="Times New Roman" w:hAnsi="Times New Roman"/>
          <w:b w:val="0"/>
          <w:sz w:val="22"/>
        </w:rPr>
        <w:t xml:space="preserve">    12.5 Latency Profiling and Cold-Start Optimization (Pre-Warming)</w:t>
      </w:r>
      <w:r>
        <w:rPr>
          <w:rFonts w:ascii="Times New Roman" w:hAnsi="Times New Roman"/>
          <w:color w:val="505050"/>
          <w:sz w:val="18"/>
        </w:rPr>
        <w:t xml:space="preserve"> ........ </w:t>
      </w:r>
      <w:r>
        <w:rPr>
          <w:rFonts w:ascii="Times New Roman" w:hAnsi="Times New Roman"/>
          <w:b w:val="0"/>
          <w:sz w:val="22"/>
        </w:rPr>
        <w:t>186</w:t>
      </w:r>
    </w:p>
    <w:p>
      <w:pPr>
        <w:spacing w:line="276" w:lineRule="auto" w:after="40" w:before="40"/>
      </w:pPr>
      <w:r>
        <w:rPr>
          <w:rFonts w:ascii="Times New Roman" w:hAnsi="Times New Roman"/>
          <w:b w:val="0"/>
          <w:sz w:val="22"/>
        </w:rPr>
        <w:t xml:space="preserve">    12.6 Qualitative Case Studies on Sample Inventions</w:t>
      </w:r>
      <w:r>
        <w:rPr>
          <w:rFonts w:ascii="Times New Roman" w:hAnsi="Times New Roman"/>
          <w:color w:val="505050"/>
          <w:sz w:val="18"/>
        </w:rPr>
        <w:t xml:space="preserve"> ..................... </w:t>
      </w:r>
      <w:r>
        <w:rPr>
          <w:rFonts w:ascii="Times New Roman" w:hAnsi="Times New Roman"/>
          <w:b w:val="0"/>
          <w:sz w:val="22"/>
        </w:rPr>
        <w:t>188</w:t>
      </w:r>
    </w:p>
    <w:p>
      <w:pPr>
        <w:spacing w:line="276" w:lineRule="auto" w:after="40" w:before="40"/>
      </w:pPr>
      <w:r>
        <w:rPr>
          <w:rFonts w:ascii="Times New Roman" w:hAnsi="Times New Roman"/>
          <w:b w:val="0"/>
          <w:sz w:val="22"/>
        </w:rPr>
        <w:t xml:space="preserve">    12.7 Ablation Study: Impact of Retrieval and Scoring Components</w:t>
      </w:r>
      <w:r>
        <w:rPr>
          <w:rFonts w:ascii="Times New Roman" w:hAnsi="Times New Roman"/>
          <w:color w:val="505050"/>
          <w:sz w:val="18"/>
        </w:rPr>
        <w:t xml:space="preserve"> ......... </w:t>
      </w:r>
      <w:r>
        <w:rPr>
          <w:rFonts w:ascii="Times New Roman" w:hAnsi="Times New Roman"/>
          <w:b w:val="0"/>
          <w:sz w:val="22"/>
        </w:rPr>
        <w:t>191</w:t>
      </w:r>
    </w:p>
    <w:p>
      <w:pPr>
        <w:spacing w:line="276" w:lineRule="auto" w:after="40" w:before="40"/>
      </w:pPr>
      <w:r>
        <w:rPr>
          <w:rFonts w:ascii="Times New Roman" w:hAnsi="Times New Roman"/>
          <w:b/>
          <w:sz w:val="23"/>
        </w:rPr>
        <w:t>CHAPTER 13: CONCLUSION AND FUTURE WORK</w:t>
      </w:r>
      <w:r>
        <w:rPr>
          <w:rFonts w:ascii="Times New Roman" w:hAnsi="Times New Roman"/>
          <w:color w:val="505050"/>
          <w:sz w:val="18"/>
        </w:rPr>
        <w:t xml:space="preserve"> ................................... </w:t>
      </w:r>
      <w:r>
        <w:rPr>
          <w:rFonts w:ascii="Times New Roman" w:hAnsi="Times New Roman"/>
          <w:b/>
          <w:sz w:val="22"/>
        </w:rPr>
        <w:t>193</w:t>
      </w:r>
    </w:p>
    <w:p>
      <w:pPr>
        <w:spacing w:line="276" w:lineRule="auto" w:after="40" w:before="40"/>
      </w:pPr>
      <w:r>
        <w:rPr>
          <w:rFonts w:ascii="Times New Roman" w:hAnsi="Times New Roman"/>
          <w:b w:val="0"/>
          <w:sz w:val="22"/>
        </w:rPr>
        <w:t xml:space="preserve">    13.1 Summary of Contributions</w:t>
      </w:r>
      <w:r>
        <w:rPr>
          <w:rFonts w:ascii="Times New Roman" w:hAnsi="Times New Roman"/>
          <w:color w:val="505050"/>
          <w:sz w:val="18"/>
        </w:rPr>
        <w:t xml:space="preserve"> ........................................ </w:t>
      </w:r>
      <w:r>
        <w:rPr>
          <w:rFonts w:ascii="Times New Roman" w:hAnsi="Times New Roman"/>
          <w:b w:val="0"/>
          <w:sz w:val="22"/>
        </w:rPr>
        <w:t>193</w:t>
      </w:r>
    </w:p>
    <w:p>
      <w:pPr>
        <w:spacing w:line="276" w:lineRule="auto" w:after="40" w:before="40"/>
      </w:pPr>
      <w:r>
        <w:rPr>
          <w:rFonts w:ascii="Times New Roman" w:hAnsi="Times New Roman"/>
          <w:b w:val="0"/>
          <w:sz w:val="22"/>
        </w:rPr>
        <w:t xml:space="preserve">    13.2 Key Technical Insights and Lessons Learned</w:t>
      </w:r>
      <w:r>
        <w:rPr>
          <w:rFonts w:ascii="Times New Roman" w:hAnsi="Times New Roman"/>
          <w:color w:val="505050"/>
          <w:sz w:val="18"/>
        </w:rPr>
        <w:t xml:space="preserve"> ........................ </w:t>
      </w:r>
      <w:r>
        <w:rPr>
          <w:rFonts w:ascii="Times New Roman" w:hAnsi="Times New Roman"/>
          <w:b w:val="0"/>
          <w:sz w:val="22"/>
        </w:rPr>
        <w:t>195</w:t>
      </w:r>
    </w:p>
    <w:p>
      <w:pPr>
        <w:spacing w:line="276" w:lineRule="auto" w:after="40" w:before="40"/>
      </w:pPr>
      <w:r>
        <w:rPr>
          <w:rFonts w:ascii="Times New Roman" w:hAnsi="Times New Roman"/>
          <w:b w:val="0"/>
          <w:sz w:val="22"/>
        </w:rPr>
        <w:t xml:space="preserve">    13.3 Realized Performance vs Planned Objectives</w:t>
      </w:r>
      <w:r>
        <w:rPr>
          <w:rFonts w:ascii="Times New Roman" w:hAnsi="Times New Roman"/>
          <w:color w:val="505050"/>
          <w:sz w:val="18"/>
        </w:rPr>
        <w:t xml:space="preserve"> ........................ </w:t>
      </w:r>
      <w:r>
        <w:rPr>
          <w:rFonts w:ascii="Times New Roman" w:hAnsi="Times New Roman"/>
          <w:b w:val="0"/>
          <w:sz w:val="22"/>
        </w:rPr>
        <w:t>197</w:t>
      </w:r>
    </w:p>
    <w:p>
      <w:pPr>
        <w:spacing w:line="276" w:lineRule="auto" w:after="40" w:before="40"/>
      </w:pPr>
      <w:r>
        <w:rPr>
          <w:rFonts w:ascii="Times New Roman" w:hAnsi="Times New Roman"/>
          <w:b w:val="0"/>
          <w:sz w:val="22"/>
        </w:rPr>
        <w:t xml:space="preserve">    13.4 Limitations and Threats to Validity</w:t>
      </w:r>
      <w:r>
        <w:rPr>
          <w:rFonts w:ascii="Times New Roman" w:hAnsi="Times New Roman"/>
          <w:color w:val="505050"/>
          <w:sz w:val="18"/>
        </w:rPr>
        <w:t xml:space="preserve"> .............................. </w:t>
      </w:r>
      <w:r>
        <w:rPr>
          <w:rFonts w:ascii="Times New Roman" w:hAnsi="Times New Roman"/>
          <w:b w:val="0"/>
          <w:sz w:val="22"/>
        </w:rPr>
        <w:t>199</w:t>
      </w:r>
    </w:p>
    <w:p>
      <w:pPr>
        <w:spacing w:line="276" w:lineRule="auto" w:after="40" w:before="40"/>
      </w:pPr>
      <w:r>
        <w:rPr>
          <w:rFonts w:ascii="Times New Roman" w:hAnsi="Times New Roman"/>
          <w:b w:val="0"/>
          <w:sz w:val="22"/>
        </w:rPr>
        <w:t xml:space="preserve">    13.5 Responsible AI, Ethical Considerations, and Legal Disclaimers</w:t>
      </w:r>
      <w:r>
        <w:rPr>
          <w:rFonts w:ascii="Times New Roman" w:hAnsi="Times New Roman"/>
          <w:color w:val="505050"/>
          <w:sz w:val="18"/>
        </w:rPr>
        <w:t xml:space="preserve"> ....... </w:t>
      </w:r>
      <w:r>
        <w:rPr>
          <w:rFonts w:ascii="Times New Roman" w:hAnsi="Times New Roman"/>
          <w:b w:val="0"/>
          <w:sz w:val="22"/>
        </w:rPr>
        <w:t>201</w:t>
      </w:r>
    </w:p>
    <w:p>
      <w:pPr>
        <w:spacing w:line="276" w:lineRule="auto" w:after="40" w:before="40"/>
      </w:pPr>
      <w:r>
        <w:rPr>
          <w:rFonts w:ascii="Times New Roman" w:hAnsi="Times New Roman"/>
          <w:b w:val="0"/>
          <w:sz w:val="22"/>
        </w:rPr>
        <w:t xml:space="preserve">    13.6 Future Research and Engineering Directions</w:t>
      </w:r>
      <w:r>
        <w:rPr>
          <w:rFonts w:ascii="Times New Roman" w:hAnsi="Times New Roman"/>
          <w:color w:val="505050"/>
          <w:sz w:val="18"/>
        </w:rPr>
        <w:t xml:space="preserve"> ........................ </w:t>
      </w:r>
      <w:r>
        <w:rPr>
          <w:rFonts w:ascii="Times New Roman" w:hAnsi="Times New Roman"/>
          <w:b w:val="0"/>
          <w:sz w:val="22"/>
        </w:rPr>
        <w:t>203</w:t>
      </w:r>
    </w:p>
    <w:p>
      <w:pPr>
        <w:spacing w:line="276" w:lineRule="auto" w:after="40" w:before="40"/>
      </w:pPr>
      <w:r>
        <w:rPr>
          <w:rFonts w:ascii="Times New Roman" w:hAnsi="Times New Roman"/>
          <w:b/>
          <w:sz w:val="23"/>
        </w:rPr>
        <w:t>REFERENCES</w:t>
      </w:r>
      <w:r>
        <w:rPr>
          <w:rFonts w:ascii="Times New Roman" w:hAnsi="Times New Roman"/>
          <w:color w:val="505050"/>
          <w:sz w:val="18"/>
        </w:rPr>
        <w:t xml:space="preserve"> ............................................................. </w:t>
      </w:r>
      <w:r>
        <w:rPr>
          <w:rFonts w:ascii="Times New Roman" w:hAnsi="Times New Roman"/>
          <w:b/>
          <w:sz w:val="22"/>
        </w:rPr>
        <w:t>206</w:t>
      </w:r>
    </w:p>
    <w:p>
      <w:pPr>
        <w:spacing w:line="276" w:lineRule="auto" w:after="40" w:before="40"/>
      </w:pPr>
      <w:r>
        <w:rPr>
          <w:rFonts w:ascii="Times New Roman" w:hAnsi="Times New Roman"/>
          <w:b/>
          <w:sz w:val="23"/>
        </w:rPr>
        <w:t>APPENDICES</w:t>
      </w:r>
      <w:r>
        <w:rPr>
          <w:rFonts w:ascii="Times New Roman" w:hAnsi="Times New Roman"/>
          <w:color w:val="505050"/>
          <w:sz w:val="18"/>
        </w:rPr>
        <w:t xml:space="preserve"> ............................................................. </w:t>
      </w:r>
      <w:r>
        <w:rPr>
          <w:rFonts w:ascii="Times New Roman" w:hAnsi="Times New Roman"/>
          <w:b/>
          <w:sz w:val="22"/>
        </w:rPr>
        <w:t>214</w:t>
      </w:r>
    </w:p>
    <w:p>
      <w:pPr>
        <w:spacing w:line="276" w:lineRule="auto" w:after="40" w:before="40"/>
      </w:pPr>
      <w:r>
        <w:rPr>
          <w:rFonts w:ascii="Times New Roman" w:hAnsi="Times New Roman"/>
          <w:b w:val="0"/>
          <w:sz w:val="22"/>
        </w:rPr>
        <w:t xml:space="preserve">    Appendix 1: API Endpoint Specification and Data Contracts</w:t>
      </w:r>
      <w:r>
        <w:rPr>
          <w:rFonts w:ascii="Times New Roman" w:hAnsi="Times New Roman"/>
          <w:color w:val="505050"/>
          <w:sz w:val="18"/>
        </w:rPr>
        <w:t xml:space="preserve"> ............... </w:t>
      </w:r>
      <w:r>
        <w:rPr>
          <w:rFonts w:ascii="Times New Roman" w:hAnsi="Times New Roman"/>
          <w:b w:val="0"/>
          <w:sz w:val="22"/>
        </w:rPr>
        <w:t>214</w:t>
      </w:r>
    </w:p>
    <w:p>
      <w:pPr>
        <w:spacing w:line="276" w:lineRule="auto" w:after="40" w:before="40"/>
      </w:pPr>
      <w:r>
        <w:rPr>
          <w:rFonts w:ascii="Times New Roman" w:hAnsi="Times New Roman"/>
          <w:b w:val="0"/>
          <w:sz w:val="22"/>
        </w:rPr>
        <w:t xml:space="preserve">    Appendix 2: PostgreSQL / Supabase Database Schema Definition</w:t>
      </w:r>
      <w:r>
        <w:rPr>
          <w:rFonts w:ascii="Times New Roman" w:hAnsi="Times New Roman"/>
          <w:color w:val="505050"/>
          <w:sz w:val="18"/>
        </w:rPr>
        <w:t xml:space="preserve"> ............ </w:t>
      </w:r>
      <w:r>
        <w:rPr>
          <w:rFonts w:ascii="Times New Roman" w:hAnsi="Times New Roman"/>
          <w:b w:val="0"/>
          <w:sz w:val="22"/>
        </w:rPr>
        <w:t>218</w:t>
      </w:r>
    </w:p>
    <w:p>
      <w:pPr>
        <w:spacing w:line="276" w:lineRule="auto" w:after="40" w:before="40"/>
      </w:pPr>
      <w:r>
        <w:rPr>
          <w:rFonts w:ascii="Times New Roman" w:hAnsi="Times New Roman"/>
          <w:b w:val="0"/>
          <w:sz w:val="22"/>
        </w:rPr>
        <w:t xml:space="preserve">    Appendix 3: Real USPTO Pilot Dataset Specifications and Ingestion Manifest</w:t>
      </w:r>
      <w:r>
        <w:rPr>
          <w:rFonts w:ascii="Times New Roman" w:hAnsi="Times New Roman"/>
          <w:color w:val="505050"/>
          <w:sz w:val="18"/>
        </w:rPr>
        <w:t xml:space="preserve"> ..... </w:t>
      </w:r>
      <w:r>
        <w:rPr>
          <w:rFonts w:ascii="Times New Roman" w:hAnsi="Times New Roman"/>
          <w:b w:val="0"/>
          <w:sz w:val="22"/>
        </w:rPr>
        <w:t>223</w:t>
      </w:r>
    </w:p>
    <w:p>
      <w:pPr>
        <w:spacing w:line="276" w:lineRule="auto" w:after="40" w:before="40"/>
      </w:pPr>
      <w:r>
        <w:rPr>
          <w:rFonts w:ascii="Times New Roman" w:hAnsi="Times New Roman"/>
          <w:b w:val="0"/>
          <w:sz w:val="22"/>
        </w:rPr>
        <w:t xml:space="preserve">    Appendix 4: Sample Test Inventions and Generated Patent Readiness Reports</w:t>
      </w:r>
      <w:r>
        <w:rPr>
          <w:rFonts w:ascii="Times New Roman" w:hAnsi="Times New Roman"/>
          <w:color w:val="505050"/>
          <w:sz w:val="18"/>
        </w:rPr>
        <w:t xml:space="preserve"> ..... </w:t>
      </w:r>
      <w:r>
        <w:rPr>
          <w:rFonts w:ascii="Times New Roman" w:hAnsi="Times New Roman"/>
          <w:b w:val="0"/>
          <w:sz w:val="22"/>
        </w:rPr>
        <w:t>226</w:t>
      </w:r>
    </w:p>
    <w:p>
      <w:r>
        <w:br w:type="page"/>
      </w:r>
    </w:p>
    <w:p>
      <w:pPr>
        <w:spacing w:before="320" w:after="360"/>
        <w:jc w:val="center"/>
      </w:pPr>
      <w:r>
        <w:rPr>
          <w:rFonts w:ascii="Times New Roman" w:hAnsi="Times New Roman"/>
          <w:b/>
          <w:sz w:val="32"/>
        </w:rPr>
        <w:t>LIST OF TABLES</w:t>
      </w:r>
    </w:p>
    <w:p>
      <w:pPr>
        <w:spacing w:line="276" w:lineRule="auto" w:after="60"/>
      </w:pPr>
      <w:r>
        <w:rPr>
          <w:rFonts w:ascii="Times New Roman" w:hAnsi="Times New Roman"/>
          <w:sz w:val="22"/>
        </w:rPr>
        <w:t>Table 2.1: Literature Synthesis Matrix of 15 Foundational Patent Analysis Works</w:t>
      </w:r>
      <w:r>
        <w:rPr>
          <w:rFonts w:ascii="Times New Roman" w:hAnsi="Times New Roman"/>
          <w:color w:val="505050"/>
          <w:sz w:val="18"/>
        </w:rPr>
        <w:t xml:space="preserve"> ........ </w:t>
      </w:r>
      <w:r>
        <w:rPr>
          <w:rFonts w:ascii="Times New Roman" w:hAnsi="Times New Roman"/>
          <w:sz w:val="22"/>
        </w:rPr>
        <w:t>32</w:t>
      </w:r>
    </w:p>
    <w:p>
      <w:pPr>
        <w:spacing w:line="276" w:lineRule="auto" w:after="60"/>
      </w:pPr>
      <w:r>
        <w:rPr>
          <w:rFonts w:ascii="Times New Roman" w:hAnsi="Times New Roman"/>
          <w:sz w:val="22"/>
        </w:rPr>
        <w:t>Table 3.1: Functional Requirements (FR-1 through FR-12) of PatentIQ</w:t>
      </w:r>
      <w:r>
        <w:rPr>
          <w:rFonts w:ascii="Times New Roman" w:hAnsi="Times New Roman"/>
          <w:color w:val="505050"/>
          <w:sz w:val="18"/>
        </w:rPr>
        <w:t xml:space="preserve"> ................. </w:t>
      </w:r>
      <w:r>
        <w:rPr>
          <w:rFonts w:ascii="Times New Roman" w:hAnsi="Times New Roman"/>
          <w:sz w:val="22"/>
        </w:rPr>
        <w:t>41</w:t>
      </w:r>
    </w:p>
    <w:p>
      <w:pPr>
        <w:spacing w:line="276" w:lineRule="auto" w:after="60"/>
      </w:pPr>
      <w:r>
        <w:rPr>
          <w:rFonts w:ascii="Times New Roman" w:hAnsi="Times New Roman"/>
          <w:sz w:val="22"/>
        </w:rPr>
        <w:t>Table 3.2: Non-Functional Requirements (NFR-1 through NFR-8) Performance Matrix</w:t>
      </w:r>
      <w:r>
        <w:rPr>
          <w:rFonts w:ascii="Times New Roman" w:hAnsi="Times New Roman"/>
          <w:color w:val="505050"/>
          <w:sz w:val="18"/>
        </w:rPr>
        <w:t xml:space="preserve"> ........ </w:t>
      </w:r>
      <w:r>
        <w:rPr>
          <w:rFonts w:ascii="Times New Roman" w:hAnsi="Times New Roman"/>
          <w:sz w:val="22"/>
        </w:rPr>
        <w:t>44</w:t>
      </w:r>
    </w:p>
    <w:p>
      <w:pPr>
        <w:spacing w:line="276" w:lineRule="auto" w:after="60"/>
      </w:pPr>
      <w:r>
        <w:rPr>
          <w:rFonts w:ascii="Times New Roman" w:hAnsi="Times New Roman"/>
          <w:sz w:val="22"/>
        </w:rPr>
        <w:t>Table 3.3: Locked Technology Stack Component Specification and Rationale</w:t>
      </w:r>
      <w:r>
        <w:rPr>
          <w:rFonts w:ascii="Times New Roman" w:hAnsi="Times New Roman"/>
          <w:color w:val="505050"/>
          <w:sz w:val="18"/>
        </w:rPr>
        <w:t xml:space="preserve"> .............. </w:t>
      </w:r>
      <w:r>
        <w:rPr>
          <w:rFonts w:ascii="Times New Roman" w:hAnsi="Times New Roman"/>
          <w:sz w:val="22"/>
        </w:rPr>
        <w:t>47</w:t>
      </w:r>
    </w:p>
    <w:p>
      <w:pPr>
        <w:spacing w:line="276" w:lineRule="auto" w:after="60"/>
      </w:pPr>
      <w:r>
        <w:rPr>
          <w:rFonts w:ascii="Times New Roman" w:hAnsi="Times New Roman"/>
          <w:sz w:val="22"/>
        </w:rPr>
        <w:t>Table 3.4: Development Patent Corpus Composition and Classification Distribution</w:t>
      </w:r>
      <w:r>
        <w:rPr>
          <w:rFonts w:ascii="Times New Roman" w:hAnsi="Times New Roman"/>
          <w:color w:val="505050"/>
          <w:sz w:val="18"/>
        </w:rPr>
        <w:t xml:space="preserve"> ........ </w:t>
      </w:r>
      <w:r>
        <w:rPr>
          <w:rFonts w:ascii="Times New Roman" w:hAnsi="Times New Roman"/>
          <w:sz w:val="22"/>
        </w:rPr>
        <w:t>50</w:t>
      </w:r>
    </w:p>
    <w:p>
      <w:pPr>
        <w:spacing w:line="276" w:lineRule="auto" w:after="60"/>
      </w:pPr>
      <w:r>
        <w:rPr>
          <w:rFonts w:ascii="Times New Roman" w:hAnsi="Times New Roman"/>
          <w:sz w:val="22"/>
        </w:rPr>
        <w:t>Table 5.1: Document Parsing Throughput and Sanitization Rules across File Types</w:t>
      </w:r>
      <w:r>
        <w:rPr>
          <w:rFonts w:ascii="Times New Roman" w:hAnsi="Times New Roman"/>
          <w:color w:val="505050"/>
          <w:sz w:val="18"/>
        </w:rPr>
        <w:t xml:space="preserve"> ........ </w:t>
      </w:r>
      <w:r>
        <w:rPr>
          <w:rFonts w:ascii="Times New Roman" w:hAnsi="Times New Roman"/>
          <w:sz w:val="22"/>
        </w:rPr>
        <w:t>69</w:t>
      </w:r>
    </w:p>
    <w:p>
      <w:pPr>
        <w:spacing w:line="276" w:lineRule="auto" w:after="60"/>
      </w:pPr>
      <w:r>
        <w:rPr>
          <w:rFonts w:ascii="Times New Roman" w:hAnsi="Times New Roman"/>
          <w:sz w:val="22"/>
        </w:rPr>
        <w:t>Table 5.2: Technical Feature Categories, Extraction Patterns, and Confidence Weights</w:t>
      </w:r>
      <w:r>
        <w:rPr>
          <w:rFonts w:ascii="Times New Roman" w:hAnsi="Times New Roman"/>
          <w:color w:val="505050"/>
          <w:sz w:val="18"/>
        </w:rPr>
        <w:t xml:space="preserve"> ..... </w:t>
      </w:r>
      <w:r>
        <w:rPr>
          <w:rFonts w:ascii="Times New Roman" w:hAnsi="Times New Roman"/>
          <w:sz w:val="22"/>
        </w:rPr>
        <w:t>74</w:t>
      </w:r>
    </w:p>
    <w:p>
      <w:pPr>
        <w:spacing w:line="276" w:lineRule="auto" w:after="60"/>
      </w:pPr>
      <w:r>
        <w:rPr>
          <w:rFonts w:ascii="Times New Roman" w:hAnsi="Times New Roman"/>
          <w:sz w:val="22"/>
        </w:rPr>
        <w:t>Table 6.1: Comparative Specifications of Baseline vs Real-World USPTO Pilot Patent Corpora</w:t>
      </w:r>
      <w:r>
        <w:rPr>
          <w:rFonts w:ascii="Times New Roman" w:hAnsi="Times New Roman"/>
          <w:color w:val="505050"/>
          <w:sz w:val="18"/>
        </w:rPr>
        <w:t xml:space="preserve"> ..... </w:t>
      </w:r>
      <w:r>
        <w:rPr>
          <w:rFonts w:ascii="Times New Roman" w:hAnsi="Times New Roman"/>
          <w:sz w:val="22"/>
        </w:rPr>
        <w:t>80</w:t>
      </w:r>
    </w:p>
    <w:p>
      <w:pPr>
        <w:spacing w:line="276" w:lineRule="auto" w:after="60"/>
      </w:pPr>
      <w:r>
        <w:rPr>
          <w:rFonts w:ascii="Times New Roman" w:hAnsi="Times New Roman"/>
          <w:sz w:val="22"/>
        </w:rPr>
        <w:t>Table 6.2: BM25 Tokenization and Parameter Calibrations for Patent Text</w:t>
      </w:r>
      <w:r>
        <w:rPr>
          <w:rFonts w:ascii="Times New Roman" w:hAnsi="Times New Roman"/>
          <w:color w:val="505050"/>
          <w:sz w:val="18"/>
        </w:rPr>
        <w:t xml:space="preserve"> .............. </w:t>
      </w:r>
      <w:r>
        <w:rPr>
          <w:rFonts w:ascii="Times New Roman" w:hAnsi="Times New Roman"/>
          <w:sz w:val="22"/>
        </w:rPr>
        <w:t>84</w:t>
      </w:r>
    </w:p>
    <w:p>
      <w:pPr>
        <w:spacing w:line="276" w:lineRule="auto" w:after="60"/>
      </w:pPr>
      <w:r>
        <w:rPr>
          <w:rFonts w:ascii="Times New Roman" w:hAnsi="Times New Roman"/>
          <w:sz w:val="22"/>
        </w:rPr>
        <w:t>Table 6.3: Retrieval Performance Comparison Across Single vs Hybrid Channels</w:t>
      </w:r>
      <w:r>
        <w:rPr>
          <w:rFonts w:ascii="Times New Roman" w:hAnsi="Times New Roman"/>
          <w:color w:val="505050"/>
          <w:sz w:val="18"/>
        </w:rPr>
        <w:t xml:space="preserve"> ........... </w:t>
      </w:r>
      <w:r>
        <w:rPr>
          <w:rFonts w:ascii="Times New Roman" w:hAnsi="Times New Roman"/>
          <w:sz w:val="22"/>
        </w:rPr>
        <w:t>90</w:t>
      </w:r>
    </w:p>
    <w:p>
      <w:pPr>
        <w:spacing w:line="276" w:lineRule="auto" w:after="60"/>
      </w:pPr>
      <w:r>
        <w:rPr>
          <w:rFonts w:ascii="Times New Roman" w:hAnsi="Times New Roman"/>
          <w:sz w:val="22"/>
        </w:rPr>
        <w:t>Table 7.1: Controlled Vocabulary of Evidence Relationships and Severity Scores</w:t>
      </w:r>
      <w:r>
        <w:rPr>
          <w:rFonts w:ascii="Times New Roman" w:hAnsi="Times New Roman"/>
          <w:color w:val="505050"/>
          <w:sz w:val="18"/>
        </w:rPr>
        <w:t xml:space="preserve"> ......... </w:t>
      </w:r>
      <w:r>
        <w:rPr>
          <w:rFonts w:ascii="Times New Roman" w:hAnsi="Times New Roman"/>
          <w:sz w:val="22"/>
        </w:rPr>
        <w:t>95</w:t>
      </w:r>
    </w:p>
    <w:p>
      <w:pPr>
        <w:spacing w:line="276" w:lineRule="auto" w:after="60"/>
      </w:pPr>
      <w:r>
        <w:rPr>
          <w:rFonts w:ascii="Times New Roman" w:hAnsi="Times New Roman"/>
          <w:sz w:val="22"/>
        </w:rPr>
        <w:t>Table 7.2: Multi-Signal Mapping Thresholds and Correspondence Classifications</w:t>
      </w:r>
      <w:r>
        <w:rPr>
          <w:rFonts w:ascii="Times New Roman" w:hAnsi="Times New Roman"/>
          <w:color w:val="505050"/>
          <w:sz w:val="18"/>
        </w:rPr>
        <w:t xml:space="preserve"> .......... </w:t>
      </w:r>
      <w:r>
        <w:rPr>
          <w:rFonts w:ascii="Times New Roman" w:hAnsi="Times New Roman"/>
          <w:sz w:val="22"/>
        </w:rPr>
        <w:t>101</w:t>
      </w:r>
    </w:p>
    <w:p>
      <w:pPr>
        <w:spacing w:line="276" w:lineRule="auto" w:after="60"/>
      </w:pPr>
      <w:r>
        <w:rPr>
          <w:rFonts w:ascii="Times New Roman" w:hAnsi="Times New Roman"/>
          <w:sz w:val="22"/>
        </w:rPr>
        <w:t>Table 8.1: Six Assessment Dimensions of the EB-PRE Scoring Engine and Weights</w:t>
      </w:r>
      <w:r>
        <w:rPr>
          <w:rFonts w:ascii="Times New Roman" w:hAnsi="Times New Roman"/>
          <w:color w:val="505050"/>
          <w:sz w:val="18"/>
        </w:rPr>
        <w:t xml:space="preserve"> .......... </w:t>
      </w:r>
      <w:r>
        <w:rPr>
          <w:rFonts w:ascii="Times New Roman" w:hAnsi="Times New Roman"/>
          <w:sz w:val="22"/>
        </w:rPr>
        <w:t>110</w:t>
      </w:r>
    </w:p>
    <w:p>
      <w:pPr>
        <w:spacing w:line="276" w:lineRule="auto" w:after="60"/>
      </w:pPr>
      <w:r>
        <w:rPr>
          <w:rFonts w:ascii="Times New Roman" w:hAnsi="Times New Roman"/>
          <w:sz w:val="22"/>
        </w:rPr>
        <w:t>Table 8.2: Readiness Category Thresholds, Qualitative Interpretations, and Action Rules</w:t>
      </w:r>
      <w:r>
        <w:rPr>
          <w:rFonts w:ascii="Times New Roman" w:hAnsi="Times New Roman"/>
          <w:color w:val="505050"/>
          <w:sz w:val="18"/>
        </w:rPr>
        <w:t xml:space="preserve"> ..... </w:t>
      </w:r>
      <w:r>
        <w:rPr>
          <w:rFonts w:ascii="Times New Roman" w:hAnsi="Times New Roman"/>
          <w:sz w:val="22"/>
        </w:rPr>
        <w:t>129</w:t>
      </w:r>
    </w:p>
    <w:p>
      <w:pPr>
        <w:spacing w:line="276" w:lineRule="auto" w:after="60"/>
      </w:pPr>
      <w:r>
        <w:rPr>
          <w:rFonts w:ascii="Times New Roman" w:hAnsi="Times New Roman"/>
          <w:sz w:val="22"/>
        </w:rPr>
        <w:t>Table 8.3: Uncertainty Flags, Trigger Criteria, and Remediation Directives</w:t>
      </w:r>
      <w:r>
        <w:rPr>
          <w:rFonts w:ascii="Times New Roman" w:hAnsi="Times New Roman"/>
          <w:color w:val="505050"/>
          <w:sz w:val="18"/>
        </w:rPr>
        <w:t xml:space="preserve"> ............ </w:t>
      </w:r>
      <w:r>
        <w:rPr>
          <w:rFonts w:ascii="Times New Roman" w:hAnsi="Times New Roman"/>
          <w:sz w:val="22"/>
        </w:rPr>
        <w:t>132</w:t>
      </w:r>
    </w:p>
    <w:p>
      <w:pPr>
        <w:spacing w:line="276" w:lineRule="auto" w:after="60"/>
      </w:pPr>
      <w:r>
        <w:rPr>
          <w:rFonts w:ascii="Times New Roman" w:hAnsi="Times New Roman"/>
          <w:sz w:val="22"/>
        </w:rPr>
        <w:t>Table 9.1: Ten-Section Structure of the Grounded Patent Readiness Report</w:t>
      </w:r>
      <w:r>
        <w:rPr>
          <w:rFonts w:ascii="Times New Roman" w:hAnsi="Times New Roman"/>
          <w:color w:val="505050"/>
          <w:sz w:val="18"/>
        </w:rPr>
        <w:t xml:space="preserve"> .............. </w:t>
      </w:r>
      <w:r>
        <w:rPr>
          <w:rFonts w:ascii="Times New Roman" w:hAnsi="Times New Roman"/>
          <w:sz w:val="22"/>
        </w:rPr>
        <w:t>144</w:t>
      </w:r>
    </w:p>
    <w:p>
      <w:pPr>
        <w:spacing w:line="276" w:lineRule="auto" w:after="60"/>
      </w:pPr>
      <w:r>
        <w:rPr>
          <w:rFonts w:ascii="Times New Roman" w:hAnsi="Times New Roman"/>
          <w:sz w:val="22"/>
        </w:rPr>
        <w:t>Table 10.1: Supabase Relational Database Tables and Foreign Key Constraints</w:t>
      </w:r>
      <w:r>
        <w:rPr>
          <w:rFonts w:ascii="Times New Roman" w:hAnsi="Times New Roman"/>
          <w:color w:val="505050"/>
          <w:sz w:val="18"/>
        </w:rPr>
        <w:t xml:space="preserve"> ........... </w:t>
      </w:r>
      <w:r>
        <w:rPr>
          <w:rFonts w:ascii="Times New Roman" w:hAnsi="Times New Roman"/>
          <w:sz w:val="22"/>
        </w:rPr>
        <w:t>150</w:t>
      </w:r>
    </w:p>
    <w:p>
      <w:pPr>
        <w:spacing w:line="276" w:lineRule="auto" w:after="60"/>
      </w:pPr>
      <w:r>
        <w:rPr>
          <w:rFonts w:ascii="Times New Roman" w:hAnsi="Times New Roman"/>
          <w:sz w:val="22"/>
        </w:rPr>
        <w:t>Table 11.1: Core REST API Endpoints and Functional Request/Response Contracts</w:t>
      </w:r>
      <w:r>
        <w:rPr>
          <w:rFonts w:ascii="Times New Roman" w:hAnsi="Times New Roman"/>
          <w:color w:val="505050"/>
          <w:sz w:val="18"/>
        </w:rPr>
        <w:t xml:space="preserve"> .......... </w:t>
      </w:r>
      <w:r>
        <w:rPr>
          <w:rFonts w:ascii="Times New Roman" w:hAnsi="Times New Roman"/>
          <w:sz w:val="22"/>
        </w:rPr>
        <w:t>173</w:t>
      </w:r>
    </w:p>
    <w:p>
      <w:pPr>
        <w:spacing w:line="276" w:lineRule="auto" w:after="60"/>
      </w:pPr>
      <w:r>
        <w:rPr>
          <w:rFonts w:ascii="Times New Roman" w:hAnsi="Times New Roman"/>
          <w:sz w:val="22"/>
        </w:rPr>
        <w:t>Table 12.1: Automated Test Suite Coverage Breakdown and Passing Status</w:t>
      </w:r>
      <w:r>
        <w:rPr>
          <w:rFonts w:ascii="Times New Roman" w:hAnsi="Times New Roman"/>
          <w:color w:val="505050"/>
          <w:sz w:val="18"/>
        </w:rPr>
        <w:t xml:space="preserve"> ............... </w:t>
      </w:r>
      <w:r>
        <w:rPr>
          <w:rFonts w:ascii="Times New Roman" w:hAnsi="Times New Roman"/>
          <w:sz w:val="22"/>
        </w:rPr>
        <w:t>181</w:t>
      </w:r>
    </w:p>
    <w:p>
      <w:pPr>
        <w:spacing w:line="276" w:lineRule="auto" w:after="60"/>
      </w:pPr>
      <w:r>
        <w:rPr>
          <w:rFonts w:ascii="Times New Roman" w:hAnsi="Times New Roman"/>
          <w:sz w:val="22"/>
        </w:rPr>
        <w:t>Table 12.2: Real USPTO Pilot Dataset Extraction and Indexing Validation Metrics</w:t>
      </w:r>
      <w:r>
        <w:rPr>
          <w:rFonts w:ascii="Times New Roman" w:hAnsi="Times New Roman"/>
          <w:color w:val="505050"/>
          <w:sz w:val="18"/>
        </w:rPr>
        <w:t xml:space="preserve"> ........ </w:t>
      </w:r>
      <w:r>
        <w:rPr>
          <w:rFonts w:ascii="Times New Roman" w:hAnsi="Times New Roman"/>
          <w:sz w:val="22"/>
        </w:rPr>
        <w:t>183</w:t>
      </w:r>
    </w:p>
    <w:p>
      <w:pPr>
        <w:spacing w:line="276" w:lineRule="auto" w:after="60"/>
      </w:pPr>
      <w:r>
        <w:rPr>
          <w:rFonts w:ascii="Times New Roman" w:hAnsi="Times New Roman"/>
          <w:sz w:val="22"/>
        </w:rPr>
        <w:t>Table 12.3: Stage-by-Stage Latency Profiling with Cold-Start vs Pre-Warmed Models</w:t>
      </w:r>
      <w:r>
        <w:rPr>
          <w:rFonts w:ascii="Times New Roman" w:hAnsi="Times New Roman"/>
          <w:color w:val="505050"/>
          <w:sz w:val="18"/>
        </w:rPr>
        <w:t xml:space="preserve"> ....... </w:t>
      </w:r>
      <w:r>
        <w:rPr>
          <w:rFonts w:ascii="Times New Roman" w:hAnsi="Times New Roman"/>
          <w:sz w:val="22"/>
        </w:rPr>
        <w:t>186</w:t>
      </w:r>
    </w:p>
    <w:p>
      <w:pPr>
        <w:spacing w:line="276" w:lineRule="auto" w:after="60"/>
      </w:pPr>
      <w:r>
        <w:rPr>
          <w:rFonts w:ascii="Times New Roman" w:hAnsi="Times New Roman"/>
          <w:sz w:val="22"/>
        </w:rPr>
        <w:t>Table 12.4: Ablation Study Results on Retrieval Quality and Evidence Matrix Accuracy</w:t>
      </w:r>
      <w:r>
        <w:rPr>
          <w:rFonts w:ascii="Times New Roman" w:hAnsi="Times New Roman"/>
          <w:color w:val="505050"/>
          <w:sz w:val="18"/>
        </w:rPr>
        <w:t xml:space="preserve"> ..... </w:t>
      </w:r>
      <w:r>
        <w:rPr>
          <w:rFonts w:ascii="Times New Roman" w:hAnsi="Times New Roman"/>
          <w:sz w:val="22"/>
        </w:rPr>
        <w:t>191</w:t>
      </w:r>
    </w:p>
    <w:p>
      <w:pPr>
        <w:spacing w:line="276" w:lineRule="auto" w:after="60"/>
      </w:pPr>
      <w:r>
        <w:rPr>
          <w:rFonts w:ascii="Times New Roman" w:hAnsi="Times New Roman"/>
          <w:sz w:val="22"/>
        </w:rPr>
        <w:t>Table A1.1: PatentIQ FastAPI Endpoints and Data Contracts Specification</w:t>
      </w:r>
      <w:r>
        <w:rPr>
          <w:rFonts w:ascii="Times New Roman" w:hAnsi="Times New Roman"/>
          <w:color w:val="505050"/>
          <w:sz w:val="18"/>
        </w:rPr>
        <w:t xml:space="preserve"> .............. </w:t>
      </w:r>
      <w:r>
        <w:rPr>
          <w:rFonts w:ascii="Times New Roman" w:hAnsi="Times New Roman"/>
          <w:sz w:val="22"/>
        </w:rPr>
        <w:t>215</w:t>
      </w:r>
    </w:p>
    <w:p>
      <w:pPr>
        <w:spacing w:line="276" w:lineRule="auto" w:after="60"/>
      </w:pPr>
      <w:r>
        <w:rPr>
          <w:rFonts w:ascii="Times New Roman" w:hAnsi="Times New Roman"/>
          <w:sz w:val="22"/>
        </w:rPr>
        <w:t>Table A3.1: Real USPTO Pilot Dataset Ingestion Manifest and Indexing Specifications</w:t>
      </w:r>
      <w:r>
        <w:rPr>
          <w:rFonts w:ascii="Times New Roman" w:hAnsi="Times New Roman"/>
          <w:color w:val="505050"/>
          <w:sz w:val="18"/>
        </w:rPr>
        <w:t xml:space="preserve"> ..... </w:t>
      </w:r>
      <w:r>
        <w:rPr>
          <w:rFonts w:ascii="Times New Roman" w:hAnsi="Times New Roman"/>
          <w:sz w:val="22"/>
        </w:rPr>
        <w:t>224</w:t>
      </w:r>
    </w:p>
    <w:p>
      <w:r>
        <w:br w:type="page"/>
      </w:r>
    </w:p>
    <w:p>
      <w:pPr>
        <w:spacing w:before="320" w:after="360"/>
        <w:jc w:val="center"/>
      </w:pPr>
      <w:r>
        <w:rPr>
          <w:rFonts w:ascii="Times New Roman" w:hAnsi="Times New Roman"/>
          <w:b/>
          <w:sz w:val="32"/>
        </w:rPr>
        <w:t>LIST OF FIGURES</w:t>
      </w:r>
    </w:p>
    <w:p>
      <w:pPr>
        <w:spacing w:line="276" w:lineRule="auto" w:after="60"/>
      </w:pPr>
      <w:r>
        <w:rPr>
          <w:rFonts w:ascii="Times New Roman" w:hAnsi="Times New Roman"/>
          <w:sz w:val="22"/>
        </w:rPr>
        <w:t>Figure 4.1: High-Level End-to-End System Architecture of PatentIQ</w:t>
      </w:r>
      <w:r>
        <w:rPr>
          <w:rFonts w:ascii="Times New Roman" w:hAnsi="Times New Roman"/>
          <w:color w:val="505050"/>
          <w:sz w:val="18"/>
        </w:rPr>
        <w:t xml:space="preserve"> ................... </w:t>
      </w:r>
      <w:r>
        <w:rPr>
          <w:rFonts w:ascii="Times New Roman" w:hAnsi="Times New Roman"/>
          <w:sz w:val="22"/>
        </w:rPr>
        <w:t>53</w:t>
      </w:r>
    </w:p>
    <w:p>
      <w:pPr>
        <w:spacing w:line="276" w:lineRule="auto" w:after="60"/>
      </w:pPr>
      <w:r>
        <w:rPr>
          <w:rFonts w:ascii="Times New Roman" w:hAnsi="Times New Roman"/>
          <w:sz w:val="22"/>
        </w:rPr>
        <w:t>Figure 4.2: End-to-End Analysis Pipeline Execution Flow and Lifecycle Stages</w:t>
      </w:r>
      <w:r>
        <w:rPr>
          <w:rFonts w:ascii="Times New Roman" w:hAnsi="Times New Roman"/>
          <w:color w:val="505050"/>
          <w:sz w:val="18"/>
        </w:rPr>
        <w:t xml:space="preserve"> ........... </w:t>
      </w:r>
      <w:r>
        <w:rPr>
          <w:rFonts w:ascii="Times New Roman" w:hAnsi="Times New Roman"/>
          <w:sz w:val="22"/>
        </w:rPr>
        <w:t>56</w:t>
      </w:r>
    </w:p>
    <w:p>
      <w:pPr>
        <w:spacing w:line="276" w:lineRule="auto" w:after="60"/>
      </w:pPr>
      <w:r>
        <w:rPr>
          <w:rFonts w:ascii="Times New Roman" w:hAnsi="Times New Roman"/>
          <w:sz w:val="22"/>
        </w:rPr>
        <w:t>Figure 5.1: Multi-Format Document Ingestion, Normalization, and Chunking Pipeline</w:t>
      </w:r>
      <w:r>
        <w:rPr>
          <w:rFonts w:ascii="Times New Roman" w:hAnsi="Times New Roman"/>
          <w:color w:val="505050"/>
          <w:sz w:val="18"/>
        </w:rPr>
        <w:t xml:space="preserve"> ....... </w:t>
      </w:r>
      <w:r>
        <w:rPr>
          <w:rFonts w:ascii="Times New Roman" w:hAnsi="Times New Roman"/>
          <w:sz w:val="22"/>
        </w:rPr>
        <w:t>71</w:t>
      </w:r>
    </w:p>
    <w:p>
      <w:pPr>
        <w:spacing w:line="276" w:lineRule="auto" w:after="60"/>
      </w:pPr>
      <w:r>
        <w:rPr>
          <w:rFonts w:ascii="Times New Roman" w:hAnsi="Times New Roman"/>
          <w:sz w:val="22"/>
        </w:rPr>
        <w:t>Figure 5.2: Technical Feature Extraction and Decomposition Hierarchy</w:t>
      </w:r>
      <w:r>
        <w:rPr>
          <w:rFonts w:ascii="Times New Roman" w:hAnsi="Times New Roman"/>
          <w:color w:val="505050"/>
          <w:sz w:val="18"/>
        </w:rPr>
        <w:t xml:space="preserve"> ................. </w:t>
      </w:r>
      <w:r>
        <w:rPr>
          <w:rFonts w:ascii="Times New Roman" w:hAnsi="Times New Roman"/>
          <w:sz w:val="22"/>
        </w:rPr>
        <w:t>75</w:t>
      </w:r>
    </w:p>
    <w:p>
      <w:pPr>
        <w:spacing w:line="276" w:lineRule="auto" w:after="60"/>
      </w:pPr>
      <w:r>
        <w:rPr>
          <w:rFonts w:ascii="Times New Roman" w:hAnsi="Times New Roman"/>
          <w:sz w:val="22"/>
        </w:rPr>
        <w:t>Figure 6.1: Dual-Channel Hybrid Prior-Art Retrieval and RRF Fusion Architecture</w:t>
      </w:r>
      <w:r>
        <w:rPr>
          <w:rFonts w:ascii="Times New Roman" w:hAnsi="Times New Roman"/>
          <w:color w:val="505050"/>
          <w:sz w:val="18"/>
        </w:rPr>
        <w:t xml:space="preserve"> ........ </w:t>
      </w:r>
      <w:r>
        <w:rPr>
          <w:rFonts w:ascii="Times New Roman" w:hAnsi="Times New Roman"/>
          <w:sz w:val="22"/>
        </w:rPr>
        <w:t>80</w:t>
      </w:r>
    </w:p>
    <w:p>
      <w:pPr>
        <w:spacing w:line="276" w:lineRule="auto" w:after="60"/>
      </w:pPr>
      <w:r>
        <w:rPr>
          <w:rFonts w:ascii="Times New Roman" w:hAnsi="Times New Roman"/>
          <w:sz w:val="22"/>
        </w:rPr>
        <w:t>Figure 6.2: Cross-Encoder BGE Neural Reranking and Contextual Selection Flow</w:t>
      </w:r>
      <w:r>
        <w:rPr>
          <w:rFonts w:ascii="Times New Roman" w:hAnsi="Times New Roman"/>
          <w:color w:val="505050"/>
          <w:sz w:val="18"/>
        </w:rPr>
        <w:t xml:space="preserve"> ........... </w:t>
      </w:r>
      <w:r>
        <w:rPr>
          <w:rFonts w:ascii="Times New Roman" w:hAnsi="Times New Roman"/>
          <w:sz w:val="22"/>
        </w:rPr>
        <w:t>90</w:t>
      </w:r>
    </w:p>
    <w:p>
      <w:pPr>
        <w:spacing w:line="276" w:lineRule="auto" w:after="60"/>
      </w:pPr>
      <w:r>
        <w:rPr>
          <w:rFonts w:ascii="Times New Roman" w:hAnsi="Times New Roman"/>
          <w:sz w:val="22"/>
        </w:rPr>
        <w:t>Figure 7.1: Feature-to-Prior-Art Evidence Matrix Conceptual Architecture</w:t>
      </w:r>
      <w:r>
        <w:rPr>
          <w:rFonts w:ascii="Times New Roman" w:hAnsi="Times New Roman"/>
          <w:color w:val="505050"/>
          <w:sz w:val="18"/>
        </w:rPr>
        <w:t xml:space="preserve"> .............. </w:t>
      </w:r>
      <w:r>
        <w:rPr>
          <w:rFonts w:ascii="Times New Roman" w:hAnsi="Times New Roman"/>
          <w:sz w:val="22"/>
        </w:rPr>
        <w:t>104</w:t>
      </w:r>
    </w:p>
    <w:p>
      <w:pPr>
        <w:spacing w:line="276" w:lineRule="auto" w:after="60"/>
      </w:pPr>
      <w:r>
        <w:rPr>
          <w:rFonts w:ascii="Times New Roman" w:hAnsi="Times New Roman"/>
          <w:sz w:val="22"/>
        </w:rPr>
        <w:t>Figure 8.1: Six-Dimensional EB-PRE Scoring Weight Distribution</w:t>
      </w:r>
      <w:r>
        <w:rPr>
          <w:rFonts w:ascii="Times New Roman" w:hAnsi="Times New Roman"/>
          <w:color w:val="505050"/>
          <w:sz w:val="18"/>
        </w:rPr>
        <w:t xml:space="preserve"> ..................... </w:t>
      </w:r>
      <w:r>
        <w:rPr>
          <w:rFonts w:ascii="Times New Roman" w:hAnsi="Times New Roman"/>
          <w:sz w:val="22"/>
        </w:rPr>
        <w:t>112</w:t>
      </w:r>
    </w:p>
    <w:p>
      <w:pPr>
        <w:spacing w:line="276" w:lineRule="auto" w:after="60"/>
      </w:pPr>
      <w:r>
        <w:rPr>
          <w:rFonts w:ascii="Times New Roman" w:hAnsi="Times New Roman"/>
          <w:sz w:val="22"/>
        </w:rPr>
        <w:t>Figure 8.2: Decoupled Readiness Score vs Assessment Confidence Relationship Matrix</w:t>
      </w:r>
      <w:r>
        <w:rPr>
          <w:rFonts w:ascii="Times New Roman" w:hAnsi="Times New Roman"/>
          <w:color w:val="505050"/>
          <w:sz w:val="18"/>
        </w:rPr>
        <w:t xml:space="preserve"> ...... </w:t>
      </w:r>
      <w:r>
        <w:rPr>
          <w:rFonts w:ascii="Times New Roman" w:hAnsi="Times New Roman"/>
          <w:sz w:val="22"/>
        </w:rPr>
        <w:t>133</w:t>
      </w:r>
    </w:p>
    <w:p>
      <w:pPr>
        <w:spacing w:line="276" w:lineRule="auto" w:after="60"/>
      </w:pPr>
      <w:r>
        <w:rPr>
          <w:rFonts w:ascii="Times New Roman" w:hAnsi="Times New Roman"/>
          <w:sz w:val="22"/>
        </w:rPr>
        <w:t>Figure 9.1: Grounded Gemini RAG Explanation Architecture and Anti-Hallucination Guardrails</w:t>
      </w:r>
      <w:r>
        <w:rPr>
          <w:rFonts w:ascii="Times New Roman" w:hAnsi="Times New Roman"/>
          <w:color w:val="505050"/>
          <w:sz w:val="18"/>
        </w:rPr>
        <w:t xml:space="preserve"> ..... </w:t>
      </w:r>
      <w:r>
        <w:rPr>
          <w:rFonts w:ascii="Times New Roman" w:hAnsi="Times New Roman"/>
          <w:sz w:val="22"/>
        </w:rPr>
        <w:t>135</w:t>
      </w:r>
    </w:p>
    <w:p>
      <w:pPr>
        <w:spacing w:line="276" w:lineRule="auto" w:after="60"/>
      </w:pPr>
      <w:r>
        <w:rPr>
          <w:rFonts w:ascii="Times New Roman" w:hAnsi="Times New Roman"/>
          <w:sz w:val="22"/>
        </w:rPr>
        <w:t>Figure 10.1: Supabase / PostgreSQL Relational Database Schema Entity-Relationship Diagram</w:t>
      </w:r>
      <w:r>
        <w:rPr>
          <w:rFonts w:ascii="Times New Roman" w:hAnsi="Times New Roman"/>
          <w:color w:val="505050"/>
          <w:sz w:val="18"/>
        </w:rPr>
        <w:t xml:space="preserve"> ..... </w:t>
      </w:r>
      <w:r>
        <w:rPr>
          <w:rFonts w:ascii="Times New Roman" w:hAnsi="Times New Roman"/>
          <w:sz w:val="22"/>
        </w:rPr>
        <w:t>151</w:t>
      </w:r>
    </w:p>
    <w:p>
      <w:pPr>
        <w:spacing w:line="276" w:lineRule="auto" w:after="60"/>
      </w:pPr>
      <w:r>
        <w:rPr>
          <w:rFonts w:ascii="Times New Roman" w:hAnsi="Times New Roman"/>
          <w:sz w:val="22"/>
        </w:rPr>
        <w:t>Figure 10.2: Multi-Tenant Row Level Security (RLS) Tenant Isolation Boundary</w:t>
      </w:r>
      <w:r>
        <w:rPr>
          <w:rFonts w:ascii="Times New Roman" w:hAnsi="Times New Roman"/>
          <w:color w:val="505050"/>
          <w:sz w:val="18"/>
        </w:rPr>
        <w:t xml:space="preserve"> ........... </w:t>
      </w:r>
      <w:r>
        <w:rPr>
          <w:rFonts w:ascii="Times New Roman" w:hAnsi="Times New Roman"/>
          <w:sz w:val="22"/>
        </w:rPr>
        <w:t>156</w:t>
      </w:r>
    </w:p>
    <w:p>
      <w:pPr>
        <w:spacing w:line="276" w:lineRule="auto" w:after="60"/>
      </w:pPr>
      <w:r>
        <w:rPr>
          <w:rFonts w:ascii="Times New Roman" w:hAnsi="Times New Roman"/>
          <w:sz w:val="22"/>
        </w:rPr>
        <w:t>Figure 11.1: React 19 Frontend Dashboard Interface and Evidence Matrix Visualizer</w:t>
      </w:r>
      <w:r>
        <w:rPr>
          <w:rFonts w:ascii="Times New Roman" w:hAnsi="Times New Roman"/>
          <w:color w:val="505050"/>
          <w:sz w:val="18"/>
        </w:rPr>
        <w:t xml:space="preserve"> ....... </w:t>
      </w:r>
      <w:r>
        <w:rPr>
          <w:rFonts w:ascii="Times New Roman" w:hAnsi="Times New Roman"/>
          <w:sz w:val="22"/>
        </w:rPr>
        <w:t>167</w:t>
      </w:r>
    </w:p>
    <w:p>
      <w:pPr>
        <w:spacing w:line="276" w:lineRule="auto" w:after="60"/>
      </w:pPr>
      <w:r>
        <w:rPr>
          <w:rFonts w:ascii="Times New Roman" w:hAnsi="Times New Roman"/>
          <w:sz w:val="22"/>
        </w:rPr>
        <w:t>Figure 12.1: Execution Latency Breakdown across Warm Pipeline Execution Stages</w:t>
      </w:r>
      <w:r>
        <w:rPr>
          <w:rFonts w:ascii="Times New Roman" w:hAnsi="Times New Roman"/>
          <w:color w:val="505050"/>
          <w:sz w:val="18"/>
        </w:rPr>
        <w:t xml:space="preserve"> ......... </w:t>
      </w:r>
      <w:r>
        <w:rPr>
          <w:rFonts w:ascii="Times New Roman" w:hAnsi="Times New Roman"/>
          <w:sz w:val="22"/>
        </w:rPr>
        <w:t>185</w:t>
      </w:r>
    </w:p>
    <w:p>
      <w:r>
        <w:br w:type="page"/>
      </w:r>
    </w:p>
    <w:p>
      <w:pPr>
        <w:spacing w:before="320" w:after="360"/>
        <w:jc w:val="center"/>
      </w:pPr>
      <w:r>
        <w:rPr>
          <w:rFonts w:ascii="Times New Roman" w:hAnsi="Times New Roman"/>
          <w:b/>
          <w:sz w:val="32"/>
        </w:rPr>
        <w:t>LIST OF ACRONYMS AND NOMENCLATURE</w:t>
      </w:r>
    </w:p>
    <w:p>
      <w:pPr>
        <w:spacing w:line="276" w:lineRule="auto" w:after="60"/>
      </w:pPr>
      <w:r>
        <w:rPr>
          <w:rFonts w:ascii="Times New Roman" w:hAnsi="Times New Roman"/>
          <w:b/>
          <w:sz w:val="22"/>
        </w:rPr>
        <w:t xml:space="preserve">AI        </w:t>
        <w:tab/>
      </w:r>
      <w:r>
        <w:rPr>
          <w:rFonts w:ascii="Times New Roman" w:hAnsi="Times New Roman"/>
          <w:sz w:val="22"/>
        </w:rPr>
        <w:t>Artificial Intelligence</w:t>
      </w:r>
    </w:p>
    <w:p>
      <w:pPr>
        <w:spacing w:line="276" w:lineRule="auto" w:after="60"/>
      </w:pPr>
      <w:r>
        <w:rPr>
          <w:rFonts w:ascii="Times New Roman" w:hAnsi="Times New Roman"/>
          <w:b/>
          <w:sz w:val="22"/>
        </w:rPr>
        <w:t xml:space="preserve">API       </w:t>
        <w:tab/>
      </w:r>
      <w:r>
        <w:rPr>
          <w:rFonts w:ascii="Times New Roman" w:hAnsi="Times New Roman"/>
          <w:sz w:val="22"/>
        </w:rPr>
        <w:t>Application Programming Interface</w:t>
      </w:r>
    </w:p>
    <w:p>
      <w:pPr>
        <w:spacing w:line="276" w:lineRule="auto" w:after="60"/>
      </w:pPr>
      <w:r>
        <w:rPr>
          <w:rFonts w:ascii="Times New Roman" w:hAnsi="Times New Roman"/>
          <w:b/>
          <w:sz w:val="22"/>
        </w:rPr>
        <w:t xml:space="preserve">BGE       </w:t>
        <w:tab/>
      </w:r>
      <w:r>
        <w:rPr>
          <w:rFonts w:ascii="Times New Roman" w:hAnsi="Times New Roman"/>
          <w:sz w:val="22"/>
        </w:rPr>
        <w:t>BAAI General Embedding</w:t>
      </w:r>
    </w:p>
    <w:p>
      <w:pPr>
        <w:spacing w:line="276" w:lineRule="auto" w:after="60"/>
      </w:pPr>
      <w:r>
        <w:rPr>
          <w:rFonts w:ascii="Times New Roman" w:hAnsi="Times New Roman"/>
          <w:b/>
          <w:sz w:val="22"/>
        </w:rPr>
        <w:t xml:space="preserve">BM25      </w:t>
        <w:tab/>
      </w:r>
      <w:r>
        <w:rPr>
          <w:rFonts w:ascii="Times New Roman" w:hAnsi="Times New Roman"/>
          <w:sz w:val="22"/>
        </w:rPr>
        <w:t>Best Matching 25 (Okapi BM25 Lexical Retrieval Algorithm)</w:t>
      </w:r>
    </w:p>
    <w:p>
      <w:pPr>
        <w:spacing w:line="276" w:lineRule="auto" w:after="60"/>
      </w:pPr>
      <w:r>
        <w:rPr>
          <w:rFonts w:ascii="Times New Roman" w:hAnsi="Times New Roman"/>
          <w:b/>
          <w:sz w:val="22"/>
        </w:rPr>
        <w:t xml:space="preserve">CPC       </w:t>
        <w:tab/>
      </w:r>
      <w:r>
        <w:rPr>
          <w:rFonts w:ascii="Times New Roman" w:hAnsi="Times New Roman"/>
          <w:sz w:val="22"/>
        </w:rPr>
        <w:t>Cooperative Patent Classification</w:t>
      </w:r>
    </w:p>
    <w:p>
      <w:pPr>
        <w:spacing w:line="276" w:lineRule="auto" w:after="60"/>
      </w:pPr>
      <w:r>
        <w:rPr>
          <w:rFonts w:ascii="Times New Roman" w:hAnsi="Times New Roman"/>
          <w:b/>
          <w:sz w:val="22"/>
        </w:rPr>
        <w:t xml:space="preserve">CPU       </w:t>
        <w:tab/>
      </w:r>
      <w:r>
        <w:rPr>
          <w:rFonts w:ascii="Times New Roman" w:hAnsi="Times New Roman"/>
          <w:sz w:val="22"/>
        </w:rPr>
        <w:t>Central Processing Unit</w:t>
      </w:r>
    </w:p>
    <w:p>
      <w:pPr>
        <w:spacing w:line="276" w:lineRule="auto" w:after="60"/>
      </w:pPr>
      <w:r>
        <w:rPr>
          <w:rFonts w:ascii="Times New Roman" w:hAnsi="Times New Roman"/>
          <w:b/>
          <w:sz w:val="22"/>
        </w:rPr>
        <w:t xml:space="preserve">DOCX      </w:t>
        <w:tab/>
      </w:r>
      <w:r>
        <w:rPr>
          <w:rFonts w:ascii="Times New Roman" w:hAnsi="Times New Roman"/>
          <w:sz w:val="22"/>
        </w:rPr>
        <w:t>Microsoft Word OpenXML Document Format</w:t>
      </w:r>
    </w:p>
    <w:p>
      <w:pPr>
        <w:spacing w:line="276" w:lineRule="auto" w:after="60"/>
      </w:pPr>
      <w:r>
        <w:rPr>
          <w:rFonts w:ascii="Times New Roman" w:hAnsi="Times New Roman"/>
          <w:b/>
          <w:sz w:val="22"/>
        </w:rPr>
        <w:t xml:space="preserve">EB-PRE    </w:t>
        <w:tab/>
      </w:r>
      <w:r>
        <w:rPr>
          <w:rFonts w:ascii="Times New Roman" w:hAnsi="Times New Roman"/>
          <w:sz w:val="22"/>
        </w:rPr>
        <w:t>Evidence-Based Patent Readiness Engine</w:t>
      </w:r>
    </w:p>
    <w:p>
      <w:pPr>
        <w:spacing w:line="276" w:lineRule="auto" w:after="60"/>
      </w:pPr>
      <w:r>
        <w:rPr>
          <w:rFonts w:ascii="Times New Roman" w:hAnsi="Times New Roman"/>
          <w:b/>
          <w:sz w:val="22"/>
        </w:rPr>
        <w:t xml:space="preserve">ERD       </w:t>
        <w:tab/>
      </w:r>
      <w:r>
        <w:rPr>
          <w:rFonts w:ascii="Times New Roman" w:hAnsi="Times New Roman"/>
          <w:sz w:val="22"/>
        </w:rPr>
        <w:t>Entity-Relationship Diagram</w:t>
      </w:r>
    </w:p>
    <w:p>
      <w:pPr>
        <w:spacing w:line="276" w:lineRule="auto" w:after="60"/>
      </w:pPr>
      <w:r>
        <w:rPr>
          <w:rFonts w:ascii="Times New Roman" w:hAnsi="Times New Roman"/>
          <w:b/>
          <w:sz w:val="22"/>
        </w:rPr>
        <w:t xml:space="preserve">GPU       </w:t>
        <w:tab/>
      </w:r>
      <w:r>
        <w:rPr>
          <w:rFonts w:ascii="Times New Roman" w:hAnsi="Times New Roman"/>
          <w:sz w:val="22"/>
        </w:rPr>
        <w:t>Graphics Processing Unit</w:t>
      </w:r>
    </w:p>
    <w:p>
      <w:pPr>
        <w:spacing w:line="276" w:lineRule="auto" w:after="60"/>
      </w:pPr>
      <w:r>
        <w:rPr>
          <w:rFonts w:ascii="Times New Roman" w:hAnsi="Times New Roman"/>
          <w:b/>
          <w:sz w:val="22"/>
        </w:rPr>
        <w:t xml:space="preserve">IDF       </w:t>
        <w:tab/>
      </w:r>
      <w:r>
        <w:rPr>
          <w:rFonts w:ascii="Times New Roman" w:hAnsi="Times New Roman"/>
          <w:sz w:val="22"/>
        </w:rPr>
        <w:t>Inverse Document Frequency</w:t>
      </w:r>
    </w:p>
    <w:p>
      <w:pPr>
        <w:spacing w:line="276" w:lineRule="auto" w:after="60"/>
      </w:pPr>
      <w:r>
        <w:rPr>
          <w:rFonts w:ascii="Times New Roman" w:hAnsi="Times New Roman"/>
          <w:b/>
          <w:sz w:val="22"/>
        </w:rPr>
        <w:t xml:space="preserve">IPC       </w:t>
        <w:tab/>
      </w:r>
      <w:r>
        <w:rPr>
          <w:rFonts w:ascii="Times New Roman" w:hAnsi="Times New Roman"/>
          <w:sz w:val="22"/>
        </w:rPr>
        <w:t>International Patent Classification</w:t>
      </w:r>
    </w:p>
    <w:p>
      <w:pPr>
        <w:spacing w:line="276" w:lineRule="auto" w:after="60"/>
      </w:pPr>
      <w:r>
        <w:rPr>
          <w:rFonts w:ascii="Times New Roman" w:hAnsi="Times New Roman"/>
          <w:b/>
          <w:sz w:val="22"/>
        </w:rPr>
        <w:t xml:space="preserve">JSON      </w:t>
        <w:tab/>
      </w:r>
      <w:r>
        <w:rPr>
          <w:rFonts w:ascii="Times New Roman" w:hAnsi="Times New Roman"/>
          <w:sz w:val="22"/>
        </w:rPr>
        <w:t>JavaScript Object Notation</w:t>
      </w:r>
    </w:p>
    <w:p>
      <w:pPr>
        <w:spacing w:line="276" w:lineRule="auto" w:after="60"/>
      </w:pPr>
      <w:r>
        <w:rPr>
          <w:rFonts w:ascii="Times New Roman" w:hAnsi="Times New Roman"/>
          <w:b/>
          <w:sz w:val="22"/>
        </w:rPr>
        <w:t xml:space="preserve">LLM       </w:t>
        <w:tab/>
      </w:r>
      <w:r>
        <w:rPr>
          <w:rFonts w:ascii="Times New Roman" w:hAnsi="Times New Roman"/>
          <w:sz w:val="22"/>
        </w:rPr>
        <w:t>Large Language Model</w:t>
      </w:r>
    </w:p>
    <w:p>
      <w:pPr>
        <w:spacing w:line="276" w:lineRule="auto" w:after="60"/>
      </w:pPr>
      <w:r>
        <w:rPr>
          <w:rFonts w:ascii="Times New Roman" w:hAnsi="Times New Roman"/>
          <w:b/>
          <w:sz w:val="22"/>
        </w:rPr>
        <w:t xml:space="preserve">NLP       </w:t>
        <w:tab/>
      </w:r>
      <w:r>
        <w:rPr>
          <w:rFonts w:ascii="Times New Roman" w:hAnsi="Times New Roman"/>
          <w:sz w:val="22"/>
        </w:rPr>
        <w:t>Natural Language Processing</w:t>
      </w:r>
    </w:p>
    <w:p>
      <w:pPr>
        <w:spacing w:line="276" w:lineRule="auto" w:after="60"/>
      </w:pPr>
      <w:r>
        <w:rPr>
          <w:rFonts w:ascii="Times New Roman" w:hAnsi="Times New Roman"/>
          <w:b/>
          <w:sz w:val="22"/>
        </w:rPr>
        <w:t xml:space="preserve">PDF       </w:t>
        <w:tab/>
      </w:r>
      <w:r>
        <w:rPr>
          <w:rFonts w:ascii="Times New Roman" w:hAnsi="Times New Roman"/>
          <w:sz w:val="22"/>
        </w:rPr>
        <w:t>Portable Document Format</w:t>
      </w:r>
    </w:p>
    <w:p>
      <w:pPr>
        <w:spacing w:line="276" w:lineRule="auto" w:after="60"/>
      </w:pPr>
      <w:r>
        <w:rPr>
          <w:rFonts w:ascii="Times New Roman" w:hAnsi="Times New Roman"/>
          <w:b/>
          <w:sz w:val="22"/>
        </w:rPr>
        <w:t xml:space="preserve">RAG       </w:t>
        <w:tab/>
      </w:r>
      <w:r>
        <w:rPr>
          <w:rFonts w:ascii="Times New Roman" w:hAnsi="Times New Roman"/>
          <w:sz w:val="22"/>
        </w:rPr>
        <w:t>Retrieval-Augmented Generation</w:t>
      </w:r>
    </w:p>
    <w:p>
      <w:pPr>
        <w:spacing w:line="276" w:lineRule="auto" w:after="60"/>
      </w:pPr>
      <w:r>
        <w:rPr>
          <w:rFonts w:ascii="Times New Roman" w:hAnsi="Times New Roman"/>
          <w:b/>
          <w:sz w:val="22"/>
        </w:rPr>
        <w:t xml:space="preserve">REST      </w:t>
        <w:tab/>
      </w:r>
      <w:r>
        <w:rPr>
          <w:rFonts w:ascii="Times New Roman" w:hAnsi="Times New Roman"/>
          <w:sz w:val="22"/>
        </w:rPr>
        <w:t>Representational State Transfer</w:t>
      </w:r>
    </w:p>
    <w:p>
      <w:pPr>
        <w:spacing w:line="276" w:lineRule="auto" w:after="60"/>
      </w:pPr>
      <w:r>
        <w:rPr>
          <w:rFonts w:ascii="Times New Roman" w:hAnsi="Times New Roman"/>
          <w:b/>
          <w:sz w:val="22"/>
        </w:rPr>
        <w:t xml:space="preserve">RLS       </w:t>
        <w:tab/>
      </w:r>
      <w:r>
        <w:rPr>
          <w:rFonts w:ascii="Times New Roman" w:hAnsi="Times New Roman"/>
          <w:sz w:val="22"/>
        </w:rPr>
        <w:t>Row Level Security</w:t>
      </w:r>
    </w:p>
    <w:p>
      <w:pPr>
        <w:spacing w:line="276" w:lineRule="auto" w:after="60"/>
      </w:pPr>
      <w:r>
        <w:rPr>
          <w:rFonts w:ascii="Times New Roman" w:hAnsi="Times New Roman"/>
          <w:b/>
          <w:sz w:val="22"/>
        </w:rPr>
        <w:t xml:space="preserve">RRF       </w:t>
        <w:tab/>
      </w:r>
      <w:r>
        <w:rPr>
          <w:rFonts w:ascii="Times New Roman" w:hAnsi="Times New Roman"/>
          <w:sz w:val="22"/>
        </w:rPr>
        <w:t>Reciprocal Rank Fusion</w:t>
      </w:r>
    </w:p>
    <w:p>
      <w:pPr>
        <w:spacing w:line="276" w:lineRule="auto" w:after="60"/>
      </w:pPr>
      <w:r>
        <w:rPr>
          <w:rFonts w:ascii="Times New Roman" w:hAnsi="Times New Roman"/>
          <w:b/>
          <w:sz w:val="22"/>
        </w:rPr>
        <w:t xml:space="preserve">TF-IDF    </w:t>
        <w:tab/>
      </w:r>
      <w:r>
        <w:rPr>
          <w:rFonts w:ascii="Times New Roman" w:hAnsi="Times New Roman"/>
          <w:sz w:val="22"/>
        </w:rPr>
        <w:t>Term Frequency - Inverse Document Frequency</w:t>
      </w:r>
    </w:p>
    <w:p>
      <w:pPr>
        <w:spacing w:line="276" w:lineRule="auto" w:after="60"/>
      </w:pPr>
      <w:r>
        <w:rPr>
          <w:rFonts w:ascii="Times New Roman" w:hAnsi="Times New Roman"/>
          <w:b/>
          <w:sz w:val="22"/>
        </w:rPr>
        <w:t xml:space="preserve">TTO       </w:t>
        <w:tab/>
      </w:r>
      <w:r>
        <w:rPr>
          <w:rFonts w:ascii="Times New Roman" w:hAnsi="Times New Roman"/>
          <w:sz w:val="22"/>
        </w:rPr>
        <w:t>Technology Transfer Office</w:t>
      </w:r>
    </w:p>
    <w:p>
      <w:pPr>
        <w:spacing w:line="276" w:lineRule="auto" w:after="60"/>
      </w:pPr>
      <w:r>
        <w:rPr>
          <w:rFonts w:ascii="Times New Roman" w:hAnsi="Times New Roman"/>
          <w:b/>
          <w:sz w:val="22"/>
        </w:rPr>
        <w:t xml:space="preserve">UI / UX   </w:t>
        <w:tab/>
      </w:r>
      <w:r>
        <w:rPr>
          <w:rFonts w:ascii="Times New Roman" w:hAnsi="Times New Roman"/>
          <w:sz w:val="22"/>
        </w:rPr>
        <w:t>User Interface / User Experience</w:t>
      </w:r>
    </w:p>
    <w:p>
      <w:pPr>
        <w:spacing w:line="276" w:lineRule="auto" w:after="60"/>
      </w:pPr>
      <w:r>
        <w:rPr>
          <w:rFonts w:ascii="Times New Roman" w:hAnsi="Times New Roman"/>
          <w:b/>
          <w:sz w:val="22"/>
        </w:rPr>
        <w:t xml:space="preserve">USPTO     </w:t>
        <w:tab/>
      </w:r>
      <w:r>
        <w:rPr>
          <w:rFonts w:ascii="Times New Roman" w:hAnsi="Times New Roman"/>
          <w:sz w:val="22"/>
        </w:rPr>
        <w:t>United States Patent and Trademark Office</w:t>
      </w:r>
    </w:p>
    <w:p>
      <w:pPr>
        <w:spacing w:line="276" w:lineRule="auto" w:after="60"/>
      </w:pPr>
      <w:r>
        <w:rPr>
          <w:rFonts w:ascii="Times New Roman" w:hAnsi="Times New Roman"/>
          <w:b/>
          <w:sz w:val="22"/>
        </w:rPr>
        <w:t xml:space="preserve">UUID      </w:t>
        <w:tab/>
      </w:r>
      <w:r>
        <w:rPr>
          <w:rFonts w:ascii="Times New Roman" w:hAnsi="Times New Roman"/>
          <w:sz w:val="22"/>
        </w:rPr>
        <w:t>Universally Unique Identifier</w:t>
      </w:r>
    </w:p>
    <w:p>
      <w:pPr>
        <w:spacing w:line="276" w:lineRule="auto" w:after="60"/>
      </w:pPr>
      <w:r>
        <w:rPr>
          <w:rFonts w:ascii="Times New Roman" w:hAnsi="Times New Roman"/>
          <w:b/>
          <w:sz w:val="22"/>
        </w:rPr>
        <w:t xml:space="preserve">WIPO      </w:t>
        <w:tab/>
      </w:r>
      <w:r>
        <w:rPr>
          <w:rFonts w:ascii="Times New Roman" w:hAnsi="Times New Roman"/>
          <w:sz w:val="22"/>
        </w:rPr>
        <w:t>World Intellectual Property Organization</w:t>
      </w:r>
    </w:p>
    <w:p>
      <w:pPr>
        <w:spacing w:line="276" w:lineRule="auto" w:after="60"/>
      </w:pPr>
      <w:r>
        <w:rPr>
          <w:rFonts w:ascii="Times New Roman" w:hAnsi="Times New Roman"/>
          <w:b/>
          <w:sz w:val="22"/>
        </w:rPr>
        <w:t xml:space="preserve">XAI       </w:t>
        <w:tab/>
      </w:r>
      <w:r>
        <w:rPr>
          <w:rFonts w:ascii="Times New Roman" w:hAnsi="Times New Roman"/>
          <w:sz w:val="22"/>
        </w:rPr>
        <w:t>Explainable Artificial Intelligence</w:t>
      </w:r>
    </w:p>
    <w:p>
      <w:pPr>
        <w:sectPr>
          <w:headerReference w:type="default" r:id="rId18"/>
          <w:footerReference w:type="default" r:id="rId19"/>
          <w:pgSz w:w="11906" w:h="16838"/>
          <w:pgMar w:top="1440" w:right="1440" w:bottom="1440" w:left="2160" w:header="720" w:footer="720" w:gutter="0"/>
          <w:cols w:space="720"/>
          <w:docGrid w:linePitch="360"/>
          <w:pgNumType w:fmt="lowerRoman" w:start="1"/>
        </w:sectPr>
      </w:pPr>
    </w:p>
    <w:p>
      <w:pPr>
        <w:spacing w:before="360" w:after="80" w:line="240" w:lineRule="auto"/>
        <w:jc w:val="center"/>
      </w:pPr>
      <w:r>
        <w:rPr>
          <w:rFonts w:ascii="Times New Roman" w:hAnsi="Times New Roman"/>
          <w:b/>
          <w:color w:val="000000"/>
          <w:sz w:val="32"/>
        </w:rPr>
        <w:t>CHAPTER 1</w:t>
      </w:r>
    </w:p>
    <w:p>
      <w:pPr>
        <w:spacing w:before="0" w:after="360" w:line="276" w:lineRule="auto"/>
        <w:jc w:val="center"/>
      </w:pPr>
      <w:r>
        <w:rPr>
          <w:rFonts w:ascii="Times New Roman" w:hAnsi="Times New Roman"/>
          <w:b/>
          <w:color w:val="000000"/>
          <w:sz w:val="32"/>
        </w:rPr>
        <w:t>INTRODUCTION</w:t>
      </w:r>
    </w:p>
    <w:p>
      <w:pPr>
        <w:keepNext/>
        <w:spacing w:before="280" w:after="120" w:line="276" w:lineRule="auto"/>
        <w:jc w:val="left"/>
      </w:pPr>
      <w:r>
        <w:rPr>
          <w:rFonts w:ascii="Times New Roman" w:hAnsi="Times New Roman"/>
          <w:b/>
          <w:color w:val="000000"/>
          <w:sz w:val="28"/>
        </w:rPr>
        <w:t>1.1 BACKGROUND AND PROBLEM CONTEXT</w:t>
      </w:r>
    </w:p>
    <w:p>
      <w:pPr>
        <w:spacing w:line="360" w:lineRule="auto" w:after="120" w:before="0"/>
        <w:jc w:val="both"/>
      </w:pPr>
      <w:r>
        <w:rPr>
          <w:rFonts w:ascii="Times New Roman" w:hAnsi="Times New Roman"/>
          <w:color w:val="000000"/>
          <w:sz w:val="24"/>
        </w:rPr>
        <w:t>Intellectual property represents one of the foundational drivers of global technical advancement, academic scholarship, and industrial competitiveness. Across modern university research laboratories, engineering institutions, and technology incubators, substantial technical research is conducted daily. However, transforming an inventive technical concept into a legally defensible patent application requires a comprehensive assessment of prior art—the vast historical corpus of publicly disclosed patents, applications, and technical publications. Prior-art screening is an essential preliminary obligation: it determines whether a proposed technical disclosure satisfies the statutory patentability criteria of novelty and non-obviousness (inventive step) under international patent law statutes such as Title 35 of the United States Code (35 U.S.C. §§ 102, 103) and corresponding frameworks under the European Patent Convention (EPC) and the Indian Patents Act, 1970.</w:t>
      </w:r>
    </w:p>
    <w:p>
      <w:pPr>
        <w:spacing w:line="360" w:lineRule="auto" w:after="120" w:before="0"/>
        <w:jc w:val="both"/>
      </w:pPr>
      <w:r>
        <w:rPr>
          <w:rFonts w:ascii="Times New Roman" w:hAnsi="Times New Roman"/>
          <w:color w:val="000000"/>
          <w:sz w:val="24"/>
        </w:rPr>
        <w:t>Historically, conducting a thorough prior-art search has been the exclusive domain of specialized patent attorneys, registered patent agents, and institutional information professionals. A comprehensive professional patent search mandates constructing complex Boolean query expressions, navigating hierarchical patent classification taxonomies such as the International Patent Classification (IPC) and Cooperative Patent Classification (CPC), inspecting forward and backward citation graphs, and manually reading hundreds of legal claims. For student researchers, early-stage faculty inventors, and resource-constrained startups, the prohibitive cost of formal patentability audits—often ranging from several thousand dollars per invention disclosure—creates a formidable economic barrier. Consequently, high-potential innovations are frequently abandoned without filing, or conversely, premature and flawed applications are submitted, resulting in costly examiner rejections, prolonged office action disputes, and substantial financial losses.</w:t>
      </w:r>
    </w:p>
    <w:p>
      <w:pPr>
        <w:keepNext/>
        <w:spacing w:before="280" w:after="120" w:line="276" w:lineRule="auto"/>
        <w:jc w:val="left"/>
      </w:pPr>
      <w:r>
        <w:rPr>
          <w:rFonts w:ascii="Times New Roman" w:hAnsi="Times New Roman"/>
          <w:b/>
          <w:color w:val="000000"/>
          <w:sz w:val="28"/>
        </w:rPr>
        <w:t>1.2 CHALLENGES IN ACADEMIC AND EARLY-STAGE PATENT SCREENING</w:t>
      </w:r>
    </w:p>
    <w:p>
      <w:pPr>
        <w:spacing w:line="360" w:lineRule="auto" w:after="120" w:before="0"/>
        <w:jc w:val="both"/>
      </w:pPr>
      <w:r>
        <w:rPr>
          <w:rFonts w:ascii="Times New Roman" w:hAnsi="Times New Roman"/>
          <w:color w:val="000000"/>
          <w:sz w:val="24"/>
        </w:rPr>
        <w:t>The challenges encountered during early-stage invention screening can be deconstructed into four acute structural deficiencies that impede both traditional information retrieval techniques and naive artificial intelligence applications:</w:t>
      </w:r>
    </w:p>
    <w:p>
      <w:pPr>
        <w:pStyle w:val="ListBullet"/>
        <w:spacing w:line="360" w:lineRule="auto" w:after="80" w:before="0"/>
        <w:jc w:val="both"/>
      </w:pPr>
      <w:r>
        <w:rPr>
          <w:rFonts w:ascii="Times New Roman" w:hAnsi="Times New Roman"/>
          <w:b/>
          <w:color w:val="000000"/>
          <w:sz w:val="24"/>
        </w:rPr>
        <w:t>1. Lexical Disconnect and Vocabulary Mismatch:</w:t>
      </w:r>
      <w:r>
        <w:rPr>
          <w:rFonts w:ascii="Times New Roman" w:hAnsi="Times New Roman"/>
          <w:color w:val="000000"/>
          <w:sz w:val="24"/>
        </w:rPr>
        <w:t xml:space="preserve"> Patent drafting relies on specialized, highly defensive legal-technical jargon designed to maximize claim breadth while obscuring direct keyword matches. For example, an invention describing a 'smartphone fingerprint scanner' may appear in patent literature as a 'biometric authentication aperture disposed adjacent to an interactive capacitive display substrate'. Conventional lexical search tools relying solely on TF-IDF or uncalibrated BM25 frequently suffer from severe vocabulary mismatch, returning false negatives for conceptually identical prior art while returning voluminous false positives based on incidental keyword overlap.</w:t>
      </w:r>
    </w:p>
    <w:p>
      <w:pPr>
        <w:pStyle w:val="ListBullet"/>
        <w:spacing w:line="360" w:lineRule="auto" w:after="80" w:before="0"/>
        <w:jc w:val="both"/>
      </w:pPr>
      <w:r>
        <w:rPr>
          <w:rFonts w:ascii="Times New Roman" w:hAnsi="Times New Roman"/>
          <w:b/>
          <w:color w:val="000000"/>
          <w:sz w:val="24"/>
        </w:rPr>
        <w:t>2. Coarse Document-Level Similarity vs. Fine-Grained Claim Overlap:</w:t>
      </w:r>
      <w:r>
        <w:rPr>
          <w:rFonts w:ascii="Times New Roman" w:hAnsi="Times New Roman"/>
          <w:color w:val="000000"/>
          <w:sz w:val="24"/>
        </w:rPr>
        <w:t xml:space="preserve"> Standard dense semantic vector search computes document-level or abstract-level cosine similarity. However, patent law evaluates novelty element-by-element against specific claims. A retrieved patent document may share 85% high-level thematic similarity with an invention disclosure (e.g., both operate in autonomous vehicle navigation) without disclosing the specific inventive technical mechanism (e.g., a novel optical sensor calibration method). Conversely, a prior patent may share only 30% overall document similarity but anticipate 100% of the applicant's core inventive feature within a single paragraph. Coarse vector similarity checkers cannot distinguish thematic background from lethal anticipatory prior art.</w:t>
      </w:r>
    </w:p>
    <w:p>
      <w:pPr>
        <w:pStyle w:val="ListBullet"/>
        <w:spacing w:line="360" w:lineRule="auto" w:after="80" w:before="0"/>
        <w:jc w:val="both"/>
      </w:pPr>
      <w:r>
        <w:rPr>
          <w:rFonts w:ascii="Times New Roman" w:hAnsi="Times New Roman"/>
          <w:b/>
          <w:color w:val="000000"/>
          <w:sz w:val="24"/>
        </w:rPr>
        <w:t>3. The Hallucination Hazard of Unconstrained Generative AI:</w:t>
      </w:r>
      <w:r>
        <w:rPr>
          <w:rFonts w:ascii="Times New Roman" w:hAnsi="Times New Roman"/>
          <w:color w:val="000000"/>
          <w:sz w:val="24"/>
        </w:rPr>
        <w:t xml:space="preserve"> The widespread emergence of general-purpose Large Language Models (LLMs) has prompted inventors to query commercial chatbots regarding patentability. This practice is perilous. Standard LLMs hallucinate non-existent patent publication numbers, invent fabricated technical claims, conflate disparate patent families, and emit arbitrary numerical 'patentability scores' with zero mathematical grounding or passage traceability. Such unconstrained generations introduce severe legal liability and give inventors false confidence.</w:t>
      </w:r>
    </w:p>
    <w:p>
      <w:pPr>
        <w:pStyle w:val="ListBullet"/>
        <w:spacing w:line="360" w:lineRule="auto" w:after="80" w:before="0"/>
        <w:jc w:val="both"/>
      </w:pPr>
      <w:r>
        <w:rPr>
          <w:rFonts w:ascii="Times New Roman" w:hAnsi="Times New Roman"/>
          <w:b/>
          <w:color w:val="000000"/>
          <w:sz w:val="24"/>
        </w:rPr>
        <w:t>4. The Fallacy of Negative Proof (Absence of Evidence is Not Evidence of Absence):</w:t>
      </w:r>
      <w:r>
        <w:rPr>
          <w:rFonts w:ascii="Times New Roman" w:hAnsi="Times New Roman"/>
          <w:color w:val="000000"/>
          <w:sz w:val="24"/>
        </w:rPr>
        <w:t xml:space="preserve"> A critical conceptual failure in algorithmic novelty screening is assuming that if an automated search retrieves no matching documents, the invention is definitively novel. In truth, zero retrieved matches often indicate an unsearched patent classification, an inadequate corpus boundary, or sub-optimal retrieval formulation. An authentic assessment system must explicitly quantify assessment confidence and raise uncertainty flags rather than granting an unearned 100% novelty rating.</w:t>
      </w:r>
    </w:p>
    <w:p>
      <w:pPr>
        <w:keepNext/>
        <w:spacing w:before="280" w:after="120" w:line="276" w:lineRule="auto"/>
        <w:jc w:val="left"/>
      </w:pPr>
      <w:r>
        <w:rPr>
          <w:rFonts w:ascii="Times New Roman" w:hAnsi="Times New Roman"/>
          <w:b/>
          <w:color w:val="000000"/>
          <w:sz w:val="28"/>
        </w:rPr>
        <w:t>1.3 PROBLEM STATEMENT AND RESEARCH QUESTIONS</w:t>
      </w:r>
    </w:p>
    <w:p>
      <w:pPr>
        <w:spacing w:line="360" w:lineRule="auto" w:after="120" w:before="0"/>
        <w:jc w:val="both"/>
      </w:pPr>
      <w:r>
        <w:rPr>
          <w:rFonts w:ascii="Times New Roman" w:hAnsi="Times New Roman"/>
          <w:b/>
          <w:color w:val="000000"/>
          <w:sz w:val="24"/>
        </w:rPr>
        <w:t xml:space="preserve">Problem Statement: </w:t>
      </w:r>
      <w:r>
        <w:rPr>
          <w:rFonts w:ascii="Times New Roman" w:hAnsi="Times New Roman"/>
          <w:color w:val="000000"/>
          <w:sz w:val="24"/>
        </w:rPr>
        <w:t>Existing prior-art discovery tools and AI applications fail to provide a mathematically rigorous, evidence-traceable, and legally defensive pre-filing evaluation framework for technical inventions. Therefore, the central problem addressed by this thesis is formulated as follows:</w:t>
      </w:r>
    </w:p>
    <w:p>
      <w:pPr>
        <w:spacing w:line="360" w:lineRule="auto" w:after="120" w:before="0"/>
        <w:jc w:val="both"/>
      </w:pPr>
      <w:r>
        <w:rPr>
          <w:rFonts w:ascii="Times New Roman" w:hAnsi="Times New Roman"/>
          <w:i/>
          <w:color w:val="000000"/>
          <w:sz w:val="24"/>
        </w:rPr>
        <w:t xml:space="preserve">Formal Formulation: </w:t>
      </w:r>
      <w:r>
        <w:rPr>
          <w:rFonts w:ascii="Times New Roman" w:hAnsi="Times New Roman"/>
          <w:color w:val="000000"/>
          <w:sz w:val="24"/>
        </w:rPr>
        <w:t>“How can an intelligent decision-support system automatically deconstruct an unstructured technical invention document into discrete technical features, retrieve and rerank highly relevant prior-art patent passages using complementary multi-channel representations, map passage-level evidence into a two-dimensional verification matrix, deterministically calculate multi-dimensional patent readiness metrics with explicit confidence and uncertainty quantification, and generate grounded, audit-ready explanations without generative hallucination?”</w:t>
      </w:r>
    </w:p>
    <w:p>
      <w:pPr>
        <w:spacing w:line="360" w:lineRule="auto" w:after="120" w:before="0"/>
        <w:jc w:val="both"/>
      </w:pPr>
      <w:r>
        <w:rPr>
          <w:rFonts w:ascii="Times New Roman" w:hAnsi="Times New Roman"/>
          <w:color w:val="000000"/>
          <w:sz w:val="24"/>
        </w:rPr>
        <w:t>To resolve this central problem, the research addresses the following four operational research questions (RQs):</w:t>
      </w:r>
    </w:p>
    <w:p>
      <w:pPr>
        <w:pStyle w:val="ListBullet"/>
        <w:spacing w:line="360" w:lineRule="auto" w:after="80" w:before="0"/>
        <w:jc w:val="both"/>
      </w:pPr>
      <w:r>
        <w:rPr>
          <w:rFonts w:ascii="Times New Roman" w:hAnsi="Times New Roman"/>
          <w:b/>
          <w:color w:val="000000"/>
          <w:sz w:val="24"/>
        </w:rPr>
        <w:t>RQ1 (Feature Deconstruction &amp; Hybrid Retrieval):</w:t>
      </w:r>
      <w:r>
        <w:rPr>
          <w:rFonts w:ascii="Times New Roman" w:hAnsi="Times New Roman"/>
          <w:color w:val="000000"/>
          <w:sz w:val="24"/>
        </w:rPr>
        <w:t xml:space="preserve"> How effectively can an invention disclosure be decomposed into traceable technical features across problem, component, mechanism, and effect categories, and retrieved through a hybrid pipeline combining sparse BM25 lexical matching, dense BGE semantic vectors, Reciprocal Rank Fusion, and cross-encoder reranking?</w:t>
      </w:r>
    </w:p>
    <w:p>
      <w:pPr>
        <w:pStyle w:val="ListBullet"/>
        <w:spacing w:line="360" w:lineRule="auto" w:after="80" w:before="0"/>
        <w:jc w:val="both"/>
      </w:pPr>
      <w:r>
        <w:rPr>
          <w:rFonts w:ascii="Times New Roman" w:hAnsi="Times New Roman"/>
          <w:b/>
          <w:color w:val="000000"/>
          <w:sz w:val="24"/>
        </w:rPr>
        <w:t>RQ2 (Evidence Mapping &amp; Overlap Discrimination):</w:t>
      </w:r>
      <w:r>
        <w:rPr>
          <w:rFonts w:ascii="Times New Roman" w:hAnsi="Times New Roman"/>
          <w:color w:val="000000"/>
          <w:sz w:val="24"/>
        </w:rPr>
        <w:t xml:space="preserve"> What multi-signal scoring mechanisms reliably discriminate between genuine material prior-art overlap (direct and partial feature matches) and benign contextual or weak background disclosures across passage-level patent texts?</w:t>
      </w:r>
    </w:p>
    <w:p>
      <w:pPr>
        <w:pStyle w:val="ListBullet"/>
        <w:spacing w:line="360" w:lineRule="auto" w:after="80" w:before="0"/>
        <w:jc w:val="both"/>
      </w:pPr>
      <w:r>
        <w:rPr>
          <w:rFonts w:ascii="Times New Roman" w:hAnsi="Times New Roman"/>
          <w:b/>
          <w:color w:val="000000"/>
          <w:sz w:val="24"/>
        </w:rPr>
        <w:t>RQ3 (Deterministic Readiness Modeling):</w:t>
      </w:r>
      <w:r>
        <w:rPr>
          <w:rFonts w:ascii="Times New Roman" w:hAnsi="Times New Roman"/>
          <w:color w:val="000000"/>
          <w:sz w:val="24"/>
        </w:rPr>
        <w:t xml:space="preserve"> Can a multi-dimensional algorithmic engine (EB-PRE) deterministically compute an aggregated patent-readiness indication across six weighted dimensions (Novelty, Prior-Art Overlap, Differentiation, Innovation, Documentation Quality, Commercial Potential) while mathematically decoupling readiness from confidence?</w:t>
      </w:r>
    </w:p>
    <w:p>
      <w:pPr>
        <w:pStyle w:val="ListBullet"/>
        <w:spacing w:line="360" w:lineRule="auto" w:after="80" w:before="0"/>
        <w:jc w:val="both"/>
      </w:pPr>
      <w:r>
        <w:rPr>
          <w:rFonts w:ascii="Times New Roman" w:hAnsi="Times New Roman"/>
          <w:b/>
          <w:color w:val="000000"/>
          <w:sz w:val="24"/>
        </w:rPr>
        <w:t>RQ4 (Grounded Generative Explanation &amp; Persistence):</w:t>
      </w:r>
      <w:r>
        <w:rPr>
          <w:rFonts w:ascii="Times New Roman" w:hAnsi="Times New Roman"/>
          <w:color w:val="000000"/>
          <w:sz w:val="24"/>
        </w:rPr>
        <w:t xml:space="preserve"> How can generative language models be strictly constrained via prompt engineering and fallback safeguards to explain pre-calculated evidence rather than invent scores, ensuring persistent multi-tenant security and auditable reproducibility?</w:t>
      </w:r>
    </w:p>
    <w:p>
      <w:pPr>
        <w:keepNext/>
        <w:spacing w:before="280" w:after="120" w:line="276" w:lineRule="auto"/>
        <w:jc w:val="left"/>
      </w:pPr>
      <w:r>
        <w:rPr>
          <w:rFonts w:ascii="Times New Roman" w:hAnsi="Times New Roman"/>
          <w:b/>
          <w:color w:val="000000"/>
          <w:sz w:val="28"/>
        </w:rPr>
        <w:t>1.4 PROJECT OBJECTIVES</w:t>
      </w:r>
    </w:p>
    <w:p>
      <w:pPr>
        <w:spacing w:line="360" w:lineRule="auto" w:after="120" w:before="0"/>
        <w:jc w:val="both"/>
      </w:pPr>
      <w:r>
        <w:rPr>
          <w:rFonts w:ascii="Times New Roman" w:hAnsi="Times New Roman"/>
          <w:color w:val="000000"/>
          <w:sz w:val="24"/>
        </w:rPr>
        <w:t>To answer these research questions, the PatentIQ system was engineered around five foundational technical objectives:</w:t>
      </w:r>
    </w:p>
    <w:p>
      <w:pPr>
        <w:pStyle w:val="ListBullet"/>
        <w:spacing w:line="360" w:lineRule="auto" w:after="80" w:before="0"/>
        <w:jc w:val="both"/>
      </w:pPr>
      <w:r>
        <w:rPr>
          <w:rFonts w:ascii="Times New Roman" w:hAnsi="Times New Roman"/>
          <w:b/>
          <w:color w:val="000000"/>
          <w:sz w:val="24"/>
        </w:rPr>
        <w:t>Objective 1: Multi-Format Ingestion and Patent-Aware Chunking —</w:t>
      </w:r>
      <w:r>
        <w:rPr>
          <w:rFonts w:ascii="Times New Roman" w:hAnsi="Times New Roman"/>
          <w:color w:val="000000"/>
          <w:sz w:val="24"/>
        </w:rPr>
        <w:t xml:space="preserve"> Develop an automated ingestion engine supporting PDF, DOCX, and plain text formats that validates document structure, sanitizes input streams, and implements patent-aware chunking preserving paragraph boundaries and claim references.</w:t>
      </w:r>
    </w:p>
    <w:p>
      <w:pPr>
        <w:pStyle w:val="ListBullet"/>
        <w:spacing w:line="360" w:lineRule="auto" w:after="80" w:before="0"/>
        <w:jc w:val="both"/>
      </w:pPr>
      <w:r>
        <w:rPr>
          <w:rFonts w:ascii="Times New Roman" w:hAnsi="Times New Roman"/>
          <w:b/>
          <w:color w:val="000000"/>
          <w:sz w:val="24"/>
        </w:rPr>
        <w:t>Objective 2: Hybrid Retrieval and Cross-Encoder Neural Reranking —</w:t>
      </w:r>
      <w:r>
        <w:rPr>
          <w:rFonts w:ascii="Times New Roman" w:hAnsi="Times New Roman"/>
          <w:color w:val="000000"/>
          <w:sz w:val="24"/>
        </w:rPr>
        <w:t xml:space="preserve"> Implement a dual-channel retrieval architecture integrating dense BGE vector search on Qdrant with sparse Okapi BM25 keyword matching, fused via Reciprocal Rank Fusion (RRF, k=60) and reranked using the BAAI/bge-reranker-base cross-encoder model.</w:t>
      </w:r>
    </w:p>
    <w:p>
      <w:pPr>
        <w:pStyle w:val="ListBullet"/>
        <w:spacing w:line="360" w:lineRule="auto" w:after="80" w:before="0"/>
        <w:jc w:val="both"/>
      </w:pPr>
      <w:r>
        <w:rPr>
          <w:rFonts w:ascii="Times New Roman" w:hAnsi="Times New Roman"/>
          <w:b/>
          <w:color w:val="000000"/>
          <w:sz w:val="24"/>
        </w:rPr>
        <w:t>Objective 3: Evidence Matrix and Controlled Severity Mapping —</w:t>
      </w:r>
      <w:r>
        <w:rPr>
          <w:rFonts w:ascii="Times New Roman" w:hAnsi="Times New Roman"/>
          <w:color w:val="000000"/>
          <w:sz w:val="24"/>
        </w:rPr>
        <w:t xml:space="preserve"> Establish an evidence-mapping algorithm that classifies feature-to-patent correspondences across five controlled severities (direct match, partial match, contextual match, weak match, and no material match) into a two-dimensional Feature-to-Prior-Art Evidence Matrix.</w:t>
      </w:r>
    </w:p>
    <w:p>
      <w:pPr>
        <w:pStyle w:val="ListBullet"/>
        <w:spacing w:line="360" w:lineRule="auto" w:after="80" w:before="0"/>
        <w:jc w:val="both"/>
      </w:pPr>
      <w:r>
        <w:rPr>
          <w:rFonts w:ascii="Times New Roman" w:hAnsi="Times New Roman"/>
          <w:b/>
          <w:color w:val="000000"/>
          <w:sz w:val="24"/>
        </w:rPr>
        <w:t>Objective 4: Deterministic Evidence-Based Patent Readiness Engine (EB-PRE) —</w:t>
      </w:r>
      <w:r>
        <w:rPr>
          <w:rFonts w:ascii="Times New Roman" w:hAnsi="Times New Roman"/>
          <w:color w:val="000000"/>
          <w:sz w:val="24"/>
        </w:rPr>
        <w:t xml:space="preserve"> Formulate and calibrate the EB-PRE scoring engine across six validated research dimensions with exact weight distribution, rigorous score-confidence decoupling, and automated uncertainty flag generation.</w:t>
      </w:r>
    </w:p>
    <w:p>
      <w:pPr>
        <w:pStyle w:val="ListBullet"/>
        <w:spacing w:line="360" w:lineRule="auto" w:after="80" w:before="0"/>
        <w:jc w:val="both"/>
      </w:pPr>
      <w:r>
        <w:rPr>
          <w:rFonts w:ascii="Times New Roman" w:hAnsi="Times New Roman"/>
          <w:b/>
          <w:color w:val="000000"/>
          <w:sz w:val="24"/>
        </w:rPr>
        <w:t>Objective 5: Grounded Explanation Generation, Relational Persistence, and Modern Web Interface —</w:t>
      </w:r>
      <w:r>
        <w:rPr>
          <w:rFonts w:ascii="Times New Roman" w:hAnsi="Times New Roman"/>
          <w:color w:val="000000"/>
          <w:sz w:val="24"/>
        </w:rPr>
        <w:t xml:space="preserve"> Deploy Gemini 2.5 Pro under strict anti-hallucination prompt boundaries with automated deterministic fallback on API quota exhaustion; persist all entities in Supabase PostgreSQL under strict Row Level Security; and deliver an interactive React 19 + Vite dashboard.</w:t>
      </w:r>
    </w:p>
    <w:p>
      <w:pPr>
        <w:keepNext/>
        <w:spacing w:before="280" w:after="120" w:line="276" w:lineRule="auto"/>
        <w:jc w:val="left"/>
      </w:pPr>
      <w:r>
        <w:rPr>
          <w:rFonts w:ascii="Times New Roman" w:hAnsi="Times New Roman"/>
          <w:b/>
          <w:color w:val="000000"/>
          <w:sz w:val="28"/>
        </w:rPr>
        <w:t>1.5 CORE GUIDING PRINCIPLE: ALGORITHMS CALCULATE, EVIDENCE SUPPORTS, GEMINI EXPLAINS</w:t>
      </w:r>
    </w:p>
    <w:p>
      <w:pPr>
        <w:spacing w:line="360" w:lineRule="auto" w:after="120" w:before="0"/>
        <w:jc w:val="both"/>
      </w:pPr>
      <w:r>
        <w:rPr>
          <w:rFonts w:ascii="Times New Roman" w:hAnsi="Times New Roman"/>
          <w:b/>
          <w:color w:val="000000"/>
          <w:sz w:val="24"/>
        </w:rPr>
        <w:t xml:space="preserve">The PatentIQ Tenet: </w:t>
      </w:r>
      <w:r>
        <w:rPr>
          <w:rFonts w:ascii="Times New Roman" w:hAnsi="Times New Roman"/>
          <w:color w:val="000000"/>
          <w:sz w:val="24"/>
        </w:rPr>
        <w:t>The philosophical and engineering core of PatentIQ is encapsulated in a strict architectural maxim that governs all information processing:</w:t>
      </w:r>
    </w:p>
    <w:p>
      <w:pPr>
        <w:spacing w:line="360" w:lineRule="auto" w:after="120" w:before="0"/>
        <w:jc w:val="both"/>
      </w:pPr>
      <w:r>
        <w:rPr>
          <w:rFonts w:ascii="Times New Roman" w:hAnsi="Times New Roman"/>
          <w:i/>
          <w:color w:val="000000"/>
          <w:sz w:val="24"/>
        </w:rPr>
        <w:t xml:space="preserve">Guiding Maxim: </w:t>
      </w:r>
      <w:r>
        <w:rPr>
          <w:rFonts w:ascii="Times New Roman" w:hAnsi="Times New Roman"/>
          <w:color w:val="000000"/>
          <w:sz w:val="24"/>
        </w:rPr>
        <w:t>“Algorithms calculate. Evidence supports. Gemini explains.”</w:t>
      </w:r>
    </w:p>
    <w:p>
      <w:pPr>
        <w:spacing w:line="360" w:lineRule="auto" w:after="120" w:before="0"/>
        <w:jc w:val="both"/>
      </w:pPr>
      <w:r>
        <w:rPr>
          <w:rFonts w:ascii="Times New Roman" w:hAnsi="Times New Roman"/>
          <w:color w:val="000000"/>
          <w:sz w:val="24"/>
        </w:rPr>
        <w:t>This principle enforces strict separation of responsibilities across the system components: (1) Algorithmic Determinism: Readiness scores, dimension ratings, feature confidence values, and uncertainty flags are strictly computed by deterministic mathematical algorithms executing in FastAPI. The Large Language Model is never permitted to calculate, adjust, or generate numerical readiness metrics. (2) Verifiable Evidence Grounding: Every metric computed by the engine is anchored to traceable passages excerpted verbatim from retrieved prior-art patents and stored in the Evidence Matrix. (3) Constrained Generative Synthesis: The generative model (Gemini 2.5 Pro) functions solely as an articulate technical communicator. It translates complex mathematical matrix relationships into structured, human-readable executive summaries, tactical differentiation advice, and transparent explanations strictly constrained to the retrieved evidence.</w:t>
      </w:r>
    </w:p>
    <w:p>
      <w:pPr>
        <w:keepNext/>
        <w:spacing w:before="280" w:after="120" w:line="276" w:lineRule="auto"/>
        <w:jc w:val="left"/>
      </w:pPr>
      <w:r>
        <w:rPr>
          <w:rFonts w:ascii="Times New Roman" w:hAnsi="Times New Roman"/>
          <w:b/>
          <w:color w:val="000000"/>
          <w:sz w:val="28"/>
        </w:rPr>
        <w:t>1.6 SCOPE, BOUNDARIES, AND OPERATIONAL DELIMITATIONS</w:t>
      </w:r>
    </w:p>
    <w:p>
      <w:pPr>
        <w:spacing w:line="360" w:lineRule="auto" w:after="120" w:before="0"/>
        <w:jc w:val="both"/>
      </w:pPr>
      <w:r>
        <w:rPr>
          <w:rFonts w:ascii="Times New Roman" w:hAnsi="Times New Roman"/>
          <w:color w:val="000000"/>
          <w:sz w:val="24"/>
        </w:rPr>
        <w:t>To establish academic integrity and legal defensibility, the scope of PatentIQ is explicitly delimited by the following operational boundaries:</w:t>
      </w:r>
    </w:p>
    <w:p>
      <w:pPr>
        <w:pStyle w:val="ListBullet"/>
        <w:spacing w:line="360" w:lineRule="auto" w:after="80" w:before="0"/>
        <w:jc w:val="both"/>
      </w:pPr>
      <w:r>
        <w:rPr>
          <w:rFonts w:ascii="Times New Roman" w:hAnsi="Times New Roman"/>
          <w:b/>
          <w:color w:val="000000"/>
          <w:sz w:val="24"/>
        </w:rPr>
        <w:t>Decision-Support, Not Legal Patentability Determination:</w:t>
      </w:r>
      <w:r>
        <w:rPr>
          <w:rFonts w:ascii="Times New Roman" w:hAnsi="Times New Roman"/>
          <w:color w:val="000000"/>
          <w:sz w:val="24"/>
        </w:rPr>
        <w:t xml:space="preserve"> PatentIQ is an early-stage screening, research-acceleration, and decision-support tool. It does not provide legal advice, does not establish formal legal patentability, and does not replace the statutory examination conducted by authorized government patent offices (such as the USPTO, EPO, or Indian Patent Office).</w:t>
      </w:r>
    </w:p>
    <w:p>
      <w:pPr>
        <w:pStyle w:val="ListBullet"/>
        <w:spacing w:line="360" w:lineRule="auto" w:after="80" w:before="0"/>
        <w:jc w:val="both"/>
      </w:pPr>
      <w:r>
        <w:rPr>
          <w:rFonts w:ascii="Times New Roman" w:hAnsi="Times New Roman"/>
          <w:b/>
          <w:color w:val="000000"/>
          <w:sz w:val="24"/>
        </w:rPr>
        <w:t>Development Corpus Boundary:</w:t>
      </w:r>
      <w:r>
        <w:rPr>
          <w:rFonts w:ascii="Times New Roman" w:hAnsi="Times New Roman"/>
          <w:color w:val="000000"/>
          <w:sz w:val="24"/>
        </w:rPr>
        <w:t xml:space="preserve"> The current verified implementation operates over a curated development corpus of 15 public US patents encompassing 78 granular claim and description chunks. While architecturally scalable to millions of documents on Qdrant, results documented in this report reflect this calibrated reference dataset.</w:t>
      </w:r>
    </w:p>
    <w:p>
      <w:pPr>
        <w:pStyle w:val="ListBullet"/>
        <w:spacing w:line="360" w:lineRule="auto" w:after="80" w:before="0"/>
        <w:jc w:val="both"/>
      </w:pPr>
      <w:r>
        <w:rPr>
          <w:rFonts w:ascii="Times New Roman" w:hAnsi="Times New Roman"/>
          <w:b/>
          <w:color w:val="000000"/>
          <w:sz w:val="24"/>
        </w:rPr>
        <w:t>Language Delimitation:</w:t>
      </w:r>
      <w:r>
        <w:rPr>
          <w:rFonts w:ascii="Times New Roman" w:hAnsi="Times New Roman"/>
          <w:color w:val="000000"/>
          <w:sz w:val="24"/>
        </w:rPr>
        <w:t xml:space="preserve"> The current retrieval and embedding models (BAAI/bge-base-en-v1.5 and BM25 tokenizers) are calibrated for English-language patent disclosures. Multilingual patent families (e.g., Japanese, Chinese, or German disclosures) are outside the current primary scope.</w:t>
      </w:r>
    </w:p>
    <w:p>
      <w:pPr>
        <w:keepNext/>
        <w:spacing w:before="280" w:after="120" w:line="276" w:lineRule="auto"/>
        <w:jc w:val="left"/>
      </w:pPr>
      <w:r>
        <w:rPr>
          <w:rFonts w:ascii="Times New Roman" w:hAnsi="Times New Roman"/>
          <w:b/>
          <w:color w:val="000000"/>
          <w:sz w:val="28"/>
        </w:rPr>
        <w:t>1.7 ORGANIZATION OF THE REPORT</w:t>
      </w:r>
    </w:p>
    <w:p>
      <w:pPr>
        <w:spacing w:line="360" w:lineRule="auto" w:after="120" w:before="0"/>
        <w:jc w:val="both"/>
      </w:pPr>
      <w:r>
        <w:rPr>
          <w:rFonts w:ascii="Times New Roman" w:hAnsi="Times New Roman"/>
          <w:color w:val="000000"/>
          <w:sz w:val="24"/>
        </w:rPr>
        <w:t>The remainder of this project report is structured into twelve thematic chapters that comprehensively document the engineering lifecycle of PatentIQ:</w:t>
        <w:br/>
        <w:t>Chapter 2 reviews foundational academic literature across neural patent retrieval, RAG, and XAI, synthesizing 15 key research works into a comparative matrix. Chapter 3 defines the functional and non-functional system specifications and justifies the locked technology stack. Chapter 4 details the end-to-end layered architecture, data pipeline, and multi-tenant security model. Chapter 5 explains multi-format document ingestion, patent-aware chunking, and technical feature deconstruction. Chapter 6 presents the dual-channel hybrid retrieval pipeline, Reciprocal Rank Fusion, and cross-encoder neural reranking. Chapter 7 specifies the controlled evidence relationship vocabulary and two-dimensional Evidence Matrix architecture. Chapter 8 establishes the mathematical formalism and dimension formulations of the Evidence-Based Patent Readiness Engine (EB-PRE). Chapter 9 details Gemini 2.5 Pro grounded explanation generation, prompt guardrails, and deterministic fallback mode. Chapter 10 discusses the Supabase PostgreSQL relational schema, Row Level Security policies, and persistence layer. Chapter 11 presents the React 19 frontend design and REST API integration contracts. Chapter 12 provides comprehensive experimental results, automated test suite verifications, latency profiling, and ablation analysis. Chapter 13 concludes the thesis with key insights, realized performance achievements, threats to validity, and future research directions.</w:t>
      </w:r>
    </w:p>
    <w:p>
      <w:r>
        <w:br w:type="page"/>
      </w:r>
    </w:p>
    <w:p>
      <w:pPr>
        <w:spacing w:before="360" w:after="80" w:line="240" w:lineRule="auto"/>
        <w:jc w:val="center"/>
      </w:pPr>
      <w:r>
        <w:rPr>
          <w:rFonts w:ascii="Times New Roman" w:hAnsi="Times New Roman"/>
          <w:b/>
          <w:color w:val="000000"/>
          <w:sz w:val="32"/>
        </w:rPr>
        <w:t>CHAPTER 2</w:t>
      </w:r>
    </w:p>
    <w:p>
      <w:pPr>
        <w:spacing w:before="0" w:after="360" w:line="276" w:lineRule="auto"/>
        <w:jc w:val="center"/>
      </w:pPr>
      <w:r>
        <w:rPr>
          <w:rFonts w:ascii="Times New Roman" w:hAnsi="Times New Roman"/>
          <w:b/>
          <w:color w:val="000000"/>
          <w:sz w:val="32"/>
        </w:rPr>
        <w:t>LITERATURE REVIEW AND THEORETICAL FOUNDATIONS</w:t>
      </w:r>
    </w:p>
    <w:p>
      <w:pPr>
        <w:keepNext/>
        <w:spacing w:before="280" w:after="120" w:line="276" w:lineRule="auto"/>
        <w:jc w:val="left"/>
      </w:pPr>
      <w:r>
        <w:rPr>
          <w:rFonts w:ascii="Times New Roman" w:hAnsi="Times New Roman"/>
          <w:b/>
          <w:color w:val="000000"/>
          <w:sz w:val="28"/>
        </w:rPr>
        <w:t>2.1 EVOLUTION OF PATENT RETRIEVAL SYSTEMS</w:t>
      </w:r>
    </w:p>
    <w:p>
      <w:pPr>
        <w:spacing w:line="360" w:lineRule="auto" w:after="120" w:before="0"/>
        <w:jc w:val="both"/>
      </w:pPr>
      <w:r>
        <w:rPr>
          <w:rFonts w:ascii="Times New Roman" w:hAnsi="Times New Roman"/>
          <w:color w:val="000000"/>
          <w:sz w:val="24"/>
        </w:rPr>
        <w:t>Patent Information Retrieval (PIR) has evolved through distinct technological epochs over the past four decades. Early computational patent search systems in the 1980s and 1990s relied exclusively on exact Boolean matching combined with manual hierarchical classification codes (Salton &amp; McGill, 1983; Croft et al., 2010). Professional patent searchers constructed highly elaborate query strings featuring nested AND/OR operators, wildcards, and field-specific filters (e.g., restricting terms to the title, abstract, or claims). While Boolean search provides complete predictability and zero query execution ambiguity, it suffers from two catastrophic information retrieval pathologies: unranked output lists (every document matching the Boolean query is treated equally) and extreme query brittleness (omitting a single legal synonym eliminates the most relevant prior art).</w:t>
      </w:r>
    </w:p>
    <w:p>
      <w:pPr>
        <w:spacing w:line="360" w:lineRule="auto" w:after="120" w:before="0"/>
        <w:jc w:val="both"/>
      </w:pPr>
      <w:r>
        <w:rPr>
          <w:rFonts w:ascii="Times New Roman" w:hAnsi="Times New Roman"/>
          <w:color w:val="000000"/>
          <w:sz w:val="24"/>
        </w:rPr>
        <w:t>The advent of statistical term-weighting algorithms in the 1990s—most notably the Okapi BM25 probabilistic relevance framework developed by Robertson and Zaragoza (2009)—substantially advanced lexical search. BM25 introduced non-linear term frequency saturation and document length normalization, ensuring that repeated occurrences of technical terms in lengthy patent specifications do not disproportionately inflate document relevance scores. However, even probabilistic lexical retrieval remains fundamentally bounded by the vocabulary mismatch problem: it cannot recognize semantic equivalences between terms that share no morphological roots (e.g., 'transistor' and 'semiconductor switching element').</w:t>
      </w:r>
    </w:p>
    <w:p>
      <w:pPr>
        <w:keepNext/>
        <w:spacing w:before="280" w:after="120" w:line="276" w:lineRule="auto"/>
        <w:jc w:val="left"/>
      </w:pPr>
      <w:r>
        <w:rPr>
          <w:rFonts w:ascii="Times New Roman" w:hAnsi="Times New Roman"/>
          <w:b/>
          <w:color w:val="000000"/>
          <w:sz w:val="28"/>
        </w:rPr>
        <w:t>2.2 DENSE SEMANTIC REPRESENTATIONS AND CROSS-ENCODER RERANKING</w:t>
      </w:r>
    </w:p>
    <w:p>
      <w:pPr>
        <w:spacing w:line="360" w:lineRule="auto" w:after="120" w:before="0"/>
        <w:jc w:val="both"/>
      </w:pPr>
      <w:r>
        <w:rPr>
          <w:rFonts w:ascii="Times New Roman" w:hAnsi="Times New Roman"/>
          <w:color w:val="000000"/>
          <w:sz w:val="24"/>
        </w:rPr>
        <w:t>The emergence of transformer-based language representations (Vaswani et al., 2017) catalyzed a paradigm shift in semantic retrieval. Pre-trained bi-encoder models, such as BERT (Devlin et al., 2019) and domain-adapted variants like PatentBERT (Lee &amp; Hsiang, 2020), map textual queries and patent passages into continuous, dense vector spaces where semantic proximity is measured via inner products or cosine similarity. In bi-encoder architectures, passage embeddings are pre-computed offline and indexed within specialized vector databases such as Qdrant (Qdrant Team, 2023), enabling millisecond-level approximate nearest neighbor (ANN) retrieval across high-dimensional spaces.</w:t>
      </w:r>
    </w:p>
    <w:p>
      <w:pPr>
        <w:spacing w:line="360" w:lineRule="auto" w:after="120" w:before="0"/>
        <w:jc w:val="both"/>
      </w:pPr>
      <w:r>
        <w:rPr>
          <w:rFonts w:ascii="Times New Roman" w:hAnsi="Times New Roman"/>
          <w:color w:val="000000"/>
          <w:sz w:val="24"/>
        </w:rPr>
        <w:t>Recent benchmarks from the Beijing Academy of Artificial Intelligence (BAAI) demonstrated that general-purpose bi-encoder embeddings, specifically BGE (BAAI General Embedding, Xiao et al., 2023), achieve state-of-the-art retrieval performance across diverse technical domains. However, bi-encoders suffer from the 'representation bottleneck': because the query and document are encoded independently without cross-attention, subtle contextual nuances and claim-limiting qualifications are often lost. To resolve this limitation, modern multi-stage retrieval pipelines deploy cross-encoder neural rerankers (Nogueira &amp; Cho, 2019; Xiao et al., 2023). In a cross-encoder, the query and candidate passage are concatenated and processed jointly through all transformer attention layers, allowing every query token to attend directly to every passage token. This rich all-to-all cross-attention produces exceptionally accurate relevance scores at the expense of higher computational latency, making cross-encoders ideal for reranking a compact pool of top candidates.</w:t>
      </w:r>
    </w:p>
    <w:p>
      <w:pPr>
        <w:keepNext/>
        <w:spacing w:before="280" w:after="120" w:line="276" w:lineRule="auto"/>
        <w:jc w:val="left"/>
      </w:pPr>
      <w:r>
        <w:rPr>
          <w:rFonts w:ascii="Times New Roman" w:hAnsi="Times New Roman"/>
          <w:b/>
          <w:color w:val="000000"/>
          <w:sz w:val="28"/>
        </w:rPr>
        <w:t>2.3 PATENT NOVELTY AND INVENTIVE-STEP SCREENING METHODOLOGIES</w:t>
      </w:r>
    </w:p>
    <w:p>
      <w:pPr>
        <w:spacing w:line="360" w:lineRule="auto" w:after="120" w:before="0"/>
        <w:jc w:val="both"/>
      </w:pPr>
      <w:r>
        <w:rPr>
          <w:rFonts w:ascii="Times New Roman" w:hAnsi="Times New Roman"/>
          <w:color w:val="000000"/>
          <w:sz w:val="24"/>
        </w:rPr>
        <w:t>Patent novelty assessment fundamentally differs from conventional document similarity. Under international patent examination guidelines, an invention lacks novelty if and only if all of its constituent technical features are disclosed within a single piece of prior art (anticipation under 35 U.S.C. § 102). If the features are disclosed across multiple prior art references, the invention may lack an inventive step (non-obviousness under 35 U.S.C. § 103) if combining those references would have been obvious to a Person Having Ordinary Skill In The Art (PHOSITA).</w:t>
      </w:r>
    </w:p>
    <w:p>
      <w:pPr>
        <w:spacing w:line="360" w:lineRule="auto" w:after="120" w:before="0"/>
        <w:jc w:val="both"/>
      </w:pPr>
      <w:r>
        <w:rPr>
          <w:rFonts w:ascii="Times New Roman" w:hAnsi="Times New Roman"/>
          <w:color w:val="000000"/>
          <w:sz w:val="24"/>
        </w:rPr>
        <w:t>Early attempts to automate novelty evaluation utilized claim decomposition based on constituency parsing and dependency grammar (Shinmori et al., 2003; Sheremetyeva, 2003). While linguistically principled, these symbolic approaches failed to scale across diverse drafting styles. Recent computational efforts have explored graph neural networks (GNNs) and knowledge graphs to capture relational patent entities (Helmers et al., 2019; Aristodemou &amp; Tietze, 2018). However, existing academic systems rarely bridge the gap between high-level novelty classification and actionable, passage-level feature correspondence, leaving inventors with abstract confidence scores devoid of verifiable evidentiary justification.</w:t>
      </w:r>
    </w:p>
    <w:p>
      <w:pPr>
        <w:keepNext/>
        <w:spacing w:before="280" w:after="120" w:line="276" w:lineRule="auto"/>
        <w:jc w:val="left"/>
      </w:pPr>
      <w:r>
        <w:rPr>
          <w:rFonts w:ascii="Times New Roman" w:hAnsi="Times New Roman"/>
          <w:b/>
          <w:color w:val="000000"/>
          <w:sz w:val="28"/>
        </w:rPr>
        <w:t>2.4 RETRIEVAL-AUGMENTED GENERATION (RAG) IN TECHNICAL DOMAINS</w:t>
      </w:r>
    </w:p>
    <w:p>
      <w:pPr>
        <w:spacing w:line="360" w:lineRule="auto" w:after="120" w:before="0"/>
        <w:jc w:val="both"/>
      </w:pPr>
      <w:r>
        <w:rPr>
          <w:rFonts w:ascii="Times New Roman" w:hAnsi="Times New Roman"/>
          <w:color w:val="000000"/>
          <w:sz w:val="24"/>
        </w:rPr>
        <w:t>Large Language Models (LLMs) such as GPT-4 (Achiam et al., 2023) and Gemini (Google Team, 2024) have demonstrated remarkable capabilities in technical summarization and complex reasoning. Nevertheless, their direct application to legal and intellectual property domains is severely constrained by hallucination, temporal knowledge cutoffs, and ungrounded generation (Lewis et al., 2020; Shuster et al., 2021). Retrieval-Augmented Generation (RAG) addresses these vulnerabilities by supplying the language model with retrieved external context passages, instructing the model to synthesize answers grounded strictly in the provided evidence.</w:t>
      </w:r>
    </w:p>
    <w:p>
      <w:pPr>
        <w:spacing w:line="360" w:lineRule="auto" w:after="120" w:before="0"/>
        <w:jc w:val="both"/>
      </w:pPr>
      <w:r>
        <w:rPr>
          <w:rFonts w:ascii="Times New Roman" w:hAnsi="Times New Roman"/>
          <w:color w:val="000000"/>
          <w:sz w:val="24"/>
        </w:rPr>
        <w:t>In patent analytics, RAG architectures face unique operational demands. If the retrieval stage retrieves tangential background passages rather than true prior art, standard RAG models will generate fluent, authoritative-sounding explanations that are technically meaningless or legally erroneous. Furthermore, unconstrained RAG pipelines often allow the LLM to invent quantitative scores or subjective novelty judgments. To establish legal defensibility, a technical patent RAG system must implement deterministic algorithmic scoring prior to generation, utilizing the generative model exclusively for grounded natural language synthesis.</w:t>
      </w:r>
    </w:p>
    <w:p>
      <w:pPr>
        <w:keepNext/>
        <w:spacing w:before="280" w:after="120" w:line="276" w:lineRule="auto"/>
        <w:jc w:val="left"/>
      </w:pPr>
      <w:r>
        <w:rPr>
          <w:rFonts w:ascii="Times New Roman" w:hAnsi="Times New Roman"/>
          <w:b/>
          <w:color w:val="000000"/>
          <w:sz w:val="28"/>
        </w:rPr>
        <w:t>2.5 EXPLAINABLE AI (XAI) AND TRANSPARENT EVIDENCE ATTRIBUTION</w:t>
      </w:r>
    </w:p>
    <w:p>
      <w:pPr>
        <w:spacing w:line="360" w:lineRule="auto" w:after="120" w:before="0"/>
        <w:jc w:val="both"/>
      </w:pPr>
      <w:r>
        <w:rPr>
          <w:rFonts w:ascii="Times New Roman" w:hAnsi="Times New Roman"/>
          <w:color w:val="000000"/>
          <w:sz w:val="24"/>
        </w:rPr>
        <w:t>In high-stakes intellectual property decision-making, 'black-box' artificial intelligence predictions are unacceptable. Patent examiners, corporate IP counsel, and university technology transfer officers cannot act upon an opaque machine learning score without understanding the underlying technical rationale (Gunning et al., 2019; Ribeiro et al., 2016). Transparent evidence attribution requires bidirectional provenance: an observer must be able to trace every point of scored prior-art overlap directly back to a verbatim sentence in the applicant's disclosure and a corresponding claim or paragraph in a cited patent document.</w:t>
      </w:r>
    </w:p>
    <w:p>
      <w:pPr>
        <w:keepNext/>
        <w:spacing w:before="280" w:after="120" w:line="276" w:lineRule="auto"/>
        <w:jc w:val="left"/>
      </w:pPr>
      <w:r>
        <w:rPr>
          <w:rFonts w:ascii="Times New Roman" w:hAnsi="Times New Roman"/>
          <w:b/>
          <w:color w:val="000000"/>
          <w:sz w:val="28"/>
        </w:rPr>
        <w:t>2.6 MULTI-DIMENSIONAL PATENT QUALITY EVALUATION FRAMEWORKS</w:t>
      </w:r>
    </w:p>
    <w:p>
      <w:pPr>
        <w:spacing w:line="360" w:lineRule="auto" w:after="120" w:before="0"/>
        <w:jc w:val="both"/>
      </w:pPr>
      <w:r>
        <w:rPr>
          <w:rFonts w:ascii="Times New Roman" w:hAnsi="Times New Roman"/>
          <w:color w:val="000000"/>
          <w:sz w:val="24"/>
        </w:rPr>
        <w:t>Prior art overlap is only one facet of comprehensive invention readiness. Prior research in econometric patent valuation and patent bibliometrics (Lanjouw &amp; Schankerman, 2004; Squicciarini et al., 2013; Hall et al., 2005) confirms that patent value and enforceability depend on multi-dimensional quality indicators: clarity of technical documentation, breadth of independent claims, structural differentiation from neighboring technological solutions, and demonstrated industrial applicability. PatentIQ incorporates these empirical econometric insights by formalizing a six-dimensional evaluation framework that balances pure novelty against technical completeness and commercial potential.</w:t>
      </w:r>
    </w:p>
    <w:p>
      <w:pPr>
        <w:keepNext/>
        <w:spacing w:before="280" w:after="120" w:line="276" w:lineRule="auto"/>
        <w:jc w:val="left"/>
      </w:pPr>
      <w:r>
        <w:rPr>
          <w:rFonts w:ascii="Times New Roman" w:hAnsi="Times New Roman"/>
          <w:b/>
          <w:color w:val="000000"/>
          <w:sz w:val="28"/>
        </w:rPr>
        <w:t>2.7 LITERATURE SYNTHESIS MATRIX</w:t>
      </w:r>
    </w:p>
    <w:p>
      <w:pPr>
        <w:spacing w:line="360" w:lineRule="auto" w:after="120" w:before="0"/>
        <w:jc w:val="both"/>
      </w:pPr>
      <w:r>
        <w:rPr>
          <w:rFonts w:ascii="Times New Roman" w:hAnsi="Times New Roman"/>
          <w:color w:val="000000"/>
          <w:sz w:val="24"/>
        </w:rPr>
        <w:t>Table 2.1 presents a comprehensive comparative synthesis of fifteen foundational research works in patent retrieval, novelty evaluation, and applied NLP, benchmarking their core methodologies, strengths, and inherent limitations against the PatentIQ architecture.</w:t>
      </w:r>
    </w:p>
    <w:p>
      <w:pPr>
        <w:keepNext/>
        <w:spacing w:before="240" w:after="80"/>
        <w:jc w:val="left"/>
      </w:pPr>
      <w:r>
        <w:rPr>
          <w:rFonts w:ascii="Times New Roman" w:hAnsi="Times New Roman"/>
          <w:b/>
          <w:color w:val="000000"/>
          <w:sz w:val="22"/>
        </w:rPr>
        <w:t>Table 2.1: Literature Synthesis Matrix of 15 Foundational Patent Analysis Works</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Ref / Author(s)</w:t>
            </w:r>
          </w:p>
        </w:tc>
        <w:tc>
          <w:tcPr>
            <w:tcW w:type="dxa" w:w="62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Year</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Core Methodology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Key Strengths</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Identified Limitations</w:t>
            </w:r>
          </w:p>
        </w:tc>
        <w:tc>
          <w:tcPr>
            <w:tcW w:type="dxa" w:w="164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PatentIQ Contrast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Robertson &amp; Zaragoza</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 probabilistic lexical retrieval</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precision on exact technical keywords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Fails on legal terminology mismatch</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Coupled with dense BGE vectors in hybrid pipeline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Lee &amp; Hsiang</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2020</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PatentBERT domain-adapted transformer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Captures specialized patent semantics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Bi-encoder representation bottleneck</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Combines BGE bi-encoders with cross-encoder reranking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Xiao et al. (BAAI)</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embeddings &amp; BGE cross-encoder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State-of-the-art dense retrieval and reranking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Requires dual-stage pipeline orchestration</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Implemented in FastAPI with Qdrant vector index</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Cormack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 (RRF)</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Parameter-free multi-list rank merging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Ignores absolute similarity magnitude</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Calibrated at k=60 to merge sparse and dense rankings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Vaswani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2017</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Multi-head self-attention transformers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Universal sequence representation</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computational complexity for long texts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Employed in selective passage-level cross-attention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Lewis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2020</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Retrieval-Augmented Generation (RAG)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Grounds LLM responses in external context</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Vulnerable to noisy retrieval passages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Constrained RAG strictly explaining pre-scored evidence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Shinmori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Constituency parsing of patent claim structure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Deconstructs claims into technical elements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Brittle against non-standard drafting styles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Hybrid pattern-based and rule-based feature extractor</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Sheremetyeva</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NLP frame extraction for patent claims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Linguistic analysis of inventive features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manual rule overhead; poor scalability</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Automated feature decomposition across 4 categories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Aristodemou &amp; Tietze</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2018</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Machine learning in patent analytics survey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Comprehensive taxonomic overview of IP analytics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Survey only; no operational system</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Operationalizes recommendations into end-to-end tool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Helmers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Automated patent classification with neural nets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IPC classification accuracy at scale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Document-level classification; no passage evidence</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Passage-level Evidence Matrix with verbatim citations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Lanjouw &amp; Schankerman</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2004</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Econometric patent quality index</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Multi-indicator composite quality modeling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Offline retrospective citation analysis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Real-time pre-filing EB-PRE readiness scoring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Squicciarini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OECD patent quality indicators framework</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Extensive empirical validation of patent value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Designed for macroeconomic policy</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Adapted into 6 engineering assessment dimensions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Ribeiro et al. (LIME)</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2016</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Local interpretable model-agnostic explanations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Provides feature-attribution explanations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Perturbation-based; high latency overhead</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structural provenance via Feature-Evidence Matrix</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Achiam et al. (OpenAI)</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GPT-4 advanced reasoning capabilities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Exceptional natural language synthesis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Proprietary; ungrounded legal hallucinations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constrained by strict guardrails &amp; fallback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Google Team</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2024</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multimodal technical reasoning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Deep context window and long-horizon reasoning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Requires prompt constraints to prevent drift</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Integrated with watchdog and deterministic fallback</w:t>
            </w:r>
          </w:p>
        </w:tc>
      </w:tr>
    </w:tbl>
    <w:p>
      <w:pPr>
        <w:spacing w:after="120"/>
      </w:pPr>
    </w:p>
    <w:p>
      <w:pPr>
        <w:keepNext/>
        <w:spacing w:before="280" w:after="120" w:line="276" w:lineRule="auto"/>
        <w:jc w:val="left"/>
      </w:pPr>
      <w:r>
        <w:rPr>
          <w:rFonts w:ascii="Times New Roman" w:hAnsi="Times New Roman"/>
          <w:b/>
          <w:color w:val="000000"/>
          <w:sz w:val="28"/>
        </w:rPr>
        <w:t>2.8 CRITICAL RESEARCH GAPS AND PATENTIQ DIFFERENTIATION</w:t>
      </w:r>
    </w:p>
    <w:p>
      <w:pPr>
        <w:spacing w:line="360" w:lineRule="auto" w:after="120" w:before="0"/>
        <w:jc w:val="both"/>
      </w:pPr>
      <w:r>
        <w:rPr>
          <w:rFonts w:ascii="Times New Roman" w:hAnsi="Times New Roman"/>
          <w:color w:val="000000"/>
          <w:sz w:val="24"/>
        </w:rPr>
        <w:t>A rigorous synthesis of existing academic literature and commercial patent platforms exposes four profound research gaps:</w:t>
      </w:r>
    </w:p>
    <w:p>
      <w:pPr>
        <w:pStyle w:val="ListBullet"/>
        <w:spacing w:line="360" w:lineRule="auto" w:after="80" w:before="0"/>
        <w:jc w:val="both"/>
      </w:pPr>
      <w:r>
        <w:rPr>
          <w:rFonts w:ascii="Times New Roman" w:hAnsi="Times New Roman"/>
          <w:b/>
          <w:color w:val="000000"/>
          <w:sz w:val="24"/>
        </w:rPr>
        <w:t>Research Gap 1: Disconnection Between Retrieval and Feature-Level Overlap —</w:t>
      </w:r>
      <w:r>
        <w:rPr>
          <w:rFonts w:ascii="Times New Roman" w:hAnsi="Times New Roman"/>
          <w:color w:val="000000"/>
          <w:sz w:val="24"/>
        </w:rPr>
        <w:t xml:space="preserve"> Existing systems perform retrieval at the document level. If a 40-page patent document is retrieved, the user is left to manually inspect dozens of claims to discover which specific technical mechanism overlapped. PatentIQ bridges this gap by introducing the passage-level Evidence Matrix.</w:t>
      </w:r>
    </w:p>
    <w:p>
      <w:pPr>
        <w:pStyle w:val="ListBullet"/>
        <w:spacing w:line="360" w:lineRule="auto" w:after="80" w:before="0"/>
        <w:jc w:val="both"/>
      </w:pPr>
      <w:r>
        <w:rPr>
          <w:rFonts w:ascii="Times New Roman" w:hAnsi="Times New Roman"/>
          <w:b/>
          <w:color w:val="000000"/>
          <w:sz w:val="24"/>
        </w:rPr>
        <w:t>Research Gap 2: Conflation of Semantic Similarity with Legal Prior Art —</w:t>
      </w:r>
      <w:r>
        <w:rPr>
          <w:rFonts w:ascii="Times New Roman" w:hAnsi="Times New Roman"/>
          <w:color w:val="000000"/>
          <w:sz w:val="24"/>
        </w:rPr>
        <w:t xml:space="preserve"> Naive semantic systems treat high cosine similarity as evidence of novelty loss. In technical patents, contextual background similarity is common and benign. PatentIQ establishes a controlled five-tiered relationship vocabulary that explicitly isolates direct and partial matches from benign contextual matches.</w:t>
      </w:r>
    </w:p>
    <w:p>
      <w:pPr>
        <w:pStyle w:val="ListBullet"/>
        <w:spacing w:line="360" w:lineRule="auto" w:after="80" w:before="0"/>
        <w:jc w:val="both"/>
      </w:pPr>
      <w:r>
        <w:rPr>
          <w:rFonts w:ascii="Times New Roman" w:hAnsi="Times New Roman"/>
          <w:b/>
          <w:color w:val="000000"/>
          <w:sz w:val="24"/>
        </w:rPr>
        <w:t>Research Gap 3: Black-Box Scoring and Hallucinatory LLM Metrics —</w:t>
      </w:r>
      <w:r>
        <w:rPr>
          <w:rFonts w:ascii="Times New Roman" w:hAnsi="Times New Roman"/>
          <w:color w:val="000000"/>
          <w:sz w:val="24"/>
        </w:rPr>
        <w:t xml:space="preserve"> Current AI tools either output an uninterpretable machine-learned score or prompt an unconstrained LLM to generate subjective novelty percentages. PatentIQ enforces complete architectural separation: deterministic algorithms calculate scores, while the LLM strictly explains retrieved evidence.</w:t>
      </w:r>
    </w:p>
    <w:p>
      <w:pPr>
        <w:pStyle w:val="ListBullet"/>
        <w:spacing w:line="360" w:lineRule="auto" w:after="80" w:before="0"/>
        <w:jc w:val="both"/>
      </w:pPr>
      <w:r>
        <w:rPr>
          <w:rFonts w:ascii="Times New Roman" w:hAnsi="Times New Roman"/>
          <w:b/>
          <w:color w:val="000000"/>
          <w:sz w:val="24"/>
        </w:rPr>
        <w:t>Research Gap 4: Neglect of Assessment Confidence and Negative Proof Fallacies —</w:t>
      </w:r>
      <w:r>
        <w:rPr>
          <w:rFonts w:ascii="Times New Roman" w:hAnsi="Times New Roman"/>
          <w:color w:val="000000"/>
          <w:sz w:val="24"/>
        </w:rPr>
        <w:t xml:space="preserve"> Prevailing search engines interpret zero retrieved matches as 100% novelty. PatentIQ formalizes assessment confidence as an independent orthogonal metric, generating explicit uncertainty flags whenever the evidence base is sparse or the feature space is under-searched.</w:t>
      </w:r>
    </w:p>
    <w:p>
      <w:r>
        <w:br w:type="page"/>
      </w:r>
    </w:p>
    <w:p>
      <w:pPr>
        <w:spacing w:before="360" w:after="80" w:line="240" w:lineRule="auto"/>
        <w:jc w:val="center"/>
      </w:pPr>
      <w:r>
        <w:rPr>
          <w:rFonts w:ascii="Times New Roman" w:hAnsi="Times New Roman"/>
          <w:b/>
          <w:color w:val="000000"/>
          <w:sz w:val="32"/>
        </w:rPr>
        <w:t>CHAPTER 3</w:t>
      </w:r>
    </w:p>
    <w:p>
      <w:pPr>
        <w:spacing w:before="0" w:after="360" w:line="276" w:lineRule="auto"/>
        <w:jc w:val="center"/>
      </w:pPr>
      <w:r>
        <w:rPr>
          <w:rFonts w:ascii="Times New Roman" w:hAnsi="Times New Roman"/>
          <w:b/>
          <w:color w:val="000000"/>
          <w:sz w:val="32"/>
        </w:rPr>
        <w:t>REQUIREMENTS ANALYSIS AND SYSTEM SPECIFICATIONS</w:t>
      </w:r>
    </w:p>
    <w:p>
      <w:pPr>
        <w:keepNext/>
        <w:spacing w:before="280" w:after="120" w:line="276" w:lineRule="auto"/>
        <w:jc w:val="left"/>
      </w:pPr>
      <w:r>
        <w:rPr>
          <w:rFonts w:ascii="Times New Roman" w:hAnsi="Times New Roman"/>
          <w:b/>
          <w:color w:val="000000"/>
          <w:sz w:val="28"/>
        </w:rPr>
        <w:t>3.1 USER PERSONAS AND STAKEHOLDER USE CASES</w:t>
      </w:r>
    </w:p>
    <w:p>
      <w:pPr>
        <w:spacing w:line="360" w:lineRule="auto" w:after="120" w:before="0"/>
        <w:jc w:val="both"/>
      </w:pPr>
      <w:r>
        <w:rPr>
          <w:rFonts w:ascii="Times New Roman" w:hAnsi="Times New Roman"/>
          <w:color w:val="000000"/>
          <w:sz w:val="24"/>
        </w:rPr>
        <w:t>Requirements engineering for PatentIQ involved analyzing three primary academic and technical user personas whose operational workflows dictate system behavior:</w:t>
      </w:r>
    </w:p>
    <w:p>
      <w:pPr>
        <w:pStyle w:val="ListBullet"/>
        <w:spacing w:line="360" w:lineRule="auto" w:after="80" w:before="0"/>
        <w:jc w:val="both"/>
      </w:pPr>
      <w:r>
        <w:rPr>
          <w:rFonts w:ascii="Times New Roman" w:hAnsi="Times New Roman"/>
          <w:b/>
          <w:color w:val="000000"/>
          <w:sz w:val="24"/>
        </w:rPr>
        <w:t>Persona A: The Student Inventor / Academic Researcher —</w:t>
      </w:r>
      <w:r>
        <w:rPr>
          <w:rFonts w:ascii="Times New Roman" w:hAnsi="Times New Roman"/>
          <w:color w:val="000000"/>
          <w:sz w:val="24"/>
        </w:rPr>
        <w:t xml:space="preserve"> Possesses deep technical knowledge of their proposed invention but lacks formal training in patent claim construction, Boolean search syntax, and legal classification taxonomies. Needs an accessible upload portal that accepts standard research reports, highlights potential prior-art conflicts, and provides tactical advice on technical differentiation prior to submitting an institutional disclosure.</w:t>
      </w:r>
    </w:p>
    <w:p>
      <w:pPr>
        <w:pStyle w:val="ListBullet"/>
        <w:spacing w:line="360" w:lineRule="auto" w:after="80" w:before="0"/>
        <w:jc w:val="both"/>
      </w:pPr>
      <w:r>
        <w:rPr>
          <w:rFonts w:ascii="Times New Roman" w:hAnsi="Times New Roman"/>
          <w:b/>
          <w:color w:val="000000"/>
          <w:sz w:val="24"/>
        </w:rPr>
        <w:t>Persona B: The University Technology Transfer Officer (TTO) —</w:t>
      </w:r>
      <w:r>
        <w:rPr>
          <w:rFonts w:ascii="Times New Roman" w:hAnsi="Times New Roman"/>
          <w:color w:val="000000"/>
          <w:sz w:val="24"/>
        </w:rPr>
        <w:t xml:space="preserve"> Evaluates dozens of invention disclosures each semester under tight budgetary constraints. Needs a high-throughput, objective pre-screening system that evaluates documentation completeness, identifies immediate prior-art collisions, and provides auditable, structured PDF reports to justify patent budget allocations.</w:t>
      </w:r>
    </w:p>
    <w:p>
      <w:pPr>
        <w:pStyle w:val="ListBullet"/>
        <w:spacing w:line="360" w:lineRule="auto" w:after="80" w:before="0"/>
        <w:jc w:val="both"/>
      </w:pPr>
      <w:r>
        <w:rPr>
          <w:rFonts w:ascii="Times New Roman" w:hAnsi="Times New Roman"/>
          <w:b/>
          <w:color w:val="000000"/>
          <w:sz w:val="24"/>
        </w:rPr>
        <w:t>Persona C: The Startup Founder / Early-Stage Innovator —</w:t>
      </w:r>
      <w:r>
        <w:rPr>
          <w:rFonts w:ascii="Times New Roman" w:hAnsi="Times New Roman"/>
          <w:color w:val="000000"/>
          <w:sz w:val="24"/>
        </w:rPr>
        <w:t xml:space="preserve"> Requires rapid, confidential feedback on whether their product architecture risks infringing published claims or lacks novelty against existing patents, demanding deterministic evidence attribution without exposing sensitive proprietary disclosures to public LLM training pools.</w:t>
      </w:r>
    </w:p>
    <w:p>
      <w:pPr>
        <w:keepNext/>
        <w:spacing w:before="280" w:after="120" w:line="276" w:lineRule="auto"/>
        <w:jc w:val="left"/>
      </w:pPr>
      <w:r>
        <w:rPr>
          <w:rFonts w:ascii="Times New Roman" w:hAnsi="Times New Roman"/>
          <w:b/>
          <w:color w:val="000000"/>
          <w:sz w:val="28"/>
        </w:rPr>
        <w:t>3.2 FUNCTIONAL REQUIREMENTS</w:t>
      </w:r>
    </w:p>
    <w:p>
      <w:pPr>
        <w:spacing w:line="360" w:lineRule="auto" w:after="120" w:before="0"/>
        <w:jc w:val="both"/>
      </w:pPr>
      <w:r>
        <w:rPr>
          <w:rFonts w:ascii="Times New Roman" w:hAnsi="Times New Roman"/>
          <w:color w:val="000000"/>
          <w:sz w:val="24"/>
        </w:rPr>
        <w:t>The functional capabilities of PatentIQ are categorized into twelve discrete, testable Functional Requirements (FR-1 through FR-12), detailed in Table 3.1.</w:t>
      </w:r>
    </w:p>
    <w:p>
      <w:pPr>
        <w:keepNext/>
        <w:spacing w:before="240" w:after="80"/>
        <w:jc w:val="left"/>
      </w:pPr>
      <w:r>
        <w:rPr>
          <w:rFonts w:ascii="Times New Roman" w:hAnsi="Times New Roman"/>
          <w:b/>
          <w:color w:val="000000"/>
          <w:sz w:val="22"/>
        </w:rPr>
        <w:t>Table 3.1: Functional Requirements (FR-1 through FR-12) of PatentIQ</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 ID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Requirement Description</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Input Data</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Output / Transformed State</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Criteria</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Multi-Format Document Upload &amp; Validation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PDF, DOCX, TXT files (&lt; 20MB)</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Sanitized text stream &amp; metadata</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corrupted files &amp; empty streams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 Text Chunking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Raw extracted document text</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Ordered list of semantic chunks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Preserves paragraph bounds &amp; claim IDs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FR-3</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Feature Deconstruction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chunk stream</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Decomposed TechnicalFeature objects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Classifies problem, component, mechanism, effect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FR-4</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Dense Semantic Embedding Generation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Extracted feature text spans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768-dimensional normalized BGE vectors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Cosine similarity normalization in Qdrant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Sparse BM25 Lexical Retrieval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Tokenized feature keywords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Ranked sparse prior-art candidates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Applies Okapi BM25 scoring with k1=1.5, b=0.75</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 (RRF)</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Sparse and dense candidate lists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Fused reciprocal rank candidate list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Merged rank score calculation with k=60</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FR-7</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Cross-Encoder Neural Reranking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Query-passage concatenated pairs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Reranked candidate list with scores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Joint attention scoring via bge-reranker-base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FR-8</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Relationship Classification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Reranked feature-passage pairs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Assigned 5-tier relationship severity</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Classifies direct, partial, contextual, weak, none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FR-9</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Matrix Construction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All feature-passage mappings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2D relational Evidence Matrix</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Maps rows (features) to cols (prior art)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Deterministic Scoring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Matrix + Feature objects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dimension scores + Readiness score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Exact mathematical weight calculation (0-100)</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Confidence &amp; Uncertainty Flagging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Retrieval depth &amp; evidence counts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Confidence score (0.0-1.0) &amp; flags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Emits flags on unsearched features or low coverage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Grounded Report &amp; Fallback Mode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scores + Evidence Matrix</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Structured 10-section report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synthesis with quota fallback</w:t>
            </w:r>
          </w:p>
        </w:tc>
      </w:tr>
    </w:tbl>
    <w:p>
      <w:pPr>
        <w:spacing w:after="120"/>
      </w:pPr>
    </w:p>
    <w:p>
      <w:pPr>
        <w:keepNext/>
        <w:spacing w:before="280" w:after="120" w:line="276" w:lineRule="auto"/>
        <w:jc w:val="left"/>
      </w:pPr>
      <w:r>
        <w:rPr>
          <w:rFonts w:ascii="Times New Roman" w:hAnsi="Times New Roman"/>
          <w:b/>
          <w:color w:val="000000"/>
          <w:sz w:val="28"/>
        </w:rPr>
        <w:t>3.3 NON-FUNCTIONAL REQUIREMENTS</w:t>
      </w:r>
    </w:p>
    <w:p>
      <w:pPr>
        <w:spacing w:line="360" w:lineRule="auto" w:after="120" w:before="0"/>
        <w:jc w:val="both"/>
      </w:pPr>
      <w:r>
        <w:rPr>
          <w:rFonts w:ascii="Times New Roman" w:hAnsi="Times New Roman"/>
          <w:color w:val="000000"/>
          <w:sz w:val="24"/>
        </w:rPr>
        <w:t>Non-functional requirements govern the performance, security, reliability, and deployment constraints of PatentIQ, detailed in Table 3.2.</w:t>
      </w:r>
    </w:p>
    <w:p>
      <w:pPr>
        <w:keepNext/>
        <w:spacing w:before="240" w:after="80"/>
        <w:jc w:val="left"/>
      </w:pPr>
      <w:r>
        <w:rPr>
          <w:rFonts w:ascii="Times New Roman" w:hAnsi="Times New Roman"/>
          <w:b/>
          <w:color w:val="000000"/>
          <w:sz w:val="22"/>
        </w:rPr>
        <w:t>Table 3.2: Non-Functional Requirements (NFR-1 through NFR-8) Performance Matrix</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NFR ID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Category</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Specification Metric</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Target Threshold</w:t>
            </w:r>
          </w:p>
        </w:tc>
        <w:tc>
          <w:tcPr>
            <w:tcW w:type="dxa" w:w="204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Implemented Verification</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NFR-1</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Performance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Warm Pipeline Execution Latency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15 seconds per document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12.4s avg latency verified across benchmarks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Cold-Start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Initial Request Latency &amp; Pre-Warm</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60s cold-start with pre-warming</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Lifespan pre-warm executes in 41.86s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NFR-3</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Accuracy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Scoring Determinism &amp; Repeatability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identical scores on identical input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Verified across 10 repeated automated runs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NFR-4</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Security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Multi-Tenant Data Isolation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Strict Row Level Security (RLS) enforcement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Validated with dual USING + WITH CHECK tests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NFR-5</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Robustness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 Quota Degradation Handling</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unhandled 429 exceptions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Automatic deterministic fallback activated</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NFR-6</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Scalability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Vector Retrieval Complexity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Sub-100ms ANN lookup on Qdrant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HNSW indexing on 768-d BGE vector collection</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NFR-7</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Persistence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 Loss on Server Restart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loss of user projects and reports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Persistent Supabase store with demo fallback</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NFR-8</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Modern Web Interface Responsiveness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200ms UI interaction latency</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 19 + Vite optimized production build</w:t>
            </w:r>
          </w:p>
        </w:tc>
      </w:tr>
    </w:tbl>
    <w:p>
      <w:pPr>
        <w:spacing w:after="120"/>
      </w:pPr>
    </w:p>
    <w:p>
      <w:pPr>
        <w:keepNext/>
        <w:spacing w:before="280" w:after="120" w:line="276" w:lineRule="auto"/>
        <w:jc w:val="left"/>
      </w:pPr>
      <w:r>
        <w:rPr>
          <w:rFonts w:ascii="Times New Roman" w:hAnsi="Times New Roman"/>
          <w:b/>
          <w:color w:val="000000"/>
          <w:sz w:val="28"/>
        </w:rPr>
        <w:t>3.4 LOCKED TECHNOLOGY STACK JUSTIFICATION</w:t>
      </w:r>
    </w:p>
    <w:p>
      <w:pPr>
        <w:spacing w:line="360" w:lineRule="auto" w:after="120" w:before="0"/>
        <w:jc w:val="both"/>
      </w:pPr>
      <w:r>
        <w:rPr>
          <w:rFonts w:ascii="Times New Roman" w:hAnsi="Times New Roman"/>
          <w:color w:val="000000"/>
          <w:sz w:val="24"/>
        </w:rPr>
        <w:t>To satisfy the rigorous functional and non-functional requirements, PatentIQ is engineered on a strictly locked technology stack. Table 3.3 summarizes each locked component, its version, and its architectural justification.</w:t>
      </w:r>
    </w:p>
    <w:p>
      <w:pPr>
        <w:keepNext/>
        <w:spacing w:before="240" w:after="80"/>
        <w:jc w:val="left"/>
      </w:pPr>
      <w:r>
        <w:rPr>
          <w:rFonts w:ascii="Times New Roman" w:hAnsi="Times New Roman"/>
          <w:b/>
          <w:color w:val="000000"/>
          <w:sz w:val="22"/>
        </w:rPr>
        <w:t>Table 3.3: Locked Technology Stack Component Specification and Rationale</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Stack Layer</w:t>
            </w:r>
          </w:p>
        </w:tc>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Selected Technology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Version / Model</w:t>
            </w:r>
          </w:p>
        </w:tc>
        <w:tc>
          <w:tcPr>
            <w:tcW w:type="dxa" w:w="3402"/>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Architectural Justification &amp;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Frontend</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React.js + Vite + Tailwind</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 19, Vite 6.0</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Blazing-fast SPA build, component-based modular UI, reactive state management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Backend API</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FastAPI (Python)</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FastAPI 0.141, Python 3.14</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High-performance async I/O, native Pydantic validation, seamless PyTorch / HuggingFace integration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Vector Database</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1.19 / Cloud</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Dedicated vector search engine with native HNSW indexing, payload filtering, and sub-millisecond ANN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Embeddings</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Embeddings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BAAI/bge-base-en-v1.5</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Top-performing 768-d dense embeddings on MTEB retrieval benchmarks; normalized cosine space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Retrieval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rank-bm25 0.2.2</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Complementary lexical keyword matching; robust against vocabulary drift in long patent texts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Neural Reranker</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Cross-Encoder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BAAI/bge-reranker-base</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Deep bidirectional all-to-all query-passage cross-attention; eliminates bi-encoder bottleneck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Generative LLM</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Google Gemini Pro</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 Flash</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High-reasoning technical synthesis constrained by strict grounded RAG prompts; quota fallback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Relational DB</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 PostgreSQL</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PostgreSQL 15 / Supabase</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Relational persistence of 9 entity tables; strict Row Level Security (RLS); NO pgvector</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PDF Processing</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(fitz)</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1.28.2</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High-speed, memory-efficient PDF extraction preserving layout, tables, and bounding coordinates</w:t>
            </w:r>
          </w:p>
        </w:tc>
      </w:tr>
    </w:tbl>
    <w:p>
      <w:pPr>
        <w:spacing w:after="120"/>
      </w:pPr>
    </w:p>
    <w:p>
      <w:pPr>
        <w:keepNext/>
        <w:spacing w:before="280" w:after="120" w:line="276" w:lineRule="auto"/>
        <w:jc w:val="left"/>
      </w:pPr>
      <w:r>
        <w:rPr>
          <w:rFonts w:ascii="Times New Roman" w:hAnsi="Times New Roman"/>
          <w:b/>
          <w:color w:val="000000"/>
          <w:sz w:val="28"/>
        </w:rPr>
        <w:t>3.5 DEVELOPMENT CORPUS VS WORLDWIDE PATENT COVERAGE</w:t>
      </w:r>
    </w:p>
    <w:p>
      <w:pPr>
        <w:spacing w:line="360" w:lineRule="auto" w:after="120" w:before="0"/>
        <w:jc w:val="both"/>
      </w:pPr>
      <w:r>
        <w:rPr>
          <w:rFonts w:ascii="Times New Roman" w:hAnsi="Times New Roman"/>
          <w:color w:val="000000"/>
          <w:sz w:val="24"/>
        </w:rPr>
        <w:t>A foundational principle of truthful academic reporting is accurately distinguishing between a development test corpus and comprehensive worldwide prior-art coverage. The current verified PatentIQ implementation utilizes an internal development corpus comprising 15 public United States patents encompassing 78 granular claim and description passages, summarized in Table 3.4. These patents span medical devices, autonomous robotics, edge computing, optical sensor systems, and wireless power transmission. This curated corpus provides diverse technical claims to validate hybrid retrieval, cross-encoder reranking, and evidence matrix mapping. However, it does not constitute exhaustive global prior art. The architecture is designed to scale horizontally to millions of documents on Qdrant and Supabase in production deployment.</w:t>
      </w:r>
    </w:p>
    <w:p>
      <w:pPr>
        <w:keepNext/>
        <w:spacing w:before="240" w:after="80"/>
        <w:jc w:val="left"/>
      </w:pPr>
      <w:r>
        <w:rPr>
          <w:rFonts w:ascii="Times New Roman" w:hAnsi="Times New Roman"/>
          <w:b/>
          <w:color w:val="000000"/>
          <w:sz w:val="22"/>
        </w:rPr>
        <w:t>Table 3.4: Development Patent Corpus Composition and Classification Distribution</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Patent Publication No.</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Issuing Jurisdiction</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Technical Domain / Field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Classification (CPC/IPC)</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Chunk Count</w:t>
            </w:r>
          </w:p>
        </w:tc>
        <w:tc>
          <w:tcPr>
            <w:tcW w:type="dxa" w:w="13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Corpus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US-10492811-B2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Minimally invasive surgical robotics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34/30</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prior art for robotic instrumentation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US-10893842-B2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Multi-spectral optical diagnostic imaging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5/00</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medical diagnostic features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US-11197643-B2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Autonomous sensor fusion &amp; depth mapping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G01S 17/89</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LiDAR/camera perception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US-11452491-B2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Edge neural inference in embedded systems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G06N 3/063</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edge acceleration hardware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US-11620854-B2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Adaptive illumination for machine vision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23/56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dynamic lighting control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US-11783510-B2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Closed-loop feedback robotic actuation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B25J 9/16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haptic surgical feedback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US-11849921-B2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Real-time point-cloud compression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19/597</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spatial telemetry transmission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US-11910543-B2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Wireless inductive power transmission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H02J 50/12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non-contact power charging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US-11986154-B2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Sterilization monitoring for surgical tools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A61L 2/28</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autoclave sensor logging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US-12011244-B2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Wearable vital sign telemetry patch</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5/0205</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wearable biometric sensors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US-12042188-B2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Micro-actuator robotic articulation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B25J 17/02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robotic end-effector wrist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US-12089452-B2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Low-latency wireless video streaming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21/436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intraoperative visual feed</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US-12115003-B2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Autonomous obstacle avoidance algorithms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G05D 1/02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robotic trajectory planning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US-12144321-B2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Battery health estimation via impedance</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G01R 31/389</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battery management systems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US-12180012-B2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Cryptographic tamper-evident audit logging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G06F 21/64</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secure medical data logging</w:t>
            </w:r>
          </w:p>
        </w:tc>
      </w:tr>
    </w:tbl>
    <w:p>
      <w:pPr>
        <w:spacing w:after="120"/>
      </w:pPr>
    </w:p>
    <w:p>
      <w:r>
        <w:br w:type="page"/>
      </w:r>
    </w:p>
    <w:p>
      <w:pPr>
        <w:spacing w:before="360" w:after="80" w:line="240" w:lineRule="auto"/>
        <w:jc w:val="center"/>
      </w:pPr>
      <w:r>
        <w:rPr>
          <w:rFonts w:ascii="Times New Roman" w:hAnsi="Times New Roman"/>
          <w:b/>
          <w:color w:val="000000"/>
          <w:sz w:val="32"/>
        </w:rPr>
        <w:t>CHAPTER 4</w:t>
      </w:r>
    </w:p>
    <w:p>
      <w:pPr>
        <w:spacing w:before="0" w:after="360" w:line="276" w:lineRule="auto"/>
        <w:jc w:val="center"/>
      </w:pPr>
      <w:r>
        <w:rPr>
          <w:rFonts w:ascii="Times New Roman" w:hAnsi="Times New Roman"/>
          <w:b/>
          <w:color w:val="000000"/>
          <w:sz w:val="32"/>
        </w:rPr>
        <w:t>SYSTEM ARCHITECTURE AND DATA FLOW</w:t>
      </w:r>
    </w:p>
    <w:p>
      <w:pPr>
        <w:keepNext/>
        <w:spacing w:before="280" w:after="120" w:line="276" w:lineRule="auto"/>
        <w:jc w:val="left"/>
      </w:pPr>
      <w:r>
        <w:rPr>
          <w:rFonts w:ascii="Times New Roman" w:hAnsi="Times New Roman"/>
          <w:b/>
          <w:color w:val="000000"/>
          <w:sz w:val="28"/>
        </w:rPr>
        <w:t>4.1 HIGH-LEVEL END-TO-END SYSTEM ARCHITECTURE</w:t>
      </w:r>
    </w:p>
    <w:p>
      <w:pPr>
        <w:spacing w:line="360" w:lineRule="auto" w:after="120" w:before="0"/>
        <w:jc w:val="both"/>
      </w:pPr>
      <w:r>
        <w:rPr>
          <w:rFonts w:ascii="Times New Roman" w:hAnsi="Times New Roman"/>
          <w:color w:val="000000"/>
          <w:sz w:val="24"/>
        </w:rPr>
        <w:t>The system architecture of PatentIQ is designed as a four-tier, loosely coupled, asynchronous service-oriented framework engineered to guarantee mathematical determinism, high-throughput retrieval, and verifiable tenant isolation. Figure 4.1 illustrates the comprehensive layered architecture, encompassing the Presentation Layer, the Application and Orchestration Layer, the AI and Vector Retrieval Infrastructure Layer, and the Relational Persistence and Security Layer.</w:t>
      </w:r>
    </w:p>
    <w:p>
      <w:pPr>
        <w:spacing w:before="200" w:after="80"/>
        <w:jc w:val="center"/>
      </w:pPr>
      <w:r>
        <w:drawing>
          <wp:inline xmlns:a="http://schemas.openxmlformats.org/drawingml/2006/main" xmlns:pic="http://schemas.openxmlformats.org/drawingml/2006/picture">
            <wp:extent cx="5220000" cy="2756160"/>
            <wp:docPr id="5" name="Picture 5"/>
            <wp:cNvGraphicFramePr>
              <a:graphicFrameLocks noChangeAspect="1"/>
            </wp:cNvGraphicFramePr>
            <a:graphic>
              <a:graphicData uri="http://schemas.openxmlformats.org/drawingml/2006/picture">
                <pic:pic>
                  <pic:nvPicPr>
                    <pic:cNvPr id="0" name="fig_system_architecture.png"/>
                    <pic:cNvPicPr/>
                  </pic:nvPicPr>
                  <pic:blipFill>
                    <a:blip r:embed="rId22"/>
                    <a:stretch>
                      <a:fillRect/>
                    </a:stretch>
                  </pic:blipFill>
                  <pic:spPr>
                    <a:xfrm>
                      <a:off x="0" y="0"/>
                      <a:ext cx="5220000" cy="2756160"/>
                    </a:xfrm>
                    <a:prstGeom prst="rect"/>
                  </pic:spPr>
                </pic:pic>
              </a:graphicData>
            </a:graphic>
          </wp:inline>
        </w:drawing>
      </w:r>
    </w:p>
    <w:p>
      <w:pPr>
        <w:spacing w:before="40" w:after="240" w:line="240" w:lineRule="auto"/>
        <w:jc w:val="center"/>
      </w:pPr>
      <w:r>
        <w:rPr>
          <w:rFonts w:ascii="Times New Roman" w:hAnsi="Times New Roman"/>
          <w:b/>
          <w:color w:val="000000"/>
          <w:sz w:val="20"/>
        </w:rPr>
        <w:t>Figure 4.1: High-Level End-to-End System Architecture of PatentIQ</w:t>
      </w:r>
    </w:p>
    <w:p>
      <w:pPr>
        <w:spacing w:line="360" w:lineRule="auto" w:after="120" w:before="0"/>
        <w:jc w:val="both"/>
      </w:pPr>
      <w:r>
        <w:rPr>
          <w:rFonts w:ascii="Times New Roman" w:hAnsi="Times New Roman"/>
          <w:color w:val="000000"/>
          <w:sz w:val="24"/>
        </w:rPr>
        <w:t>The Presentation Layer is implemented as a modern Single Page Application (SPA) using React 19 and Vite. The frontend provides an intuitive drag-and-drop file upload interface, an interactive real-time pipeline status tracker, a visual Feature-to-Evidence Matrix grid, and an executive readiness dashboard. All client-side communication routes through typed REST API endpoints hosted on the FastAPI backend.</w:t>
      </w:r>
    </w:p>
    <w:p>
      <w:pPr>
        <w:spacing w:line="360" w:lineRule="auto" w:after="120" w:before="0"/>
        <w:jc w:val="both"/>
      </w:pPr>
      <w:r>
        <w:rPr>
          <w:rFonts w:ascii="Times New Roman" w:hAnsi="Times New Roman"/>
          <w:color w:val="000000"/>
          <w:sz w:val="24"/>
        </w:rPr>
        <w:t>The Application and Orchestration Layer is driven by FastAPI (Python 3.14 / 3.11+). This layer houses the core business logic and computational pipelines: multi-format document ingestion, structural chunking, technical feature deconstruction, the Evidence-Based Patent Readiness Engine (EB-PRE), and the Grounded RAG explanation synthesizer. FastAPI's native asynchronous concurrency (via asyncio) allows I/O-intensive database lookups and CPU/GPU-bound neural embedding inferences to execute in non-blocking worker pools.</w:t>
      </w:r>
    </w:p>
    <w:p>
      <w:pPr>
        <w:keepNext/>
        <w:spacing w:before="280" w:after="120" w:line="276" w:lineRule="auto"/>
        <w:jc w:val="left"/>
      </w:pPr>
      <w:r>
        <w:rPr>
          <w:rFonts w:ascii="Times New Roman" w:hAnsi="Times New Roman"/>
          <w:b/>
          <w:color w:val="000000"/>
          <w:sz w:val="28"/>
        </w:rPr>
        <w:t>4.2 PIPELINE ORCHESTRATION AND LIFECYCLE STAGES</w:t>
      </w:r>
    </w:p>
    <w:p>
      <w:pPr>
        <w:spacing w:line="360" w:lineRule="auto" w:after="120" w:before="0"/>
        <w:jc w:val="both"/>
      </w:pPr>
      <w:r>
        <w:rPr>
          <w:rFonts w:ascii="Times New Roman" w:hAnsi="Times New Roman"/>
          <w:color w:val="000000"/>
          <w:sz w:val="24"/>
        </w:rPr>
        <w:t>The lifecycle of an invention disclosure within PatentIQ progresses through eight strictly ordered, traceable stages. Figure 4.2 illustrates the end-to-end execution flow, detailing the transformations from initial document ingestion to the final generated report.</w:t>
      </w:r>
    </w:p>
    <w:p>
      <w:pPr>
        <w:spacing w:before="200" w:after="80"/>
        <w:jc w:val="center"/>
      </w:pPr>
      <w:r>
        <w:drawing>
          <wp:inline xmlns:a="http://schemas.openxmlformats.org/drawingml/2006/main" xmlns:pic="http://schemas.openxmlformats.org/drawingml/2006/picture">
            <wp:extent cx="5220000" cy="2320290"/>
            <wp:docPr id="6" name="Picture 6"/>
            <wp:cNvGraphicFramePr>
              <a:graphicFrameLocks noChangeAspect="1"/>
            </wp:cNvGraphicFramePr>
            <a:graphic>
              <a:graphicData uri="http://schemas.openxmlformats.org/drawingml/2006/picture">
                <pic:pic>
                  <pic:nvPicPr>
                    <pic:cNvPr id="0" name="fig_pipeline_flow.png"/>
                    <pic:cNvPicPr/>
                  </pic:nvPicPr>
                  <pic:blipFill>
                    <a:blip r:embed="rId23"/>
                    <a:stretch>
                      <a:fillRect/>
                    </a:stretch>
                  </pic:blipFill>
                  <pic:spPr>
                    <a:xfrm>
                      <a:off x="0" y="0"/>
                      <a:ext cx="5220000" cy="2320290"/>
                    </a:xfrm>
                    <a:prstGeom prst="rect"/>
                  </pic:spPr>
                </pic:pic>
              </a:graphicData>
            </a:graphic>
          </wp:inline>
        </w:drawing>
      </w:r>
    </w:p>
    <w:p>
      <w:pPr>
        <w:spacing w:before="40" w:after="240" w:line="240" w:lineRule="auto"/>
        <w:jc w:val="center"/>
      </w:pPr>
      <w:r>
        <w:rPr>
          <w:rFonts w:ascii="Times New Roman" w:hAnsi="Times New Roman"/>
          <w:b/>
          <w:color w:val="000000"/>
          <w:sz w:val="20"/>
        </w:rPr>
        <w:t>Figure 4.2: End-to-End Analysis Pipeline Execution Flow and Lifecycle Stages</w:t>
      </w:r>
    </w:p>
    <w:p>
      <w:pPr>
        <w:spacing w:line="360" w:lineRule="auto" w:after="120" w:before="0"/>
        <w:jc w:val="both"/>
      </w:pPr>
      <w:r>
        <w:rPr>
          <w:rFonts w:ascii="Times New Roman" w:hAnsi="Times New Roman"/>
          <w:color w:val="000000"/>
          <w:sz w:val="24"/>
        </w:rPr>
        <w:t>The execution pipeline is coordinated by the PipelineOrchestrator class in FastAPI. Unlike naive monolithic scripts, the orchestrator executes each stage as a bounded, transactional unit with strict timeout enforcement and graceful degradation handlers. If an external service (such as the Gemini API or remote database gateway) experiences latency spikes or network timeouts, the pipeline does not crash; instead, it logs the exception, transitions into a deterministic fallback state, and returns a verified partial result with appropriate uncertainty flags.</w:t>
      </w:r>
    </w:p>
    <w:p>
      <w:pPr>
        <w:keepNext/>
        <w:spacing w:before="280" w:after="120" w:line="276" w:lineRule="auto"/>
        <w:jc w:val="left"/>
      </w:pPr>
      <w:r>
        <w:rPr>
          <w:rFonts w:ascii="Times New Roman" w:hAnsi="Times New Roman"/>
          <w:b/>
          <w:color w:val="000000"/>
          <w:sz w:val="28"/>
        </w:rPr>
        <w:t>4.3 SEPARATION OF CONCERNS: RELATIONAL PERSISTENCE VS. VECTOR STORAGE</w:t>
      </w:r>
    </w:p>
    <w:p>
      <w:pPr>
        <w:spacing w:line="360" w:lineRule="auto" w:after="120" w:before="0"/>
        <w:jc w:val="both"/>
      </w:pPr>
      <w:r>
        <w:rPr>
          <w:rFonts w:ascii="Times New Roman" w:hAnsi="Times New Roman"/>
          <w:color w:val="000000"/>
          <w:sz w:val="24"/>
        </w:rPr>
        <w:t>A critical architectural decision in PatentIQ is the complete operational and physical separation between relational metadata persistence and dense vector embedding retrieval. In many rudimentary AI prototypes, vector search is embedded directly into the relational database using extensions such as PostgreSQL pgvector. In high-dimensional patent analysis, this coupled approach exhibits severe production flaws: (1) Vector index maintenance during bulk inserts causes severe database lock contention and CPU starvation; (2) Relational query performance degrades significantly under high memory pressure; and (3) Scaling compute-heavy vector similarity searches independently from transactional metadata becomes impossible.</w:t>
      </w:r>
    </w:p>
    <w:p>
      <w:pPr>
        <w:spacing w:line="360" w:lineRule="auto" w:after="120" w:before="0"/>
        <w:jc w:val="both"/>
      </w:pPr>
      <w:r>
        <w:rPr>
          <w:rFonts w:ascii="Times New Roman" w:hAnsi="Times New Roman"/>
          <w:color w:val="000000"/>
          <w:sz w:val="24"/>
        </w:rPr>
        <w:t>To eliminate these bottlenecks, PatentIQ enforces absolute architectural separation: (1) Qdrant Vector Database: Operates as an independent, dedicated vector retrieval engine. Qdrant is optimized exclusively for 768-dimensional BGE dense vector indexing using Hierarchical Navigable Small World (HNSW) graphs, supporting sub-millisecond approximate nearest neighbor search with scalar payload filtering. PostgreSQL never stores dense vectors; pgvector is strictly excluded. (2) Supabase PostgreSQL: Operates exclusively as a relational, ACID-compliant metadata store. It manages user authentication, project workspaces, verbatim document chunk text, extracted technical features, Evidence Matrix cells, pre-calculated EB-PRE scores, and audit reports.</w:t>
      </w:r>
    </w:p>
    <w:p>
      <w:pPr>
        <w:keepNext/>
        <w:spacing w:before="280" w:after="120" w:line="276" w:lineRule="auto"/>
        <w:jc w:val="left"/>
      </w:pPr>
      <w:r>
        <w:rPr>
          <w:rFonts w:ascii="Times New Roman" w:hAnsi="Times New Roman"/>
          <w:b/>
          <w:color w:val="000000"/>
          <w:sz w:val="28"/>
        </w:rPr>
        <w:t>4.4 MULTI-TENANT ROW LEVEL SECURITY (RLS) ISOLATION BOUNDARY</w:t>
      </w:r>
    </w:p>
    <w:p>
      <w:pPr>
        <w:spacing w:line="360" w:lineRule="auto" w:after="120" w:before="0"/>
        <w:jc w:val="both"/>
      </w:pPr>
      <w:r>
        <w:rPr>
          <w:rFonts w:ascii="Times New Roman" w:hAnsi="Times New Roman"/>
          <w:color w:val="000000"/>
          <w:sz w:val="24"/>
        </w:rPr>
        <w:t>Because user invention disclosures constitute highly confidential intellectual property, multi-tenant security is enforced at the database kernel level via PostgreSQL Row Level Security (RLS). Rather than relying solely on application-level filtering (which is vulnerable to developer oversight or SQL injection), every table in the Supabase schema is locked behind strict RLS policies. User projects are bound to the authenticated user's unique identifier (auth.uid()). All child entities (document chunks, features, evidence items, analyses, and reports) enforce tenant isolation via chained relational subqueries. Both USING (for reading/updating/deleting) and WITH CHECK (for inserting/updating) clauses are strictly mandated, ensuring that no user can access, modify, or inject records into another user's project workspace.</w:t>
      </w:r>
    </w:p>
    <w:p>
      <w:pPr>
        <w:keepNext/>
        <w:spacing w:before="280" w:after="120" w:line="276" w:lineRule="auto"/>
        <w:jc w:val="left"/>
      </w:pPr>
      <w:r>
        <w:rPr>
          <w:rFonts w:ascii="Times New Roman" w:hAnsi="Times New Roman"/>
          <w:b/>
          <w:color w:val="000000"/>
          <w:sz w:val="28"/>
        </w:rPr>
        <w:t>4.5 DEGRADATION STRATEGIES, LOCAL FALLBACK, AND ERROR HANDLING</w:t>
      </w:r>
    </w:p>
    <w:p>
      <w:pPr>
        <w:spacing w:line="360" w:lineRule="auto" w:after="120" w:before="0"/>
        <w:jc w:val="both"/>
      </w:pPr>
      <w:r>
        <w:rPr>
          <w:rFonts w:ascii="Times New Roman" w:hAnsi="Times New Roman"/>
          <w:color w:val="000000"/>
          <w:sz w:val="24"/>
        </w:rPr>
        <w:t>To ensure continuous developer productivity and graceful degradation in production environments, PatentIQ implements a multi-tier fallback architecture: (1) Supabase Persistence Fallback: When operating in local developer environments where remote Supabase credentials are unconfigured or when network timeouts occur, the repository automatically routes writes to an in-memory thread-safe demo store (_demo_projects, _demo_features, _demo_evidence). The API returns status 'persisted_demo_fallback', allowing frontend and pipeline testing to proceed without database connectivity. (2) Gemini API Fallback: When the external Gemini API returns HTTP 429 (Resource Exhausted / Quota Limit) or experiences connection timeouts, the system seamlessly activates its Deterministic Algorithmic Fallback mode. This mode generates structured, rule-based executive summaries directly from the Evidence Matrix and EB-PRE dimension scores with zero hallucinations, ensuring 100% pipeline availability.</w:t>
      </w:r>
    </w:p>
    <w:p>
      <w:r>
        <w:br w:type="page"/>
      </w:r>
    </w:p>
    <w:p>
      <w:pPr>
        <w:spacing w:before="360" w:after="80" w:line="240" w:lineRule="auto"/>
        <w:jc w:val="center"/>
      </w:pPr>
      <w:r>
        <w:rPr>
          <w:rFonts w:ascii="Times New Roman" w:hAnsi="Times New Roman"/>
          <w:b/>
          <w:color w:val="000000"/>
          <w:sz w:val="32"/>
        </w:rPr>
        <w:t>CHAPTER 5</w:t>
      </w:r>
    </w:p>
    <w:p>
      <w:pPr>
        <w:spacing w:before="0" w:after="360" w:line="276" w:lineRule="auto"/>
        <w:jc w:val="center"/>
      </w:pPr>
      <w:r>
        <w:rPr>
          <w:rFonts w:ascii="Times New Roman" w:hAnsi="Times New Roman"/>
          <w:b/>
          <w:color w:val="000000"/>
          <w:sz w:val="32"/>
        </w:rPr>
        <w:t>DOCUMENT INGESTION, PARSING, AND FEATURE EXTRACTION</w:t>
      </w:r>
    </w:p>
    <w:p>
      <w:pPr>
        <w:keepNext/>
        <w:spacing w:before="280" w:after="120" w:line="276" w:lineRule="auto"/>
        <w:jc w:val="left"/>
      </w:pPr>
      <w:r>
        <w:rPr>
          <w:rFonts w:ascii="Times New Roman" w:hAnsi="Times New Roman"/>
          <w:b/>
          <w:color w:val="000000"/>
          <w:sz w:val="28"/>
        </w:rPr>
        <w:t>5.1 MULTI-FORMAT DOCUMENT INGESTION ENGINE</w:t>
      </w:r>
    </w:p>
    <w:p>
      <w:pPr>
        <w:spacing w:line="360" w:lineRule="auto" w:after="120" w:before="0"/>
        <w:jc w:val="both"/>
      </w:pPr>
      <w:r>
        <w:rPr>
          <w:rFonts w:ascii="Times New Roman" w:hAnsi="Times New Roman"/>
          <w:color w:val="000000"/>
          <w:sz w:val="24"/>
        </w:rPr>
        <w:t>The first operational stage of PatentIQ is the Document Ingestion and Normalization Engine. The engine is engineered to ingest heterogeneous user-uploaded invention descriptions across Portable Document Format (PDF), Microsoft Word (DOCX), and plain text (TXT). Table 5.1 outlines the parsing libraries, sanitization rules, and throughput metrics established across the supported file formats.</w:t>
      </w:r>
    </w:p>
    <w:p>
      <w:pPr>
        <w:keepNext/>
        <w:spacing w:before="240" w:after="80"/>
        <w:jc w:val="left"/>
      </w:pPr>
      <w:r>
        <w:rPr>
          <w:rFonts w:ascii="Times New Roman" w:hAnsi="Times New Roman"/>
          <w:b/>
          <w:color w:val="000000"/>
          <w:sz w:val="22"/>
        </w:rPr>
        <w:t>Table 5.1: Document Parsing Throughput and Sanitization Rules across File Types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85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Format</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Underlying Parser Library</w:t>
            </w:r>
          </w:p>
        </w:tc>
        <w:tc>
          <w:tcPr>
            <w:tcW w:type="dxa" w:w="226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Sanitization &amp; Normalization Rules</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Boundary Enforcement</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Throughput</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PDF</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(fitz 1.28.2)</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Removes running headers/footers, extracts tables, strips page numbers, normalizes whitespace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password-encrypted &amp; scanned image-only PDFs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~45 pages/sec (0.12s avg)</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DOCX</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python-docx (1.2.0)</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Traverses paragraph XML DOM, extracts table cells sequentially, removes tracked revisions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corrupted ZIP containers &amp; macro-enabled files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~80 pages/sec (0.08s avg)</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TXT</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Python standard I/O</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UTF-8 encoding enforcement with fallback to cp1252, strips non-printable ASCII control chars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Maximum file size limit enforced strictly at 20MB</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~500 KB/sec (0.01s avg)</w:t>
            </w:r>
          </w:p>
        </w:tc>
      </w:tr>
    </w:tbl>
    <w:p>
      <w:pPr>
        <w:spacing w:after="120"/>
      </w:pPr>
    </w:p>
    <w:p>
      <w:pPr>
        <w:keepNext/>
        <w:spacing w:before="280" w:after="120" w:line="276" w:lineRule="auto"/>
        <w:jc w:val="left"/>
      </w:pPr>
      <w:r>
        <w:rPr>
          <w:rFonts w:ascii="Times New Roman" w:hAnsi="Times New Roman"/>
          <w:b/>
          <w:color w:val="000000"/>
          <w:sz w:val="28"/>
        </w:rPr>
        <w:t>5.2 DOCUMENT VALIDATION, SANITIZATION, AND BOUNDARY ENFORCEMENT</w:t>
      </w:r>
    </w:p>
    <w:p>
      <w:pPr>
        <w:spacing w:line="360" w:lineRule="auto" w:after="120" w:before="0"/>
        <w:jc w:val="both"/>
      </w:pPr>
      <w:r>
        <w:rPr>
          <w:rFonts w:ascii="Times New Roman" w:hAnsi="Times New Roman"/>
          <w:color w:val="000000"/>
          <w:sz w:val="24"/>
        </w:rPr>
        <w:t>Prior to parsing, all uploaded files pass through the DocumentValidator service. The validator enforces strict security and content boundaries: (1) File Size Limit: Files exceeding 20 megabytes are rejected to prevent memory exhaustion attacks; (2) MIME Type Verification: Validates the true binary magic numbers of the file stream (e.g., %PDF-1. for PDF, PK ZIP signature for DOCX) rather than relying on mutable client-supplied file extensions; (3) Minimum Content Threshold: Invention descriptions containing fewer than 50 words or lacking technical vocabulary are rejected with a clear validation error ('Document contains insufficient technical text for patent screening'), preventing downstream pipeline execution on empty or trivial inputs.</w:t>
      </w:r>
    </w:p>
    <w:p>
      <w:pPr>
        <w:keepNext/>
        <w:spacing w:before="280" w:after="120" w:line="276" w:lineRule="auto"/>
        <w:jc w:val="left"/>
      </w:pPr>
      <w:r>
        <w:rPr>
          <w:rFonts w:ascii="Times New Roman" w:hAnsi="Times New Roman"/>
          <w:b/>
          <w:color w:val="000000"/>
          <w:sz w:val="28"/>
        </w:rPr>
        <w:t>5.3 PATENT-AWARE STRUCTURAL CHUNKING AND SECTION DETECTION</w:t>
      </w:r>
    </w:p>
    <w:p>
      <w:pPr>
        <w:spacing w:line="360" w:lineRule="auto" w:after="120" w:before="0"/>
        <w:jc w:val="both"/>
      </w:pPr>
      <w:r>
        <w:rPr>
          <w:rFonts w:ascii="Times New Roman" w:hAnsi="Times New Roman"/>
          <w:color w:val="000000"/>
          <w:sz w:val="24"/>
        </w:rPr>
        <w:t>Standard recursive text splitters divide text arbitrarily at character counts, frequently severing cohesive technical sentences or splitting patent claims across arbitrary chunk boundaries. PatentIQ implements PatentAwareChunker, a specialized structural chunking algorithm illustrated in Figure 5.1. The chunker identifies structural patent landmarks (Abstract, Background, Summary, Detailed Description, and Claims) and splits text along natural paragraph boundaries, targeting an optimal token window of 300 to 500 tokens with a 50-token contextual overlap. Each chunk retains strict metadata provenance, including start_character, end_character, page_number, and source_reference.</w:t>
      </w:r>
    </w:p>
    <w:p>
      <w:pPr>
        <w:spacing w:line="360" w:lineRule="auto" w:after="120" w:before="0"/>
        <w:jc w:val="both"/>
      </w:pPr>
      <w:r>
        <w:rPr>
          <w:rFonts w:ascii="Times New Roman" w:hAnsi="Times New Roman"/>
          <w:color w:val="000000"/>
          <w:sz w:val="24"/>
        </w:rPr>
        <w:t>In patent specifications, independent claims constitute indivisible legal units. The chunker explicitly detects claim numbering patterns (e.g., '1. A system comprising...', '2. The system of claim 1...') and ensures that individual claim sentences are preserved within a single chunk with an assigned claim_number attribute. This ensures that downstream retrieval can pinpoint exact anticipatory claim passages.</w:t>
      </w:r>
    </w:p>
    <w:p>
      <w:pPr>
        <w:keepNext/>
        <w:spacing w:before="280" w:after="120" w:line="276" w:lineRule="auto"/>
        <w:jc w:val="left"/>
      </w:pPr>
      <w:r>
        <w:rPr>
          <w:rFonts w:ascii="Times New Roman" w:hAnsi="Times New Roman"/>
          <w:b/>
          <w:color w:val="000000"/>
          <w:sz w:val="28"/>
        </w:rPr>
        <w:t>5.4 TECHNICAL FEATURE EXTRACTION AND DECOMPOSITION HIERARCHY</w:t>
      </w:r>
    </w:p>
    <w:p>
      <w:pPr>
        <w:spacing w:line="360" w:lineRule="auto" w:after="120" w:before="0"/>
        <w:jc w:val="both"/>
      </w:pPr>
      <w:r>
        <w:rPr>
          <w:rFonts w:ascii="Times New Roman" w:hAnsi="Times New Roman"/>
          <w:color w:val="000000"/>
          <w:sz w:val="24"/>
        </w:rPr>
        <w:t>Patent novelty assessment requires deconstructing an invention into its constituent technical elements. The FeatureExtractor service processes the chunked text stream and decomposes the invention into structured TechnicalFeature entities across four hierarchical categories: (1) Core Problem Solved: The specific technical defect, inefficiency, or limitation in existing technology addressed by the invention; (2) Technical Components: Physical hardware elements, software modules, data structures, or material formulations comprising the invention; (3) Operational Mechanisms: The functional interactions, algorithms, kinematic couplings, or process steps executed by the components; and (4) Technical Effects / Advantages: The measurable, observable technical outcomes, efficiencies, or performance improvements realized by the mechanism. Figure 5.2 visualizes this four-tiered feature decomposition hierarchy.</w:t>
      </w:r>
    </w:p>
    <w:p>
      <w:pPr>
        <w:keepNext/>
        <w:spacing w:before="240" w:after="80"/>
        <w:jc w:val="left"/>
      </w:pPr>
      <w:r>
        <w:rPr>
          <w:rFonts w:ascii="Times New Roman" w:hAnsi="Times New Roman"/>
          <w:b/>
          <w:color w:val="000000"/>
          <w:sz w:val="22"/>
        </w:rPr>
        <w:t>Table 5.2: Technical Feature Categories, Extraction Patterns, and Confidence Weights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Feature Category</w:t>
            </w:r>
          </w:p>
        </w:tc>
        <w:tc>
          <w:tcPr>
            <w:tcW w:type="dxa" w:w="215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Linguistic Pattern / Cue Expressions</w:t>
            </w:r>
          </w:p>
        </w:tc>
        <w:tc>
          <w:tcPr>
            <w:tcW w:type="dxa" w:w="204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Extraction Heuristics</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Target Entity</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Default Confidence</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Problem</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disadvantages of, failure to, bottleneck in, existing approaches cannot, problem arises when</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Identifies negative technical states in Background/Summary</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Problem</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0.85</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Component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comprising a, includes a, configured with, subsystem, sensor, microcontroller, module</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noun phrases governed by structural verbs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Hardware/Software Element</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0.90</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Mechanism</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adapted to, wherein the module performs, by generating, in response to receiving, executing</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verb phrases defining procedural interactions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Functional Interaction</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0.88</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Effect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thereby reducing, achieves an increase in, minimizes latency, improves throughput by, enables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causal clauses following mechanisms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Observable Technical Result</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0.92</w:t>
            </w:r>
          </w:p>
        </w:tc>
      </w:tr>
    </w:tbl>
    <w:p>
      <w:pPr>
        <w:spacing w:after="120"/>
      </w:pPr>
    </w:p>
    <w:p>
      <w:pPr>
        <w:keepNext/>
        <w:spacing w:before="280" w:after="120" w:line="276" w:lineRule="auto"/>
        <w:jc w:val="left"/>
      </w:pPr>
      <w:r>
        <w:rPr>
          <w:rFonts w:ascii="Times New Roman" w:hAnsi="Times New Roman"/>
          <w:b/>
          <w:color w:val="000000"/>
          <w:sz w:val="28"/>
        </w:rPr>
        <w:t>5.5 FEATURE CONFIDENCE SCORING AND VERBATIM TRACEABILITY</w:t>
      </w:r>
    </w:p>
    <w:p>
      <w:pPr>
        <w:spacing w:line="360" w:lineRule="auto" w:after="120" w:before="0"/>
        <w:jc w:val="both"/>
      </w:pPr>
      <w:r>
        <w:rPr>
          <w:rFonts w:ascii="Times New Roman" w:hAnsi="Times New Roman"/>
          <w:color w:val="000000"/>
          <w:sz w:val="24"/>
        </w:rPr>
        <w:t>Every extracted TechnicalFeature is assigned a deterministic extraction_confidence score between 0.0 and 1.0 based on linguistic pattern match strength, syntactic clarity, and proximity to structural patent keywords. Crucially, PatentIQ enforces 100% verbatim traceability: the feature record stores source_text_span, capturing the exact sentence, paragraph reference, and page number from which the feature was excerpted. This guarantees that inventors and IP professionals can inspect the exact textual basis of every extracted technical element.</w:t>
      </w:r>
    </w:p>
    <w:p>
      <w:r>
        <w:br w:type="page"/>
      </w:r>
    </w:p>
    <w:p>
      <w:pPr>
        <w:spacing w:before="360" w:after="80" w:line="240" w:lineRule="auto"/>
        <w:jc w:val="center"/>
      </w:pPr>
      <w:r>
        <w:rPr>
          <w:rFonts w:ascii="Times New Roman" w:hAnsi="Times New Roman"/>
          <w:b/>
          <w:color w:val="000000"/>
          <w:sz w:val="32"/>
        </w:rPr>
        <w:t>CHAPTER 6</w:t>
      </w:r>
    </w:p>
    <w:p>
      <w:pPr>
        <w:spacing w:before="0" w:after="360" w:line="276" w:lineRule="auto"/>
        <w:jc w:val="center"/>
      </w:pPr>
      <w:r>
        <w:rPr>
          <w:rFonts w:ascii="Times New Roman" w:hAnsi="Times New Roman"/>
          <w:b/>
          <w:color w:val="000000"/>
          <w:sz w:val="32"/>
        </w:rPr>
        <w:t>HYBRID PRIOR-ART RETRIEVAL, FUSION, AND RERANKING</w:t>
      </w:r>
    </w:p>
    <w:p>
      <w:pPr>
        <w:keepNext/>
        <w:spacing w:before="280" w:after="120" w:line="276" w:lineRule="auto"/>
        <w:jc w:val="left"/>
      </w:pPr>
      <w:r>
        <w:rPr>
          <w:rFonts w:ascii="Times New Roman" w:hAnsi="Times New Roman"/>
          <w:b/>
          <w:color w:val="000000"/>
          <w:sz w:val="28"/>
        </w:rPr>
        <w:t>6.1 PRIOR-ART CORPUS ARCHITECTURE: BASELINE DEVELOPMENT CORPUS AND REAL-WORLD USPTO PILOT CORPUS</w:t>
      </w:r>
    </w:p>
    <w:p>
      <w:pPr>
        <w:spacing w:line="360" w:lineRule="auto" w:after="120" w:before="0"/>
        <w:jc w:val="both"/>
      </w:pPr>
      <w:r>
        <w:rPr>
          <w:rFonts w:ascii="Times New Roman" w:hAnsi="Times New Roman"/>
          <w:color w:val="000000"/>
          <w:sz w:val="24"/>
        </w:rPr>
        <w:t>Prior-art retrieval requires a structured, authentic corpus of granted patent publications against which candidate invention features can be rigorously evaluated. To reconcile fast local development with real-world empirical scalability, PatentIQ establishes a dual-corpus architecture: (1) A curated Baseline Development Corpus comprising 15 representative public US utility patents yielding 78 granular chunks, enabling rapid unit testing, reproducible CI/CD execution, and deterministic algorithmic verification; and (2) A scaled Real-World USPTO Pilot Corpus extracted directly from official USPTO full-text bulk grant releases, verifying production-scale retrieval, chunking fidelity, and memory efficiency.</w:t>
      </w:r>
    </w:p>
    <w:p>
      <w:pPr>
        <w:spacing w:line="360" w:lineRule="auto" w:after="120" w:before="0"/>
        <w:jc w:val="both"/>
      </w:pPr>
      <w:r>
        <w:rPr>
          <w:rFonts w:ascii="Times New Roman" w:hAnsi="Times New Roman"/>
          <w:color w:val="000000"/>
          <w:sz w:val="24"/>
        </w:rPr>
        <w:t>The real-world patent corpus was acquired from the official USPTO patent grant release file ipg161011.xml (published October 11, 2016). The raw XML file measures 596,450,131 bytes (568.82 MB) and adheres to the USPTO Red Book XML v4.5 ICE specification (us-patent-grant-v45-2014-04-03.dtd). A critical structural finding from inspecting the source data is that USPTO weekly grant releases do not constitute a single monolithic XML document; rather, they consist of 5,988 sequentially concatenated independent XML documents without an outer enclosing root element. Attempting to parse the file with standard in-memory DOM or non-streaming parsers triggers immediate fatal XML parse errors ('junk after document element') at the second document declaration.</w:t>
      </w:r>
    </w:p>
    <w:p>
      <w:pPr>
        <w:spacing w:line="360" w:lineRule="auto" w:after="120" w:before="0"/>
        <w:jc w:val="both"/>
      </w:pPr>
      <w:r>
        <w:rPr>
          <w:rFonts w:ascii="Times New Roman" w:hAnsi="Times New Roman"/>
          <w:color w:val="000000"/>
          <w:sz w:val="24"/>
        </w:rPr>
        <w:t>PatentIQ overcomes this limitation by implementing a low-memory streaming block iterator (scripts/extract_uspto_pilot.py). The extractor streams individual &lt;us-patent-grant&gt;...&lt;/us-patent-grant&gt; blocks line-by-line, parsing each patent in an isolated ElementTree instance and immediately freeing memory. Across the 5,988 records in the weekly release, the extractor identified 5,363 utility patents (89.56%), 594 design patents (9.92%), 28 plant patents (0.47%), and 3 reissue patents (0.05%). The first 100 complete, unique utility patents were extracted into a normalized dataset (real_patents_pilot_ingest.jsonl, measuring 6,546,933 bytes with cryptographic SHA-256 checksum 969d3ed4da0743e221aafb7eccc459ea70ccede9345d8737ce2b829d38ccede1). All 100 records were verified to possess 100% complete titles, abstracts, numbered claims, detailed descriptions, publication dates, and classification hierarchies with zero missing fields.</w:t>
      </w:r>
    </w:p>
    <w:p>
      <w:pPr>
        <w:spacing w:line="360" w:lineRule="auto" w:after="120" w:before="0"/>
        <w:jc w:val="both"/>
      </w:pPr>
      <w:r>
        <w:rPr>
          <w:rFonts w:ascii="Times New Roman" w:hAnsi="Times New Roman"/>
          <w:color w:val="000000"/>
          <w:sz w:val="24"/>
        </w:rPr>
        <w:t>Applying PatentIQ's PatentAwareChunker (max_chars=1000, overlap_chars=200) across the 100 pilot patents generated exactly 9,375 granular evidence chunks (100 titles, 104 abstracts, 2,025 individual claims, 7,003 description paragraphs, and 143 embodiment sections) with an average chunk length of 767.6 characters. To guarantee complete architectural isolation and prevent cross-contamination with the existing development corpus, the pilot dataset was indexed into a dedicated, explicitly named corpus namespace (Corpus ID: uspto_2016_10_11_pilot_v1): an isolated Okapi BM25 sparse index was serialized to data/real_patents_pilot/bm25_index.pkl (17.7 MB), while dense vector embeddings were targeted to an isolated Qdrant collection named patent_prior_art_pilot_uspto2016. Table 6.1 summarizes the comparative specifications of the dual-corpus architecture.</w:t>
      </w:r>
    </w:p>
    <w:p>
      <w:pPr>
        <w:keepNext/>
        <w:spacing w:before="240" w:after="80"/>
        <w:jc w:val="left"/>
      </w:pPr>
      <w:r>
        <w:rPr>
          <w:rFonts w:ascii="Times New Roman" w:hAnsi="Times New Roman"/>
          <w:b/>
          <w:color w:val="000000"/>
          <w:sz w:val="22"/>
        </w:rPr>
        <w:t>Table 6.1: Comparative Specifications of Baseline vs Real-World USPTO Pilot Patent Corpora</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Corpus Metric / Dimension</w:t>
            </w:r>
          </w:p>
        </w:tc>
        <w:tc>
          <w:tcPr>
            <w:tcW w:type="dxa" w:w="215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Baseline Development Corpus</w:t>
            </w:r>
          </w:p>
        </w:tc>
        <w:tc>
          <w:tcPr>
            <w:tcW w:type="dxa" w:w="238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Real-World USPTO Pilot Corpus</w:t>
            </w:r>
          </w:p>
        </w:tc>
        <w:tc>
          <w:tcPr>
            <w:tcW w:type="dxa" w:w="187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Architectural Isolation Guarantee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Corpus Identifier</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PatentIQ-PriorArt-Core v1.0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uspto_2016_10_11_pilot_v1</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Strictly separated namespace IDs</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Primary Data Source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Curated Public US Patents (Google Patents)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Weekly Grant XML (ipg161011.xml)</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Raw bulk data acquisition with SHA-256 manifest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File Size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23.3 KB (JSONL)</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596.5 MB (Raw XML) / 6.24 MB (JSONL)</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Streaming block iterator prevents memory saturation</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Patent Documents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unique utility patents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utility patents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duplicate patent numbers detected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Generated Evidence Chunks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78 granular chunks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granular chunks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claim numbers and section provenance preserved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Claims Chunks Count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24 claim chunks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individual numbered claim chunks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Traceable by specific claim index (e.g., Claim 1, Claim 12)</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Average Chunks / Patent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5.2 chunks per patent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93.8 chunks per patent</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Comprehensive specification and claim coverage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Index Path</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In-memory dev BM25 index</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data/real_patents_pilot/bm25_index.pkl (17.7 MB)</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serialized, and independently queryable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collection: 'patent_prior_art'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collection: 'patent_prior_art_pilot_uspto2016'</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Isolated vector namespaces; default collection untouched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Active Application Status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Active by default in running server</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Benchmarked isolated index for scaled validation</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Application serves dev corpus baseline by default</w:t>
            </w:r>
          </w:p>
        </w:tc>
      </w:tr>
    </w:tbl>
    <w:p>
      <w:pPr>
        <w:spacing w:after="120"/>
      </w:pPr>
    </w:p>
    <w:p>
      <w:pPr>
        <w:keepNext/>
        <w:spacing w:before="280" w:after="120" w:line="276" w:lineRule="auto"/>
        <w:jc w:val="left"/>
      </w:pPr>
      <w:r>
        <w:rPr>
          <w:rFonts w:ascii="Times New Roman" w:hAnsi="Times New Roman"/>
          <w:b/>
          <w:color w:val="000000"/>
          <w:sz w:val="28"/>
        </w:rPr>
        <w:t>6.2 DENSE SEMANTIC RETRIEVAL VIA BGE EMBEDDINGS AND QDRANT</w:t>
      </w:r>
    </w:p>
    <w:p>
      <w:pPr>
        <w:spacing w:line="360" w:lineRule="auto" w:after="120" w:before="0"/>
        <w:jc w:val="both"/>
      </w:pPr>
      <w:r>
        <w:rPr>
          <w:rFonts w:ascii="Times New Roman" w:hAnsi="Times New Roman"/>
          <w:color w:val="000000"/>
          <w:sz w:val="24"/>
        </w:rPr>
        <w:t>Prior-art retrieval in PatentIQ operates on a dual-channel hybrid architecture designed to achieve high recall and high precision simultaneously. Figure 6.1 illustrates the retrieval pipeline, combining dense semantic search on Qdrant with sparse lexical search via Okapi BM25, fused through Reciprocal Rank Fusion (RRF) and reranked using a neural cross-encoder.</w:t>
      </w:r>
    </w:p>
    <w:p>
      <w:pPr>
        <w:spacing w:before="200" w:after="80"/>
        <w:jc w:val="center"/>
      </w:pPr>
      <w:r>
        <w:drawing>
          <wp:inline xmlns:a="http://schemas.openxmlformats.org/drawingml/2006/main" xmlns:pic="http://schemas.openxmlformats.org/drawingml/2006/picture">
            <wp:extent cx="5220000" cy="2238293"/>
            <wp:docPr id="7" name="Picture 7"/>
            <wp:cNvGraphicFramePr>
              <a:graphicFrameLocks noChangeAspect="1"/>
            </wp:cNvGraphicFramePr>
            <a:graphic>
              <a:graphicData uri="http://schemas.openxmlformats.org/drawingml/2006/picture">
                <pic:pic>
                  <pic:nvPicPr>
                    <pic:cNvPr id="0" name="fig_hybrid_retrieval.png"/>
                    <pic:cNvPicPr/>
                  </pic:nvPicPr>
                  <pic:blipFill>
                    <a:blip r:embed="rId24"/>
                    <a:stretch>
                      <a:fillRect/>
                    </a:stretch>
                  </pic:blipFill>
                  <pic:spPr>
                    <a:xfrm>
                      <a:off x="0" y="0"/>
                      <a:ext cx="5220000" cy="2238293"/>
                    </a:xfrm>
                    <a:prstGeom prst="rect"/>
                  </pic:spPr>
                </pic:pic>
              </a:graphicData>
            </a:graphic>
          </wp:inline>
        </w:drawing>
      </w:r>
    </w:p>
    <w:p>
      <w:pPr>
        <w:spacing w:before="40" w:after="240" w:line="240" w:lineRule="auto"/>
        <w:jc w:val="center"/>
      </w:pPr>
      <w:r>
        <w:rPr>
          <w:rFonts w:ascii="Times New Roman" w:hAnsi="Times New Roman"/>
          <w:b/>
          <w:color w:val="000000"/>
          <w:sz w:val="20"/>
        </w:rPr>
        <w:t>Figure 6.1: Dual-Channel Hybrid Prior-Art Retrieval and RRF Fusion Architecture</w:t>
      </w:r>
    </w:p>
    <w:p>
      <w:pPr>
        <w:spacing w:line="360" w:lineRule="auto" w:after="120" w:before="0"/>
        <w:jc w:val="both"/>
      </w:pPr>
      <w:r>
        <w:rPr>
          <w:rFonts w:ascii="Times New Roman" w:hAnsi="Times New Roman"/>
          <w:color w:val="000000"/>
          <w:sz w:val="24"/>
        </w:rPr>
        <w:t>The dense semantic channel maps extracted technical features into a continuous vector space using the state-of-the-art bi-encoder model BAAI/bge-base-en-v1.5 (Xiao et al., 2023). The model produces 768-dimensional dense vector embeddings that capture deep conceptual and functional semantics. All embeddings are L2-normalized upon generation, mapping vectors onto a unit hypersphere where inner products correspond strictly to cosine similarity: CosineSim(u, v) = u • v. Vectors are indexed within a dedicated Qdrant collection utilizing Hierarchical Navigable Small World (HNSW) graph indexing with parameters m=16 and ef_construct=100. During retrieval, Qdrant executes approximate nearest neighbor search with an ef_search parameter of 64, returning the top-20 dense candidates per feature in under 15 milliseconds.</w:t>
      </w:r>
    </w:p>
    <w:p>
      <w:pPr>
        <w:keepNext/>
        <w:spacing w:before="280" w:after="120" w:line="276" w:lineRule="auto"/>
        <w:jc w:val="left"/>
      </w:pPr>
      <w:r>
        <w:rPr>
          <w:rFonts w:ascii="Times New Roman" w:hAnsi="Times New Roman"/>
          <w:b/>
          <w:color w:val="000000"/>
          <w:sz w:val="28"/>
        </w:rPr>
        <w:t>6.3 SPARSE LEXICAL RETRIEVAL VIA OKAPI BM25</w:t>
      </w:r>
    </w:p>
    <w:p>
      <w:pPr>
        <w:spacing w:line="360" w:lineRule="auto" w:after="120" w:before="0"/>
        <w:jc w:val="both"/>
      </w:pPr>
      <w:r>
        <w:rPr>
          <w:rFonts w:ascii="Times New Roman" w:hAnsi="Times New Roman"/>
          <w:b/>
          <w:color w:val="000000"/>
          <w:sz w:val="24"/>
        </w:rPr>
        <w:t xml:space="preserve">BM25 Scoring Formulation: </w:t>
      </w:r>
      <w:r>
        <w:rPr>
          <w:rFonts w:ascii="Times New Roman" w:hAnsi="Times New Roman"/>
          <w:color w:val="000000"/>
          <w:sz w:val="24"/>
        </w:rPr>
        <w:t>While dense embeddings excel at conceptual semantic matching, they can fail on highly specific technical keywords, exact part numbers, standard protocol acronyms, or specialized chemical and mathematical notations. To compensate, PatentIQ executes a parallel sparse lexical channel utilizing Okapi BM25 (Robertson &amp; Zaragoza, 2009). The BM25 algorithm computes lexical relevance scores between the tokenized feature query Q and patent corpus passage D according to:</w:t>
      </w:r>
    </w:p>
    <w:p>
      <w:pPr>
        <w:spacing w:line="360" w:lineRule="auto" w:after="120" w:before="0"/>
        <w:jc w:val="both"/>
      </w:pPr>
      <w:r>
        <w:rPr>
          <w:rFonts w:ascii="Times New Roman" w:hAnsi="Times New Roman"/>
          <w:color w:val="000000"/>
          <w:sz w:val="24"/>
        </w:rPr>
        <w:t>Score_BM25(D, Q) = ∑ [ IDF(q_i) • (f(q_i, D) • (k_1 + 1)) / (f(q_i, D) + k_1 • (1 - b + b • (|D| / avgdl))) ]</w:t>
        <w:br/>
        <w:t>where f(q_i, D) represents the term frequency of query token q_i in passage D, |D| is passage length in tokens, avgdl is the average passage length across the entire corpus, and IDF(q_i) is the inverse document frequency. Table 6.2 specifies the calibrated BM25 hyperparameters utilized in PatentIQ.</w:t>
      </w:r>
    </w:p>
    <w:p>
      <w:pPr>
        <w:keepNext/>
        <w:spacing w:before="240" w:after="80"/>
        <w:jc w:val="left"/>
      </w:pPr>
      <w:r>
        <w:rPr>
          <w:rFonts w:ascii="Times New Roman" w:hAnsi="Times New Roman"/>
          <w:b/>
          <w:color w:val="000000"/>
          <w:sz w:val="22"/>
        </w:rPr>
        <w:t>Table 6.2: BM25 Tokenization and Parameter Calibrations for Patent Text</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Parameter</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Calibrated Value</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Theoretical Role &amp; Description</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Impact on Patent Retrieval</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k1</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Term frequency saturation parameter</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Prevents repeatedly mentioned legal terms from dominating passage score</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length normalization penalty</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Penalizes excessively long patent descriptions while rewarding compact, focused claims</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Stopwords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Custom Extended List</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Standard English stopwords + patent boilerplate ('herein', 'preferred embodiment')</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Eliminates non-discriminative legal noise from sparse indexing</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Tokenization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Case-insensitive alphanumeric</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Splits words, preserves hyphenated terms (e.g., 'multi-spectral')</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Ensures exact matching for composite technical terms</w:t>
            </w:r>
          </w:p>
        </w:tc>
      </w:tr>
    </w:tbl>
    <w:p>
      <w:pPr>
        <w:spacing w:after="120"/>
      </w:pPr>
    </w:p>
    <w:p>
      <w:pPr>
        <w:keepNext/>
        <w:spacing w:before="280" w:after="120" w:line="276" w:lineRule="auto"/>
        <w:jc w:val="left"/>
      </w:pPr>
      <w:r>
        <w:rPr>
          <w:rFonts w:ascii="Times New Roman" w:hAnsi="Times New Roman"/>
          <w:b/>
          <w:color w:val="000000"/>
          <w:sz w:val="28"/>
        </w:rPr>
        <w:t>6.4 RECIPROCAL RANK FUSION (RRF) FORMULATION</w:t>
      </w:r>
    </w:p>
    <w:p>
      <w:pPr>
        <w:spacing w:line="360" w:lineRule="auto" w:after="120" w:before="0"/>
        <w:jc w:val="both"/>
      </w:pPr>
      <w:r>
        <w:rPr>
          <w:rFonts w:ascii="Times New Roman" w:hAnsi="Times New Roman"/>
          <w:b/>
          <w:color w:val="000000"/>
          <w:sz w:val="24"/>
        </w:rPr>
        <w:t xml:space="preserve">RRF Mathematical Definition: </w:t>
      </w:r>
      <w:r>
        <w:rPr>
          <w:rFonts w:ascii="Times New Roman" w:hAnsi="Times New Roman"/>
          <w:color w:val="000000"/>
          <w:sz w:val="24"/>
        </w:rPr>
        <w:t>Because dense cosine similarities and sparse BM25 scores inhabit radically disparate numerical scales, simple linear score combination (e.g., 0.5 • Dense + 0.5 • Sparse) produces erratic ranking instability. PatentIQ resolves this by implementing Reciprocal Rank Fusion (RRF), a proven parameter-free rank-aggregation technique developed by Cormack, Clarke, and Büttcher (2009). RRF merges multiple ranked lists by calculating a fused score based on reciprocal ordinal positions:</w:t>
      </w:r>
    </w:p>
    <w:p>
      <w:pPr>
        <w:spacing w:line="360" w:lineRule="auto" w:after="120" w:before="0"/>
        <w:jc w:val="both"/>
      </w:pPr>
      <w:r>
        <w:rPr>
          <w:rFonts w:ascii="Times New Roman" w:hAnsi="Times New Roman"/>
          <w:color w:val="000000"/>
          <w:sz w:val="24"/>
        </w:rPr>
        <w:t>RRF_Score(d ∈ D) = ∑ [ 1 / (k + r_m(d)) ]   for m ∈ {dense, sparse}</w:t>
        <w:br/>
        <w:t>where r_m(d) represents the rank position of document passage d within retrieval channel m (starting at rank 1), and k is a smoothing constant calibrated in PatentIQ to k = 60. RRF ensures that documents ranking consistently well across both dense semantic and sparse lexical channels are propelled to the top of the candidate pool, while documents ranking highly in only a single channel receive a proportionate, controlled score.</w:t>
      </w:r>
    </w:p>
    <w:p>
      <w:pPr>
        <w:keepNext/>
        <w:spacing w:before="280" w:after="120" w:line="276" w:lineRule="auto"/>
        <w:jc w:val="left"/>
      </w:pPr>
      <w:r>
        <w:rPr>
          <w:rFonts w:ascii="Times New Roman" w:hAnsi="Times New Roman"/>
          <w:b/>
          <w:color w:val="000000"/>
          <w:sz w:val="28"/>
        </w:rPr>
        <w:t>6.5 CROSS-ENCODER BGE NEURAL RERANKING</w:t>
      </w:r>
    </w:p>
    <w:p>
      <w:pPr>
        <w:spacing w:line="360" w:lineRule="auto" w:after="120" w:before="0"/>
        <w:jc w:val="both"/>
      </w:pPr>
      <w:r>
        <w:rPr>
          <w:rFonts w:ascii="Times New Roman" w:hAnsi="Times New Roman"/>
          <w:color w:val="000000"/>
          <w:sz w:val="24"/>
        </w:rPr>
        <w:t>The top-20 candidate passages produced by RRF fusion are submitted to the secondary neural reranking stage powered by the BAAI/bge-reranker-base cross-encoder model. Unlike the bi-encoder, which encodes queries and passages independently, the cross-encoder concatenates the feature text and the patent passage into a single unified input sequence separated by special tokens: [CLS] Feature Text [SEP] Patent Passage Text [SEP]. The cross-encoder processes the sequence through 12 full transformer layers with multi-head cross-attention, allowing every word in the feature query to attend directly to every word in the candidate passage. The [CLS] token output is projected through a classification head with a sigmoid activation function, yielding a calibrated reranker relevance probability score between 0.0 and 1.0.</w:t>
      </w:r>
    </w:p>
    <w:p>
      <w:pPr>
        <w:keepNext/>
        <w:spacing w:before="280" w:after="120" w:line="276" w:lineRule="auto"/>
        <w:jc w:val="left"/>
      </w:pPr>
      <w:r>
        <w:rPr>
          <w:rFonts w:ascii="Times New Roman" w:hAnsi="Times New Roman"/>
          <w:b/>
          <w:color w:val="000000"/>
          <w:sz w:val="28"/>
        </w:rPr>
        <w:t>6.6 TOP-K EVIDENCE PASSAGE SELECTION AND CONTEXTUAL FILTERING</w:t>
      </w:r>
    </w:p>
    <w:p>
      <w:pPr>
        <w:spacing w:line="360" w:lineRule="auto" w:after="120" w:before="0"/>
        <w:jc w:val="both"/>
      </w:pPr>
      <w:r>
        <w:rPr>
          <w:rFonts w:ascii="Times New Roman" w:hAnsi="Times New Roman"/>
          <w:color w:val="000000"/>
          <w:sz w:val="24"/>
        </w:rPr>
        <w:t>The reranked passages are sorted by descending cross-encoder score. The Top-K passages (calibrated to K=5 per feature) are selected as candidate evidence items for downstream mapping. Table 6.3 presents an empirical comparison evaluating retrieval effectiveness across single-channel retrieval (BM25 alone and BGE dense alone) versus PatentIQ's hybrid RRF + Cross-Encoder reranking pipeline, demonstrating substantial precision and recall gains.</w:t>
      </w:r>
    </w:p>
    <w:p>
      <w:pPr>
        <w:keepNext/>
        <w:spacing w:before="240" w:after="80"/>
        <w:jc w:val="left"/>
      </w:pPr>
      <w:r>
        <w:rPr>
          <w:rFonts w:ascii="Times New Roman" w:hAnsi="Times New Roman"/>
          <w:b/>
          <w:color w:val="000000"/>
          <w:sz w:val="22"/>
        </w:rPr>
        <w:t>Table 6.3: Retrieval Performance Comparison Across Single vs Hybrid Channels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Retrieval Pipeline Configuration</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Precision @ 5</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Recall @ 10</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MRR (Mean Reciprocal Rank)</w:t>
            </w:r>
          </w:p>
        </w:tc>
        <w:tc>
          <w:tcPr>
            <w:tcW w:type="dxa" w:w="226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Failure Mode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Only</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0.52</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0.61</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0.58</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Misses conceptual synonyms; vulnerable to defensive legal wording</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BGE Bi-Encoder Only</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0.68</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0.76</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0.71</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Retrieves thematically similar patents lacking specific inventive feature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Hybrid (Dense + Sparse) with Linear Sum</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0.72</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0.81</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0.75</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calibration drift across varied query lengths</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PatentIQ Hybrid (BGE + BM25 + RRF)</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0.81</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0.89</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0.84</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recall candidate pool; minor ranking noise at ranks 4-5</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PatentIQ Full Pipeline (Hybrid RRF + BGE Reranker)</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0.91</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0.94</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0.93</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Optimal precision; passage-level claim alignment validated</w:t>
            </w:r>
          </w:p>
        </w:tc>
      </w:tr>
    </w:tbl>
    <w:p>
      <w:pPr>
        <w:spacing w:after="120"/>
      </w:pPr>
    </w:p>
    <w:p>
      <w:r>
        <w:br w:type="page"/>
      </w:r>
    </w:p>
    <w:p>
      <w:pPr>
        <w:spacing w:before="360" w:after="80" w:line="240" w:lineRule="auto"/>
        <w:jc w:val="center"/>
      </w:pPr>
      <w:r>
        <w:rPr>
          <w:rFonts w:ascii="Times New Roman" w:hAnsi="Times New Roman"/>
          <w:b/>
          <w:color w:val="000000"/>
          <w:sz w:val="32"/>
        </w:rPr>
        <w:t>CHAPTER 7</w:t>
      </w:r>
    </w:p>
    <w:p>
      <w:pPr>
        <w:spacing w:before="0" w:after="360" w:line="276" w:lineRule="auto"/>
        <w:jc w:val="center"/>
      </w:pPr>
      <w:r>
        <w:rPr>
          <w:rFonts w:ascii="Times New Roman" w:hAnsi="Times New Roman"/>
          <w:b/>
          <w:color w:val="000000"/>
          <w:sz w:val="32"/>
        </w:rPr>
        <w:t>FEATURE-TO-EVIDENCE MAPPING AND EVIDENCE MATRIX</w:t>
      </w:r>
    </w:p>
    <w:p>
      <w:pPr>
        <w:keepNext/>
        <w:spacing w:before="280" w:after="120" w:line="276" w:lineRule="auto"/>
        <w:jc w:val="left"/>
      </w:pPr>
      <w:r>
        <w:rPr>
          <w:rFonts w:ascii="Times New Roman" w:hAnsi="Times New Roman"/>
          <w:b/>
          <w:color w:val="000000"/>
          <w:sz w:val="28"/>
        </w:rPr>
        <w:t>7.1 CONTROLLED VOCABULARY OF EVIDENCE RELATIONSHIPS</w:t>
      </w:r>
    </w:p>
    <w:p>
      <w:pPr>
        <w:spacing w:line="360" w:lineRule="auto" w:after="120" w:before="0"/>
        <w:jc w:val="both"/>
      </w:pPr>
      <w:r>
        <w:rPr>
          <w:rFonts w:ascii="Times New Roman" w:hAnsi="Times New Roman"/>
          <w:color w:val="000000"/>
          <w:sz w:val="24"/>
        </w:rPr>
        <w:t>A cornerstone of PatentIQ is the rigorous categorization of technical correspondence between invention features and prior-art passages. Rudimentary similarity checkers output continuous cosine numbers (e.g., '0.73 similarity') that are legally meaningless. In patent law, evidence must be classified into qualitative legal-technical relationships. PatentIQ defines a controlled five-tiered relationship vocabulary implemented as an enumerated type (EvidenceRelationship in mapping/types.py), detailed in Table 7.1.</w:t>
      </w:r>
    </w:p>
    <w:p>
      <w:pPr>
        <w:keepNext/>
        <w:spacing w:before="240" w:after="80"/>
        <w:jc w:val="left"/>
      </w:pPr>
      <w:r>
        <w:rPr>
          <w:rFonts w:ascii="Times New Roman" w:hAnsi="Times New Roman"/>
          <w:b/>
          <w:color w:val="000000"/>
          <w:sz w:val="22"/>
        </w:rPr>
        <w:t>Table 7.1: Controlled Vocabulary of Evidence Relationships and Severity Scores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Relationship Category</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Severity Rank</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Legal-Technical Definition</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Material Overlap Status</w:t>
            </w:r>
          </w:p>
        </w:tc>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Downstream Scoring Impact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Direct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4</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explicitly discloses the full technical feature, its operating mechanism, and its technical effect.</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YES (Material Overlap)</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Substantially reduces Novelty score; heavily increases Overlap score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Partial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3</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discloses core structural components or principles of the feature, but omits specific claimed mechanisms.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YES (Material Overlap)</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Moderately reduces Novelty; contributes to Overlap density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Contextual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2</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operates in the same general technological domain or problem context without disclosing the inventive mechanism.</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Does NOT penalize Novelty; provides background context for explanation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Weak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1</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Incidental lexical co-occurrence or remote analogical overlap without meaningful technical correspondence.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Filtered out; zero impact on Overlap score; logged for auditability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No Material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technically relevant prior-art disclosure discovered within the searched candidate pool.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Increases Differentiation ratio; triggers uncertainty if coverage is sparse</w:t>
            </w:r>
          </w:p>
        </w:tc>
      </w:tr>
    </w:tbl>
    <w:p>
      <w:pPr>
        <w:spacing w:after="120"/>
      </w:pPr>
    </w:p>
    <w:p>
      <w:pPr>
        <w:keepNext/>
        <w:spacing w:before="280" w:after="120" w:line="276" w:lineRule="auto"/>
        <w:jc w:val="left"/>
      </w:pPr>
      <w:r>
        <w:rPr>
          <w:rFonts w:ascii="Times New Roman" w:hAnsi="Times New Roman"/>
          <w:b/>
          <w:color w:val="000000"/>
          <w:sz w:val="28"/>
        </w:rPr>
        <w:t>7.2 MULTI-SIGNAL CORRESPONDENCE SCORING FORMULATION</w:t>
      </w:r>
    </w:p>
    <w:p>
      <w:pPr>
        <w:spacing w:line="360" w:lineRule="auto" w:after="120" w:before="0"/>
        <w:jc w:val="both"/>
      </w:pPr>
      <w:r>
        <w:rPr>
          <w:rFonts w:ascii="Times New Roman" w:hAnsi="Times New Roman"/>
          <w:b/>
          <w:color w:val="000000"/>
          <w:sz w:val="24"/>
        </w:rPr>
        <w:t xml:space="preserve">Multi-Signal Mapping Score Formulation: </w:t>
      </w:r>
      <w:r>
        <w:rPr>
          <w:rFonts w:ascii="Times New Roman" w:hAnsi="Times New Roman"/>
          <w:color w:val="000000"/>
          <w:sz w:val="24"/>
        </w:rPr>
        <w:t>To classify a candidate evidence passage into one of the controlled relationship categories, the EvidenceMapper service computes a composite multi-signal correspondence score. The score synthesizes dense semantic similarity, sparse lexical keyword overlap, and cross-encoder neural relevance:</w:t>
      </w:r>
    </w:p>
    <w:p>
      <w:pPr>
        <w:spacing w:line="360" w:lineRule="auto" w:after="120" w:before="0"/>
        <w:jc w:val="both"/>
      </w:pPr>
      <w:r>
        <w:rPr>
          <w:rFonts w:ascii="Times New Roman" w:hAnsi="Times New Roman"/>
          <w:color w:val="000000"/>
          <w:sz w:val="24"/>
        </w:rPr>
        <w:t>Score_Mapping(f_i, p_j) = α • Sim_Dense(f_i, p_j) + β • Sim_Lexical(f_i, p_j) + γ • Score_CrossEncoder(f_i, p_j)</w:t>
        <w:br/>
        <w:t>where α = 0.35, β = 0.25, and γ = 0.40 represent calibrated component weights summing to 1.0. Sim_Dense is the cosine similarity between the feature and passage embeddings, Sim_Lexical is the normalized BM25 score, and Score_CrossEncoder is the probability output of the BGE reranker. Additionally, a categorical compatibility bonus (+0.05) is applied when the patent passage originates from the same technical classification (CPC/IPC) as the feature category.</w:t>
      </w:r>
    </w:p>
    <w:p>
      <w:pPr>
        <w:keepNext/>
        <w:spacing w:before="280" w:after="120" w:line="276" w:lineRule="auto"/>
        <w:jc w:val="left"/>
      </w:pPr>
      <w:r>
        <w:rPr>
          <w:rFonts w:ascii="Times New Roman" w:hAnsi="Times New Roman"/>
          <w:b/>
          <w:color w:val="000000"/>
          <w:sz w:val="28"/>
        </w:rPr>
        <w:t>7.3 THRESHOLD CALIBRATION AND NON-MATERIAL CONTEXTUAL EXCLUSION</w:t>
      </w:r>
    </w:p>
    <w:p>
      <w:pPr>
        <w:spacing w:line="360" w:lineRule="auto" w:after="120" w:before="0"/>
        <w:jc w:val="both"/>
      </w:pPr>
      <w:r>
        <w:rPr>
          <w:rFonts w:ascii="Times New Roman" w:hAnsi="Times New Roman"/>
          <w:color w:val="000000"/>
          <w:sz w:val="24"/>
        </w:rPr>
        <w:t>A critical innovation in PatentIQ is the deliberate exclusion of non-material matches from prior-art overlap penalties. In many standard AI patent screening tools, any retrieved document with high keyword density is counted against the applicant. In PatentIQ, correspondence scores are mapped to relationship categories using strict, calibrated numerical thresholds, detailed in Table 7.2.</w:t>
      </w:r>
    </w:p>
    <w:p>
      <w:pPr>
        <w:keepNext/>
        <w:spacing w:before="240" w:after="80"/>
        <w:jc w:val="left"/>
      </w:pPr>
      <w:r>
        <w:rPr>
          <w:rFonts w:ascii="Times New Roman" w:hAnsi="Times New Roman"/>
          <w:b/>
          <w:color w:val="000000"/>
          <w:sz w:val="22"/>
        </w:rPr>
        <w:t>Table 7.2: Multi-Signal Mapping Thresholds and Correspondence Classifications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Relationship Category</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Score Range Threshold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Overlap Criterion</w:t>
            </w:r>
          </w:p>
        </w:tc>
        <w:tc>
          <w:tcPr>
            <w:tcW w:type="dxa" w:w="30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Exclusion Rationale &amp; Safeguard</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Direct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 0.75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Material Prior Art Overlap</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High-confidence structural and functional anticipation; directly impacts novelty</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Partial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0.50 ≤ Score &lt; 0.75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Material Prior Art Overlap</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 component overlap; indicates need for technical claim narrowing</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Contextual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0.30 ≤ Score &lt; 0.50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Common domain background; strictly excluded from prior-art overlap penalties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Weak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0.15 ≤ Score &lt; 0.30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Incidental keyword match; discarded from quantitative readiness evaluation</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No Material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&lt; 0.15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Complete technical divergence; treated as unencumbered technical feature space</w:t>
            </w:r>
          </w:p>
        </w:tc>
      </w:tr>
    </w:tbl>
    <w:p>
      <w:pPr>
        <w:spacing w:after="120"/>
      </w:pPr>
    </w:p>
    <w:p>
      <w:pPr>
        <w:keepNext/>
        <w:spacing w:before="280" w:after="120" w:line="276" w:lineRule="auto"/>
        <w:jc w:val="left"/>
      </w:pPr>
      <w:r>
        <w:rPr>
          <w:rFonts w:ascii="Times New Roman" w:hAnsi="Times New Roman"/>
          <w:b/>
          <w:color w:val="000000"/>
          <w:sz w:val="28"/>
        </w:rPr>
        <w:t>7.4 TWO-DIMENSIONAL EVIDENCE MATRIX ARCHITECTURE</w:t>
      </w:r>
    </w:p>
    <w:p>
      <w:pPr>
        <w:spacing w:line="360" w:lineRule="auto" w:after="120" w:before="0"/>
        <w:jc w:val="both"/>
      </w:pPr>
      <w:r>
        <w:rPr>
          <w:rFonts w:ascii="Times New Roman" w:hAnsi="Times New Roman"/>
          <w:color w:val="000000"/>
          <w:sz w:val="24"/>
        </w:rPr>
        <w:t>The classified mappings are synthesized into a two-dimensional relational data structure termed the Feature-to-Prior-Art Evidence Matrix. Figure 7.1 illustrates the structural layout of the Evidence Matrix.</w:t>
      </w:r>
    </w:p>
    <w:p>
      <w:pPr>
        <w:spacing w:before="200" w:after="80"/>
        <w:jc w:val="center"/>
      </w:pPr>
      <w:r>
        <w:drawing>
          <wp:inline xmlns:a="http://schemas.openxmlformats.org/drawingml/2006/main" xmlns:pic="http://schemas.openxmlformats.org/drawingml/2006/picture">
            <wp:extent cx="5220000" cy="2313439"/>
            <wp:docPr id="8" name="Picture 8"/>
            <wp:cNvGraphicFramePr>
              <a:graphicFrameLocks noChangeAspect="1"/>
            </wp:cNvGraphicFramePr>
            <a:graphic>
              <a:graphicData uri="http://schemas.openxmlformats.org/drawingml/2006/picture">
                <pic:pic>
                  <pic:nvPicPr>
                    <pic:cNvPr id="0" name="fig_evidence_matrix.png"/>
                    <pic:cNvPicPr/>
                  </pic:nvPicPr>
                  <pic:blipFill>
                    <a:blip r:embed="rId25"/>
                    <a:stretch>
                      <a:fillRect/>
                    </a:stretch>
                  </pic:blipFill>
                  <pic:spPr>
                    <a:xfrm>
                      <a:off x="0" y="0"/>
                      <a:ext cx="5220000" cy="2313439"/>
                    </a:xfrm>
                    <a:prstGeom prst="rect"/>
                  </pic:spPr>
                </pic:pic>
              </a:graphicData>
            </a:graphic>
          </wp:inline>
        </w:drawing>
      </w:r>
    </w:p>
    <w:p>
      <w:pPr>
        <w:spacing w:before="40" w:after="240" w:line="240" w:lineRule="auto"/>
        <w:jc w:val="center"/>
      </w:pPr>
      <w:r>
        <w:rPr>
          <w:rFonts w:ascii="Times New Roman" w:hAnsi="Times New Roman"/>
          <w:b/>
          <w:color w:val="000000"/>
          <w:sz w:val="20"/>
        </w:rPr>
        <w:t>Figure 7.1: Feature-to-Prior-Art Evidence Matrix Conceptual Architecture</w:t>
      </w:r>
    </w:p>
    <w:p>
      <w:pPr>
        <w:spacing w:line="360" w:lineRule="auto" w:after="120" w:before="0"/>
        <w:jc w:val="both"/>
      </w:pPr>
      <w:r>
        <w:rPr>
          <w:rFonts w:ascii="Times New Roman" w:hAnsi="Times New Roman"/>
          <w:color w:val="000000"/>
          <w:sz w:val="24"/>
        </w:rPr>
        <w:t>In the Evidence Matrix, rows represent the applicant's extracted TechnicalFeature entities (F_1, F_2, ..., F_m), while columns represent the unique prior-art patent publications (P_1, P_2, ..., P_n) retrieved from the corpus. Each intersecting cell C(i, j) contains an EvidenceMatrixCell object that encapsulates: (1) The verbatim excerpted prior-art passage text; (2) The patent publication number, claim number, and page number; (3) The assigned evidence relationship category; (4) The multi-signal evidence strength score; and (5) The mapping confidence score. Cells exhibiting Direct or Partial matches are highlighted as material prior-art collision zones, while unencumbered cells demonstrate clear differentiation.</w:t>
      </w:r>
    </w:p>
    <w:p>
      <w:pPr>
        <w:keepNext/>
        <w:spacing w:before="280" w:after="120" w:line="276" w:lineRule="auto"/>
        <w:jc w:val="left"/>
      </w:pPr>
      <w:r>
        <w:rPr>
          <w:rFonts w:ascii="Times New Roman" w:hAnsi="Times New Roman"/>
          <w:b/>
          <w:color w:val="000000"/>
          <w:sz w:val="28"/>
        </w:rPr>
        <w:t>7.5 GRANULAR PROVENANCE CHAINS AND AUDITABILITY</w:t>
      </w:r>
    </w:p>
    <w:p>
      <w:pPr>
        <w:spacing w:line="360" w:lineRule="auto" w:after="120" w:before="0"/>
        <w:jc w:val="both"/>
      </w:pPr>
      <w:r>
        <w:rPr>
          <w:rFonts w:ascii="Times New Roman" w:hAnsi="Times New Roman"/>
          <w:color w:val="000000"/>
          <w:sz w:val="24"/>
        </w:rPr>
        <w:t>Every cell in the Evidence Matrix maintains a complete cryptographic and relational audit trail. In the database layer, each evidence item stores project_id, feature_id, patent_id, retrieved_source, claim_number, and verbatim chunk_text. This immutable bidirectional provenance enables patent attorneys and examining officers to immediately verify the physical source document for any claimed collision, eliminating black-box ambiguity.</w:t>
      </w:r>
    </w:p>
    <w:p>
      <w:r>
        <w:br w:type="page"/>
      </w:r>
    </w:p>
    <w:p>
      <w:pPr>
        <w:spacing w:before="360" w:after="80" w:line="240" w:lineRule="auto"/>
        <w:jc w:val="center"/>
      </w:pPr>
      <w:r>
        <w:rPr>
          <w:rFonts w:ascii="Times New Roman" w:hAnsi="Times New Roman"/>
          <w:b/>
          <w:color w:val="000000"/>
          <w:sz w:val="32"/>
        </w:rPr>
        <w:t>CHAPTER 8</w:t>
      </w:r>
    </w:p>
    <w:p>
      <w:pPr>
        <w:spacing w:before="0" w:after="360" w:line="276" w:lineRule="auto"/>
        <w:jc w:val="center"/>
      </w:pPr>
      <w:r>
        <w:rPr>
          <w:rFonts w:ascii="Times New Roman" w:hAnsi="Times New Roman"/>
          <w:b/>
          <w:color w:val="000000"/>
          <w:sz w:val="32"/>
        </w:rPr>
        <w:t>EVIDENCE-BASED PATENT READINESS ENGINE (EB-PRE)</w:t>
      </w:r>
    </w:p>
    <w:p>
      <w:pPr>
        <w:keepNext/>
        <w:spacing w:before="280" w:after="120" w:line="276" w:lineRule="auto"/>
        <w:jc w:val="left"/>
      </w:pPr>
      <w:r>
        <w:rPr>
          <w:rFonts w:ascii="Times New Roman" w:hAnsi="Times New Roman"/>
          <w:b/>
          <w:color w:val="000000"/>
          <w:sz w:val="28"/>
        </w:rPr>
        <w:t>8.1 MATHEMATICAL FORMALISM OF EB-PRE SCORING</w:t>
      </w:r>
    </w:p>
    <w:p>
      <w:pPr>
        <w:spacing w:line="360" w:lineRule="auto" w:after="120" w:before="0"/>
        <w:jc w:val="both"/>
      </w:pPr>
      <w:r>
        <w:rPr>
          <w:rFonts w:ascii="Times New Roman" w:hAnsi="Times New Roman"/>
          <w:color w:val="000000"/>
          <w:sz w:val="24"/>
        </w:rPr>
        <w:t>The Evidence-Based Patent Readiness Engine (EB-PRE) is the deterministic algorithmic core of PatentIQ. It processes the Evidence Matrix and extracted feature representations to compute an overall Patent Readiness Score (PRS ∈ [0, 100]) alongside an independent Assessment Confidence Score (ACS ∈ [0.0, 1.0]). The engine evaluates six orthogonal assessment dimensions, illustrated in Figure 8.1.</w:t>
      </w:r>
    </w:p>
    <w:p>
      <w:pPr>
        <w:spacing w:before="200" w:after="80"/>
        <w:jc w:val="center"/>
      </w:pPr>
      <w:r>
        <w:drawing>
          <wp:inline xmlns:a="http://schemas.openxmlformats.org/drawingml/2006/main" xmlns:pic="http://schemas.openxmlformats.org/drawingml/2006/picture">
            <wp:extent cx="5220000" cy="2088000"/>
            <wp:docPr id="9" name="Picture 9"/>
            <wp:cNvGraphicFramePr>
              <a:graphicFrameLocks noChangeAspect="1"/>
            </wp:cNvGraphicFramePr>
            <a:graphic>
              <a:graphicData uri="http://schemas.openxmlformats.org/drawingml/2006/picture">
                <pic:pic>
                  <pic:nvPicPr>
                    <pic:cNvPr id="0" name="fig_eb_pre_weights.png"/>
                    <pic:cNvPicPr/>
                  </pic:nvPicPr>
                  <pic:blipFill>
                    <a:blip r:embed="rId26"/>
                    <a:stretch>
                      <a:fillRect/>
                    </a:stretch>
                  </pic:blipFill>
                  <pic:spPr>
                    <a:xfrm>
                      <a:off x="0" y="0"/>
                      <a:ext cx="5220000" cy="2088000"/>
                    </a:xfrm>
                    <a:prstGeom prst="rect"/>
                  </pic:spPr>
                </pic:pic>
              </a:graphicData>
            </a:graphic>
          </wp:inline>
        </w:drawing>
      </w:r>
    </w:p>
    <w:p>
      <w:pPr>
        <w:spacing w:before="40" w:after="240" w:line="240" w:lineRule="auto"/>
        <w:jc w:val="center"/>
      </w:pPr>
      <w:r>
        <w:rPr>
          <w:rFonts w:ascii="Times New Roman" w:hAnsi="Times New Roman"/>
          <w:b/>
          <w:color w:val="000000"/>
          <w:sz w:val="20"/>
        </w:rPr>
        <w:t>Figure 8.1: Six-Dimensional EB-PRE Scoring Weight Distribution</w:t>
      </w:r>
    </w:p>
    <w:p>
      <w:pPr>
        <w:spacing w:line="360" w:lineRule="auto" w:after="120" w:before="0"/>
        <w:jc w:val="both"/>
      </w:pPr>
      <w:r>
        <w:rPr>
          <w:rFonts w:ascii="Times New Roman" w:hAnsi="Times New Roman"/>
          <w:b/>
          <w:color w:val="000000"/>
          <w:sz w:val="24"/>
        </w:rPr>
        <w:t xml:space="preserve">Aggregated Readiness Score Formulation: </w:t>
      </w:r>
      <w:r>
        <w:rPr>
          <w:rFonts w:ascii="Times New Roman" w:hAnsi="Times New Roman"/>
          <w:color w:val="000000"/>
          <w:sz w:val="24"/>
        </w:rPr>
        <w:t>The overall Patent Readiness Score is computed as a strictly bounded linear combination of the six dimension scores:</w:t>
      </w:r>
    </w:p>
    <w:p>
      <w:pPr>
        <w:spacing w:line="360" w:lineRule="auto" w:after="120" w:before="0"/>
        <w:jc w:val="both"/>
      </w:pPr>
      <w:r>
        <w:rPr>
          <w:rFonts w:ascii="Times New Roman" w:hAnsi="Times New Roman"/>
          <w:color w:val="000000"/>
          <w:sz w:val="24"/>
        </w:rPr>
        <w:t>PRS = round( 100 • ∑ [ w_d • S_d ] )   for d ∈ {1, 2, ..., 6}</w:t>
        <w:br/>
        <w:t>where S_d ∈ [0.0, 1.0] represents the normalized score for dimension d, and w_d represents the calibrated dimension weight. Table 8.1 details the six dimensions, their exact implemented weights in the codebase, and their mathematical roles.</w:t>
      </w:r>
    </w:p>
    <w:p>
      <w:pPr>
        <w:keepNext/>
        <w:spacing w:before="240" w:after="80"/>
        <w:jc w:val="left"/>
      </w:pPr>
      <w:r>
        <w:rPr>
          <w:rFonts w:ascii="Times New Roman" w:hAnsi="Times New Roman"/>
          <w:b/>
          <w:color w:val="000000"/>
          <w:sz w:val="22"/>
        </w:rPr>
        <w:t>Table 8.1: Six Assessment Dimensions of the EB-PRE Scoring Engine and Weights</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Dimension Name</w:t>
            </w:r>
          </w:p>
        </w:tc>
        <w:tc>
          <w:tcPr>
            <w:tcW w:type="dxa" w:w="56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Symbol</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Code Weight</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Percentage</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Evaluated Technical Property</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Mathematical Formulation Summary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Feature Novelty</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S_nov</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settings.READINESS_WEIGHT_NOVELTY</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Absence of direct/partial anticipatory disclosures across features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S_nov = (1 / |F|) • ∑ [ 1.0 - SeverityPenalty(f_i) ]</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Prior-Art Overlap</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S_ovl</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settings.READINESS_WEIGHT_PRIOR_ART_OVERLAP</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Inverse concentration of material matching evidence passages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S_ovl = 1.0 - min(1.0, (N_direct + 0.6•N_partial) / (|F| • 1.5))</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Technical Differentiation</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S_dif</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settings.READINESS_WEIGHT_TECH_DIFFERENTIATION</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Proportion of technical features exhibiting unique mechanisms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S_dif = |F_unencumbered| / |F_total|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Innovation Characteristics</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S_inn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settings.READINESS_WEIGHT_INNOVATION_CHARS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Complexity, synergistic interaction, and inventive step indicators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S_inn = 0.5•Score_Interaction + 0.5•Score_Complexity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Documentation Quality</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S_doc</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settings.READINESS_WEIGHT_DOC_QUALITY</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Structural completeness, claim clarity, and technical specificity</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S_doc = 0.4•S_structure + 0.3•S_clarity + 0.3•S_completeness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Commercial Potential</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S_com</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settings.READINESS_WEIGHT_COMMERCIAL_POTENTIAL</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Identified industrial application, market utility, and scalability</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S_com = 0.6•S_applicability + 0.4•S_breadth</w:t>
            </w:r>
          </w:p>
        </w:tc>
      </w:tr>
    </w:tbl>
    <w:p>
      <w:pPr>
        <w:spacing w:after="120"/>
      </w:pPr>
    </w:p>
    <w:p>
      <w:pPr>
        <w:keepNext/>
        <w:spacing w:before="280" w:after="120" w:line="276" w:lineRule="auto"/>
        <w:jc w:val="left"/>
      </w:pPr>
      <w:r>
        <w:rPr>
          <w:rFonts w:ascii="Times New Roman" w:hAnsi="Times New Roman"/>
          <w:b/>
          <w:color w:val="000000"/>
          <w:sz w:val="28"/>
        </w:rPr>
        <w:t>8.2 DIMENSION 1: FEATURE NOVELTY SCORE (30% WEIGHT)</w:t>
      </w:r>
    </w:p>
    <w:p>
      <w:pPr>
        <w:spacing w:line="360" w:lineRule="auto" w:after="120" w:before="0"/>
        <w:jc w:val="both"/>
      </w:pPr>
      <w:r>
        <w:rPr>
          <w:rFonts w:ascii="Times New Roman" w:hAnsi="Times New Roman"/>
          <w:color w:val="000000"/>
          <w:sz w:val="24"/>
        </w:rPr>
        <w:t>The Feature Novelty dimension evaluates whether the applicant's technical features are individually anticipated by prior art. For each feature f_i, the engine inspects its mapped evidence cells and identifies the maximum relationship severity. Direct matches incur a severe penalty (1.0 - 0.90 = 0.10 novelty), Partial matches incur a moderate penalty (1.0 - 0.55 = 0.45 novelty), while Contextual matches incur no penalty. Crucially, if a feature has zero retrieved prior-art candidates in the corpus, the engine does NOT award an unearned 1.0 score; instead, it conservatively anchors the feature novelty at 0.60 and triggers an uncertainty flag ('insufficient_prior_art_coverage'). This directly enforces the principle that absence of retrieved evidence does not prove novelty.</w:t>
      </w:r>
    </w:p>
    <w:p>
      <w:pPr>
        <w:keepNext/>
        <w:spacing w:before="280" w:after="120" w:line="276" w:lineRule="auto"/>
        <w:jc w:val="left"/>
      </w:pPr>
      <w:r>
        <w:rPr>
          <w:rFonts w:ascii="Times New Roman" w:hAnsi="Times New Roman"/>
          <w:b/>
          <w:color w:val="000000"/>
          <w:sz w:val="28"/>
        </w:rPr>
        <w:t>8.3 DIMENSION 2: PRIOR-ART OVERLAP DENSITY (20% WEIGHT)</w:t>
      </w:r>
    </w:p>
    <w:p>
      <w:pPr>
        <w:spacing w:line="360" w:lineRule="auto" w:after="120" w:before="0"/>
        <w:jc w:val="both"/>
      </w:pPr>
      <w:r>
        <w:rPr>
          <w:rFonts w:ascii="Times New Roman" w:hAnsi="Times New Roman"/>
          <w:color w:val="000000"/>
          <w:sz w:val="24"/>
        </w:rPr>
        <w:t>While Novelty evaluates features individually, Prior-Art Overlap Density evaluates the systemic concentration of adverse prior art. If multiple prior patents each disclose parts of the applicant's invention, the invention faces high risk under obviousness / inventive step invalidation (35 U.S.C. § 103). The overlap score penalizes dense clusters of direct and partial matches across the Evidence Matrix while ignoring benign contextual background passages.</w:t>
      </w:r>
    </w:p>
    <w:p>
      <w:pPr>
        <w:keepNext/>
        <w:spacing w:before="280" w:after="120" w:line="276" w:lineRule="auto"/>
        <w:jc w:val="left"/>
      </w:pPr>
      <w:r>
        <w:rPr>
          <w:rFonts w:ascii="Times New Roman" w:hAnsi="Times New Roman"/>
          <w:b/>
          <w:color w:val="000000"/>
          <w:sz w:val="28"/>
        </w:rPr>
        <w:t>8.4 DIMENSION 3: TECHNICAL DIFFERENTIATION RATIO (20% WEIGHT)</w:t>
      </w:r>
    </w:p>
    <w:p>
      <w:pPr>
        <w:spacing w:line="360" w:lineRule="auto" w:after="120" w:before="0"/>
        <w:jc w:val="both"/>
      </w:pPr>
      <w:r>
        <w:rPr>
          <w:rFonts w:ascii="Times New Roman" w:hAnsi="Times New Roman"/>
          <w:color w:val="000000"/>
          <w:sz w:val="24"/>
        </w:rPr>
        <w:t>Technical Differentiation quantifies the ratio of the invention's features that remain completely unencumbered by prior-art collisions. A feature is classified as unencumbered if its mapped prior-art candidates exhibit only Contextual, Weak, or No Match relationships. High differentiation indicates a strong inventive core around which robust, defensible patent claims can be constructed.</w:t>
      </w:r>
    </w:p>
    <w:p>
      <w:pPr>
        <w:keepNext/>
        <w:spacing w:before="280" w:after="120" w:line="276" w:lineRule="auto"/>
        <w:jc w:val="left"/>
      </w:pPr>
      <w:r>
        <w:rPr>
          <w:rFonts w:ascii="Times New Roman" w:hAnsi="Times New Roman"/>
          <w:b/>
          <w:color w:val="000000"/>
          <w:sz w:val="28"/>
        </w:rPr>
        <w:t>8.5 DIMENSION 4: INNOVATION CHARACTERISTICS (15% WEIGHT)</w:t>
      </w:r>
    </w:p>
    <w:p>
      <w:pPr>
        <w:spacing w:line="360" w:lineRule="auto" w:after="120" w:before="0"/>
        <w:jc w:val="both"/>
      </w:pPr>
      <w:r>
        <w:rPr>
          <w:rFonts w:ascii="Times New Roman" w:hAnsi="Times New Roman"/>
          <w:color w:val="000000"/>
          <w:sz w:val="24"/>
        </w:rPr>
        <w:t>The Innovation Characteristics dimension evaluates the structural sophistication of the invention. It analyzes whether the decomposed features exhibit synergistic functional interdependencies (where component A modifies the operational state of mechanism B) or represent a mere aggregation of known elements. Synergistic technical interactions receive high innovation ratings.</w:t>
      </w:r>
    </w:p>
    <w:p>
      <w:pPr>
        <w:keepNext/>
        <w:spacing w:before="280" w:after="120" w:line="276" w:lineRule="auto"/>
        <w:jc w:val="left"/>
      </w:pPr>
      <w:r>
        <w:rPr>
          <w:rFonts w:ascii="Times New Roman" w:hAnsi="Times New Roman"/>
          <w:b/>
          <w:color w:val="000000"/>
          <w:sz w:val="28"/>
        </w:rPr>
        <w:t>8.6 DIMENSION 5: DOCUMENTATION QUALITY AND COMPLETENESS (10% WEIGHT)</w:t>
      </w:r>
    </w:p>
    <w:p>
      <w:pPr>
        <w:spacing w:line="360" w:lineRule="auto" w:after="120" w:before="0"/>
        <w:jc w:val="both"/>
      </w:pPr>
      <w:r>
        <w:rPr>
          <w:rFonts w:ascii="Times New Roman" w:hAnsi="Times New Roman"/>
          <w:color w:val="000000"/>
          <w:sz w:val="24"/>
        </w:rPr>
        <w:t>Even a highly novel invention will be rejected by patent examiners under statutory enablement rules (35 U.S.C. § 112) if the description is vague, incomplete, or lacks enabling technical details. The Documentation Quality dimension evaluates structural section presence, vocabulary precision, claim-like structural phrasing, and parametric specificity, providing feedback on disclosure readiness.</w:t>
      </w:r>
    </w:p>
    <w:p>
      <w:pPr>
        <w:keepNext/>
        <w:spacing w:before="280" w:after="120" w:line="276" w:lineRule="auto"/>
        <w:jc w:val="left"/>
      </w:pPr>
      <w:r>
        <w:rPr>
          <w:rFonts w:ascii="Times New Roman" w:hAnsi="Times New Roman"/>
          <w:b/>
          <w:color w:val="000000"/>
          <w:sz w:val="28"/>
        </w:rPr>
        <w:t>8.7 DIMENSION 6: COMMERCIAL AND INDUSTRIAL POTENTIAL (5% WEIGHT)</w:t>
      </w:r>
    </w:p>
    <w:p>
      <w:pPr>
        <w:spacing w:line="360" w:lineRule="auto" w:after="120" w:before="0"/>
        <w:jc w:val="both"/>
      </w:pPr>
      <w:r>
        <w:rPr>
          <w:rFonts w:ascii="Times New Roman" w:hAnsi="Times New Roman"/>
          <w:color w:val="000000"/>
          <w:sz w:val="24"/>
        </w:rPr>
        <w:t>Allocated a 5% weighting, this dimension inspects the invention disclosure for explicit statements of industrial utility, target deployment environments, manufacturing scalability, and economic value proposition, aligning with statutory utility requirements.</w:t>
      </w:r>
    </w:p>
    <w:p>
      <w:pPr>
        <w:keepNext/>
        <w:spacing w:before="280" w:after="120" w:line="276" w:lineRule="auto"/>
        <w:jc w:val="left"/>
      </w:pPr>
      <w:r>
        <w:rPr>
          <w:rFonts w:ascii="Times New Roman" w:hAnsi="Times New Roman"/>
          <w:b/>
          <w:color w:val="000000"/>
          <w:sz w:val="28"/>
        </w:rPr>
        <w:t>8.8 READINESS SCORE VS READINESS CATEGORY MAPPING</w:t>
      </w:r>
    </w:p>
    <w:p>
      <w:pPr>
        <w:spacing w:line="360" w:lineRule="auto" w:after="120" w:before="0"/>
        <w:jc w:val="both"/>
      </w:pPr>
      <w:r>
        <w:rPr>
          <w:rFonts w:ascii="Times New Roman" w:hAnsi="Times New Roman"/>
          <w:color w:val="000000"/>
          <w:sz w:val="24"/>
        </w:rPr>
        <w:t>The aggregated Patent Readiness Score (0 to 100) is translated into four calibrated qualitative readiness categories, detailed in Table 8.2.</w:t>
      </w:r>
    </w:p>
    <w:p>
      <w:pPr>
        <w:keepNext/>
        <w:spacing w:before="240" w:after="80"/>
        <w:jc w:val="left"/>
      </w:pPr>
      <w:r>
        <w:rPr>
          <w:rFonts w:ascii="Times New Roman" w:hAnsi="Times New Roman"/>
          <w:b/>
          <w:color w:val="000000"/>
          <w:sz w:val="22"/>
        </w:rPr>
        <w:t>Table 8.2: Readiness Category Thresholds, Qualitative Interpretations, and Action Rules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Readiness Category</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Score Range</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Qualitative Assessment Interpretation</w:t>
            </w:r>
          </w:p>
        </w:tc>
        <w:tc>
          <w:tcPr>
            <w:tcW w:type="dxa" w:w="260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Prescribed Inventor Action Directive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High Readiness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 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 novelty, clear technical differentiation, and strong documentation. Minimal prior-art overlap.</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Proceed to formal professional patent drafting; focus claims on differentiated features.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Moderate Readiness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60 ≤ Score &lt; 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Core novelty present, but significant partial overlap detected. Invention requires technical refinement.</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Narrow independent claims; emphasize specific mechanisms distinguishing over identified prior art.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Needs Differentiation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45 ≤ Score &lt; 60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Extensive prior-art collisions detected. High risk of examiner anticipation or obviousness rejection.</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Restructure invention; pivot core technical mechanism away from identified patent families.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Early Stage / Conceptual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&lt; 45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Incomplete documentation, high overlap, or conceptual ambiguity. Lacks statutory enablement.</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Conduct further laboratory experimentation; strengthen technical disclosure before filing.</w:t>
            </w:r>
          </w:p>
        </w:tc>
      </w:tr>
    </w:tbl>
    <w:p>
      <w:pPr>
        <w:spacing w:after="120"/>
      </w:pPr>
    </w:p>
    <w:p>
      <w:pPr>
        <w:keepNext/>
        <w:spacing w:before="280" w:after="120" w:line="276" w:lineRule="auto"/>
        <w:jc w:val="left"/>
      </w:pPr>
      <w:r>
        <w:rPr>
          <w:rFonts w:ascii="Times New Roman" w:hAnsi="Times New Roman"/>
          <w:b/>
          <w:color w:val="000000"/>
          <w:sz w:val="28"/>
        </w:rPr>
        <w:t>8.9 ASSESSMENT CONFIDENCE CALCULATION AND UNCERTAINTY FLAGS</w:t>
      </w:r>
    </w:p>
    <w:p>
      <w:pPr>
        <w:spacing w:line="360" w:lineRule="auto" w:after="120" w:before="0"/>
        <w:jc w:val="both"/>
      </w:pPr>
      <w:r>
        <w:rPr>
          <w:rFonts w:ascii="Times New Roman" w:hAnsi="Times New Roman"/>
          <w:color w:val="000000"/>
          <w:sz w:val="24"/>
        </w:rPr>
        <w:t>A vital theoretical contribution of PatentIQ is the absolute mathematical decoupling of the Patent Readiness Score from the Assessment Confidence Score. Figure 8.2 illustrates this two-dimensional relationship matrix. An invention may receive a high readiness score (e.g., 85/100) because no prior art was found, yet have a low confidence score (e.g., 0.35) because the development corpus lacks patents in that specific technical classification. Whenever confidence falls below calibrated thresholds, EB-PRE emits explicit Uncertainty Flags, detailed in Table 8.3.</w:t>
      </w:r>
    </w:p>
    <w:p>
      <w:pPr>
        <w:keepNext/>
        <w:spacing w:before="240" w:after="80"/>
        <w:jc w:val="left"/>
      </w:pPr>
      <w:r>
        <w:rPr>
          <w:rFonts w:ascii="Times New Roman" w:hAnsi="Times New Roman"/>
          <w:b/>
          <w:color w:val="000000"/>
          <w:sz w:val="22"/>
        </w:rPr>
        <w:t>Table 8.3: Uncertainty Flags, Trigger Criteria, and Remediation Directives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Uncertainty Flag Key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Trigger Condition</w:t>
            </w:r>
          </w:p>
        </w:tc>
        <w:tc>
          <w:tcPr>
            <w:tcW w:type="dxa" w:w="238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Underlying Risk &amp; Theoretical Rationale</w:t>
            </w:r>
          </w:p>
        </w:tc>
        <w:tc>
          <w:tcPr>
            <w:tcW w:type="dxa" w:w="232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Actionable User Guidance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insufficient_prior_art_coverage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Fewer than 3 prior-art candidates retrieved across feature set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Search space too narrow; danger of negative proof fallacy</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Expand retrieval query; search external international patent databases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unsearched_feature_space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One or more features have zero candidate matches in corpus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Specific inventive feature completely unverified against prior art</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Conduct targeted keyword search for unsearched technical element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low_retrieval_confidence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Average reranker score of candidate pool &lt; 0.30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Retrieved documents have low semantic relevance to disclosure</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Refine technical feature descriptions; incorporate standard patent terminology</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potential_claim_overlap</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match detected in independent claim passage</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Severe legal anticipation risk under 35 U.S.C. § 102</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Consult registered patent counsel immediately to review cited claim</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ambiguous_technical_disclosure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Documentation Quality score &lt; 0.40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description lacks statutory enablement details</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Add detailed implementation diagrams, algorithms, and parametric examples</w:t>
            </w:r>
          </w:p>
        </w:tc>
      </w:tr>
    </w:tbl>
    <w:p>
      <w:pPr>
        <w:spacing w:after="120"/>
      </w:pPr>
    </w:p>
    <w:p>
      <w:r>
        <w:br w:type="page"/>
      </w:r>
    </w:p>
    <w:p>
      <w:pPr>
        <w:spacing w:before="360" w:after="80" w:line="240" w:lineRule="auto"/>
        <w:jc w:val="center"/>
      </w:pPr>
      <w:r>
        <w:rPr>
          <w:rFonts w:ascii="Times New Roman" w:hAnsi="Times New Roman"/>
          <w:b/>
          <w:color w:val="000000"/>
          <w:sz w:val="32"/>
        </w:rPr>
        <w:t>CHAPTER 9</w:t>
      </w:r>
    </w:p>
    <w:p>
      <w:pPr>
        <w:spacing w:before="0" w:after="360" w:line="276" w:lineRule="auto"/>
        <w:jc w:val="center"/>
      </w:pPr>
      <w:r>
        <w:rPr>
          <w:rFonts w:ascii="Times New Roman" w:hAnsi="Times New Roman"/>
          <w:b/>
          <w:color w:val="000000"/>
          <w:sz w:val="32"/>
        </w:rPr>
        <w:t>GROUNDED EXPLANATION GENERATION AND REPORTING</w:t>
      </w:r>
    </w:p>
    <w:p>
      <w:pPr>
        <w:keepNext/>
        <w:spacing w:before="280" w:after="120" w:line="276" w:lineRule="auto"/>
        <w:jc w:val="left"/>
      </w:pPr>
      <w:r>
        <w:rPr>
          <w:rFonts w:ascii="Times New Roman" w:hAnsi="Times New Roman"/>
          <w:b/>
          <w:color w:val="000000"/>
          <w:sz w:val="28"/>
        </w:rPr>
        <w:t>9.1 GROUNDED RAG ARCHITECTURE VIA GEMINI 2.5 PRO</w:t>
      </w:r>
    </w:p>
    <w:p>
      <w:pPr>
        <w:spacing w:line="360" w:lineRule="auto" w:after="120" w:before="0"/>
        <w:jc w:val="both"/>
      </w:pPr>
      <w:r>
        <w:rPr>
          <w:rFonts w:ascii="Times New Roman" w:hAnsi="Times New Roman"/>
          <w:color w:val="000000"/>
          <w:sz w:val="24"/>
        </w:rPr>
        <w:t>The explanation tier of PatentIQ utilizes Google's state-of-the-art language model, Gemini 2.5 Pro, operating within a strictly constrained Retrieval-Augmented Generation (RAG) framework. Figure 9.1 illustrates the grounded RAG architecture, highlighting the bidirectional flow between pre-calculated EB-PRE scores, constrained prompt assembly, and the deterministic fallback engine.</w:t>
      </w:r>
    </w:p>
    <w:p>
      <w:pPr>
        <w:spacing w:before="200" w:after="80"/>
        <w:jc w:val="center"/>
      </w:pPr>
      <w:r>
        <w:drawing>
          <wp:inline xmlns:a="http://schemas.openxmlformats.org/drawingml/2006/main" xmlns:pic="http://schemas.openxmlformats.org/drawingml/2006/picture">
            <wp:extent cx="5220000" cy="2238293"/>
            <wp:docPr id="10" name="Picture 10"/>
            <wp:cNvGraphicFramePr>
              <a:graphicFrameLocks noChangeAspect="1"/>
            </wp:cNvGraphicFramePr>
            <a:graphic>
              <a:graphicData uri="http://schemas.openxmlformats.org/drawingml/2006/picture">
                <pic:pic>
                  <pic:nvPicPr>
                    <pic:cNvPr id="0" name="fig_rag_guardrails.png"/>
                    <pic:cNvPicPr/>
                  </pic:nvPicPr>
                  <pic:blipFill>
                    <a:blip r:embed="rId27"/>
                    <a:stretch>
                      <a:fillRect/>
                    </a:stretch>
                  </pic:blipFill>
                  <pic:spPr>
                    <a:xfrm>
                      <a:off x="0" y="0"/>
                      <a:ext cx="5220000" cy="2238293"/>
                    </a:xfrm>
                    <a:prstGeom prst="rect"/>
                  </pic:spPr>
                </pic:pic>
              </a:graphicData>
            </a:graphic>
          </wp:inline>
        </w:drawing>
      </w:r>
    </w:p>
    <w:p>
      <w:pPr>
        <w:spacing w:before="40" w:after="240" w:line="240" w:lineRule="auto"/>
        <w:jc w:val="center"/>
      </w:pPr>
      <w:r>
        <w:rPr>
          <w:rFonts w:ascii="Times New Roman" w:hAnsi="Times New Roman"/>
          <w:b/>
          <w:color w:val="000000"/>
          <w:sz w:val="20"/>
        </w:rPr>
        <w:t>Figure 9.1: Grounded Gemini RAG Explanation Architecture and Anti-Hallucination Guardrails</w:t>
      </w:r>
    </w:p>
    <w:p>
      <w:pPr>
        <w:spacing w:line="360" w:lineRule="auto" w:after="120" w:before="0"/>
        <w:jc w:val="both"/>
      </w:pPr>
      <w:r>
        <w:rPr>
          <w:rFonts w:ascii="Times New Roman" w:hAnsi="Times New Roman"/>
          <w:color w:val="000000"/>
          <w:sz w:val="24"/>
        </w:rPr>
        <w:t>In PatentIQ, Gemini is never asked: 'Is this invention patentable?'. Such an unconstrained prompt invites legal hallucination. Instead, the prompt assembler constructs a structured payload containing: (1) The verbatim technical features extracted from the invention; (2) The exact cells of the Evidence Matrix, including patent numbers, claim numbers, and excerpted text; (3) The pre-calculated EB-PRE scores and readiness category; and (4) The active uncertainty flags. The model is instructed through strict system instructions to synthesize an executive summary and tactical differentiation recommendations that explain the empirical evidence without altering any numerical values.</w:t>
      </w:r>
    </w:p>
    <w:p>
      <w:pPr>
        <w:keepNext/>
        <w:spacing w:before="280" w:after="120" w:line="276" w:lineRule="auto"/>
        <w:jc w:val="left"/>
      </w:pPr>
      <w:r>
        <w:rPr>
          <w:rFonts w:ascii="Times New Roman" w:hAnsi="Times New Roman"/>
          <w:b/>
          <w:color w:val="000000"/>
          <w:sz w:val="28"/>
        </w:rPr>
        <w:t>9.2 ANTI-HALLUCINATION PROMPT CONSTRAINTS AND GUARDRAILS</w:t>
      </w:r>
    </w:p>
    <w:p>
      <w:pPr>
        <w:spacing w:line="360" w:lineRule="auto" w:after="120" w:before="0"/>
        <w:jc w:val="both"/>
      </w:pPr>
      <w:r>
        <w:rPr>
          <w:rFonts w:ascii="Times New Roman" w:hAnsi="Times New Roman"/>
          <w:color w:val="000000"/>
          <w:sz w:val="24"/>
        </w:rPr>
        <w:t>To enforce legal defensibility and eliminate hallucinations, the Gemini prompt implements four inviolable architectural guardrails: (1) Numerical Immutability: The prompt explicitly forbids the model from recalculating or modifying readiness scores. Scores must be quoted verbatim from the provided context; (2) Strict Evidence Boundary: The model is barred from citing external patents or inventing publication numbers not present in the supplied Evidence Matrix. If a feature has no matching evidence, the model must explicitly state that no prior art was found within the corpus; (3) Non-Legal Advisory Disclaimer: The prompt instructs the model to frame all conclusions as early-stage technical decision support rather than formal legal advice; and (4) Structured JSON / Markdown Schema Enforcement: The model outputs structured sections adhering strictly to a predefined schema.</w:t>
      </w:r>
    </w:p>
    <w:p>
      <w:pPr>
        <w:keepNext/>
        <w:spacing w:before="280" w:after="120" w:line="276" w:lineRule="auto"/>
        <w:jc w:val="left"/>
      </w:pPr>
      <w:r>
        <w:rPr>
          <w:rFonts w:ascii="Times New Roman" w:hAnsi="Times New Roman"/>
          <w:b/>
          <w:color w:val="000000"/>
          <w:sz w:val="28"/>
        </w:rPr>
        <w:t>9.3 GEMINI API QUOTA MANAGEMENT AND DETERMINISTIC FALLBACK MODE</w:t>
      </w:r>
    </w:p>
    <w:p>
      <w:pPr>
        <w:spacing w:line="360" w:lineRule="auto" w:after="120" w:before="0"/>
        <w:jc w:val="both"/>
      </w:pPr>
      <w:r>
        <w:rPr>
          <w:rFonts w:ascii="Times New Roman" w:hAnsi="Times New Roman"/>
          <w:color w:val="000000"/>
          <w:sz w:val="24"/>
        </w:rPr>
        <w:t>Commercial cloud LLM APIs are subject to transient rate limits, token quota exhaustion (HTTP 429), and network latencies. A production-grade system cannot crash when an external API fails. PatentIQ implements an active Quota Watchdog and Deterministic Fallback Mode. If the Gemini API returns a 429 quota exception or times out after 30 seconds, the orchestrator immediately invokes the algorithmic fallback generator. The fallback engine synthesizes a comprehensive report using rule-based templates directly populated with Evidence Matrix cells and dimension scores. The report metadata records 'model_used: deterministic_fallback', ensuring complete transparency while maintaining 100% operational uptime.</w:t>
      </w:r>
    </w:p>
    <w:p>
      <w:pPr>
        <w:keepNext/>
        <w:spacing w:before="280" w:after="120" w:line="276" w:lineRule="auto"/>
        <w:jc w:val="left"/>
      </w:pPr>
      <w:r>
        <w:rPr>
          <w:rFonts w:ascii="Times New Roman" w:hAnsi="Times New Roman"/>
          <w:b/>
          <w:color w:val="000000"/>
          <w:sz w:val="28"/>
        </w:rPr>
        <w:t>9.4 TEN-SECTION COMPREHENSIVE ASSESSMENT REPORT STRUCTURE</w:t>
      </w:r>
    </w:p>
    <w:p>
      <w:pPr>
        <w:spacing w:line="360" w:lineRule="auto" w:after="120" w:before="0"/>
        <w:jc w:val="both"/>
      </w:pPr>
      <w:r>
        <w:rPr>
          <w:rFonts w:ascii="Times New Roman" w:hAnsi="Times New Roman"/>
          <w:color w:val="000000"/>
          <w:sz w:val="24"/>
        </w:rPr>
        <w:t>The final deliverable generated by PatentIQ is a comprehensive 10-section Patent Readiness Report. Table 9.1 outlines the ten standardized sections and their evidentiary content.</w:t>
      </w:r>
    </w:p>
    <w:p>
      <w:pPr>
        <w:keepNext/>
        <w:spacing w:before="240" w:after="80"/>
        <w:jc w:val="left"/>
      </w:pPr>
      <w:r>
        <w:rPr>
          <w:rFonts w:ascii="Times New Roman" w:hAnsi="Times New Roman"/>
          <w:b/>
          <w:color w:val="000000"/>
          <w:sz w:val="22"/>
        </w:rPr>
        <w:t>Table 9.1: Ten-Section Structure of the Grounded Patent Readiness Report</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85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Section No.</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Report Section Title</w:t>
            </w:r>
          </w:p>
        </w:tc>
        <w:tc>
          <w:tcPr>
            <w:tcW w:type="dxa" w:w="368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Evidentiary Contents &amp; Analytical Depth</w:t>
            </w:r>
          </w:p>
        </w:tc>
        <w:tc>
          <w:tcPr>
            <w:tcW w:type="dxa" w:w="13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Audience</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Executive Summary</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High-level invention overview, aggregated readiness score (0-100), and readiness category</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TTO Director, Executive</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Feature Deconstruction</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Structured table of extracted features across problem, component, mechanism, and effect</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Patent Attorney</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3</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Multi-Dimensional Readiness Profile</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Detailed radar breakdown of the 6 EB-PRE dimensions with individual scores and weights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Technical Reviewer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4</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Feature-to-Prior-Art Evidence Matrix</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2D tabular matrix displaying all features mapped against cited prior-art patents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Agent, Examining Officer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Critical Prior-Art Collision Analysis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In-depth passage-by-passage review of Direct and Partial matches with verbatim excerpts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Attorney, Inventor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Differentiation Opportunities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 of unencumbered features offering promising avenues for defensible claim drafting</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Drafter, Inventor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7</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Assessment Confidence &amp; Uncertainty Flags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Explicit confidence score (0.0-1.0) and detailed analysis of triggered uncertainty flags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TTO Auditor, IP Counsel</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8</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Documentation Quality &amp; Enablement Review</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Constructive audit of description completeness, claim clarity, and statutory enablement gaps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Technical Writer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9</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Tactical Filing Recommendations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Prioritized action items: claim narrowing, additional prior-art searches, or drafting next steps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TTO Officer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10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Methodology &amp; Legal Disclaimers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Formal statement of algorithmic methodology, development corpus scope, and statutory legal limits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Legal / Compliance Officers</w:t>
            </w:r>
          </w:p>
        </w:tc>
      </w:tr>
    </w:tbl>
    <w:p>
      <w:pPr>
        <w:spacing w:after="120"/>
      </w:pPr>
    </w:p>
    <w:p>
      <w:pPr>
        <w:keepNext/>
        <w:spacing w:before="280" w:after="120" w:line="276" w:lineRule="auto"/>
        <w:jc w:val="left"/>
      </w:pPr>
      <w:r>
        <w:rPr>
          <w:rFonts w:ascii="Times New Roman" w:hAnsi="Times New Roman"/>
          <w:b/>
          <w:color w:val="000000"/>
          <w:sz w:val="28"/>
        </w:rPr>
        <w:t>9.5 MULTI-FORMAT REPORT EXPORT</w:t>
      </w:r>
    </w:p>
    <w:p>
      <w:pPr>
        <w:spacing w:line="360" w:lineRule="auto" w:after="120" w:before="0"/>
        <w:jc w:val="both"/>
      </w:pPr>
      <w:r>
        <w:rPr>
          <w:rFonts w:ascii="Times New Roman" w:hAnsi="Times New Roman"/>
          <w:color w:val="000000"/>
          <w:sz w:val="24"/>
        </w:rPr>
        <w:t>To serve diverse operational workflows, PatentIQ generates reports in three distinct formats: (1) Interactive Web Dashboard: Dynamic rendering within the React 19 interface with expandable evidence cells, radar charts, and interactive filtering; (2) Machine-Readable JSON: Full serialized data contracts containing all raw scores, vectors, cell mappings, and flags for programmatic TTO integration; and (3) Formal PDF Report: Beautifully styled academic PDF generated via ReportLab / PyMuPDF suitable for formal filing reviews and grant applications.</w:t>
      </w:r>
    </w:p>
    <w:p>
      <w:r>
        <w:br w:type="page"/>
      </w:r>
    </w:p>
    <w:p>
      <w:pPr>
        <w:spacing w:before="360" w:after="80" w:line="240" w:lineRule="auto"/>
        <w:jc w:val="center"/>
      </w:pPr>
      <w:r>
        <w:rPr>
          <w:rFonts w:ascii="Times New Roman" w:hAnsi="Times New Roman"/>
          <w:b/>
          <w:color w:val="000000"/>
          <w:sz w:val="32"/>
        </w:rPr>
        <w:t>CHAPTER 10</w:t>
      </w:r>
    </w:p>
    <w:p>
      <w:pPr>
        <w:spacing w:before="0" w:after="360" w:line="276" w:lineRule="auto"/>
        <w:jc w:val="center"/>
      </w:pPr>
      <w:r>
        <w:rPr>
          <w:rFonts w:ascii="Times New Roman" w:hAnsi="Times New Roman"/>
          <w:b/>
          <w:color w:val="000000"/>
          <w:sz w:val="32"/>
        </w:rPr>
        <w:t>DATABASE DESIGN, STORAGE, AND PERSISTENCE</w:t>
      </w:r>
    </w:p>
    <w:p>
      <w:pPr>
        <w:keepNext/>
        <w:spacing w:before="280" w:after="120" w:line="276" w:lineRule="auto"/>
        <w:jc w:val="left"/>
      </w:pPr>
      <w:r>
        <w:rPr>
          <w:rFonts w:ascii="Times New Roman" w:hAnsi="Times New Roman"/>
          <w:b/>
          <w:color w:val="000000"/>
          <w:sz w:val="28"/>
        </w:rPr>
        <w:t>10.1 POSTGRESQL RELATIONAL SCHEMA ARCHITECTURE</w:t>
      </w:r>
    </w:p>
    <w:p>
      <w:pPr>
        <w:spacing w:line="360" w:lineRule="auto" w:after="120" w:before="0"/>
        <w:jc w:val="both"/>
      </w:pPr>
      <w:r>
        <w:rPr>
          <w:rFonts w:ascii="Times New Roman" w:hAnsi="Times New Roman"/>
          <w:color w:val="000000"/>
          <w:sz w:val="24"/>
        </w:rPr>
        <w:t>The persistence layer of PatentIQ is hosted on Supabase PostgreSQL (PostgreSQL 15), structured into nine relational tables that maintain comprehensive lifecycle traceability across user accounts, invention workspaces, feature decompositions, evidence items, readiness analyses, and reports. Figure 10.1 depicts the Entity-Relationship Diagram (ERD), detailing the primary keys, foreign key relationships, and cascading deletion pathways.</w:t>
      </w:r>
    </w:p>
    <w:p>
      <w:pPr>
        <w:spacing w:before="200" w:after="80"/>
        <w:jc w:val="center"/>
      </w:pPr>
      <w:r>
        <w:drawing>
          <wp:inline xmlns:a="http://schemas.openxmlformats.org/drawingml/2006/main" xmlns:pic="http://schemas.openxmlformats.org/drawingml/2006/picture">
            <wp:extent cx="5220000" cy="2610000"/>
            <wp:docPr id="11" name="Picture 11"/>
            <wp:cNvGraphicFramePr>
              <a:graphicFrameLocks noChangeAspect="1"/>
            </wp:cNvGraphicFramePr>
            <a:graphic>
              <a:graphicData uri="http://schemas.openxmlformats.org/drawingml/2006/picture">
                <pic:pic>
                  <pic:nvPicPr>
                    <pic:cNvPr id="0" name="fig_database_erd.png"/>
                    <pic:cNvPicPr/>
                  </pic:nvPicPr>
                  <pic:blipFill>
                    <a:blip r:embed="rId28"/>
                    <a:stretch>
                      <a:fillRect/>
                    </a:stretch>
                  </pic:blipFill>
                  <pic:spPr>
                    <a:xfrm>
                      <a:off x="0" y="0"/>
                      <a:ext cx="5220000" cy="2610000"/>
                    </a:xfrm>
                    <a:prstGeom prst="rect"/>
                  </pic:spPr>
                </pic:pic>
              </a:graphicData>
            </a:graphic>
          </wp:inline>
        </w:drawing>
      </w:r>
    </w:p>
    <w:p>
      <w:pPr>
        <w:spacing w:before="40" w:after="240" w:line="240" w:lineRule="auto"/>
        <w:jc w:val="center"/>
      </w:pPr>
      <w:r>
        <w:rPr>
          <w:rFonts w:ascii="Times New Roman" w:hAnsi="Times New Roman"/>
          <w:b/>
          <w:color w:val="000000"/>
          <w:sz w:val="20"/>
        </w:rPr>
        <w:t>Figure 10.1: Supabase / PostgreSQL Relational Database Schema Entity-Relationship Diagram</w:t>
      </w:r>
    </w:p>
    <w:p>
      <w:pPr>
        <w:spacing w:line="360" w:lineRule="auto" w:after="120" w:before="0"/>
        <w:jc w:val="both"/>
      </w:pPr>
      <w:r>
        <w:rPr>
          <w:rFonts w:ascii="Times New Roman" w:hAnsi="Times New Roman"/>
          <w:color w:val="000000"/>
          <w:sz w:val="24"/>
        </w:rPr>
        <w:t>Table 10.1 provides a detailed summary of the nine relational tables, their functional roles, primary keys, and cascading relationships.</w:t>
      </w:r>
    </w:p>
    <w:p>
      <w:pPr>
        <w:keepNext/>
        <w:spacing w:before="240" w:after="80"/>
        <w:jc w:val="left"/>
      </w:pPr>
      <w:r>
        <w:rPr>
          <w:rFonts w:ascii="Times New Roman" w:hAnsi="Times New Roman"/>
          <w:b/>
          <w:color w:val="000000"/>
          <w:sz w:val="22"/>
        </w:rPr>
        <w:t>Table 10.1: Supabase Relational Database Tables and Foreign Key Constraints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Table Name</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Key</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Foreign Key Constraints</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Columns</w:t>
            </w:r>
          </w:p>
        </w:tc>
        <w:tc>
          <w:tcPr>
            <w:tcW w:type="dxa" w:w="300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Purpose &amp; Multi-Tenant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public.profiles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auth.users(id)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Extends Supabase auth.users; stores user name, avatar, and signup timestamp</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public.projects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public.profiles(id)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Core invention workspace; tracks document text, file metadata, pipeline stage, and status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public.document_chunks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Granular invention text segments with paragraph offsets, page numbers, and token counts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public.patent_documents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 (patent_number TEXT UNIQUE)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Global prior-art corpus metadata: title, abstract, assignee, IPC/CPC classification, dates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public.patent_chunks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public.patent_documents(id)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Passage-level prior-art chunks with claim numbers, paragraph tags, and sync status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public.features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Decomposed technical features (problem, component, mechanism, effect); UNIQUE(project_id, feature_id)</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public.evidence_items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17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Feature-to-patent evidence mappings; stores verbatim passage, reranker score, and relationship</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public.analyses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Deterministic EB-PRE scores across 6 dimensions, confidence, explanation, and uncertainty flags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public.reports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Generated PDF/JSON/Markdown reports; UNIQUE constraint on (project_id, type) for idempotency</w:t>
            </w:r>
          </w:p>
        </w:tc>
      </w:tr>
    </w:tbl>
    <w:p>
      <w:pPr>
        <w:spacing w:after="120"/>
      </w:pPr>
    </w:p>
    <w:p>
      <w:pPr>
        <w:keepNext/>
        <w:spacing w:before="280" w:after="120" w:line="276" w:lineRule="auto"/>
        <w:jc w:val="left"/>
      </w:pPr>
      <w:r>
        <w:rPr>
          <w:rFonts w:ascii="Times New Roman" w:hAnsi="Times New Roman"/>
          <w:b/>
          <w:color w:val="000000"/>
          <w:sz w:val="28"/>
        </w:rPr>
        <w:t>10.2 TABLE DEFINITIONS, CONSTRAINTS, AND SYNTHETIC UUIDV5 HANDLING</w:t>
      </w:r>
    </w:p>
    <w:p>
      <w:pPr>
        <w:spacing w:line="360" w:lineRule="auto" w:after="120" w:before="0"/>
        <w:jc w:val="both"/>
      </w:pPr>
      <w:r>
        <w:rPr>
          <w:rFonts w:ascii="Times New Roman" w:hAnsi="Times New Roman"/>
          <w:color w:val="000000"/>
          <w:sz w:val="24"/>
        </w:rPr>
        <w:t>A critical engineering defect identified and resolved during technical audit was the foreign key constraint hazard in evidence_items. In the FastAPI repository (repository.py lines 618-620), evidence mapping generates synthetic deterministic UUIDv5 identifiers for unlinked features and prior-art patents (e.g., f_id = uuid.uuid5(uuid.NAMESPACE_DNS, f'{project_id}_{m.feature_id}')). In the initial schema, evidence_items declared strict foreign keys: feature_id REFERENCES public.features(id) and patent_id REFERENCES public.patent_documents(id). Because features receive randomly generated UUIDv4 keys upon insertion and development patents may reside solely in Qdrant, PostgreSQL rejected evidence inserts with catastrophic foreign key constraint violations.</w:t>
      </w:r>
    </w:p>
    <w:p>
      <w:pPr>
        <w:spacing w:line="360" w:lineRule="auto" w:after="120" w:before="0"/>
        <w:jc w:val="both"/>
      </w:pPr>
      <w:r>
        <w:rPr>
          <w:rFonts w:ascii="Times New Roman" w:hAnsi="Times New Roman"/>
          <w:color w:val="000000"/>
          <w:sz w:val="24"/>
        </w:rPr>
        <w:t>PatentIQ resolves this issue by decoupling evidence_items.feature_id and evidence_items.patent_id from hard foreign key constraints, storing them as indexed UUID fields while strictly enforcing project_id REFERENCES public.projects(id) ON DELETE CASCADE. This guarantees that project deletion cleanly cascades and removes all evidence items, while synthetic UUIDv5 inserts execute without constraint failure.</w:t>
      </w:r>
    </w:p>
    <w:p>
      <w:pPr>
        <w:keepNext/>
        <w:spacing w:before="280" w:after="120" w:line="276" w:lineRule="auto"/>
        <w:jc w:val="left"/>
      </w:pPr>
      <w:r>
        <w:rPr>
          <w:rFonts w:ascii="Times New Roman" w:hAnsi="Times New Roman"/>
          <w:b/>
          <w:color w:val="000000"/>
          <w:sz w:val="28"/>
        </w:rPr>
        <w:t>10.3 ROW LEVEL SECURITY POLICIES AND DUAL USING / WITH CHECK GUARANTEES</w:t>
      </w:r>
    </w:p>
    <w:p>
      <w:pPr>
        <w:spacing w:line="360" w:lineRule="auto" w:after="120" w:before="0"/>
        <w:jc w:val="both"/>
      </w:pPr>
      <w:r>
        <w:rPr>
          <w:rFonts w:ascii="Times New Roman" w:hAnsi="Times New Roman"/>
          <w:color w:val="000000"/>
          <w:sz w:val="24"/>
        </w:rPr>
        <w:t>To guarantee multi-tenant security, every table in the Supabase schema is protected by Row Level Security (RLS). Figure 10.2 illustrates the tenant isolation boundary. For all project-owned tables, access is strictly governed by the authenticated user's ID (auth.uid()). Importantly, every policy implements both USING (evaluating existing rows for read/update/delete) and WITH CHECK (evaluating incoming data for insert/update) clauses, preventing tenant privilege escalation. For global prior-art tables (patent_documents and patent_chunks), RLS permits public read access (FOR SELECT TO authenticated, anon) while restricting write and mutation operations exclusively to the administrative service role.</w:t>
      </w:r>
    </w:p>
    <w:p>
      <w:pPr>
        <w:keepNext/>
        <w:spacing w:before="280" w:after="120" w:line="276" w:lineRule="auto"/>
        <w:jc w:val="left"/>
      </w:pPr>
      <w:r>
        <w:rPr>
          <w:rFonts w:ascii="Times New Roman" w:hAnsi="Times New Roman"/>
          <w:b/>
          <w:color w:val="000000"/>
          <w:sz w:val="28"/>
        </w:rPr>
        <w:t>10.4 IN-MEMORY DEMO STORE AND UNCONFIGURED STATE HANDLING</w:t>
      </w:r>
    </w:p>
    <w:p>
      <w:pPr>
        <w:spacing w:line="360" w:lineRule="auto" w:after="120" w:before="0"/>
        <w:jc w:val="both"/>
      </w:pPr>
      <w:r>
        <w:rPr>
          <w:rFonts w:ascii="Times New Roman" w:hAnsi="Times New Roman"/>
          <w:color w:val="000000"/>
          <w:sz w:val="24"/>
        </w:rPr>
        <w:t>In development environments where remote Supabase credentials are not configured, the SupabaseRepository gracefully redirects all database calls to an internal in-memory demo store (_demo_projects, _demo_features, _demo_evidence). The repository returns a structured PersistenceStatus object with status 'persisted_demo_fallback'. This eliminates developer environment crashes and allows local unit and integration tests to execute cleanly.</w:t>
      </w:r>
    </w:p>
    <w:p>
      <w:pPr>
        <w:keepNext/>
        <w:spacing w:before="280" w:after="120" w:line="276" w:lineRule="auto"/>
        <w:jc w:val="left"/>
      </w:pPr>
      <w:r>
        <w:rPr>
          <w:rFonts w:ascii="Times New Roman" w:hAnsi="Times New Roman"/>
          <w:b/>
          <w:color w:val="000000"/>
          <w:sz w:val="28"/>
        </w:rPr>
        <w:t>10.5 DATABASE HEALTH MONITORING AND SCHEMA VERIFICATION ENDPOINTS</w:t>
      </w:r>
    </w:p>
    <w:p>
      <w:pPr>
        <w:spacing w:line="360" w:lineRule="auto" w:after="120" w:before="0"/>
        <w:jc w:val="both"/>
      </w:pPr>
      <w:r>
        <w:rPr>
          <w:rFonts w:ascii="Times New Roman" w:hAnsi="Times New Roman"/>
          <w:color w:val="000000"/>
          <w:sz w:val="24"/>
        </w:rPr>
        <w:t>FastAPI provides dedicated health monitoring endpoints (/api/health and /api/health/database). The database health check executes a lightweight non-blocking query (client.table('projects').select('id').limit(1)) to verify DNS resolution, SSL handshake, gateway latency, and schema availability, sanitizing error messages to prevent exposing database URLs or service keys in server responses.</w:t>
      </w:r>
    </w:p>
    <w:p>
      <w:r>
        <w:br w:type="page"/>
      </w:r>
    </w:p>
    <w:p>
      <w:pPr>
        <w:spacing w:before="360" w:after="80" w:line="240" w:lineRule="auto"/>
        <w:jc w:val="center"/>
      </w:pPr>
      <w:r>
        <w:rPr>
          <w:rFonts w:ascii="Times New Roman" w:hAnsi="Times New Roman"/>
          <w:b/>
          <w:color w:val="000000"/>
          <w:sz w:val="32"/>
        </w:rPr>
        <w:t>CHAPTER 11</w:t>
      </w:r>
    </w:p>
    <w:p>
      <w:pPr>
        <w:spacing w:before="0" w:after="360" w:line="276" w:lineRule="auto"/>
        <w:jc w:val="center"/>
      </w:pPr>
      <w:r>
        <w:rPr>
          <w:rFonts w:ascii="Times New Roman" w:hAnsi="Times New Roman"/>
          <w:b/>
          <w:color w:val="000000"/>
          <w:sz w:val="32"/>
        </w:rPr>
        <w:t>FRONTEND DESIGN AND API INTEGRATION</w:t>
      </w:r>
    </w:p>
    <w:p>
      <w:pPr>
        <w:keepNext/>
        <w:spacing w:before="280" w:after="120" w:line="276" w:lineRule="auto"/>
        <w:jc w:val="left"/>
      </w:pPr>
      <w:r>
        <w:rPr>
          <w:rFonts w:ascii="Times New Roman" w:hAnsi="Times New Roman"/>
          <w:b/>
          <w:color w:val="000000"/>
          <w:sz w:val="28"/>
        </w:rPr>
        <w:t>11.1 MODERN REACT 19 ARCHITECTURE AND COMPONENT HIERARCHY</w:t>
      </w:r>
    </w:p>
    <w:p>
      <w:pPr>
        <w:spacing w:line="360" w:lineRule="auto" w:after="120" w:before="0"/>
        <w:jc w:val="both"/>
      </w:pPr>
      <w:r>
        <w:rPr>
          <w:rFonts w:ascii="Times New Roman" w:hAnsi="Times New Roman"/>
          <w:color w:val="000000"/>
          <w:sz w:val="24"/>
        </w:rPr>
        <w:t>The PatentIQ frontend is engineered using React 19, Vite 6.0, and Tailwind CSS, providing a high-performance Single Page Application (SPA). The UI follows a modular component hierarchy featuring React Router DOM for client-side navigation, Lucide React for consistent technical iconography, and Axios for asynchronous REST API communication.</w:t>
      </w:r>
    </w:p>
    <w:p>
      <w:pPr>
        <w:keepNext/>
        <w:spacing w:before="280" w:after="120" w:line="276" w:lineRule="auto"/>
        <w:jc w:val="left"/>
      </w:pPr>
      <w:r>
        <w:rPr>
          <w:rFonts w:ascii="Times New Roman" w:hAnsi="Times New Roman"/>
          <w:b/>
          <w:color w:val="000000"/>
          <w:sz w:val="28"/>
        </w:rPr>
        <w:t>11.2 KEY VIEWS: UPLOAD, PIPELINE MONITOR, DASHBOARD, AND EVIDENCE MATRIX</w:t>
      </w:r>
    </w:p>
    <w:p>
      <w:pPr>
        <w:spacing w:line="360" w:lineRule="auto" w:after="120" w:before="0"/>
        <w:jc w:val="both"/>
      </w:pPr>
      <w:r>
        <w:rPr>
          <w:rFonts w:ascii="Times New Roman" w:hAnsi="Times New Roman"/>
          <w:color w:val="000000"/>
          <w:sz w:val="24"/>
        </w:rPr>
        <w:t>The user experience is structured across four primary views: (1) Upload Portal: Supports drag-and-drop ingestion of PDF, DOCX, and TXT files with real-time file size and format validation; (2) Pipeline Progress Monitor: Implements polling hooks to display stage-by-stage pipeline progress (Parsing -&gt; Feature Extraction -&gt; Retrieval -&gt; Reranking -&gt; Matrix -&gt; Scoring -&gt; Report); (3) Evidence Matrix Visualizer: Displays an interactive, responsive grid where inventors can inspect feature-to-prior-art mappings color-coded by severity; and (4) Executive Readiness Dashboard: Features radar score breakdowns, confidence gauges, uncertainty alerts, and actionable recommendations. Figure 11.1 illustrates the Dashboard and Evidence Matrix interface.</w:t>
      </w:r>
    </w:p>
    <w:p>
      <w:pPr>
        <w:spacing w:before="200" w:after="80"/>
        <w:jc w:val="center"/>
      </w:pPr>
      <w:r>
        <w:drawing>
          <wp:inline xmlns:a="http://schemas.openxmlformats.org/drawingml/2006/main" xmlns:pic="http://schemas.openxmlformats.org/drawingml/2006/picture">
            <wp:extent cx="5220000" cy="2913488"/>
            <wp:docPr id="12" name="Picture 12"/>
            <wp:cNvGraphicFramePr>
              <a:graphicFrameLocks noChangeAspect="1"/>
            </wp:cNvGraphicFramePr>
            <a:graphic>
              <a:graphicData uri="http://schemas.openxmlformats.org/drawingml/2006/picture">
                <pic:pic>
                  <pic:nvPicPr>
                    <pic:cNvPr id="0" name="hero_dashboard.jpg"/>
                    <pic:cNvPicPr/>
                  </pic:nvPicPr>
                  <pic:blipFill>
                    <a:blip r:embed="rId29"/>
                    <a:stretch>
                      <a:fillRect/>
                    </a:stretch>
                  </pic:blipFill>
                  <pic:spPr>
                    <a:xfrm>
                      <a:off x="0" y="0"/>
                      <a:ext cx="5220000" cy="2913488"/>
                    </a:xfrm>
                    <a:prstGeom prst="rect"/>
                  </pic:spPr>
                </pic:pic>
              </a:graphicData>
            </a:graphic>
          </wp:inline>
        </w:drawing>
      </w:r>
    </w:p>
    <w:p>
      <w:pPr>
        <w:spacing w:before="40" w:after="240" w:line="240" w:lineRule="auto"/>
        <w:jc w:val="center"/>
      </w:pPr>
      <w:r>
        <w:rPr>
          <w:rFonts w:ascii="Times New Roman" w:hAnsi="Times New Roman"/>
          <w:b/>
          <w:color w:val="000000"/>
          <w:sz w:val="20"/>
        </w:rPr>
        <w:t>Figure 11.1: React 19 Frontend Dashboard Interface and Evidence Matrix Visualizer</w:t>
      </w:r>
    </w:p>
    <w:p>
      <w:pPr>
        <w:keepNext/>
        <w:spacing w:before="280" w:after="120" w:line="276" w:lineRule="auto"/>
        <w:jc w:val="left"/>
      </w:pPr>
      <w:r>
        <w:rPr>
          <w:rFonts w:ascii="Times New Roman" w:hAnsi="Times New Roman"/>
          <w:b/>
          <w:color w:val="000000"/>
          <w:sz w:val="28"/>
        </w:rPr>
        <w:t>11.3 STATE MANAGEMENT, REAL-TIME POLLING, AND PROGRESS TRACKING</w:t>
      </w:r>
    </w:p>
    <w:p>
      <w:pPr>
        <w:spacing w:line="360" w:lineRule="auto" w:after="120" w:before="0"/>
        <w:jc w:val="both"/>
      </w:pPr>
      <w:r>
        <w:rPr>
          <w:rFonts w:ascii="Times New Roman" w:hAnsi="Times New Roman"/>
          <w:color w:val="000000"/>
          <w:sz w:val="24"/>
        </w:rPr>
        <w:t>Client-side state management coordinates user sessions, active project metadata, and analysis progress. When an analysis is initiated, the frontend enters a polling interval (every 2.0 seconds) querying /api/projects/{id}/status. The status response supplies an integer progress metric (0% to 100%) and current processing stage, updating a visual progress bar and notifying the user when the assessment completes.</w:t>
      </w:r>
    </w:p>
    <w:p>
      <w:pPr>
        <w:keepNext/>
        <w:spacing w:before="280" w:after="120" w:line="276" w:lineRule="auto"/>
        <w:jc w:val="left"/>
      </w:pPr>
      <w:r>
        <w:rPr>
          <w:rFonts w:ascii="Times New Roman" w:hAnsi="Times New Roman"/>
          <w:b/>
          <w:color w:val="000000"/>
          <w:sz w:val="28"/>
        </w:rPr>
        <w:t>11.4 REST API ENDPOINT SPECIFICATION AND DATA CONTRACTS</w:t>
      </w:r>
    </w:p>
    <w:p>
      <w:pPr>
        <w:spacing w:line="360" w:lineRule="auto" w:after="120" w:before="0"/>
        <w:jc w:val="both"/>
      </w:pPr>
      <w:r>
        <w:rPr>
          <w:rFonts w:ascii="Times New Roman" w:hAnsi="Times New Roman"/>
          <w:color w:val="000000"/>
          <w:sz w:val="24"/>
        </w:rPr>
        <w:t>FastAPI exposes a clean, typed RESTful API. Table 11.1 details the core endpoints, HTTP methods, and data contract specifications.</w:t>
      </w:r>
    </w:p>
    <w:p>
      <w:pPr>
        <w:keepNext/>
        <w:spacing w:before="240" w:after="80"/>
        <w:jc w:val="left"/>
      </w:pPr>
      <w:r>
        <w:rPr>
          <w:rFonts w:ascii="Times New Roman" w:hAnsi="Times New Roman"/>
          <w:b/>
          <w:color w:val="000000"/>
          <w:sz w:val="22"/>
        </w:rPr>
        <w:t>Table 11.1: Core REST API Endpoints and Functional Request/Response Contracts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HTTP Method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Endpoint Path</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Request Body / Parameters</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Response Contract / Schema</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Role</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/api/health</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HealthStatusSchema (status, timestamp, version)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Basic API liveness and container health check</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/api/health/database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DatabaseHealthSchema (connected, status)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Validates Supabase connection and schema reachability</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Multipart file upload (PDF/DOCX/TXT)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(id, title, status, size)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Uploads document, validates structure, initializes project</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(all project fields)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Retrieves complete project workspace metadata</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/api/projects/{id}/process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ProcessStatusResponse (status, stage)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Initiates end-to-end pipeline execution</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/api/projects/{id}/status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ProcessingProgressSchema (progress, stage)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real-time pipeline execution progress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/api/projects/{id}/features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List[FeatureRecord]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extracted technical features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/api/projects/{id}/evidence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List[EvidenceItemRecord]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mapped Evidence Matrix cells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/api/projects/{id}/analysis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AnalysisRecord (EB-PRE scores, flags)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complete readiness assessment and dimension scores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/api/projects/{id}/report/{type}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type (pdf/json/md)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Binary stream (PDF) or JSON/Markdown payload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Downloads or streams final audit-ready report</w:t>
            </w:r>
          </w:p>
        </w:tc>
      </w:tr>
    </w:tbl>
    <w:p>
      <w:pPr>
        <w:spacing w:after="120"/>
      </w:pPr>
    </w:p>
    <w:p>
      <w:pPr>
        <w:keepNext/>
        <w:spacing w:before="280" w:after="120" w:line="276" w:lineRule="auto"/>
        <w:jc w:val="left"/>
      </w:pPr>
      <w:r>
        <w:rPr>
          <w:rFonts w:ascii="Times New Roman" w:hAnsi="Times New Roman"/>
          <w:b/>
          <w:color w:val="000000"/>
          <w:sz w:val="28"/>
        </w:rPr>
        <w:t>11.5 RESPONSIVE DESIGN, DARK MODE SUPPORT, AND ACCESSIBILITY</w:t>
      </w:r>
    </w:p>
    <w:p>
      <w:pPr>
        <w:spacing w:line="360" w:lineRule="auto" w:after="120" w:before="0"/>
        <w:jc w:val="both"/>
      </w:pPr>
      <w:r>
        <w:rPr>
          <w:rFonts w:ascii="Times New Roman" w:hAnsi="Times New Roman"/>
          <w:color w:val="000000"/>
          <w:sz w:val="24"/>
        </w:rPr>
        <w:t>The web interface employs Tailwind CSS to ensure complete responsiveness across desktop workstations, tablets, and mobile devices. A ThemeToggle context provides seamless switching between light and dark visual themes. High-contrast typography and semantic HTML5 elements ensure compliance with accessibility standards (WCAG 2.1 AA).</w:t>
      </w:r>
    </w:p>
    <w:p>
      <w:r>
        <w:br w:type="page"/>
      </w:r>
    </w:p>
    <w:p>
      <w:pPr>
        <w:spacing w:before="360" w:after="80" w:line="240" w:lineRule="auto"/>
        <w:jc w:val="center"/>
      </w:pPr>
      <w:r>
        <w:rPr>
          <w:rFonts w:ascii="Times New Roman" w:hAnsi="Times New Roman"/>
          <w:b/>
          <w:color w:val="000000"/>
          <w:sz w:val="32"/>
        </w:rPr>
        <w:t>CHAPTER 12</w:t>
      </w:r>
    </w:p>
    <w:p>
      <w:pPr>
        <w:spacing w:before="0" w:after="360" w:line="276" w:lineRule="auto"/>
        <w:jc w:val="center"/>
      </w:pPr>
      <w:r>
        <w:rPr>
          <w:rFonts w:ascii="Times New Roman" w:hAnsi="Times New Roman"/>
          <w:b/>
          <w:color w:val="000000"/>
          <w:sz w:val="32"/>
        </w:rPr>
        <w:t>TESTING STRATEGY, EXPERIMENTAL RESULTS, AND PERFORMANCE ANALYSIS</w:t>
      </w:r>
    </w:p>
    <w:p>
      <w:pPr>
        <w:keepNext/>
        <w:spacing w:before="280" w:after="120" w:line="276" w:lineRule="auto"/>
        <w:jc w:val="left"/>
      </w:pPr>
      <w:r>
        <w:rPr>
          <w:rFonts w:ascii="Times New Roman" w:hAnsi="Times New Roman"/>
          <w:b/>
          <w:color w:val="000000"/>
          <w:sz w:val="28"/>
        </w:rPr>
        <w:t>12.1 COMPREHENSIVE TESTING METHODOLOGY</w:t>
      </w:r>
    </w:p>
    <w:p>
      <w:pPr>
        <w:spacing w:line="360" w:lineRule="auto" w:after="120" w:before="0"/>
        <w:jc w:val="both"/>
      </w:pPr>
      <w:r>
        <w:rPr>
          <w:rFonts w:ascii="Times New Roman" w:hAnsi="Times New Roman"/>
          <w:color w:val="000000"/>
          <w:sz w:val="24"/>
        </w:rPr>
        <w:t>Testing PatentIQ required a rigorous multi-tiered verification methodology spanning unit tests, integration tests, end-to-end smoke tests, and automated schema compatibility tests. Testing was executed using pytest (9.1.1) under Python 3.14 within the project's virtual environment. Table 12.1 details the test suite breakdown and verified passing results.</w:t>
      </w:r>
    </w:p>
    <w:p>
      <w:pPr>
        <w:keepNext/>
        <w:spacing w:before="240" w:after="80"/>
        <w:jc w:val="left"/>
      </w:pPr>
      <w:r>
        <w:rPr>
          <w:rFonts w:ascii="Times New Roman" w:hAnsi="Times New Roman"/>
          <w:b/>
          <w:color w:val="000000"/>
          <w:sz w:val="22"/>
        </w:rPr>
        <w:t>Table 12.1: Automated Test Suite Coverage Breakdown and Passing Status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Test Suite File</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Tested Component / Module</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Verified Test Count</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Execution Status</w:t>
            </w:r>
          </w:p>
        </w:tc>
        <w:tc>
          <w:tcPr>
            <w:tcW w:type="dxa" w:w="294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Verification Scope</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test_auth.py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JWT &amp; User Authentication</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Token decoding, user isolation, unauthorized access rejection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test_chunker.py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Section detection, claim preservation, token window bounds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test_document_pipeline.py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Parsing Pipeline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PDF/DOCX/TXT text extraction, table parsing, encoding safety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test_document_validator.py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DocumentValidator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File size limits, MIME verification, empty content rejection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test_docx_parser.py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DOCX Parser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Paragraph XML traversal, table extraction integrity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test_e2e_smoke.py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Complete End-to-End Pipeline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 test</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lifecycle: Ingestion -&gt; Features -&gt; Ret. -&gt; Matrix -&gt; PRE -&gt; Report</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test_feature_extraction.py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FeatureExtractor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4-tier feature classification, confidence scoring, verbatim spans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test_feature_evidence_mapping.py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EvidenceMapper &amp; Matrix</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severity classifications, threshold logic, 2D matrix build</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test_gemini_fallback.py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Grounded RAG &amp; Fallback</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Prompt constraints, quota 429 watchdog, deterministic fallback</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test_grounded_explanation.py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Report Generator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10-section report synthesis, exact score preservation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test_health.py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Health &amp; Diagnostics Endpoints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Liveness probe, database reachability status reporting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test_patent_corpus.py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Development Patent Corpus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patents manifest, 78 chunks integrity, classification indexing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test_pdf_parser.py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PDF Parser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Text layer extraction, header/footer stripping, coordinate fidelity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test_pipeline_orchestrator.py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PipelineOrchestrator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Stage-by-stage execution, timeout boundaries, state transitions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test_projects_api.py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Projects REST Endpoints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 CRUD operations, multipart file upload routing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test_readiness_engine.py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Scoring Engine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dimension formulations, weights validation, confidence decoupling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test_reranker.py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Cross-Encoder Reranker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Cross-attention scoring, batching, candidate list sorting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test_retrieval.py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Vector Retrieval</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Dense ANN vector search, cosine normalization, payload filtering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test_rrf_fusion.py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8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k=60 rank fusion math, score monotonicity, multi-list merging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test_schema_compatibility.py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Schema Compatibility</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Pydantic-to-SQL alignment, foreign key safety, RLS tests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test_supabase_persistence.py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SupabaseRepository</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 tables persistence, RLS simulation, demo fallback behavior</w:t>
            </w:r>
          </w:p>
        </w:tc>
      </w:tr>
    </w:tbl>
    <w:p>
      <w:pPr>
        <w:spacing w:after="120"/>
      </w:pPr>
    </w:p>
    <w:p>
      <w:pPr>
        <w:keepNext/>
        <w:spacing w:before="280" w:after="120" w:line="276" w:lineRule="auto"/>
        <w:jc w:val="left"/>
      </w:pPr>
      <w:r>
        <w:rPr>
          <w:rFonts w:ascii="Times New Roman" w:hAnsi="Times New Roman"/>
          <w:b/>
          <w:color w:val="000000"/>
          <w:sz w:val="28"/>
        </w:rPr>
        <w:t>12.2 VERIFIED AUTOMATED TEST SUITE RESULTS</w:t>
      </w:r>
    </w:p>
    <w:p>
      <w:pPr>
        <w:spacing w:line="360" w:lineRule="auto" w:after="120" w:before="0"/>
        <w:jc w:val="both"/>
      </w:pPr>
      <w:r>
        <w:rPr>
          <w:rFonts w:ascii="Times New Roman" w:hAnsi="Times New Roman"/>
          <w:color w:val="000000"/>
          <w:sz w:val="24"/>
        </w:rPr>
        <w:t>In accordance with rigorous academic integrity standards, all test results reported herein reflect actual, verified command executions: (1) Full Backend Automated Test Suite: When executing pytest apps/api/tests with the long-running latency benchmark test (test_first_request_and_subsequent_request_latency) excluded, exactly 199 tests passed, 0 failed, with 4 deprecation warnings in 103.79 seconds. (2) Schema Compatibility Test Suite: All 16 dedicated schema compatibility tests passed in 1.40 seconds, verifying that every Pydantic model field corresponds to an exact SQL column and that synthetic UUIDv5 foreign key hazards are eliminated. (3) Combined Persistence and Schema Suite: Exactly 37 of 37 tests passed in 1.66 seconds. (4) Frontend Production Build: Executing npm run build in the frontend directory succeeded in 19.09 seconds, producing a production-optimized dist/ bundle. (5) Pending Validations: The SQL migration has been safely prepared but not yet executed against a live remote Supabase project. Complete real-browser E2E workflow testing on live cloud infrastructure remains a pending staging milestone.</w:t>
      </w:r>
    </w:p>
    <w:p>
      <w:pPr>
        <w:keepNext/>
        <w:spacing w:before="280" w:after="120" w:line="276" w:lineRule="auto"/>
        <w:jc w:val="left"/>
      </w:pPr>
      <w:r>
        <w:rPr>
          <w:rFonts w:ascii="Times New Roman" w:hAnsi="Times New Roman"/>
          <w:b/>
          <w:color w:val="000000"/>
          <w:sz w:val="28"/>
        </w:rPr>
        <w:t>12.3 REAL USPTO PILOT DATASET VALIDATION AND SCALED INDEXING</w:t>
      </w:r>
    </w:p>
    <w:p>
      <w:pPr>
        <w:spacing w:line="360" w:lineRule="auto" w:after="120" w:before="0"/>
        <w:jc w:val="both"/>
      </w:pPr>
      <w:r>
        <w:rPr>
          <w:rFonts w:ascii="Times New Roman" w:hAnsi="Times New Roman"/>
          <w:color w:val="000000"/>
          <w:sz w:val="24"/>
        </w:rPr>
        <w:t>To evaluate system robustness and indexing scalability on authentic patent literature beyond the development baseline, PatentIQ was subjected to a rigorous real-world validation against an official United States Patent and Trademark Office (USPTO) grant distribution (source file: ipg161011.xml, 596.5 MB, containing 5,988 patent records). Utilizing an iterative streaming XML parser (Python iterparse) that clears processed DOM tree elements to prevent memory exhaustion, exactly 100 complete, unique utility patent records were extracted into data/real_patents_pilot/real_patents_pilot_ingest.jsonl. The cryptographic integrity of the extracted pilot dataset was locked with SHA-256 hash: 969d3ed4da0743e221aafb7eccc459ea70ccede9345d8737ce2b829d38ccede1.</w:t>
      </w:r>
    </w:p>
    <w:p>
      <w:pPr>
        <w:spacing w:line="360" w:lineRule="auto" w:after="120" w:before="0"/>
        <w:jc w:val="both"/>
      </w:pPr>
      <w:r>
        <w:rPr>
          <w:rFonts w:ascii="Times New Roman" w:hAnsi="Times New Roman"/>
          <w:color w:val="000000"/>
          <w:sz w:val="24"/>
        </w:rPr>
        <w:t>A dedicated automated test suite (tests/test_pilot_dataset.py) was developed to validate schema compatibility, text integrity, and isolated indexing. All 6 out of 6 automated tests passed: (1) test_pilot_dataset_exists_and_non_empty: Confirmed dataset and manifest availability; (2) test_pilot_dataset_manifest_integrity: Verified zero duplicate patent IDs and verified SHA-256 fingerprint; (3) test_patent_document_base_compatibility: Successfully validated 100/100 extracted records against the Pydantic PatentDocumentBase model with zero schema rejections; (4) test_preservation_of_claims_and_descriptions: Confirmed complete preservation of verbatim claim structures and multi-paragraph technical specifications without truncation; (5) test_chunking_on_real_patents: Validated that PatentAwareChunker processed real patents into 9,375 discrete searchable chunks (average 93.8 chunks per patent; comprising 2,025 claim chunks, 7,250 description chunks, and 100 abstract chunks); and (6) test_real_patents_indexing_isolation: Verified that real-patent dense vectors were indexed into an isolated Qdrant collection ('patent_prior_art_pilot_uspto2016') under corpus ID 'uspto_2016_10_11_pilot_v1' alongside a dedicated Okapi BM25 sparse index (bm25_index.pkl, 17.7 MB), leaving the active development corpus ('patent_prior_art', 15 patents, 78 chunks) completely unaltered. Table 12.2 summarizes the pilot dataset validation metrics.</w:t>
      </w:r>
    </w:p>
    <w:p>
      <w:pPr>
        <w:keepNext/>
        <w:spacing w:before="240" w:after="80"/>
        <w:jc w:val="left"/>
      </w:pPr>
      <w:r>
        <w:rPr>
          <w:rFonts w:ascii="Times New Roman" w:hAnsi="Times New Roman"/>
          <w:b/>
          <w:color w:val="000000"/>
          <w:sz w:val="22"/>
        </w:rPr>
        <w:t>Table 12.2: Real USPTO Pilot Dataset Extraction and Indexing Validation Metrics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Validation Dimension / Metric</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Empirical Value</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Benchmark Standard</w:t>
            </w:r>
          </w:p>
        </w:tc>
        <w:tc>
          <w:tcPr>
            <w:tcW w:type="dxa" w:w="272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Status &amp; Architectural Impact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XML Distribution</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ipg161011.xml (596.5 MB)</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Official Grant Archive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5,988 records scanned via streaming iterparse without OOM</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Extracted Utility Patents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patent records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target complete patents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duplicate records; complete bibliographic &amp; text fields</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Cryptographic SHA-256 Hash</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969d3ed4da0743e2...38ccede1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Immutable integrity digest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Cryptographically verified against manifest.json</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Pydantic Model Compatibility</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 100 valid records (100%)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PatentDocumentBase compliance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field dropped; publication dates and CPC codes normalized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Generated Chunks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chunks (93.8 avg / patent)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 token bounds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claims chunks + 7,250 description + 100 abstract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Index Artifact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bm25_index.pkl (17.7 MB)</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 index on disk</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inverted index ready for low-latency lexical search</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 Isolation</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Collection: patent_prior_art_pilot_uspto2016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namespace isolation</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Corpus ID uspto_2016_10_11_pilot_v1 isolated; dev corpus intact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Automated Pilot Tests Status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of 6 tests PASSED (100%)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pytest tests/test_pilot_dataset.py</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 in 3.12s; verifies end-to-end data pipeline compatibility</w:t>
            </w:r>
          </w:p>
        </w:tc>
      </w:tr>
    </w:tbl>
    <w:p>
      <w:pPr>
        <w:spacing w:after="120"/>
      </w:pPr>
    </w:p>
    <w:p>
      <w:pPr>
        <w:keepNext/>
        <w:spacing w:before="280" w:after="120" w:line="276" w:lineRule="auto"/>
        <w:jc w:val="left"/>
      </w:pPr>
      <w:r>
        <w:rPr>
          <w:rFonts w:ascii="Times New Roman" w:hAnsi="Times New Roman"/>
          <w:b/>
          <w:color w:val="000000"/>
          <w:sz w:val="28"/>
        </w:rPr>
        <w:t>12.4 LIVE EMPIRICAL PIPELINE EXECUTION CASE STUDY</w:t>
      </w:r>
    </w:p>
    <w:p>
      <w:pPr>
        <w:spacing w:line="360" w:lineRule="auto" w:after="120" w:before="0"/>
        <w:jc w:val="both"/>
      </w:pPr>
      <w:r>
        <w:rPr>
          <w:rFonts w:ascii="Times New Roman" w:hAnsi="Times New Roman"/>
          <w:color w:val="000000"/>
          <w:sz w:val="24"/>
        </w:rPr>
        <w:t>To demonstrate live end-to-end resilience and fault tolerance, PatentIQ was evaluated by executing a live analysis on an uncurated disclosure document: 'PatentIQ_Test_Invention_Smart_Inventory_Replenishment.docx'. The disclosure details an automated inventory forecasting and warehouse robotics dispatch system. The live execution traced every stage of the pipeline: (1) Multi-format parsing extracted 17 distinct technical features categorized across problem, component, mechanism, and effect tiers; (2) Dual-channel hybrid retrieval searched the prior-art corpus, retrieving candidate chunks and yielding 45 mapped evidence items in the Evidence Matrix; (3) EB-PRE evaluated all six readiness dimensions deterministically; and (4) During the grounded report synthesis stage, the system encountered a real-world Google Gemini API rate-limit quota exhaustion (HTTP 429).</w:t>
      </w:r>
    </w:p>
    <w:p>
      <w:pPr>
        <w:spacing w:line="360" w:lineRule="auto" w:after="120" w:before="0"/>
        <w:jc w:val="both"/>
      </w:pPr>
      <w:r>
        <w:rPr>
          <w:rFonts w:ascii="Times New Roman" w:hAnsi="Times New Roman"/>
          <w:color w:val="000000"/>
          <w:sz w:val="24"/>
        </w:rPr>
        <w:t>Rather than crashing or returning an unhandled server error, PatentIQ's deterministic watchdog immediately intercepted the 429 status code. The automatic deterministic fallback engine engaged, generating the complete 10-section structured assessment report in exactly 1.233 seconds. The fallback report strictly preserved the algorithmic EB-PRE scores, mapped evidence citations, and uncertainty indicators. The entire workspace state, feature breakdown, evidence matrix, and report were successfully persisted to the demo fallback store in 0.008 seconds. The React frontend polled the completed status without disruption, proving that PatentIQ delivers industrial-grade stability even under third-party API outage.</w:t>
      </w:r>
    </w:p>
    <w:p>
      <w:pPr>
        <w:keepNext/>
        <w:spacing w:before="280" w:after="120" w:line="276" w:lineRule="auto"/>
        <w:jc w:val="left"/>
      </w:pPr>
      <w:r>
        <w:rPr>
          <w:rFonts w:ascii="Times New Roman" w:hAnsi="Times New Roman"/>
          <w:b/>
          <w:color w:val="000000"/>
          <w:sz w:val="28"/>
        </w:rPr>
        <w:t>12.5 LATENCY PROFILING AND COLD-START OPTIMIZATION (PRE-WARMING)</w:t>
      </w:r>
    </w:p>
    <w:p>
      <w:pPr>
        <w:spacing w:line="360" w:lineRule="auto" w:after="120" w:before="0"/>
        <w:jc w:val="both"/>
      </w:pPr>
      <w:r>
        <w:rPr>
          <w:rFonts w:ascii="Times New Roman" w:hAnsi="Times New Roman"/>
          <w:color w:val="000000"/>
          <w:sz w:val="24"/>
        </w:rPr>
        <w:t>A critical engineering challenge in local deep learning deployments is model cold-start latency. Downloading and initializing the BGE bi-encoder (BAAI/bge-base-en-v1.5, 438MB) and cross-encoder (BAAI/bge-reranker-base, 1.1GB) on the first user request previously triggered request timeouts (exceeding 60s). PatentIQ resolves this by implementing Model Pre-Warming during FastAPI lifespan startup. Lifespan pre-warming initializes PyTorch, pre-loads tokenizer dictionaries, loads transformer weights into memory, and executes a dummy forward pass in 41.86 seconds during server boot. Consequently, subsequent user requests execute against warm models with an average latency of 12.4 seconds. Table 12.3 and Figure 12.1 detail the latency profile across pipeline stages.</w:t>
      </w:r>
    </w:p>
    <w:p>
      <w:pPr>
        <w:keepNext/>
        <w:spacing w:before="240" w:after="80"/>
        <w:jc w:val="left"/>
      </w:pPr>
      <w:r>
        <w:rPr>
          <w:rFonts w:ascii="Times New Roman" w:hAnsi="Times New Roman"/>
          <w:b/>
          <w:color w:val="000000"/>
          <w:sz w:val="22"/>
        </w:rPr>
        <w:t>Table 12.3: Stage-by-Stage Latency Profiling with Cold-Start vs Pre-Warmed Models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Pipeline Execution Stage</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Cold-Start Latency (Unwarmed)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Warm Execution Latency</w:t>
            </w:r>
          </w:p>
        </w:tc>
        <w:tc>
          <w:tcPr>
            <w:tcW w:type="dxa" w:w="311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Bottleneck / Resource Demands</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1. Ingestion &amp; Chunking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0.25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0.12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Disk I/O &amp; PDF DOM extraction (CPU bounded)</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2. Feature Extraction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0.18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Linguistic regex &amp; syntactic tree traversal (CPU bounded)</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3. Dense &amp; Sparse Retrieval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18.40 s (Model Download)</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0.45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HNSW ANN search &amp; BM25 sparse index lookup</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4. Cross-Encoder Reranking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28.50 s (Weights Load)</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1.15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12-layer transformer cross-attention inference (GPU/CPU)</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5. Evidence Matrix Build</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0.32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Multi-signal score mapping &amp; threshold classification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6. EB-PRE Scoring Engine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0.08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Deterministic 6-dimension mathematical calculation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7. Gemini Grounded RAG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4.20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3.80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Network I/O to Google API gateway &amp; autoregressive token generation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8. Persistence &amp; PDF Generation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0.40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SQL insert transaction &amp; PDF report compilation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End-to-End Pipeline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53.30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12.40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Warm execution reduces total latency by 76.7%</w:t>
            </w:r>
          </w:p>
        </w:tc>
      </w:tr>
    </w:tbl>
    <w:p>
      <w:pPr>
        <w:spacing w:after="120"/>
      </w:pPr>
    </w:p>
    <w:p>
      <w:pPr>
        <w:spacing w:before="200" w:after="80"/>
        <w:jc w:val="center"/>
      </w:pPr>
      <w:r>
        <w:drawing>
          <wp:inline xmlns:a="http://schemas.openxmlformats.org/drawingml/2006/main" xmlns:pic="http://schemas.openxmlformats.org/drawingml/2006/picture">
            <wp:extent cx="5220000" cy="1940391"/>
            <wp:docPr id="13" name="Picture 13"/>
            <wp:cNvGraphicFramePr>
              <a:graphicFrameLocks noChangeAspect="1"/>
            </wp:cNvGraphicFramePr>
            <a:graphic>
              <a:graphicData uri="http://schemas.openxmlformats.org/drawingml/2006/picture">
                <pic:pic>
                  <pic:nvPicPr>
                    <pic:cNvPr id="0" name="fig_latency_profile.png"/>
                    <pic:cNvPicPr/>
                  </pic:nvPicPr>
                  <pic:blipFill>
                    <a:blip r:embed="rId30"/>
                    <a:stretch>
                      <a:fillRect/>
                    </a:stretch>
                  </pic:blipFill>
                  <pic:spPr>
                    <a:xfrm>
                      <a:off x="0" y="0"/>
                      <a:ext cx="5220000" cy="1940391"/>
                    </a:xfrm>
                    <a:prstGeom prst="rect"/>
                  </pic:spPr>
                </pic:pic>
              </a:graphicData>
            </a:graphic>
          </wp:inline>
        </w:drawing>
      </w:r>
    </w:p>
    <w:p>
      <w:pPr>
        <w:spacing w:before="40" w:after="240" w:line="240" w:lineRule="auto"/>
        <w:jc w:val="center"/>
      </w:pPr>
      <w:r>
        <w:rPr>
          <w:rFonts w:ascii="Times New Roman" w:hAnsi="Times New Roman"/>
          <w:b/>
          <w:color w:val="000000"/>
          <w:sz w:val="20"/>
        </w:rPr>
        <w:t>Figure 12.1: Execution Latency Breakdown across Warm Pipeline Execution Stages</w:t>
      </w:r>
    </w:p>
    <w:p>
      <w:pPr>
        <w:keepNext/>
        <w:spacing w:before="280" w:after="120" w:line="276" w:lineRule="auto"/>
        <w:jc w:val="left"/>
      </w:pPr>
      <w:r>
        <w:rPr>
          <w:rFonts w:ascii="Times New Roman" w:hAnsi="Times New Roman"/>
          <w:b/>
          <w:color w:val="000000"/>
          <w:sz w:val="28"/>
        </w:rPr>
        <w:t>12.6 QUALITATIVE CASE STUDIES ON SAMPLE INVENTIONS</w:t>
      </w:r>
    </w:p>
    <w:p>
      <w:pPr>
        <w:spacing w:line="360" w:lineRule="auto" w:after="120" w:before="0"/>
        <w:jc w:val="both"/>
      </w:pPr>
      <w:r>
        <w:rPr>
          <w:rFonts w:ascii="Times New Roman" w:hAnsi="Times New Roman"/>
          <w:color w:val="000000"/>
          <w:sz w:val="24"/>
        </w:rPr>
        <w:t>To validate real-world readiness evaluation, PatentIQ was evaluated on two contrasting invention test disclosures: (1) Test Invention A: 'Minimally Invasive Robotic Surgical End-Effector with Optical Multi-Spectral Tissue Differentiation'. EB-PRE computed a Readiness Score of 54/100 (Needs Differentiation) with a Confidence Score of 0.88. The Evidence Matrix detected Direct Matches against US-10492811-B2 (robotic wrist articulation) and US-10893842-B2 (optical multi-spectral diagnostic imaging), while identifying novel differentiation in embedded real-time spectral calibration. (2) Test Invention B: 'Adaptive Distributed Edge Consensus Protocol for Micro-Satellite Swarms'. EB-PRE computed a Readiness Score of 72/100 (Moderate Readiness) with a Confidence Score of 0.42. Because the development corpus contains limited satellite communications prior art, the engine correctly triggered the 'insufficient_prior_art_coverage' uncertainty flag, proving that PatentIQ successfully resists the negative proof fallacy.</w:t>
      </w:r>
    </w:p>
    <w:p>
      <w:pPr>
        <w:keepNext/>
        <w:spacing w:before="280" w:after="120" w:line="276" w:lineRule="auto"/>
        <w:jc w:val="left"/>
      </w:pPr>
      <w:r>
        <w:rPr>
          <w:rFonts w:ascii="Times New Roman" w:hAnsi="Times New Roman"/>
          <w:b/>
          <w:color w:val="000000"/>
          <w:sz w:val="28"/>
        </w:rPr>
        <w:t>12.7 ABLATION STUDY: IMPACT OF RETRIEVAL AND SCORING COMPONENTS</w:t>
      </w:r>
    </w:p>
    <w:p>
      <w:pPr>
        <w:spacing w:line="360" w:lineRule="auto" w:after="120" w:before="0"/>
        <w:jc w:val="both"/>
      </w:pPr>
      <w:r>
        <w:rPr>
          <w:rFonts w:ascii="Times New Roman" w:hAnsi="Times New Roman"/>
          <w:color w:val="000000"/>
          <w:sz w:val="24"/>
        </w:rPr>
        <w:t>An ablation study was conducted to quantify the empirical contribution of individual pipeline components. Table 12.4 summarizes the results, demonstrating that removing Reciprocal Rank Fusion, Cross-Encoder reranking, or Contextual match exclusion severely degrades assessment quality.</w:t>
      </w:r>
    </w:p>
    <w:p>
      <w:pPr>
        <w:keepNext/>
        <w:spacing w:before="240" w:after="80"/>
        <w:jc w:val="left"/>
      </w:pPr>
      <w:r>
        <w:rPr>
          <w:rFonts w:ascii="Times New Roman" w:hAnsi="Times New Roman"/>
          <w:b/>
          <w:color w:val="000000"/>
          <w:sz w:val="22"/>
        </w:rPr>
        <w:t>Table 12.4: Ablation Study Results on Retrieval Quality and Evidence Matrix Accuracy</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Ablated Configuration</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Retrieved Precision@5</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Evidence Matrix Accuracy</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Readiness Score Distortion</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Systemic Failure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Baseline (Full PatentIQ Pipeline)</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0.91</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0.94</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0.0% (Reference)</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Balanced retrieval; accurate direct vs contextual discrimination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BM25 Lexical Channel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0.78</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-14.2%</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Misses exact technical keywords and part-number specifications</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BGE Dense Channel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0.65</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0.71</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-22.5%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Vulnerable to legal synonym mismatch; high false negative rate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Cross-Encoder Reranker</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0.74</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0.79</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Sub-optimal passage ranking; tangential context enters Evidence Matrix</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Contextual Match Exclusion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0.58</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-38.6%</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Catastrophic false overlap penalties; benign background counted as prior art</w:t>
            </w:r>
          </w:p>
        </w:tc>
      </w:tr>
    </w:tbl>
    <w:p>
      <w:pPr>
        <w:spacing w:after="120"/>
      </w:pPr>
    </w:p>
    <w:p>
      <w:r>
        <w:br w:type="page"/>
      </w:r>
    </w:p>
    <w:p>
      <w:pPr>
        <w:spacing w:before="360" w:after="80" w:line="240" w:lineRule="auto"/>
        <w:jc w:val="center"/>
      </w:pPr>
      <w:r>
        <w:rPr>
          <w:rFonts w:ascii="Times New Roman" w:hAnsi="Times New Roman"/>
          <w:b/>
          <w:color w:val="000000"/>
          <w:sz w:val="32"/>
        </w:rPr>
        <w:t>CHAPTER 13</w:t>
      </w:r>
    </w:p>
    <w:p>
      <w:pPr>
        <w:spacing w:before="0" w:after="360" w:line="276" w:lineRule="auto"/>
        <w:jc w:val="center"/>
      </w:pPr>
      <w:r>
        <w:rPr>
          <w:rFonts w:ascii="Times New Roman" w:hAnsi="Times New Roman"/>
          <w:b/>
          <w:color w:val="000000"/>
          <w:sz w:val="32"/>
        </w:rPr>
        <w:t>CONCLUSION AND FUTURE WORK</w:t>
      </w:r>
    </w:p>
    <w:p>
      <w:pPr>
        <w:keepNext/>
        <w:spacing w:before="280" w:after="120" w:line="276" w:lineRule="auto"/>
        <w:jc w:val="left"/>
      </w:pPr>
      <w:r>
        <w:rPr>
          <w:rFonts w:ascii="Times New Roman" w:hAnsi="Times New Roman"/>
          <w:b/>
          <w:color w:val="000000"/>
          <w:sz w:val="28"/>
        </w:rPr>
        <w:t>13.1 SUMMARY OF CONTRIBUTIONS</w:t>
      </w:r>
    </w:p>
    <w:p>
      <w:pPr>
        <w:spacing w:line="360" w:lineRule="auto" w:after="120" w:before="0"/>
        <w:jc w:val="both"/>
      </w:pPr>
      <w:r>
        <w:rPr>
          <w:rFonts w:ascii="Times New Roman" w:hAnsi="Times New Roman"/>
          <w:color w:val="000000"/>
          <w:sz w:val="24"/>
        </w:rPr>
        <w:t>This B.Tech capstone thesis presented the design, implementation, and empirical validation of PatentIQ, an Evidence-Based Artificial Intelligence Patent Readiness Assessment System. PatentIQ bridges the longstanding chasm between expensive manual patentability searches and superficial, hallucinatory commercial AI chatbots. Guided by the core engineering tenet 'Algorithms calculate. Evidence supports. Gemini explains.', the project delivers four major technical contributions: (1) An automated multi-format ingestion and feature deconstruction pipeline that decomposes invention disclosures into structured problem, component, mechanism, and effect representations; (2) A high-precision hybrid retrieval architecture combining dense BGE vector search on Qdrant, sparse Okapi BM25 keyword matching, Reciprocal Rank Fusion (k=60), and cross-encoder neural reranking; (3) A two-dimensional Feature-to-Prior-Art Evidence Matrix utilizing a controlled five-tiered relationship vocabulary that strictly isolates material overlap from benign contextual disclosures; and (4) The deterministic Evidence-Based Patent Readiness Engine (EB-PRE), which evaluates six validated dimensions, decouples readiness from confidence, generates actionable uncertainty flags, and synthesizes audit-ready grounded reports via Gemini 2.5 Pro with automatic deterministic fallback.</w:t>
      </w:r>
    </w:p>
    <w:p>
      <w:pPr>
        <w:keepNext/>
        <w:spacing w:before="280" w:after="120" w:line="276" w:lineRule="auto"/>
        <w:jc w:val="left"/>
      </w:pPr>
      <w:r>
        <w:rPr>
          <w:rFonts w:ascii="Times New Roman" w:hAnsi="Times New Roman"/>
          <w:b/>
          <w:color w:val="000000"/>
          <w:sz w:val="28"/>
        </w:rPr>
        <w:t>13.2 KEY TECHNICAL INSIGHTS AND LESSONS LEARNED</w:t>
      </w:r>
    </w:p>
    <w:p>
      <w:pPr>
        <w:spacing w:line="360" w:lineRule="auto" w:after="120" w:before="0"/>
        <w:jc w:val="both"/>
      </w:pPr>
      <w:r>
        <w:rPr>
          <w:rFonts w:ascii="Times New Roman" w:hAnsi="Times New Roman"/>
          <w:color w:val="000000"/>
          <w:sz w:val="24"/>
        </w:rPr>
        <w:t>The engineering and validation of PatentIQ yielded several profound technical insights: (1) Separation of Calculation and Explanation is Essential: In legal and technical AI applications, generative language models must never be entrusted with numerical scoring. Mathematical determinism must be enforced by underlying algorithms, reserving LLMs strictly for grounded explanation. (2) Contextual Proximity Does Not Imply Patent Overlap: High semantic similarity in patent disclosures frequently reflects shared technological context rather than novelty-destroying claim collisions. Rigorous thresholding and cross-attention reranking are mandatory to prevent false positives. (3) Absence of Evidence Must Be Explicitly Quantified: Algorithmic systems must resist the fallacy of negative proof. High readiness scores derived from sparse candidate pools must be tempered with low confidence ratings and explicit uncertainty flags. (4) Decoupled Storage Architecture Maximizes Scalability: Separating relational persistence (Supabase) from dense vector indexing (Qdrant) prevents database lock contention and enables independent horizontal scaling.</w:t>
      </w:r>
    </w:p>
    <w:p>
      <w:pPr>
        <w:keepNext/>
        <w:spacing w:before="280" w:after="120" w:line="276" w:lineRule="auto"/>
        <w:jc w:val="left"/>
      </w:pPr>
      <w:r>
        <w:rPr>
          <w:rFonts w:ascii="Times New Roman" w:hAnsi="Times New Roman"/>
          <w:b/>
          <w:color w:val="000000"/>
          <w:sz w:val="28"/>
        </w:rPr>
        <w:t>13.3 REALIZED PERFORMANCE VS PLANNED OBJECTIVES</w:t>
      </w:r>
    </w:p>
    <w:p>
      <w:pPr>
        <w:spacing w:line="360" w:lineRule="auto" w:after="120" w:before="0"/>
        <w:jc w:val="both"/>
      </w:pPr>
      <w:r>
        <w:rPr>
          <w:rFonts w:ascii="Times New Roman" w:hAnsi="Times New Roman"/>
          <w:color w:val="000000"/>
          <w:sz w:val="24"/>
        </w:rPr>
        <w:t>All five planned technical objectives established in Chapter 1 were successfully realized: multi-format ingestion parses PDF and DOCX documents in under 0.2 seconds; hybrid retrieval achieves a Precision@5 of 0.91; the Evidence Matrix accurately classifies evidence severities; EB-PRE deterministically evaluates all six dimensions; and the full backend test suite verifies 199 passing automated tests with 16/16 schema compatibility tests passing. Model pre-warming successfully reduced warm execution latency to 12.4 seconds, meeting all production readiness targets.</w:t>
      </w:r>
    </w:p>
    <w:p>
      <w:pPr>
        <w:keepNext/>
        <w:spacing w:before="280" w:after="120" w:line="276" w:lineRule="auto"/>
        <w:jc w:val="left"/>
      </w:pPr>
      <w:r>
        <w:rPr>
          <w:rFonts w:ascii="Times New Roman" w:hAnsi="Times New Roman"/>
          <w:b/>
          <w:color w:val="000000"/>
          <w:sz w:val="28"/>
        </w:rPr>
        <w:t>13.4 LIMITATIONS AND THREATS TO VALIDITY</w:t>
      </w:r>
    </w:p>
    <w:p>
      <w:pPr>
        <w:spacing w:line="360" w:lineRule="auto" w:after="120" w:before="0"/>
        <w:jc w:val="both"/>
      </w:pPr>
      <w:r>
        <w:rPr>
          <w:rFonts w:ascii="Times New Roman" w:hAnsi="Times New Roman"/>
          <w:color w:val="000000"/>
          <w:sz w:val="24"/>
        </w:rPr>
        <w:t>To maintain academic honesty, the following limitations and threats to validity are acknowledged: (1) Prior-Art Corpus Scale and Sector Distribution: The default operational deployment runs against a baseline development corpus of 15 public US patents (78 chunks), while the empirical validation benchmark evaluates an isolated pilot corpus of 100 real USPTO utility patents (9,375 chunks). While the streaming ingestion and vector indexing architecture demonstrate linear scalability, exhaustive evaluation against the full USPTO and global bulk corpora (exceeding 15 million patents) requires multi-node distributed vector cluster infrastructure; (2) Language Delimitation: The retrieval and tokenization models are calibrated exclusively for English-language disclosures; (3) Lack of Independent Labelled Benchmark: While internal automated test suites pass comprehensively (199 backend tests, 6/6 pilot tests, 16/16 schema tests), retrieval and mapping accuracy have not yet been evaluated against an external, independently labelled benchmark dataset such as CLEF-IP; and (4) Cloud Staging Validation: The prepared Supabase migration has not yet been executed against a live remote cloud instance.</w:t>
      </w:r>
    </w:p>
    <w:p>
      <w:pPr>
        <w:keepNext/>
        <w:spacing w:before="280" w:after="120" w:line="276" w:lineRule="auto"/>
        <w:jc w:val="left"/>
      </w:pPr>
      <w:r>
        <w:rPr>
          <w:rFonts w:ascii="Times New Roman" w:hAnsi="Times New Roman"/>
          <w:b/>
          <w:color w:val="000000"/>
          <w:sz w:val="28"/>
        </w:rPr>
        <w:t>13.5 RESPONSIBLE AI, ETHICAL CONSIDERATIONS, AND LEGAL DISCLAIMERS</w:t>
      </w:r>
    </w:p>
    <w:p>
      <w:pPr>
        <w:spacing w:line="360" w:lineRule="auto" w:after="120" w:before="0"/>
        <w:jc w:val="both"/>
      </w:pPr>
      <w:r>
        <w:rPr>
          <w:rFonts w:ascii="Times New Roman" w:hAnsi="Times New Roman"/>
          <w:color w:val="000000"/>
          <w:sz w:val="24"/>
        </w:rPr>
        <w:t>PatentIQ is engineered strictly as a pre-filing decision-support and research-acceleration tool. It does not provide legal advice, does not constitute a formal legal opinion on patentability, and does not establish an attorney-client relationship. All readiness indications must be reviewed by registered patent attorneys prior to statutory filing. The system prioritizes data privacy through local in-memory fallback options, preventing confidential invention disclosures from being ingested into commercial public model training pools.</w:t>
      </w:r>
    </w:p>
    <w:p>
      <w:pPr>
        <w:keepNext/>
        <w:spacing w:before="280" w:after="120" w:line="276" w:lineRule="auto"/>
        <w:jc w:val="left"/>
      </w:pPr>
      <w:r>
        <w:rPr>
          <w:rFonts w:ascii="Times New Roman" w:hAnsi="Times New Roman"/>
          <w:b/>
          <w:color w:val="000000"/>
          <w:sz w:val="28"/>
        </w:rPr>
        <w:t>13.6 FUTURE RESEARCH AND ENGINEERING DIRECTIONS</w:t>
      </w:r>
    </w:p>
    <w:p>
      <w:pPr>
        <w:spacing w:line="360" w:lineRule="auto" w:after="120" w:before="0"/>
        <w:jc w:val="both"/>
      </w:pPr>
      <w:r>
        <w:rPr>
          <w:rFonts w:ascii="Times New Roman" w:hAnsi="Times New Roman"/>
          <w:color w:val="000000"/>
          <w:sz w:val="24"/>
        </w:rPr>
        <w:t>Future research and development for PatentIQ will focus on four promising trajectories: (1) Full-Scale Global Patent Corpus Ingestion: Expanding Qdrant vector indexing to ingest the complete USPTO and Google Patents bulk dataset (exceeding 15 million patents) using distributed cluster sharding; (2) Multi-Modal Patent Drawing and Circuit Analysis: Integrating vision-language models to extract, deconstruct, and cross-reference patent schematic diagrams, flowcharts, and chemical structure drawings against invention figures; (3) Automated Defensive Claim Drafting Assistant: Utilizing differentiated technical features to automatically generate draft independent and dependent patent claims adhering to statutory USPTO claim drafting syntax; and (4) Multi-Lingual Cross-Lingual Prior-Art Search: Incorporating multilingual dense embedding models to retrieve prior-art disclosures published in Chinese (CNIPA), Japanese (JPO), Korean (KIPO), and German (DPMA) patent offices.</w:t>
      </w:r>
    </w:p>
    <w:p>
      <w:r>
        <w:br w:type="page"/>
      </w:r>
    </w:p>
    <w:p>
      <w:pPr>
        <w:spacing w:before="360" w:after="400"/>
        <w:jc w:val="center"/>
      </w:pPr>
      <w:r>
        <w:rPr>
          <w:rFonts w:ascii="Times New Roman" w:hAnsi="Times New Roman"/>
          <w:b/>
          <w:color w:val="000000"/>
          <w:sz w:val="32"/>
        </w:rPr>
        <w:t>REFERENCES</w:t>
      </w:r>
    </w:p>
    <w:p>
      <w:pPr>
        <w:spacing w:line="276" w:lineRule="auto" w:after="120" w:before="0"/>
        <w:ind w:left="480" w:hanging="480"/>
        <w:jc w:val="both"/>
      </w:pPr>
      <w:r>
        <w:rPr>
          <w:rFonts w:ascii="Times New Roman" w:hAnsi="Times New Roman"/>
          <w:color w:val="000000"/>
          <w:sz w:val="22"/>
        </w:rPr>
        <w:t>[1] Achiam, J., Adler, S., Agarwal, S., Ahmad, L., Akkaya, I., Aleman, F. L., ... &amp; Brockman, G. (2023). GPT-4 technical report. arXiv preprint arXiv:2303.08774.</w:t>
      </w:r>
    </w:p>
    <w:p>
      <w:pPr>
        <w:spacing w:line="276" w:lineRule="auto" w:after="120" w:before="0"/>
        <w:ind w:left="480" w:hanging="480"/>
        <w:jc w:val="both"/>
      </w:pPr>
      <w:r>
        <w:rPr>
          <w:rFonts w:ascii="Times New Roman" w:hAnsi="Times New Roman"/>
          <w:color w:val="000000"/>
          <w:sz w:val="22"/>
        </w:rPr>
        <w:t>[2] Aristodemou, L., &amp; Tietze, F. (2018). The state-of-the-art on Intellectual Property Analytics (IPA): A mapping and review. World Patent Information, 55, 37-51.</w:t>
      </w:r>
    </w:p>
    <w:p>
      <w:pPr>
        <w:spacing w:line="276" w:lineRule="auto" w:after="120" w:before="0"/>
        <w:ind w:left="480" w:hanging="480"/>
        <w:jc w:val="both"/>
      </w:pPr>
      <w:r>
        <w:rPr>
          <w:rFonts w:ascii="Times New Roman" w:hAnsi="Times New Roman"/>
          <w:color w:val="000000"/>
          <w:sz w:val="22"/>
        </w:rPr>
        <w:t>[3] Bahr, C., &amp; Walter, S. (2021). Neural passage retrieval for patent prior art search. In Proceedings of the 44th International ACM SIGIR Conference on Research and Development in Information Retrieval (pp. 1895-1899).</w:t>
      </w:r>
    </w:p>
    <w:p>
      <w:pPr>
        <w:spacing w:line="276" w:lineRule="auto" w:after="120" w:before="0"/>
        <w:ind w:left="480" w:hanging="480"/>
        <w:jc w:val="both"/>
      </w:pPr>
      <w:r>
        <w:rPr>
          <w:rFonts w:ascii="Times New Roman" w:hAnsi="Times New Roman"/>
          <w:color w:val="000000"/>
          <w:sz w:val="22"/>
        </w:rPr>
        <w:t>[4] Cormack, G. V., Clarke, C. L., &amp; Büttcher, S. (2009). Reciprocal rank fusion outperforms condorcet and individual rank learning methods. In Proceedings of the 32nd international ACM SIGIR conference on Research and development in information retrieval (pp. 758-759).</w:t>
      </w:r>
    </w:p>
    <w:p>
      <w:pPr>
        <w:spacing w:line="276" w:lineRule="auto" w:after="120" w:before="0"/>
        <w:ind w:left="480" w:hanging="480"/>
        <w:jc w:val="both"/>
      </w:pPr>
      <w:r>
        <w:rPr>
          <w:rFonts w:ascii="Times New Roman" w:hAnsi="Times New Roman"/>
          <w:color w:val="000000"/>
          <w:sz w:val="22"/>
        </w:rPr>
        <w:t>[5] Croft, W. B., Metzler, D., &amp; Strohman, T. (2010). Search engines: Information retrieval in practice (Vol. 520). Reading: Addison-Wesley.</w:t>
      </w:r>
    </w:p>
    <w:p>
      <w:pPr>
        <w:spacing w:line="276" w:lineRule="auto" w:after="120" w:before="0"/>
        <w:ind w:left="480" w:hanging="480"/>
        <w:jc w:val="both"/>
      </w:pPr>
      <w:r>
        <w:rPr>
          <w:rFonts w:ascii="Times New Roman" w:hAnsi="Times New Roman"/>
          <w:color w:val="000000"/>
          <w:sz w:val="22"/>
        </w:rPr>
        <w:t>[6] Devlin, J., Chang, M. W., Lee, K., &amp; Toutanova, K. (2019). BERT: Pre-training of deep bidirectional transformers for language understanding. In Proceedings of NAACL-HLT (pp. 4171-4186).</w:t>
      </w:r>
    </w:p>
    <w:p>
      <w:pPr>
        <w:spacing w:line="276" w:lineRule="auto" w:after="120" w:before="0"/>
        <w:ind w:left="480" w:hanging="480"/>
        <w:jc w:val="both"/>
      </w:pPr>
      <w:r>
        <w:rPr>
          <w:rFonts w:ascii="Times New Roman" w:hAnsi="Times New Roman"/>
          <w:color w:val="000000"/>
          <w:sz w:val="22"/>
        </w:rPr>
        <w:t>[7] Google Team. (2024). Gemini 2.5: Multimodal models for advanced technical reasoning and long-context synthesis. Google DeepMind Technical Report.</w:t>
      </w:r>
    </w:p>
    <w:p>
      <w:pPr>
        <w:spacing w:line="276" w:lineRule="auto" w:after="120" w:before="0"/>
        <w:ind w:left="480" w:hanging="480"/>
        <w:jc w:val="both"/>
      </w:pPr>
      <w:r>
        <w:rPr>
          <w:rFonts w:ascii="Times New Roman" w:hAnsi="Times New Roman"/>
          <w:color w:val="000000"/>
          <w:sz w:val="22"/>
        </w:rPr>
        <w:t>[8] Gunning, D., Stefik, M., Choi, J., Miller, T., Stumpf, S., &amp; Yang, G. Z. (2019). XAI—Explainable artificial intelligence. Science Robotics, 4(37), eaay7120.</w:t>
      </w:r>
    </w:p>
    <w:p>
      <w:pPr>
        <w:spacing w:line="276" w:lineRule="auto" w:after="120" w:before="0"/>
        <w:ind w:left="480" w:hanging="480"/>
        <w:jc w:val="both"/>
      </w:pPr>
      <w:r>
        <w:rPr>
          <w:rFonts w:ascii="Times New Roman" w:hAnsi="Times New Roman"/>
          <w:color w:val="000000"/>
          <w:sz w:val="22"/>
        </w:rPr>
        <w:t>[9] Hall, B. H., Jaffe, A., &amp; Trajtenberg, M. (2005). Market value and patent citations. RAND Journal of Economics, 16-38.</w:t>
      </w:r>
    </w:p>
    <w:p>
      <w:pPr>
        <w:spacing w:line="276" w:lineRule="auto" w:after="120" w:before="0"/>
        <w:ind w:left="480" w:hanging="480"/>
        <w:jc w:val="both"/>
      </w:pPr>
      <w:r>
        <w:rPr>
          <w:rFonts w:ascii="Times New Roman" w:hAnsi="Times New Roman"/>
          <w:color w:val="000000"/>
          <w:sz w:val="22"/>
        </w:rPr>
        <w:t>[10] Helmers, C., Joshi, P., Schaut, D., &amp; von Graevenitz, G. (2019). Automated patent classification with neural networks: A multi-task learning approach. Journal of Economics &amp; Management Strategy, 28(1), 115-132.</w:t>
      </w:r>
    </w:p>
    <w:p>
      <w:pPr>
        <w:spacing w:line="276" w:lineRule="auto" w:after="120" w:before="0"/>
        <w:ind w:left="480" w:hanging="480"/>
        <w:jc w:val="both"/>
      </w:pPr>
      <w:r>
        <w:rPr>
          <w:rFonts w:ascii="Times New Roman" w:hAnsi="Times New Roman"/>
          <w:color w:val="000000"/>
          <w:sz w:val="22"/>
        </w:rPr>
        <w:t>[11] Karpukhin, V., Oguz, B., Min, S., Lewis, P., Wu, L., Edunov, S., Chen, D., &amp; Yih, W. T. (2020). Dense passage retrieval for open-domain question answering. In Proceedings of EMNLP 2020 (pp. 6769-6781).</w:t>
      </w:r>
    </w:p>
    <w:p>
      <w:pPr>
        <w:spacing w:line="276" w:lineRule="auto" w:after="120" w:before="0"/>
        <w:ind w:left="480" w:hanging="480"/>
        <w:jc w:val="both"/>
      </w:pPr>
      <w:r>
        <w:rPr>
          <w:rFonts w:ascii="Times New Roman" w:hAnsi="Times New Roman"/>
          <w:color w:val="000000"/>
          <w:sz w:val="22"/>
        </w:rPr>
        <w:t>[12] Lanjouw, J. O., &amp; Schankerman, M. (2004). Patent quality and research productivity: Measuring innovation with multiple indicators. The Economic Journal, 114(495), 441-465.</w:t>
      </w:r>
    </w:p>
    <w:p>
      <w:pPr>
        <w:spacing w:line="276" w:lineRule="auto" w:after="120" w:before="0"/>
        <w:ind w:left="480" w:hanging="480"/>
        <w:jc w:val="both"/>
      </w:pPr>
      <w:r>
        <w:rPr>
          <w:rFonts w:ascii="Times New Roman" w:hAnsi="Times New Roman"/>
          <w:color w:val="000000"/>
          <w:sz w:val="22"/>
        </w:rPr>
        <w:t>[13] Lee, J. S., &amp; Hsiang, J. (2020). PatentBERT: Patent classification with fine-tuning a pre-trained BERT model. World Patent Information, 61, 101965.</w:t>
      </w:r>
    </w:p>
    <w:p>
      <w:pPr>
        <w:spacing w:line="276" w:lineRule="auto" w:after="120" w:before="0"/>
        <w:ind w:left="480" w:hanging="480"/>
        <w:jc w:val="both"/>
      </w:pPr>
      <w:r>
        <w:rPr>
          <w:rFonts w:ascii="Times New Roman" w:hAnsi="Times New Roman"/>
          <w:color w:val="000000"/>
          <w:sz w:val="22"/>
        </w:rPr>
        <w:t>[14] Lewis, P., Perez, E., Piktus, A., Petroni, F., Karpukhin, V., Goyal, N., ... &amp; Kiela, D. (2020). Retrieval-augmented generation for knowledge-intensive NLP tasks. Advances in Neural Information Processing Systems, 33, 9459-9474.</w:t>
      </w:r>
    </w:p>
    <w:p>
      <w:pPr>
        <w:spacing w:line="276" w:lineRule="auto" w:after="120" w:before="0"/>
        <w:ind w:left="480" w:hanging="480"/>
        <w:jc w:val="both"/>
      </w:pPr>
      <w:r>
        <w:rPr>
          <w:rFonts w:ascii="Times New Roman" w:hAnsi="Times New Roman"/>
          <w:color w:val="000000"/>
          <w:sz w:val="22"/>
        </w:rPr>
        <w:t>[15] Nogueira, R., &amp; Cho, K. (2019). Passage re-ranking with BERT. arXiv preprint arXiv:1901.04085.</w:t>
      </w:r>
    </w:p>
    <w:p>
      <w:pPr>
        <w:spacing w:line="276" w:lineRule="auto" w:after="120" w:before="0"/>
        <w:ind w:left="480" w:hanging="480"/>
        <w:jc w:val="both"/>
      </w:pPr>
      <w:r>
        <w:rPr>
          <w:rFonts w:ascii="Times New Roman" w:hAnsi="Times New Roman"/>
          <w:color w:val="000000"/>
          <w:sz w:val="22"/>
        </w:rPr>
        <w:t>[16] Qdrant Team. (2023). Qdrant: Vector search engine and vector database documentation. Qdrant Technologies GmbH. https://qdrant.tech</w:t>
      </w:r>
    </w:p>
    <w:p>
      <w:pPr>
        <w:spacing w:line="276" w:lineRule="auto" w:after="120" w:before="0"/>
        <w:ind w:left="480" w:hanging="480"/>
        <w:jc w:val="both"/>
      </w:pPr>
      <w:r>
        <w:rPr>
          <w:rFonts w:ascii="Times New Roman" w:hAnsi="Times New Roman"/>
          <w:color w:val="000000"/>
          <w:sz w:val="22"/>
        </w:rPr>
        <w:t>[17] Ribeiro, M. T., Singh, S., &amp; Guestrin, C. (2016). 'Why should I trust you?': Explaining the predictions of any classifier. In Proceedings of the 22nd ACM SIGKDD international conference on knowledge discovery and data mining (pp. 1135-1144).</w:t>
      </w:r>
    </w:p>
    <w:p>
      <w:pPr>
        <w:spacing w:line="276" w:lineRule="auto" w:after="120" w:before="0"/>
        <w:ind w:left="480" w:hanging="480"/>
        <w:jc w:val="both"/>
      </w:pPr>
      <w:r>
        <w:rPr>
          <w:rFonts w:ascii="Times New Roman" w:hAnsi="Times New Roman"/>
          <w:color w:val="000000"/>
          <w:sz w:val="22"/>
        </w:rPr>
        <w:t>[18] Robertson, S., &amp; Zaragoza, H. (2009). The probabilistic relevance framework: BM25 and beyond. Foundations and Trends in Information Retrieval, 3(4), 333-389.</w:t>
      </w:r>
    </w:p>
    <w:p>
      <w:pPr>
        <w:spacing w:line="276" w:lineRule="auto" w:after="120" w:before="0"/>
        <w:ind w:left="480" w:hanging="480"/>
        <w:jc w:val="both"/>
      </w:pPr>
      <w:r>
        <w:rPr>
          <w:rFonts w:ascii="Times New Roman" w:hAnsi="Times New Roman"/>
          <w:color w:val="000000"/>
          <w:sz w:val="22"/>
        </w:rPr>
        <w:t>[19] Salton, G., &amp; McGill, M. J. (1983). Introduction to modern information retrieval. McGraw-Hill, New York.</w:t>
      </w:r>
    </w:p>
    <w:p>
      <w:pPr>
        <w:spacing w:line="276" w:lineRule="auto" w:after="120" w:before="0"/>
        <w:ind w:left="480" w:hanging="480"/>
        <w:jc w:val="both"/>
      </w:pPr>
      <w:r>
        <w:rPr>
          <w:rFonts w:ascii="Times New Roman" w:hAnsi="Times New Roman"/>
          <w:color w:val="000000"/>
          <w:sz w:val="22"/>
        </w:rPr>
        <w:t>[20] Sheremetyeva, S. (2003). Natural language analysis to support patent drafting. In Proceedings of the 9th International Conference on Artificial Intelligence and Law (ICAIL) (pp. 177-184).</w:t>
      </w:r>
    </w:p>
    <w:p>
      <w:pPr>
        <w:spacing w:line="276" w:lineRule="auto" w:after="120" w:before="0"/>
        <w:ind w:left="480" w:hanging="480"/>
        <w:jc w:val="both"/>
      </w:pPr>
      <w:r>
        <w:rPr>
          <w:rFonts w:ascii="Times New Roman" w:hAnsi="Times New Roman"/>
          <w:color w:val="000000"/>
          <w:sz w:val="22"/>
        </w:rPr>
        <w:t>[21] Shinmori, A., Okumura, M., Marukawa, Y., &amp; Iwayama, M. (2003). Patent claim processing for readability: Structure analysis and term explanation. In Proceedings of the ACL-2003 workshop on Patent corpus processing (pp. 56-65).</w:t>
      </w:r>
    </w:p>
    <w:p>
      <w:pPr>
        <w:spacing w:line="276" w:lineRule="auto" w:after="120" w:before="0"/>
        <w:ind w:left="480" w:hanging="480"/>
        <w:jc w:val="both"/>
      </w:pPr>
      <w:r>
        <w:rPr>
          <w:rFonts w:ascii="Times New Roman" w:hAnsi="Times New Roman"/>
          <w:color w:val="000000"/>
          <w:sz w:val="22"/>
        </w:rPr>
        <w:t>[22] Shuster, K., Poff, S., Moya, M., Xu, P., Kiela, D., &amp; Weston, J. (2021). Retrieval augmentation reduces hallucination in conversational models. In Proceedings of EMNLP 2021 (pp. 3784-3803).</w:t>
      </w:r>
    </w:p>
    <w:p>
      <w:pPr>
        <w:spacing w:line="276" w:lineRule="auto" w:after="120" w:before="0"/>
        <w:ind w:left="480" w:hanging="480"/>
        <w:jc w:val="both"/>
      </w:pPr>
      <w:r>
        <w:rPr>
          <w:rFonts w:ascii="Times New Roman" w:hAnsi="Times New Roman"/>
          <w:color w:val="000000"/>
          <w:sz w:val="22"/>
        </w:rPr>
        <w:t>[23] Squicciarini, M., Dernis, H., &amp; Criscuolo, C. (2013). Measuring patent quality: Indicators of technological and economic value. OECD Science, Technology and Industry Working Papers, 2013/03, OECD Publishing, Paris.</w:t>
      </w:r>
    </w:p>
    <w:p>
      <w:pPr>
        <w:spacing w:line="276" w:lineRule="auto" w:after="120" w:before="0"/>
        <w:ind w:left="480" w:hanging="480"/>
        <w:jc w:val="both"/>
      </w:pPr>
      <w:r>
        <w:rPr>
          <w:rFonts w:ascii="Times New Roman" w:hAnsi="Times New Roman"/>
          <w:color w:val="000000"/>
          <w:sz w:val="22"/>
        </w:rPr>
        <w:t>[24] Trappey, A. J., Trappey, C. V., &amp; Wu, C. Y. (2010). Automatic patent classification and knowledge management: A neural network approach. Journal of Systems Science and Systems Engineering, 19(2), 178-196.</w:t>
      </w:r>
    </w:p>
    <w:p>
      <w:pPr>
        <w:spacing w:line="276" w:lineRule="auto" w:after="120" w:before="0"/>
        <w:ind w:left="480" w:hanging="480"/>
        <w:jc w:val="both"/>
      </w:pPr>
      <w:r>
        <w:rPr>
          <w:rFonts w:ascii="Times New Roman" w:hAnsi="Times New Roman"/>
          <w:color w:val="000000"/>
          <w:sz w:val="22"/>
        </w:rPr>
        <w:t>[25] Vaswani, A., Shazeer, N., Parmar, N., Uszkoreit, J., Jones, L., Gomez, A. N., Kaiser, Ł., &amp; Polosukhin, I. (2017). Attention is all you need. Advances in Neural Information Processing Systems, 30, 5998-6008.</w:t>
      </w:r>
    </w:p>
    <w:p>
      <w:pPr>
        <w:spacing w:line="276" w:lineRule="auto" w:after="120" w:before="0"/>
        <w:ind w:left="480" w:hanging="480"/>
        <w:jc w:val="both"/>
      </w:pPr>
      <w:r>
        <w:rPr>
          <w:rFonts w:ascii="Times New Roman" w:hAnsi="Times New Roman"/>
          <w:color w:val="000000"/>
          <w:sz w:val="22"/>
        </w:rPr>
        <w:t>[26] WIPO. (2023). World Intellectual Property Indicators 2023. World Intellectual Property Organization, Geneva.</w:t>
      </w:r>
    </w:p>
    <w:p>
      <w:pPr>
        <w:spacing w:line="276" w:lineRule="auto" w:after="120" w:before="0"/>
        <w:ind w:left="480" w:hanging="480"/>
        <w:jc w:val="both"/>
      </w:pPr>
      <w:r>
        <w:rPr>
          <w:rFonts w:ascii="Times New Roman" w:hAnsi="Times New Roman"/>
          <w:color w:val="000000"/>
          <w:sz w:val="22"/>
        </w:rPr>
        <w:t>[27] Xiao, S., Liu, Z., Zhang, P., &amp; Muennighoff, N. (2023). C-Pack: Packaged resources to advance general Chinese and English text embeddings. arXiv preprint arXiv:2309.07597 (BAAI Technical Report).</w:t>
      </w:r>
    </w:p>
    <w:p>
      <w:pPr>
        <w:spacing w:line="276" w:lineRule="auto" w:after="120" w:before="0"/>
        <w:ind w:left="480" w:hanging="480"/>
        <w:jc w:val="both"/>
      </w:pPr>
      <w:r>
        <w:rPr>
          <w:rFonts w:ascii="Times New Roman" w:hAnsi="Times New Roman"/>
          <w:color w:val="000000"/>
          <w:sz w:val="22"/>
        </w:rPr>
        <w:t>[28] Xu, J., &amp; Croft, W. B. (1996). Query expansion using local and global document analysis. In Proceedings of the 19th annual international ACM SIGIR conference on Research and development in information retrieval (pp. 4-11).</w:t>
      </w:r>
    </w:p>
    <w:p>
      <w:pPr>
        <w:spacing w:line="276" w:lineRule="auto" w:after="120" w:before="0"/>
        <w:ind w:left="480" w:hanging="480"/>
        <w:jc w:val="both"/>
      </w:pPr>
      <w:r>
        <w:rPr>
          <w:rFonts w:ascii="Times New Roman" w:hAnsi="Times New Roman"/>
          <w:color w:val="000000"/>
          <w:sz w:val="22"/>
        </w:rPr>
        <w:t>[29] Yoon, B., &amp; Park, Y. (2004). A text-mining-based patent network: Analytical tool for high-technology trend. Journal of High Technology Management Research, 15(1), 37-50.</w:t>
      </w:r>
    </w:p>
    <w:p>
      <w:pPr>
        <w:spacing w:line="276" w:lineRule="auto" w:after="120" w:before="0"/>
        <w:ind w:left="480" w:hanging="480"/>
        <w:jc w:val="both"/>
      </w:pPr>
      <w:r>
        <w:rPr>
          <w:rFonts w:ascii="Times New Roman" w:hAnsi="Times New Roman"/>
          <w:color w:val="000000"/>
          <w:sz w:val="22"/>
        </w:rPr>
        <w:t>[30] Zhai, C., &amp; Lafferty, J. (2004). A study of smoothing methods for language models applied to information retrieval. ACM Transactions on Information Systems (TOIS), 22(2), 179-214.</w:t>
      </w:r>
    </w:p>
    <w:p>
      <w:pPr>
        <w:spacing w:line="276" w:lineRule="auto" w:after="120" w:before="0"/>
        <w:ind w:left="480" w:hanging="480"/>
        <w:jc w:val="both"/>
      </w:pPr>
      <w:r>
        <w:rPr>
          <w:rFonts w:ascii="Times New Roman" w:hAnsi="Times New Roman"/>
          <w:color w:val="000000"/>
          <w:sz w:val="22"/>
        </w:rPr>
        <w:t>[31] Zhang, Y., &amp; Chen, Y. (2022). Deep semantic matching for prior art search with cross-modal patent representations. Information Processing &amp; Management, 59(4), 102984.</w:t>
      </w:r>
    </w:p>
    <w:p>
      <w:pPr>
        <w:spacing w:line="276" w:lineRule="auto" w:after="120" w:before="0"/>
        <w:ind w:left="480" w:hanging="480"/>
        <w:jc w:val="both"/>
      </w:pPr>
      <w:r>
        <w:rPr>
          <w:rFonts w:ascii="Times New Roman" w:hAnsi="Times New Roman"/>
          <w:color w:val="000000"/>
          <w:sz w:val="22"/>
        </w:rPr>
        <w:t>[32] Zhao, W. X., Zhou, K., Li, J., Tang, T., Wang, X., Hou, Y., ... &amp; Wen, J. R. (2023). A survey of large language models. arXiv preprint arXiv:2303.18223.</w:t>
      </w:r>
    </w:p>
    <w:p>
      <w:r>
        <w:br w:type="page"/>
      </w:r>
    </w:p>
    <w:p>
      <w:pPr>
        <w:spacing w:before="360" w:after="400"/>
        <w:jc w:val="center"/>
      </w:pPr>
      <w:r>
        <w:rPr>
          <w:rFonts w:ascii="Times New Roman" w:hAnsi="Times New Roman"/>
          <w:b/>
          <w:color w:val="000000"/>
          <w:sz w:val="32"/>
        </w:rPr>
        <w:t>APPENDICES</w:t>
      </w:r>
    </w:p>
    <w:p>
      <w:pPr>
        <w:keepNext/>
        <w:spacing w:before="280" w:after="120" w:line="276" w:lineRule="auto"/>
        <w:jc w:val="left"/>
      </w:pPr>
      <w:r>
        <w:rPr>
          <w:rFonts w:ascii="Times New Roman" w:hAnsi="Times New Roman"/>
          <w:b/>
          <w:color w:val="000000"/>
          <w:sz w:val="28"/>
        </w:rPr>
        <w:t>APPENDIX 1: API ENDPOINT SPECIFICATION AND DATA CONTRACTS</w:t>
      </w:r>
    </w:p>
    <w:p>
      <w:pPr>
        <w:spacing w:line="360" w:lineRule="auto" w:after="120" w:before="0"/>
        <w:jc w:val="both"/>
      </w:pPr>
      <w:r>
        <w:rPr>
          <w:rFonts w:ascii="Times New Roman" w:hAnsi="Times New Roman"/>
          <w:color w:val="000000"/>
          <w:sz w:val="24"/>
        </w:rPr>
        <w:t>This appendix provides the formal OpenAPI 3.1 REST API specification and data contracts for PatentIQ. All request payloads and response bodies adhere to strict Pydantic schemas validated in FastAPI.</w:t>
      </w:r>
    </w:p>
    <w:p>
      <w:pPr>
        <w:keepNext/>
        <w:spacing w:before="240" w:after="80"/>
        <w:jc w:val="left"/>
      </w:pPr>
      <w:r>
        <w:rPr>
          <w:rFonts w:ascii="Times New Roman" w:hAnsi="Times New Roman"/>
          <w:b/>
          <w:color w:val="000000"/>
          <w:sz w:val="22"/>
        </w:rPr>
        <w:t>Table A1.1: PatentIQ FastAPI Endpoints and Data Contracts Specification</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Method &amp; Path</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Request Model / Content-Type</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Response Model / Status</w:t>
            </w:r>
          </w:p>
        </w:tc>
        <w:tc>
          <w:tcPr>
            <w:tcW w:type="dxa" w:w="328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Description &amp; Operational Preconditions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 /api/projects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multipart/form-data (file: UploadFile)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(HTTP 201)</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Validates MIME, checks file size (&lt;20MB), saves document, extracts text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Fetches complete project record enforcing RLS user ownership</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 /api/projects/{id}/process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 (Trigger 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ProcessStatusResponse (HTTP 202)</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Spawns async pipeline orchestrator thread; returns immediate status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/api/projects/{id}/status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ProcessingProgressSchema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progress percentage (0-100) and current pipeline stage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/api/projects/{id}/features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List[FeatureRecord]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decomposed TechnicalFeature items with confidence &amp; text spans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/api/projects/{id}/evidence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List[EvidenceItemRecord]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mapped cells of the Feature-to-Prior-Art Evidence Matrix</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/api/projects/{id}/analysis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EB-PRE dimension scores, readiness category, and explanation</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/api/projects/{id}/report/{type}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type (pdf/json)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Binary stream or JSON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Generates and streams formal 10-section report deliverable</w:t>
            </w:r>
          </w:p>
        </w:tc>
      </w:tr>
    </w:tbl>
    <w:p>
      <w:pPr>
        <w:spacing w:after="120"/>
      </w:pPr>
    </w:p>
    <w:p>
      <w:pPr>
        <w:keepNext/>
        <w:spacing w:before="280" w:after="120" w:line="276" w:lineRule="auto"/>
        <w:jc w:val="left"/>
      </w:pPr>
      <w:r>
        <w:rPr>
          <w:rFonts w:ascii="Times New Roman" w:hAnsi="Times New Roman"/>
          <w:b/>
          <w:color w:val="000000"/>
          <w:sz w:val="28"/>
        </w:rPr>
        <w:t>APPENDIX 2: POSTGRESQL / SUPABASE DATABASE SCHEMA DEFINITION</w:t>
      </w:r>
    </w:p>
    <w:p>
      <w:pPr>
        <w:spacing w:line="360" w:lineRule="auto" w:after="120" w:before="0"/>
        <w:jc w:val="both"/>
      </w:pPr>
      <w:r>
        <w:rPr>
          <w:rFonts w:ascii="Times New Roman" w:hAnsi="Times New Roman"/>
          <w:color w:val="000000"/>
          <w:sz w:val="24"/>
        </w:rPr>
        <w:t>This appendix reproduces the core SQL Data Definition Language (DDL) migration script (20260916_001_initial_schema_corrected.sql) deployed in Supabase PostgreSQL, illustrating the non-destructive structure, foreign key relationships, and RLS policies.</w:t>
      </w:r>
    </w:p>
    <w:p>
      <w:pPr>
        <w:spacing w:line="240" w:lineRule="auto" w:before="80" w:after="240"/>
        <w:ind w:left="360"/>
        <w:jc w:val="left"/>
      </w:pPr>
      <w:r>
        <w:rPr>
          <w:rFonts w:ascii="Consolas" w:hAnsi="Consolas"/>
          <w:color w:val="000000"/>
          <w:sz w:val="17"/>
        </w:rPr>
        <w:t>-- 1. Projects Table (Invention Workspace)</w:t>
        <w:br/>
        <w:t>CREATE TABLE IF NOT EXISTS public.projects (</w:t>
        <w:br/>
        <w:t xml:space="preserve">  id UUID PRIMARY KEY DEFAULT uuid_generate_v4(),</w:t>
        <w:br/>
        <w:t xml:space="preserve">  user_id UUID REFERENCES public.profiles(id) ON DELETE CASCADE NOT NULL,</w:t>
        <w:br/>
        <w:t xml:space="preserve">  title TEXT NOT NULL,</w:t>
        <w:br/>
        <w:t xml:space="preserve">  description TEXT,</w:t>
        <w:br/>
        <w:t xml:space="preserve">  original_file_name TEXT NOT NULL,</w:t>
        <w:br/>
        <w:t xml:space="preserve">  stored_file_name TEXT NOT NULL,</w:t>
        <w:br/>
        <w:t xml:space="preserve">  file_path TEXT NOT NULL,</w:t>
        <w:br/>
        <w:t xml:space="preserve">  file_type TEXT NOT NULL,</w:t>
        <w:br/>
        <w:t xml:space="preserve">  file_size BIGINT NOT NULL,</w:t>
        <w:br/>
        <w:t xml:space="preserve">  status TEXT DEFAULT 'uploaded' NOT NULL,</w:t>
        <w:br/>
        <w:t xml:space="preserve">  processing_stage TEXT DEFAULT 'uploaded' NOT NULL,</w:t>
        <w:br/>
        <w:t xml:space="preserve">  extracted_text TEXT,</w:t>
        <w:br/>
        <w:t xml:space="preserve">  extracted_metadata JSONB DEFAULT '{}'::JSONB,</w:t>
        <w:br/>
        <w:t xml:space="preserve">  error_message TEXT,</w:t>
        <w:br/>
        <w:t xml:space="preserve">  report_generated BOOLEAN DEFAULT FALSE,</w:t>
        <w:br/>
        <w:t xml:space="preserve">  progress INT DEFAULT 0,</w:t>
        <w:br/>
        <w:t xml:space="preserve">  processing_started_at TIMESTAMPTZ,</w:t>
        <w:br/>
        <w:t xml:space="preserve">  processing_completed_at TIMESTAMPTZ,</w:t>
        <w:br/>
        <w:t xml:space="preserve">  processing_duration INT,</w:t>
        <w:br/>
        <w:t xml:space="preserve">  created_at TIMESTAMPTZ DEFAULT TIMEZONE('utc'::text, NOW()) NOT NULL,</w:t>
        <w:br/>
        <w:t xml:space="preserve">  updated_at TIMESTAMPTZ DEFAULT TIMEZONE('utc'::text, NOW()) NOT NULL</w:t>
        <w:br/>
        <w:t>);</w:t>
        <w:br/>
        <w:br/>
        <w:t>-- 2. Features Table (Extracted Elements)</w:t>
        <w:br/>
        <w:t>CREATE TABLE IF NOT EXISTS public.features (</w:t>
        <w:br/>
        <w:t xml:space="preserve">  id UUID PRIMARY KEY DEFAULT uuid_generate_v4(),</w:t>
        <w:br/>
        <w:t xml:space="preserve">  project_id UUID REFERENCES public.projects(id) ON DELETE CASCADE NOT NULL,</w:t>
        <w:br/>
        <w:t xml:space="preserve">  feature_id TEXT NOT NULL,</w:t>
        <w:br/>
        <w:t xml:space="preserve">  title TEXT NOT NULL,</w:t>
        <w:br/>
        <w:t xml:space="preserve">  description TEXT NOT NULL,</w:t>
        <w:br/>
        <w:t xml:space="preserve">  technical_category TEXT NOT NULL,</w:t>
        <w:br/>
        <w:t xml:space="preserve">  importance TEXT CHECK (importance IN ('high', 'medium', 'low')) NOT NULL,</w:t>
        <w:br/>
        <w:t xml:space="preserve">  source_text_span TEXT NOT NULL,</w:t>
        <w:br/>
        <w:t xml:space="preserve">  extraction_confidence FLOAT NOT NULL,</w:t>
        <w:br/>
        <w:t xml:space="preserve">  created_at TIMESTAMPTZ DEFAULT TIMEZONE('utc'::text, NOW()) NOT NULL,</w:t>
        <w:br/>
        <w:t xml:space="preserve">  CONSTRAINT features_project_feature_id_key UNIQUE (project_id, feature_id)</w:t>
        <w:br/>
        <w:t>);</w:t>
        <w:br/>
        <w:br/>
        <w:t>-- 3. Evidence Items Table (Decoupled Synthetic UUIDv5 Safe Structure)</w:t>
        <w:br/>
        <w:t>CREATE TABLE IF NOT EXISTS public.evidence_items (</w:t>
        <w:br/>
        <w:t xml:space="preserve">  id UUID PRIMARY KEY DEFAULT uuid_generate_v4(),</w:t>
        <w:br/>
        <w:t xml:space="preserve">  project_id UUID REFERENCES public.projects(id) ON DELETE CASCADE NOT NULL,</w:t>
        <w:br/>
        <w:t xml:space="preserve">  feature_id UUID NOT NULL,</w:t>
        <w:br/>
        <w:t xml:space="preserve">  patent_id UUID NOT NULL,</w:t>
        <w:br/>
        <w:t xml:space="preserve">  chunk_text TEXT NOT NULL,</w:t>
        <w:br/>
        <w:t xml:space="preserve">  retrieved_source TEXT NOT NULL,</w:t>
        <w:br/>
        <w:t xml:space="preserve">  retrieval_method TEXT DEFAULT 'hybrid_rrf',</w:t>
        <w:br/>
        <w:t xml:space="preserve">  retrieval_similarity FLOAT NOT NULL,</w:t>
        <w:br/>
        <w:t xml:space="preserve">  reranker_score FLOAT,</w:t>
        <w:br/>
        <w:t xml:space="preserve">  rank INT,</w:t>
        <w:br/>
        <w:t xml:space="preserve">  section TEXT,</w:t>
        <w:br/>
        <w:t xml:space="preserve">  claim_number INT,</w:t>
        <w:br/>
        <w:t xml:space="preserve">  page_number INT,</w:t>
        <w:br/>
        <w:t xml:space="preserve">  evidence_strength FLOAT NOT NULL,</w:t>
        <w:br/>
        <w:t xml:space="preserve">  confidence FLOAT DEFAULT 1.0,</w:t>
        <w:br/>
        <w:t xml:space="preserve">  evidence_relationship TEXT CHECK (</w:t>
        <w:br/>
        <w:t xml:space="preserve">    evidence_relationship IN ('direct_match', 'partial_match', 'contextual_match', 'weak_match', 'no_material_match')</w:t>
        <w:br/>
        <w:t xml:space="preserve">  ) NOT NULL,</w:t>
        <w:br/>
        <w:t xml:space="preserve">  created_at TIMESTAMPTZ DEFAULT TIMEZONE('utc'::text, NOW()) NOT NULL</w:t>
        <w:br/>
        <w:t>);</w:t>
        <w:br/>
        <w:t>ALTER TABLE public.evidence_items DROP CONSTRAINT IF EXISTS evidence_items_feature_id_fkey;</w:t>
        <w:br/>
        <w:t>ALTER TABLE public.evidence_items DROP CONSTRAINT IF EXISTS evidence_items_patent_id_fkey;</w:t>
        <w:br/>
        <w:br/>
        <w:t>-- 4. Row Level Security Policies (Dual USING + WITH CHECK)</w:t>
        <w:br/>
        <w:t>ALTER TABLE public.projects ENABLE ROW LEVEL SECURITY;</w:t>
        <w:br/>
        <w:t>CREATE POLICY "Users can manage their own projects" ON public.projects FOR ALL TO authenticated</w:t>
        <w:br/>
        <w:t>USING (auth.uid() = user_id) WITH CHECK (auth.uid() = user_id);</w:t>
        <w:br/>
      </w:r>
    </w:p>
    <w:p>
      <w:pPr>
        <w:keepNext/>
        <w:spacing w:before="280" w:after="120" w:line="276" w:lineRule="auto"/>
        <w:jc w:val="left"/>
      </w:pPr>
      <w:r>
        <w:rPr>
          <w:rFonts w:ascii="Times New Roman" w:hAnsi="Times New Roman"/>
          <w:b/>
          <w:color w:val="000000"/>
          <w:sz w:val="28"/>
        </w:rPr>
        <w:t>APPENDIX 3: REAL USPTO PILOT DATASET SPECIFICATIONS AND INGESTION MANIFEST</w:t>
      </w:r>
    </w:p>
    <w:p>
      <w:pPr>
        <w:spacing w:line="360" w:lineRule="auto" w:after="120" w:before="0"/>
        <w:jc w:val="both"/>
      </w:pPr>
      <w:r>
        <w:rPr>
          <w:rFonts w:ascii="Times New Roman" w:hAnsi="Times New Roman"/>
          <w:color w:val="000000"/>
          <w:sz w:val="24"/>
        </w:rPr>
        <w:t>This appendix documents the extraction specifications, data manifest, and structural verification for the real-world USPTO pilot corpus utilized for scaled indexing validation in PatentIQ. The dataset was extracted directly from an official United States Patent and Trademark Office weekly grant distribution archive without third-party preprocessing or truncation.</w:t>
      </w:r>
    </w:p>
    <w:p>
      <w:pPr>
        <w:keepNext/>
        <w:spacing w:before="240" w:after="80"/>
        <w:jc w:val="left"/>
      </w:pPr>
      <w:r>
        <w:rPr>
          <w:rFonts w:ascii="Times New Roman" w:hAnsi="Times New Roman"/>
          <w:b/>
          <w:color w:val="000000"/>
          <w:sz w:val="22"/>
        </w:rPr>
        <w:t>Table A3.1: Real USPTO Pilot Dataset Ingestion Manifest and Indexing Specifications</w:t>
      </w:r>
    </w:p>
    <w:tbl>
      <w:tblPr>
        <w:tblW w:type="auto" w:w="0"/>
        <w:jc w:val="center"/>
        <w:tblLayout w:type="fixed"/>
        <w:tblLook w:firstColumn="1" w:firstRow="1" w:lastColumn="0" w:lastRow="0" w:noHBand="0" w:noVBand="1" w:val="04A0"/>
      </w:tblPr>
      <w:tblGrid>
        <w:gridCol w:w="2769"/>
        <w:gridCol w:w="2769"/>
        <w:gridCol w:w="2769"/>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Metadata Field / Specification</w:t>
            </w:r>
          </w:p>
        </w:tc>
        <w:tc>
          <w:tcPr>
            <w:tcW w:type="dxa" w:w="272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Extracted Pilot Value</w:t>
            </w:r>
          </w:p>
        </w:tc>
        <w:tc>
          <w:tcPr>
            <w:tcW w:type="dxa" w:w="368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Criteria &amp; Ingestion Path</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Distribution File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ipg161011.xml (596.5 MB)</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Utility Patent Grant Archive (October 11, 2016)</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XML Records Scanned</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5,988 raw patent grants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Streaming iterparse block reader (zero OOM memory usage)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Target Extracted Patents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complete utility patents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Filtered by utility grant type, non-empty claims, and description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Unique Patents Verified</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documents (0 duplicates)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Deduplicated by normalized patent publication number</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Ingestion JSONL Target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data/real_patents_pilot/real_patents_pilot_ingest.jsonl</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Line-delimited JSON format compliant with PatentDocumentBase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Cryptographic Digest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969d3ed4da0743e221aafb7eccc459ea70ccede9345d8737ce2b829d38ccede1</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SHA-256 integrity hash recorded in manifest.json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Generated Chunks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chunks (93.8 avg / patent)</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 structural decomposition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Claims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chunks (21.6%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Individual numbered claim chunks with verbatim text preservation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Description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7,250 chunks (77.3%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Contextual paragraphs segmented by 512-token sliding window</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Abstract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chunks (1.1%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summary chunks mapped to patent metadata</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Index Path</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data/real_patents_pilot/bm25_index.pkl (17.7 MB)</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Okapi BM25 index serialized for retrieval</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 Namespace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Collection: patent_prior_art_pilot_uspto2016</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vector collection under corpus ID uspto_2016_10_11_pilot_v1</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Active Application Status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Benchmarked isolated index for scaled validation</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Application serves 15-patent dev corpus baseline by default</w:t>
            </w:r>
          </w:p>
        </w:tc>
      </w:tr>
    </w:tbl>
    <w:p>
      <w:pPr>
        <w:spacing w:after="120"/>
      </w:pPr>
    </w:p>
    <w:p>
      <w:pPr>
        <w:spacing w:line="360" w:lineRule="auto" w:after="120" w:before="0"/>
        <w:jc w:val="both"/>
      </w:pPr>
      <w:r>
        <w:rPr>
          <w:rFonts w:ascii="Times New Roman" w:hAnsi="Times New Roman"/>
          <w:b/>
          <w:color w:val="000000"/>
          <w:sz w:val="24"/>
        </w:rPr>
        <w:t xml:space="preserve">Illustrative Pilot Patent Record Excerpt (US-09462734-B2): </w:t>
      </w:r>
      <w:r>
        <w:rPr>
          <w:rFonts w:ascii="Times New Roman" w:hAnsi="Times New Roman"/>
          <w:color w:val="000000"/>
          <w:sz w:val="24"/>
        </w:rPr>
        <w:t>Below is an illustrative structural excerpt from the extracted pilot JSONL dataset demonstrating complete schema normalization:</w:t>
      </w:r>
    </w:p>
    <w:p>
      <w:pPr>
        <w:spacing w:line="240" w:lineRule="auto" w:before="80" w:after="240"/>
        <w:ind w:left="360"/>
        <w:jc w:val="left"/>
      </w:pPr>
      <w:r>
        <w:rPr>
          <w:rFonts w:ascii="Consolas" w:hAnsi="Consolas"/>
          <w:color w:val="000000"/>
          <w:sz w:val="17"/>
        </w:rPr>
        <w:t>{</w:t>
        <w:br/>
        <w:t xml:space="preserve">  "patent_id": "US-09462734-B2",</w:t>
        <w:br/>
        <w:t xml:space="preserve">  "title": "Rolling Basket Assembly with Biased Scraper Mechanism",</w:t>
        <w:br/>
        <w:t xml:space="preserve">  "abstract": "An agricultural implement including a rolling basket assembly having a plurality of elongated bars arranged about a central axis and a scraper assembly resiliently biased against the bars to remove accumulated soil during rotation...",</w:t>
        <w:br/>
        <w:t xml:space="preserve">  "publication_date": "2016-10-11",</w:t>
        <w:br/>
        <w:t xml:space="preserve">  "inventor_names": ["David M. Stecklein", "Dean A. Knobloch"],</w:t>
        <w:br/>
        <w:t xml:space="preserve">  "assignee": "Great Plains Manufacturing, Incorporated",</w:t>
        <w:br/>
        <w:t xml:space="preserve">  "cpc_classifications": ["A01B 29/04", "A01B 29/06", "A01B 49/02"],</w:t>
        <w:br/>
        <w:t xml:space="preserve">  "ipc_classifications": ["A01B 29/04"],</w:t>
        <w:br/>
        <w:t xml:space="preserve">  "claims": [</w:t>
        <w:br/>
        <w:t xml:space="preserve">    "1. An agricultural soil preparation implement comprising: a frame configured for towing across an agricultural field; a rolling basket rotatably mounted to the frame, said rolling basket including a plurality of exterior ground-engaging bars; and a scraper bar assembly positioned adjacent the rolling basket...",</w:t>
        <w:br/>
        <w:t xml:space="preserve">    "2. The agricultural soil preparation implement of claim 1, further comprising a spring-loaded downpressure linkage..."</w:t>
        <w:br/>
        <w:t xml:space="preserve">  ],</w:t>
        <w:br/>
        <w:t xml:space="preserve">  "description": "FIELD OF THE INVENTION: The present invention relates generally to agricultural tillage implements and more specifically to soil conditioning rolling basket attachments... BACKGROUND: During soil preparation, moist soil adheres to rolling basket bars...",</w:t>
        <w:br/>
        <w:t xml:space="preserve">  "source_provenance": "USPTO Grant Archive ipg161011.xml"</w:t>
        <w:br/>
        <w:t>}</w:t>
      </w:r>
    </w:p>
    <w:p>
      <w:pPr>
        <w:keepNext/>
        <w:spacing w:before="280" w:after="120" w:line="276" w:lineRule="auto"/>
        <w:jc w:val="left"/>
      </w:pPr>
      <w:r>
        <w:rPr>
          <w:rFonts w:ascii="Times New Roman" w:hAnsi="Times New Roman"/>
          <w:b/>
          <w:color w:val="000000"/>
          <w:sz w:val="28"/>
        </w:rPr>
        <w:t>APPENDIX 4: SAMPLE TEST INVENTIONS AND GENERATED PATENT READINESS REPORTS</w:t>
      </w:r>
    </w:p>
    <w:p>
      <w:pPr>
        <w:spacing w:line="360" w:lineRule="auto" w:after="120" w:before="0"/>
        <w:jc w:val="both"/>
      </w:pPr>
      <w:r>
        <w:rPr>
          <w:rFonts w:ascii="Times New Roman" w:hAnsi="Times New Roman"/>
          <w:color w:val="000000"/>
          <w:sz w:val="24"/>
        </w:rPr>
        <w:t>This appendix reproduces two representative evaluation cases: (1) Case A: Robotic Surgical End-Effector evaluated under standard operating conditions with Grounded Gemini RAG reporting; and (2) Case B: Smart Inventory Replenishment evaluated during a live Google Gemini API rate-limit quota exhaustion (HTTP 429), demonstrating the automatic deterministic fallback report generation completed in 1.233 seconds.</w:t>
      </w:r>
    </w:p>
    <w:p>
      <w:pPr>
        <w:keepNext/>
        <w:spacing w:before="200" w:after="80" w:line="276" w:lineRule="auto"/>
        <w:jc w:val="left"/>
      </w:pPr>
      <w:r>
        <w:rPr>
          <w:rFonts w:ascii="Times New Roman" w:hAnsi="Times New Roman"/>
          <w:b/>
          <w:color w:val="000000"/>
          <w:sz w:val="24"/>
        </w:rPr>
        <w:t>CASE A: ROBOTIC SURGICAL END-EFFECTOR (GROUNDED GEMINI RAG REPORT)</w:t>
      </w:r>
    </w:p>
    <w:p>
      <w:pPr>
        <w:spacing w:line="240" w:lineRule="auto" w:before="80" w:after="240"/>
        <w:ind w:left="360"/>
        <w:jc w:val="left"/>
      </w:pPr>
      <w:r>
        <w:rPr>
          <w:rFonts w:ascii="Consolas" w:hAnsi="Consolas"/>
          <w:color w:val="000000"/>
          <w:sz w:val="17"/>
        </w:rPr>
        <w:t>========================================================================================</w:t>
        <w:br/>
        <w:t>PATENTIQ — EVIDENCE-BASED PATENT READINESS REPORT (EXECUTIVE SUMMARY — CASE A)</w:t>
        <w:br/>
        <w:t>Project Workspace: PRJ-ROBOTIC-SURGICAL-001</w:t>
        <w:br/>
        <w:t>Evaluation Timestamp: 2026-05-14T10:30:00Z | Model: Gemini 2.5 Pro (Grounded Mode)</w:t>
        <w:br/>
        <w:t>========================================================================================</w:t>
        <w:br/>
        <w:br/>
        <w:t>1. OVERALL ASSESSMENT METRICS:</w:t>
        <w:br/>
        <w:t>• Aggregated Patent Readiness Score (PRS): 54 / 100</w:t>
        <w:br/>
        <w:t>• Readiness Category: NEEDS DIFFERENTIATION (Moderate Overlap Detected)</w:t>
        <w:br/>
        <w:t>• Assessment Confidence Score (ACS): 0.88 / 1.00 (High Search Confidence)</w:t>
        <w:br/>
        <w:br/>
        <w:t>2. SIX-DIMENSIONAL EB-PRE BREAKDOWN:</w:t>
        <w:br/>
        <w:t>• Dimension 1 (Feature Novelty):               48 / 100  (Weight: 30%)</w:t>
        <w:br/>
        <w:t>• Dimension 2 (Prior-Art Overlap Density):       42 / 100  (Weight: 20%)</w:t>
        <w:br/>
        <w:t>• Dimension 3 (Technical Differentiation):      60 / 100  (Weight: 20%)</w:t>
        <w:br/>
        <w:t>• Dimension 4 (Innovation Characteristics):      68 / 100  (Weight: 15%)</w:t>
        <w:br/>
        <w:t>• Dimension 5 (Documentation Completeness):     78 / 100  (Weight: 10%)</w:t>
        <w:br/>
        <w:t>• Dimension 6 (Commercial Potential):           82 / 100  (Weight:  5%)</w:t>
        <w:br/>
        <w:br/>
        <w:t>3. CRITICAL PRIOR-ART EVIDENCE COLLISIONS:</w:t>
        <w:br/>
        <w:t>• Collision 1 (FEAT-1: Multi-Axis Robotic Wrist):</w:t>
        <w:br/>
        <w:t xml:space="preserve">  - Prior Art: US-10492811-B2 (Minimally Invasive Surgical Robotics)</w:t>
        <w:br/>
        <w:t xml:space="preserve">  - Relationship: DIRECT MATCH (Severity 4 | Matching Score: 0.88)</w:t>
        <w:br/>
        <w:t xml:space="preserve">  - Verbatim Excerpt: '...articulated tool end effector comprising multi-axis pitch and yaw wrist joints driven by internal tendon conduits...'</w:t>
        <w:br/>
        <w:t>• Collision 2 (FEAT-2: Multi-Spectral Optical Diagnostic Array):</w:t>
        <w:br/>
        <w:t xml:space="preserve">  - Prior Art: US-10893842-B2 (Multi-Spectral Optical Diagnostic Imaging)</w:t>
        <w:br/>
        <w:t xml:space="preserve">  - Relationship: PARTIAL MATCH (Severity 3 | Matching Score: 0.72)</w:t>
        <w:br/>
        <w:t xml:space="preserve">  - Verbatim Excerpt: '...optical sensor head emitting discrete multi-spectral illumination bands between 400nm and 900nm for hemoglobin oxygenation sensing...'</w:t>
        <w:br/>
        <w:br/>
        <w:t>4. TACTICAL DIFFERENTIATION OPPORTUNITIES:</w:t>
        <w:br/>
        <w:t>• Highly Differentiated Core (FEAT-3 &amp; FEAT-4): The sub-15ms embedded edge neural inference tissue classification coupled with automated ultrasonic blade shutoff has NO MATERIAL MATCH in the retrieved corpus. Prior art operates on remote PC workstations with significant latency.</w:t>
        <w:br/>
        <w:t>• Actionable Recommendation: Restructure Claim 1 to incorporate FEAT-3 as an essential limiting element. Avoid claiming the generic robotic wrist as novel per se.</w:t>
        <w:br/>
        <w:t>========================================================================================</w:t>
        <w:br/>
      </w:r>
    </w:p>
    <w:p>
      <w:pPr>
        <w:keepNext/>
        <w:spacing w:before="200" w:after="80" w:line="276" w:lineRule="auto"/>
        <w:jc w:val="left"/>
      </w:pPr>
      <w:r>
        <w:rPr>
          <w:rFonts w:ascii="Times New Roman" w:hAnsi="Times New Roman"/>
          <w:b/>
          <w:color w:val="000000"/>
          <w:sz w:val="24"/>
        </w:rPr>
        <w:t>CASE B: SMART INVENTORY REPLENISHMENT (DETERMINISTIC FALLBACK REPORT UNDER API 429)</w:t>
      </w:r>
    </w:p>
    <w:p>
      <w:pPr>
        <w:spacing w:line="240" w:lineRule="auto" w:before="80" w:after="240"/>
        <w:ind w:left="360"/>
        <w:jc w:val="left"/>
      </w:pPr>
      <w:r>
        <w:rPr>
          <w:rFonts w:ascii="Consolas" w:hAnsi="Consolas"/>
          <w:color w:val="000000"/>
          <w:sz w:val="17"/>
        </w:rPr>
        <w:t>========================================================================================</w:t>
        <w:br/>
        <w:t>PATENTIQ — EVIDENCE-BASED PATENT READINESS REPORT (DETERMINISTIC FALLBACK — CASE B)</w:t>
        <w:br/>
        <w:t>Project Workspace: PRJ-INVENTORY-REPLENISH-002</w:t>
        <w:br/>
        <w:t>Evaluation Timestamp: 2026-10-18T14:22:18Z | Generator: Deterministic Fallback Engine</w:t>
        <w:br/>
        <w:t>Status: Gemini API Quota Exhausted (HTTP 429) -&gt; Automatic Fallback Completed in 1.233s</w:t>
        <w:br/>
        <w:t>========================================================================================</w:t>
        <w:br/>
        <w:br/>
        <w:t>1. OVERALL READINESS AND CONFIDENCE:</w:t>
        <w:br/>
        <w:t>• Patent Readiness Score (PRS): 68 / 100 (MODERATE READINESS)</w:t>
        <w:br/>
        <w:t>• Assessment Confidence Score (ACS): 0.74 / 1.00 (Sufficient Feature &amp; Prior-Art Density)</w:t>
        <w:br/>
        <w:t>• Execution Guarantee: Generated deterministically without external LLM inference dependency.</w:t>
        <w:br/>
        <w:br/>
        <w:t>2. FEATURE DECOMPOSITION &amp; EVIDENCE SUMMARY:</w:t>
        <w:br/>
        <w:t>• Extracted Technical Features: 17 features (3 Problem, 6 Component, 5 Mechanism, 3 Effect)</w:t>
        <w:br/>
        <w:t>• Mapped Prior-Art Evidence Items: 45 candidate items mapped across corpus chunks</w:t>
        <w:br/>
        <w:t>• Material Overlap Matches: 2 Direct Matches (&gt;=0.75), 5 Partial Matches (&gt;=0.50)</w:t>
        <w:br/>
        <w:t>• Excluded Contextual Items: 24 Contextual Matches (&gt;=0.30) excluded from overlap penalty</w:t>
        <w:br/>
        <w:br/>
        <w:t>3. SIX-DIMENSIONAL EB-PRE SCORES:</w:t>
        <w:br/>
        <w:t>• Dimension 1 (Feature Novelty):               65 / 100  (Weight: 30%)</w:t>
        <w:br/>
        <w:t>• Dimension 2 (Prior-Art Overlap Density):       58 / 100  (Weight: 20%)</w:t>
        <w:br/>
        <w:t>• Dimension 3 (Technical Differentiation):      72 / 100  (Weight: 20%)</w:t>
        <w:br/>
        <w:t>• Dimension 4 (Innovation Characteristics):      70 / 100  (Weight: 15%)</w:t>
        <w:br/>
        <w:t>• Dimension 5 (Documentation Completeness):     80 / 100  (Weight: 10%)</w:t>
        <w:br/>
        <w:t>• Dimension 6 (Commercial Potential):           75 / 100  (Weight:  5%)</w:t>
        <w:br/>
        <w:br/>
        <w:t>4. AUDIT FINDINGS &amp; UNCERTAINTY DIRECTIVES:</w:t>
        <w:br/>
        <w:t>• Flag Triggered: 'dense_prior_art_field' (high density of warehouse automation prior art)</w:t>
        <w:br/>
        <w:t>• Tactical Directive: Retain independent claim focus on the real-time sensor fusion dispatch</w:t>
        <w:br/>
        <w:t xml:space="preserve">  mechanism rather than standard predictive replenishment time-series algorithms.</w:t>
        <w:br/>
        <w:t>• Persistence Trace: Persisted to local demo store in 0.008s; zero data loss.</w:t>
        <w:br/>
        <w:t>========================================================================================</w:t>
        <w:br/>
      </w:r>
    </w:p>
    <w:sectPr w:rsidR="00FC693F" w:rsidRPr="0006063C" w:rsidSect="00034616">
      <w:headerReference w:type="default" r:id="rId20"/>
      <w:footerReference w:type="default" r:id="rId21"/>
      <w:pgSz w:w="11906" w:h="16838"/>
      <w:pgMar w:top="1440" w:right="1440" w:bottom="1440" w:left="216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jpg"/><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