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Consolas" w:cs="Consolas" w:eastAsia="Consolas" w:hAnsi="Consolas"/>
          <w:b/>
          <w:bCs/>
          <w:color w:val="595959"/>
          <w:sz w:val="26"/>
          <w:szCs w:val="26"/>
        </w:rPr>
        <w:t xml:space="preserve">Seminar 11: Agents and Future Directions</w:t>
      </w:r>
    </w:p>
    <w:p>
      <w:pPr>
        <w:bidi/>
        <w:spacing w:after="120" w:line="340"/>
        <w:jc w:val="center"/>
      </w:pPr>
      <w:r>
        <w:rPr>
          <w:rFonts w:ascii="Arial" w:cs="Arial" w:eastAsia="Arial" w:hAnsi="Arial"/>
          <w:b/>
          <w:bCs/>
          <w:color w:val="1F3864"/>
          <w:sz w:val="40"/>
          <w:szCs w:val="40"/>
          <w:rtl/>
        </w:rPr>
        <w:t xml:space="preserve">من النماذج اللغوية</w:t>
      </w:r>
    </w:p>
    <w:p>
      <w:pPr>
        <w:bidi/>
        <w:spacing w:after="120" w:line="340"/>
        <w:jc w:val="center"/>
      </w:pPr>
      <w:r>
        <w:rPr>
          <w:rFonts w:ascii="Arial" w:cs="Arial" w:eastAsia="Arial" w:hAnsi="Arial"/>
          <w:b/>
          <w:bCs/>
          <w:color w:val="1F3864"/>
          <w:sz w:val="40"/>
          <w:szCs w:val="40"/>
          <w:rtl/>
        </w:rPr>
        <w:t xml:space="preserve">إلى الوكلاء الأذكياء</w:t>
      </w:r>
    </w:p>
    <w:p>
      <w:pPr>
        <w:pBdr>
          <w:top w:val="single" w:color="2E74B5" w:sz="6" w:space="8"/>
        </w:pBdr>
        <w:spacing w:after="500"/>
        <w:jc w:val="center"/>
      </w:pPr>
      <w:r>
        <w:rPr>
          <w:rFonts w:ascii="Consolas" w:cs="Consolas" w:eastAsia="Consolas" w:hAnsi="Consolas"/>
          <w:i/>
          <w:iCs/>
          <w:color w:val="595959"/>
          <w:sz w:val="24"/>
          <w:szCs w:val="24"/>
        </w:rPr>
        <w:t xml:space="preserve">From LLMs to AI Agents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البند</w:t>
            </w:r>
          </w:p>
        </w:tc>
        <w:tc>
          <w:tcPr>
            <w:tcW w:type="dxa" w:w="6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التفصيل</w:t>
            </w:r>
          </w:p>
        </w:tc>
      </w:tr>
      <w:tr>
        <w:tc>
          <w:tcPr>
            <w:tcW w:type="dxa" w:w="2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المُقدِّم</w:t>
            </w:r>
          </w:p>
        </w:tc>
        <w:tc>
          <w:tcPr>
            <w:tcW w:type="dxa" w:w="6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صديق إبراهيم علي كمبال</w:t>
            </w:r>
          </w:p>
        </w:tc>
      </w:tr>
      <w:tr>
        <w:tc>
          <w:tcPr>
            <w:tcW w:type="dxa" w:w="2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التاريخ</w:t>
            </w:r>
          </w:p>
        </w:tc>
        <w:tc>
          <w:tcPr>
            <w:tcW w:type="dxa" w:w="6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السبت ٤ يوليو ٢٠٢٦م</w:t>
            </w:r>
          </w:p>
        </w:tc>
      </w:tr>
      <w:tr>
        <w:tc>
          <w:tcPr>
            <w:tcW w:type="dxa" w:w="2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المادة</w:t>
            </w:r>
          </w:p>
        </w:tc>
        <w:tc>
          <w:tcPr>
            <w:tcW w:type="dxa" w:w="6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الذكاء الاصطناعي والتعلم العميق</w:t>
            </w:r>
          </w:p>
        </w:tc>
      </w:tr>
      <w:tr>
        <w:tc>
          <w:tcPr>
            <w:tcW w:type="dxa" w:w="2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المخرَج المطلوب</w:t>
            </w:r>
          </w:p>
        </w:tc>
        <w:tc>
          <w:tcPr>
            <w:tcW w:type="dxa" w:w="6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رؤية مستقبلية لما بعد الـ LLM</w:t>
            </w:r>
          </w:p>
        </w:tc>
      </w:tr>
    </w:tbl>
    <w:p>
      <w:pPr>
        <w:spacing w:after="400"/>
      </w:pPr>
    </w:p>
    <w:p>
      <w:pPr>
        <w:pStyle w:val="Heading2"/>
        <w:bidi/>
        <w:spacing w:after="120" w:before="240"/>
        <w:jc w:val="start"/>
      </w:pPr>
      <w:r>
        <w:rPr>
          <w:rFonts w:ascii="Arial" w:cs="Arial" w:eastAsia="Arial" w:hAnsi="Arial"/>
          <w:b/>
          <w:bCs/>
          <w:color w:val="1F4E79"/>
          <w:sz w:val="26"/>
          <w:szCs w:val="26"/>
          <w:rtl/>
        </w:rPr>
        <w:t xml:space="preserve">المحاور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00"/>
      </w:tblGrid>
      <w:tr>
        <w:trPr>
          <w:tblHeader/>
        </w:trPr>
        <w:tc>
          <w:tcPr>
            <w:tcW w:type="dxa" w:w="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w:t>
            </w:r>
          </w:p>
        </w:tc>
        <w:tc>
          <w:tcPr>
            <w:tcW w:type="dxa" w:w="4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المحور</w:t>
            </w:r>
          </w:p>
        </w:tc>
        <w:tc>
          <w:tcPr>
            <w:tcW w:type="dxa" w:w="3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بالإنجليزية</w:t>
            </w:r>
          </w:p>
        </w:tc>
      </w:tr>
      <w:tr>
        <w:tc>
          <w:tcPr>
            <w:tcW w:type="dxa" w:w="9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١</w:t>
            </w:r>
          </w:p>
        </w:tc>
        <w:tc>
          <w:tcPr>
            <w:tcW w:type="dxa" w:w="4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استخدام الأدوات</w:t>
            </w:r>
          </w:p>
        </w:tc>
        <w:tc>
          <w:tcPr>
            <w:tcW w:type="dxa" w:w="39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Tool Use</w:t>
            </w:r>
          </w:p>
        </w:tc>
      </w:tr>
      <w:tr>
        <w:tc>
          <w:tcPr>
            <w:tcW w:type="dxa" w:w="9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٢</w:t>
            </w:r>
          </w:p>
        </w:tc>
        <w:tc>
          <w:tcPr>
            <w:tcW w:type="dxa" w:w="4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الوكلاء</w:t>
            </w:r>
          </w:p>
        </w:tc>
        <w:tc>
          <w:tcPr>
            <w:tcW w:type="dxa" w:w="39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Agents</w:t>
            </w:r>
          </w:p>
        </w:tc>
      </w:tr>
      <w:tr>
        <w:tc>
          <w:tcPr>
            <w:tcW w:type="dxa" w:w="9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w:t>
            </w:r>
          </w:p>
        </w:tc>
        <w:tc>
          <w:tcPr>
            <w:tcW w:type="dxa" w:w="4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الأنظمة متعددة الوكلاء</w:t>
            </w:r>
          </w:p>
        </w:tc>
        <w:tc>
          <w:tcPr>
            <w:tcW w:type="dxa" w:w="39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Multi-Agent Systems</w:t>
            </w:r>
          </w:p>
        </w:tc>
      </w:tr>
      <w:tr>
        <w:tc>
          <w:tcPr>
            <w:tcW w:type="dxa" w:w="9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٤</w:t>
            </w:r>
          </w:p>
        </w:tc>
        <w:tc>
          <w:tcPr>
            <w:tcW w:type="dxa" w:w="4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الاتجاهات المستقبلية</w:t>
            </w:r>
          </w:p>
        </w:tc>
        <w:tc>
          <w:tcPr>
            <w:tcW w:type="dxa" w:w="39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Future Trends</w:t>
            </w:r>
          </w:p>
        </w:tc>
      </w:tr>
    </w:tbl>
    <w:p>
      <w:r>
        <w:br w:type="page"/>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تمهيد: أين توقّف النموذج اللغوي؟</w:t>
      </w:r>
    </w:p>
    <w:p>
      <w:pPr>
        <w:bidi/>
        <w:spacing w:after="120" w:line="300"/>
        <w:jc w:val="start"/>
      </w:pPr>
      <w:r>
        <w:rPr>
          <w:rFonts w:ascii="Arial" w:cs="Arial" w:eastAsia="Arial" w:hAnsi="Arial"/>
          <w:sz w:val="24"/>
          <w:szCs w:val="24"/>
          <w:rtl/>
        </w:rPr>
        <w:t xml:space="preserve">قطعت النماذج اللغوية الكبيرة (LLM) شوطاً هائلاً في فهم اللغة وتوليدها. لكنها، مهما بلغت قدرتها، تبقى محصورة داخل حدّ واحد واضح: هي تُنتج نصاً، ولا تفعل شيئاً في العالم.</w:t>
      </w:r>
    </w:p>
    <w:p>
      <w:pPr>
        <w:spacing w:after="80"/>
      </w:pPr>
    </w:p>
    <w:p>
      <w:pPr>
        <w:pStyle w:val="Heading2"/>
        <w:bidi/>
        <w:spacing w:after="120" w:before="240"/>
        <w:jc w:val="start"/>
      </w:pPr>
      <w:r>
        <w:rPr>
          <w:rFonts w:ascii="Arial" w:cs="Arial" w:eastAsia="Arial" w:hAnsi="Arial"/>
          <w:b/>
          <w:bCs/>
          <w:color w:val="1F4E79"/>
          <w:sz w:val="26"/>
          <w:szCs w:val="26"/>
          <w:rtl/>
        </w:rPr>
        <w:t xml:space="preserve">ثلاثة قيود بنيوية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القيد</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معناه عملياً</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معرفة مجمّدة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لا يعرف النموذج شيئاً بعد تاريخ تدريبه — لا سعر صرف اليوم ولا خبر الأمس.</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لا وصول للعالم</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لا يقرأ ملفاتك ولا قاعدة بياناتك ولا يرسل بريداً.</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خطوة واحدة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يعطي جواباً واحداً ثم ينتهي، ولا يراجع نفسه بناءً على نتيجة.</w:t>
            </w:r>
          </w:p>
        </w:tc>
      </w:tr>
    </w:tbl>
    <w:p>
      <w:pPr>
        <w:spacing w:after="200"/>
      </w:pPr>
    </w:p>
    <w:p>
      <w:pPr>
        <w:pBdr>
          <w:right w:val="single" w:color="2E74B5" w:sz="18" w:space="10"/>
        </w:pBdr>
        <w:shd w:fill="F2F6FA" w:val="clear"/>
        <w:bidi/>
        <w:spacing w:after="160" w:before="120" w:line="320"/>
        <w:ind w:left="300" w:right="300"/>
        <w:jc w:val="start"/>
      </w:pPr>
      <w:r>
        <w:rPr>
          <w:rFonts w:ascii="Arial" w:cs="Arial" w:eastAsia="Arial" w:hAnsi="Arial"/>
          <w:b/>
          <w:bCs/>
          <w:color w:val="1F4E79"/>
          <w:sz w:val="26"/>
          <w:szCs w:val="26"/>
          <w:rtl/>
        </w:rPr>
        <w:t xml:space="preserve">النموذج اللغوي يتكلّم، أما الوكيل فيتصرّف.</w:t>
      </w:r>
    </w:p>
    <w:p>
      <w:pPr>
        <w:bidi/>
        <w:spacing w:after="120" w:line="300"/>
        <w:jc w:val="start"/>
      </w:pPr>
      <w:r>
        <w:rPr>
          <w:rFonts w:ascii="Arial" w:cs="Arial" w:eastAsia="Arial" w:hAnsi="Arial"/>
          <w:sz w:val="24"/>
          <w:szCs w:val="24"/>
          <w:rtl/>
        </w:rPr>
        <w:t xml:space="preserve">والانتقال من الأول إلى الثاني لا يحتاج نموذجاً أذكى، بل يحتاج ثلاث إضافات حول النموذج نفسه: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الإضافة</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تمنحه للنموذج</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أدوات (Tools)</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يدٌ يمتدّ بها إلى العالم: بحث، حاسبة، قاعدة بيانات، بريد.</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حلقة (Loop)</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قدرة على تكرار المحاولة بعد رؤية النتيجة، بدل جواب واحد نهائي.</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ذاكرة (Memory)</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إدراك ما جرى في الخطوات السابقة.</w:t>
            </w:r>
          </w:p>
        </w:tc>
      </w:tr>
    </w:tbl>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المحور الأول: استخدام الأدوات (Tool Use)</w:t>
      </w:r>
    </w:p>
    <w:p>
      <w:pPr>
        <w:bidi/>
        <w:spacing w:after="120" w:line="300"/>
        <w:jc w:val="start"/>
      </w:pPr>
      <w:r>
        <w:rPr>
          <w:rFonts w:ascii="Arial" w:cs="Arial" w:eastAsia="Arial" w:hAnsi="Arial"/>
          <w:sz w:val="24"/>
          <w:szCs w:val="24"/>
          <w:rtl/>
        </w:rPr>
        <w:t xml:space="preserve">الفكرة أبسط مما تبدو: بدل أن يحاول النموذج معرفة كل شيء، نُعلِمه بوجود أدوات ونصف له وظيفة كل أداة. فإذا واجه سؤالاً يحتاج أداة، لم يُجب من عنده، بل قال: «استدعوا الحاسبة بهذا التعبير».</w:t>
      </w:r>
    </w:p>
    <w:p>
      <w:pPr>
        <w:spacing w:after="80"/>
      </w:pPr>
    </w:p>
    <w:p>
      <w:pPr>
        <w:pStyle w:val="Heading2"/>
        <w:bidi/>
        <w:spacing w:after="120" w:before="240"/>
        <w:jc w:val="start"/>
      </w:pPr>
      <w:r>
        <w:rPr>
          <w:rFonts w:ascii="Arial" w:cs="Arial" w:eastAsia="Arial" w:hAnsi="Arial"/>
          <w:b/>
          <w:bCs/>
          <w:color w:val="1F4E79"/>
          <w:sz w:val="26"/>
          <w:szCs w:val="26"/>
          <w:rtl/>
        </w:rPr>
        <w:t xml:space="preserve">الدورة الكاملة</w:t>
      </w:r>
    </w:p>
    <w:p>
      <w:pPr>
        <w:pStyle w:val="ListParagraph"/>
        <w:numPr>
          <w:ilvl w:val="0"/>
          <w:numId w:val="2"/>
        </w:numPr>
        <w:bidi/>
        <w:spacing w:after="60" w:line="300"/>
        <w:jc w:val="start"/>
      </w:pPr>
      <w:r>
        <w:rPr>
          <w:rFonts w:ascii="Arial" w:cs="Arial" w:eastAsia="Arial" w:hAnsi="Arial"/>
          <w:sz w:val="24"/>
          <w:szCs w:val="24"/>
          <w:rtl/>
        </w:rPr>
        <w:t xml:space="preserve">المستخدم يسأل سؤالاً.</w:t>
      </w:r>
    </w:p>
    <w:p>
      <w:pPr>
        <w:pStyle w:val="ListParagraph"/>
        <w:numPr>
          <w:ilvl w:val="0"/>
          <w:numId w:val="2"/>
        </w:numPr>
        <w:bidi/>
        <w:spacing w:after="60" w:line="300"/>
        <w:jc w:val="start"/>
      </w:pPr>
      <w:r>
        <w:rPr>
          <w:rFonts w:ascii="Arial" w:cs="Arial" w:eastAsia="Arial" w:hAnsi="Arial"/>
          <w:sz w:val="24"/>
          <w:szCs w:val="24"/>
          <w:rtl/>
        </w:rPr>
        <w:t xml:space="preserve">النموذج يقرّر: هل أحتاج أداة؟ وأيّها؟ وبأي مدخلات؟</w:t>
      </w:r>
    </w:p>
    <w:p>
      <w:pPr>
        <w:pStyle w:val="ListParagraph"/>
        <w:numPr>
          <w:ilvl w:val="0"/>
          <w:numId w:val="2"/>
        </w:numPr>
        <w:bidi/>
        <w:spacing w:after="60" w:line="300"/>
        <w:jc w:val="start"/>
      </w:pPr>
      <w:r>
        <w:rPr>
          <w:rFonts w:ascii="Arial" w:cs="Arial" w:eastAsia="Arial" w:hAnsi="Arial"/>
          <w:sz w:val="24"/>
          <w:szCs w:val="24"/>
          <w:rtl/>
        </w:rPr>
        <w:t xml:space="preserve">البرنامج — لا النموذج — ينفّذ الأداة فعلياً.</w:t>
      </w:r>
    </w:p>
    <w:p>
      <w:pPr>
        <w:pStyle w:val="ListParagraph"/>
        <w:numPr>
          <w:ilvl w:val="0"/>
          <w:numId w:val="2"/>
        </w:numPr>
        <w:bidi/>
        <w:spacing w:after="60" w:line="300"/>
        <w:jc w:val="start"/>
      </w:pPr>
      <w:r>
        <w:rPr>
          <w:rFonts w:ascii="Arial" w:cs="Arial" w:eastAsia="Arial" w:hAnsi="Arial"/>
          <w:sz w:val="24"/>
          <w:szCs w:val="24"/>
          <w:rtl/>
        </w:rPr>
        <w:t xml:space="preserve">نتيجة الأداة تُعاد إلى النموذج.</w:t>
      </w:r>
    </w:p>
    <w:p>
      <w:pPr>
        <w:pStyle w:val="ListParagraph"/>
        <w:numPr>
          <w:ilvl w:val="0"/>
          <w:numId w:val="2"/>
        </w:numPr>
        <w:bidi/>
        <w:spacing w:after="60" w:line="300"/>
        <w:jc w:val="start"/>
      </w:pPr>
      <w:r>
        <w:rPr>
          <w:rFonts w:ascii="Arial" w:cs="Arial" w:eastAsia="Arial" w:hAnsi="Arial"/>
          <w:sz w:val="24"/>
          <w:szCs w:val="24"/>
          <w:rtl/>
        </w:rPr>
        <w:t xml:space="preserve">النموذج يصوغ الجواب النهائي معتمداً على النتيجة الحقيقية.</w:t>
      </w:r>
    </w:p>
    <w:p>
      <w:pPr>
        <w:spacing w:after="140"/>
      </w:pPr>
    </w:p>
    <w:p>
      <w:pPr>
        <w:bidi/>
        <w:spacing w:after="120" w:line="300"/>
        <w:jc w:val="start"/>
      </w:pPr>
      <w:r>
        <w:rPr>
          <w:rFonts w:ascii="Arial" w:cs="Arial" w:eastAsia="Arial" w:hAnsi="Arial"/>
          <w:b/>
          <w:bCs/>
          <w:color w:val="C00000"/>
          <w:sz w:val="24"/>
          <w:szCs w:val="24"/>
          <w:rtl/>
        </w:rPr>
        <w:t xml:space="preserve">نقطة جوهرية كثيراً ما تُساء: </w:t>
      </w:r>
      <w:r>
        <w:rPr>
          <w:rFonts w:ascii="Arial" w:cs="Arial" w:eastAsia="Arial" w:hAnsi="Arial"/>
          <w:sz w:val="24"/>
          <w:szCs w:val="24"/>
          <w:rtl/>
        </w:rPr>
        <w:t xml:space="preserve">النموذج لا ينفّذ الأداة بنفسه، بل يطلب تنفيذها فقط. التنفيذ يبقى في يد البرنامج — وهنا تُوضع كل قيود الأمان والصلاحيات.</w:t>
      </w:r>
    </w:p>
    <w:p>
      <w:pPr>
        <w:pStyle w:val="Heading2"/>
        <w:bidi/>
        <w:spacing w:after="120" w:before="240"/>
        <w:jc w:val="start"/>
      </w:pPr>
      <w:r>
        <w:rPr>
          <w:rFonts w:ascii="Arial" w:cs="Arial" w:eastAsia="Arial" w:hAnsi="Arial"/>
          <w:b/>
          <w:bCs/>
          <w:color w:val="1F4E79"/>
          <w:sz w:val="26"/>
          <w:szCs w:val="26"/>
          <w:rtl/>
        </w:rPr>
        <w:t xml:space="preserve">مثال عملي</w:t>
      </w:r>
    </w:p>
    <w:p>
      <w:pPr>
        <w:bidi/>
        <w:spacing w:after="120" w:line="300"/>
        <w:jc w:val="start"/>
      </w:pPr>
      <w:r>
        <w:rPr>
          <w:rFonts w:ascii="Arial" w:cs="Arial" w:eastAsia="Arial" w:hAnsi="Arial"/>
          <w:sz w:val="24"/>
          <w:szCs w:val="24"/>
          <w:rtl/>
        </w:rPr>
        <w:t xml:space="preserve">السؤال: «راتبي ٨٤٠٠ وعليه ضريبة ١٥٪، كم يبقى؟»</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الطريقة</w:t>
            </w:r>
          </w:p>
        </w:tc>
        <w:tc>
          <w:tcPr>
            <w:tcW w:type="dxa" w:w="3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يحدث</w:t>
            </w:r>
          </w:p>
        </w:tc>
        <w:tc>
          <w:tcPr>
            <w:tcW w:type="dxa" w:w="2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النتيجة</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نموذج لغوي مجرّد</w:t>
            </w:r>
          </w:p>
        </w:tc>
        <w:tc>
          <w:tcPr>
            <w:tcW w:type="dxa" w:w="3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يحاول الحساب ذهنياً داخل النص</w:t>
            </w:r>
          </w:p>
        </w:tc>
        <w:tc>
          <w:tcPr>
            <w:tcW w:type="dxa" w:w="28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قد يخطئ</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وكيل بأداة</w:t>
            </w:r>
          </w:p>
        </w:tc>
        <w:tc>
          <w:tcPr>
            <w:tcW w:type="dxa" w:w="3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يستدعي الحاسبة بالتعبير 8400*(1-15/100)</w:t>
            </w:r>
          </w:p>
        </w:tc>
        <w:tc>
          <w:tcPr>
            <w:tcW w:type="dxa" w:w="28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7140 — مضمونة</w:t>
            </w:r>
          </w:p>
        </w:tc>
      </w:tr>
    </w:tbl>
    <w:p>
      <w:pPr>
        <w:spacing w:after="160"/>
      </w:pPr>
    </w:p>
    <w:p>
      <w:pPr>
        <w:bidi/>
        <w:spacing w:after="120" w:line="300"/>
        <w:jc w:val="start"/>
      </w:pPr>
      <w:r>
        <w:rPr>
          <w:rFonts w:ascii="Arial" w:cs="Arial" w:eastAsia="Arial" w:hAnsi="Arial"/>
          <w:sz w:val="24"/>
          <w:szCs w:val="24"/>
          <w:rtl/>
        </w:rPr>
        <w:t xml:space="preserve">الفرق ليس في الذكاء، بل في الاعتراف بالحدود واستخدام الأداة المناسبة. وهذا بالضبط ما يفعله المهندس حين يمسك الآلة الحاسبة بدل أن يحسب في رأسه.</w:t>
      </w:r>
    </w:p>
    <w:p>
      <w:pPr>
        <w:spacing w:after="120"/>
      </w:pPr>
    </w:p>
    <w:p>
      <w:pPr>
        <w:bidi/>
        <w:spacing w:after="120" w:line="300"/>
        <w:jc w:val="start"/>
      </w:pPr>
      <w:r>
        <w:rPr>
          <w:rFonts w:ascii="Arial" w:cs="Arial" w:eastAsia="Arial" w:hAnsi="Arial"/>
          <w:sz w:val="24"/>
          <w:szCs w:val="24"/>
          <w:rtl/>
        </w:rPr>
        <w:t xml:space="preserve">المثال البرمجي الكامل في الملف: </w:t>
      </w:r>
      <w:r>
        <w:rPr>
          <w:rFonts w:ascii="Consolas" w:cs="Consolas" w:eastAsia="Consolas" w:hAnsi="Consolas"/>
          <w:b/>
          <w:bCs/>
          <w:color w:val="2E74B5"/>
          <w:sz w:val="24"/>
          <w:szCs w:val="24"/>
        </w:rPr>
        <w:t xml:space="preserve">examples/01_tool_use.py</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المحور الثاني: الوكلاء (Agents)</w:t>
      </w:r>
    </w:p>
    <w:p>
      <w:pPr>
        <w:bidi/>
        <w:spacing w:after="120" w:line="300"/>
        <w:jc w:val="start"/>
      </w:pPr>
      <w:r>
        <w:rPr>
          <w:rFonts w:ascii="Arial" w:cs="Arial" w:eastAsia="Arial" w:hAnsi="Arial"/>
          <w:sz w:val="24"/>
          <w:szCs w:val="24"/>
          <w:rtl/>
        </w:rPr>
        <w:t xml:space="preserve">استخدام الأداة خطوة واحدة. الوكيل هو ما يحدث حين نضع هذه الخطوة داخل حلقة.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النمط</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المسار</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استخدام أداة</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سؤال ← أداة واحدة ← جواب</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وكيل</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سؤال ← فكّر ← نفّذ ← لاحظ ← فكّر ← ... حتى يكتمل الهدف</w:t>
            </w:r>
          </w:p>
        </w:tc>
      </w:tr>
    </w:tbl>
    <w:p>
      <w:pPr>
        <w:spacing w:after="200"/>
      </w:pPr>
    </w:p>
    <w:p>
      <w:pPr>
        <w:bidi/>
        <w:spacing w:after="120" w:line="300"/>
        <w:jc w:val="start"/>
      </w:pPr>
      <w:r>
        <w:rPr>
          <w:rFonts w:ascii="Arial" w:cs="Arial" w:eastAsia="Arial" w:hAnsi="Arial"/>
          <w:sz w:val="24"/>
          <w:szCs w:val="24"/>
          <w:rtl/>
        </w:rPr>
        <w:t xml:space="preserve">هذا النمط معروف باسم ReAct، اختصاراً لـ Reasoning + Acting — أي التفكير والتنفيذ معاً. وجوهره أن الوكيل يرى نتيجة كل خطوة قبل أن يقرّر الخطوة التالية، ولهذا يستطيع معالجة مهام لا تُحلّ بخطوة واحدة.</w:t>
      </w:r>
    </w:p>
    <w:p>
      <w:pPr>
        <w:pStyle w:val="Heading2"/>
        <w:bidi/>
        <w:spacing w:after="120" w:before="240"/>
        <w:jc w:val="start"/>
      </w:pPr>
      <w:r>
        <w:rPr>
          <w:rFonts w:ascii="Arial" w:cs="Arial" w:eastAsia="Arial" w:hAnsi="Arial"/>
          <w:b/>
          <w:bCs/>
          <w:color w:val="1F4E79"/>
          <w:sz w:val="26"/>
          <w:szCs w:val="26"/>
          <w:rtl/>
        </w:rPr>
        <w:t xml:space="preserve">أركان الوكيل الأربعة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الركن</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وظيفته</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الهدف (Goal)</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ما المطلوب إنجازه — وهو مقياس التوقّف.</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الأدوات (Tools)</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ما يستطيع الوكيل فعله في العالم.</w:t>
            </w:r>
          </w:p>
        </w:tc>
      </w:tr>
      <w:tr>
        <w:tc>
          <w:tcPr>
            <w:tcW w:type="dxa" w:w="26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الذاكرة (Memory)</w:t>
            </w:r>
          </w:p>
        </w:tc>
        <w:tc>
          <w:tcPr>
            <w:tcW w:type="dxa" w:w="6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سجل ما نُفِّذ وما لوحِظ حتى الآن.</w:t>
            </w:r>
          </w:p>
        </w:tc>
      </w:tr>
      <w:tr>
        <w:tc>
          <w:tcPr>
            <w:tcW w:type="dxa" w:w="26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شرط التوقّف</w:t>
            </w:r>
          </w:p>
        </w:tc>
        <w:tc>
          <w:tcPr>
            <w:tcW w:type="dxa" w:w="6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متى يتوقّف: باكتمال الهدف أو ببلوغ سقف الخطوات.</w:t>
            </w:r>
          </w:p>
        </w:tc>
      </w:tr>
    </w:tbl>
    <w:p>
      <w:pPr>
        <w:pStyle w:val="Heading2"/>
        <w:bidi/>
        <w:spacing w:after="120" w:before="240"/>
        <w:jc w:val="start"/>
      </w:pPr>
      <w:r>
        <w:rPr>
          <w:rFonts w:ascii="Arial" w:cs="Arial" w:eastAsia="Arial" w:hAnsi="Arial"/>
          <w:b/>
          <w:bCs/>
          <w:color w:val="1F4E79"/>
          <w:sz w:val="26"/>
          <w:szCs w:val="26"/>
          <w:rtl/>
        </w:rPr>
        <w:t xml:space="preserve">مثال: طلب ثلاثة أجهزة</w:t>
      </w:r>
    </w:p>
    <w:p>
      <w:pPr>
        <w:bidi/>
        <w:spacing w:after="120" w:line="300"/>
        <w:jc w:val="start"/>
      </w:pPr>
      <w:r>
        <w:rPr>
          <w:rFonts w:ascii="Arial" w:cs="Arial" w:eastAsia="Arial" w:hAnsi="Arial"/>
          <w:sz w:val="24"/>
          <w:szCs w:val="24"/>
          <w:rtl/>
        </w:rPr>
        <w:t xml:space="preserve">الهدف: «أريد طلب ٣ لابتوبات — هل الكمية تكفي وكم التكلفة؟»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600"/>
        <w:gridCol w:w="3100"/>
      </w:tblGrid>
      <w:tr>
        <w:trPr>
          <w:tblHeader/>
        </w:trPr>
        <w:tc>
          <w:tcPr>
            <w:tcW w:type="dxa" w:w="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الخطوة</w:t>
            </w:r>
          </w:p>
        </w:tc>
        <w:tc>
          <w:tcPr>
            <w:tcW w:type="dxa" w:w="3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فكّر</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نفّذ</w:t>
            </w:r>
          </w:p>
        </w:tc>
        <w:tc>
          <w:tcPr>
            <w:tcW w:type="dxa" w:w="3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لاحظ</w:t>
            </w:r>
          </w:p>
        </w:tc>
      </w:tr>
      <w:tr>
        <w:tc>
          <w:tcPr>
            <w:tcW w:type="dxa" w:w="9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١</w:t>
            </w:r>
          </w:p>
        </w:tc>
        <w:tc>
          <w:tcPr>
            <w:tcW w:type="dxa" w:w="3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أتحقّق من الكمية أولاً</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stock</w:t>
            </w:r>
          </w:p>
        </w:tc>
        <w:tc>
          <w:tcPr>
            <w:tcW w:type="dxa" w:w="3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12</w:t>
            </w:r>
          </w:p>
        </w:tc>
      </w:tr>
      <w:tr>
        <w:tc>
          <w:tcPr>
            <w:tcW w:type="dxa" w:w="9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٢</w:t>
            </w:r>
          </w:p>
        </w:tc>
        <w:tc>
          <w:tcPr>
            <w:tcW w:type="dxa" w:w="3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الكمية تكفي، أحتاج السعر</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price</w:t>
            </w:r>
          </w:p>
        </w:tc>
        <w:tc>
          <w:tcPr>
            <w:tcW w:type="dxa" w:w="3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45000</w:t>
            </w:r>
          </w:p>
        </w:tc>
      </w:tr>
      <w:tr>
        <w:tc>
          <w:tcPr>
            <w:tcW w:type="dxa" w:w="9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٣</w:t>
            </w:r>
          </w:p>
        </w:tc>
        <w:tc>
          <w:tcPr>
            <w:tcW w:type="dxa" w:w="3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أضرب السعر في العدد</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calc</w:t>
            </w:r>
          </w:p>
        </w:tc>
        <w:tc>
          <w:tcPr>
            <w:tcW w:type="dxa" w:w="31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135000</w:t>
            </w:r>
          </w:p>
        </w:tc>
      </w:tr>
      <w:tr>
        <w:tc>
          <w:tcPr>
            <w:tcW w:type="dxa" w:w="9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٤</w:t>
            </w:r>
          </w:p>
        </w:tc>
        <w:tc>
          <w:tcPr>
            <w:tcW w:type="dxa" w:w="3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اكتملت المعلومات — أتوقّف</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sz w:val="22"/>
                <w:szCs w:val="22"/>
              </w:rPr>
              <w:t xml:space="preserve">—</w:t>
            </w:r>
          </w:p>
        </w:tc>
        <w:tc>
          <w:tcPr>
            <w:tcW w:type="dxa" w:w="31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الجواب النهائي</w:t>
            </w:r>
          </w:p>
        </w:tc>
      </w:tr>
    </w:tbl>
    <w:p>
      <w:pPr>
        <w:spacing w:after="180"/>
      </w:pPr>
    </w:p>
    <w:p>
      <w:pPr>
        <w:bidi/>
        <w:spacing w:after="120" w:line="300"/>
        <w:jc w:val="start"/>
      </w:pPr>
      <w:r>
        <w:rPr>
          <w:rFonts w:ascii="Arial" w:cs="Arial" w:eastAsia="Arial" w:hAnsi="Arial"/>
          <w:sz w:val="24"/>
          <w:szCs w:val="24"/>
          <w:rtl/>
        </w:rPr>
        <w:t xml:space="preserve">ثلاث ملاحظات على ما جرى:</w:t>
      </w:r>
    </w:p>
    <w:p>
      <w:pPr>
        <w:pStyle w:val="ListParagraph"/>
        <w:numPr>
          <w:ilvl w:val="0"/>
          <w:numId w:val="2"/>
        </w:numPr>
        <w:bidi/>
        <w:spacing w:after="60" w:line="300"/>
        <w:jc w:val="start"/>
      </w:pPr>
      <w:r>
        <w:rPr>
          <w:rFonts w:ascii="Arial" w:cs="Arial" w:eastAsia="Arial" w:hAnsi="Arial"/>
          <w:sz w:val="24"/>
          <w:szCs w:val="24"/>
          <w:rtl/>
        </w:rPr>
        <w:t xml:space="preserve">كل خطوة بُنيت على نتيجة سابقتها — لم تكن الخطوات مرسومة سلفاً.</w:t>
      </w:r>
    </w:p>
    <w:p>
      <w:pPr>
        <w:pStyle w:val="ListParagraph"/>
        <w:numPr>
          <w:ilvl w:val="0"/>
          <w:numId w:val="2"/>
        </w:numPr>
        <w:bidi/>
        <w:spacing w:after="60" w:line="300"/>
        <w:jc w:val="start"/>
      </w:pPr>
      <w:r>
        <w:rPr>
          <w:rFonts w:ascii="Arial" w:cs="Arial" w:eastAsia="Arial" w:hAnsi="Arial"/>
          <w:sz w:val="24"/>
          <w:szCs w:val="24"/>
          <w:rtl/>
        </w:rPr>
        <w:t xml:space="preserve">الوكيل توقّف بنفسه حين اكتمل الهدف، ولم نحدّد له عدد الخطوات.</w:t>
      </w:r>
    </w:p>
    <w:p>
      <w:pPr>
        <w:pStyle w:val="ListParagraph"/>
        <w:numPr>
          <w:ilvl w:val="0"/>
          <w:numId w:val="2"/>
        </w:numPr>
        <w:bidi/>
        <w:spacing w:after="60" w:line="300"/>
        <w:jc w:val="start"/>
      </w:pPr>
      <w:r>
        <w:rPr>
          <w:rFonts w:ascii="Arial" w:cs="Arial" w:eastAsia="Arial" w:hAnsi="Arial"/>
          <w:sz w:val="24"/>
          <w:szCs w:val="24"/>
          <w:rtl/>
        </w:rPr>
        <w:t xml:space="preserve">لو كانت الكمية أقل من ٣ لأنهى المهمة مبكراً دون حساب التكلفة — لأنه لا معنى لها.</w:t>
      </w:r>
    </w:p>
    <w:p>
      <w:pPr>
        <w:spacing w:after="120"/>
      </w:pPr>
    </w:p>
    <w:p>
      <w:pPr>
        <w:bidi/>
        <w:spacing w:after="120" w:line="300"/>
        <w:jc w:val="start"/>
      </w:pPr>
      <w:r>
        <w:rPr>
          <w:rFonts w:ascii="Arial" w:cs="Arial" w:eastAsia="Arial" w:hAnsi="Arial"/>
          <w:b/>
          <w:bCs/>
          <w:color w:val="C00000"/>
          <w:sz w:val="24"/>
          <w:szCs w:val="24"/>
          <w:rtl/>
        </w:rPr>
        <w:t xml:space="preserve">تحذير عملي: </w:t>
      </w:r>
      <w:r>
        <w:rPr>
          <w:rFonts w:ascii="Arial" w:cs="Arial" w:eastAsia="Arial" w:hAnsi="Arial"/>
          <w:sz w:val="24"/>
          <w:szCs w:val="24"/>
          <w:rtl/>
        </w:rPr>
        <w:t xml:space="preserve">كل وكيل يحتاج سقفاً أعلى لعدد الخطوات (MAX_STEPS). بدونه قد يدور الوكيل بلا نهاية عند أول خطأ متكرّر، ويستهلك تكلفة غير محدودة.</w:t>
      </w:r>
    </w:p>
    <w:p>
      <w:pPr>
        <w:spacing w:after="120"/>
      </w:pPr>
    </w:p>
    <w:p>
      <w:pPr>
        <w:bidi/>
        <w:spacing w:after="120" w:line="300"/>
        <w:jc w:val="start"/>
      </w:pPr>
      <w:r>
        <w:rPr>
          <w:rFonts w:ascii="Arial" w:cs="Arial" w:eastAsia="Arial" w:hAnsi="Arial"/>
          <w:sz w:val="24"/>
          <w:szCs w:val="24"/>
          <w:rtl/>
        </w:rPr>
        <w:t xml:space="preserve">المثال البرمجي الكامل في الملف: </w:t>
      </w:r>
      <w:r>
        <w:rPr>
          <w:rFonts w:ascii="Consolas" w:cs="Consolas" w:eastAsia="Consolas" w:hAnsi="Consolas"/>
          <w:b/>
          <w:bCs/>
          <w:color w:val="2E74B5"/>
          <w:sz w:val="24"/>
          <w:szCs w:val="24"/>
        </w:rPr>
        <w:t xml:space="preserve">examples/02_simple_agent.py</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المحور الثالث: الأنظمة متعددة الوكلاء (Multi-Agent Systems)</w:t>
      </w:r>
    </w:p>
    <w:p>
      <w:pPr>
        <w:bidi/>
        <w:spacing w:after="120" w:line="300"/>
        <w:jc w:val="start"/>
      </w:pPr>
      <w:r>
        <w:rPr>
          <w:rFonts w:ascii="Arial" w:cs="Arial" w:eastAsia="Arial" w:hAnsi="Arial"/>
          <w:sz w:val="24"/>
          <w:szCs w:val="24"/>
          <w:rtl/>
        </w:rPr>
        <w:t xml:space="preserve">حين تكبر المهمة، يصبح تحميل وكيل واحد كل المسؤوليات مصدراً للأخطاء: تعليماته تطول، وأدواته تكثر، ويختلط عليه الأمر. الحل هو ما يفعله أي فريق بشري — التخصّص.</w:t>
      </w:r>
    </w:p>
    <w:p>
      <w:pPr>
        <w:spacing w:after="80"/>
      </w:pPr>
    </w:p>
    <w:p>
      <w:pPr>
        <w:pStyle w:val="Heading2"/>
        <w:bidi/>
        <w:spacing w:after="120" w:before="240"/>
        <w:jc w:val="start"/>
      </w:pPr>
      <w:r>
        <w:rPr>
          <w:rFonts w:ascii="Arial" w:cs="Arial" w:eastAsia="Arial" w:hAnsi="Arial"/>
          <w:b/>
          <w:bCs/>
          <w:color w:val="1F4E79"/>
          <w:sz w:val="26"/>
          <w:szCs w:val="26"/>
          <w:rtl/>
        </w:rPr>
        <w:t xml:space="preserve">مثال: إعداد تقرير مبيعات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الوكيل</w:t>
            </w:r>
          </w:p>
        </w:tc>
        <w:tc>
          <w:tcPr>
            <w:tcW w:type="dxa" w:w="3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دوره</w:t>
            </w:r>
          </w:p>
        </w:tc>
        <w:tc>
          <w:tcPr>
            <w:tcW w:type="dxa" w:w="3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مخرَجه</w:t>
            </w:r>
          </w:p>
        </w:tc>
      </w:tr>
      <w:tr>
        <w:tc>
          <w:tcPr>
            <w:tcW w:type="dxa" w:w="1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الباحث</w:t>
            </w:r>
          </w:p>
        </w:tc>
        <w:tc>
          <w:tcPr>
            <w:tcW w:type="dxa" w:w="38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يجمع البيانات الخام</w:t>
            </w:r>
          </w:p>
        </w:tc>
        <w:tc>
          <w:tcPr>
            <w:tcW w:type="dxa" w:w="3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بيانات المبيعات</w:t>
            </w:r>
          </w:p>
        </w:tc>
      </w:tr>
      <w:tr>
        <w:tc>
          <w:tcPr>
            <w:tcW w:type="dxa" w:w="1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المحلّل</w:t>
            </w:r>
          </w:p>
        </w:tc>
        <w:tc>
          <w:tcPr>
            <w:tcW w:type="dxa" w:w="38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يحسب المؤشرات ويستخرج الدلالة</w:t>
            </w:r>
          </w:p>
        </w:tc>
        <w:tc>
          <w:tcPr>
            <w:tcW w:type="dxa" w:w="3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إجمالي ونِسب ونمو</w:t>
            </w:r>
          </w:p>
        </w:tc>
      </w:tr>
      <w:tr>
        <w:tc>
          <w:tcPr>
            <w:tcW w:type="dxa" w:w="1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الكاتب</w:t>
            </w:r>
          </w:p>
        </w:tc>
        <w:tc>
          <w:tcPr>
            <w:tcW w:type="dxa" w:w="38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يصوغ التقرير بلغة مفهومة</w:t>
            </w:r>
          </w:p>
        </w:tc>
        <w:tc>
          <w:tcPr>
            <w:tcW w:type="dxa" w:w="34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نص التقرير</w:t>
            </w:r>
          </w:p>
        </w:tc>
      </w:tr>
      <w:tr>
        <w:tc>
          <w:tcPr>
            <w:tcW w:type="dxa" w:w="1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المراجع</w:t>
            </w:r>
          </w:p>
        </w:tc>
        <w:tc>
          <w:tcPr>
            <w:tcW w:type="dxa" w:w="38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يفحص المخرَج ويقبله أو يردّه</w:t>
            </w:r>
          </w:p>
        </w:tc>
        <w:tc>
          <w:tcPr>
            <w:tcW w:type="dxa" w:w="34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قبول أو ملاحظات</w:t>
            </w:r>
          </w:p>
        </w:tc>
      </w:tr>
    </w:tbl>
    <w:p>
      <w:pPr>
        <w:spacing w:after="160"/>
      </w:pPr>
    </w:p>
    <w:p>
      <w:pPr>
        <w:bidi/>
        <w:spacing w:after="120" w:line="300"/>
        <w:jc w:val="start"/>
      </w:pPr>
      <w:r>
        <w:rPr>
          <w:rFonts w:ascii="Arial" w:cs="Arial" w:eastAsia="Arial" w:hAnsi="Arial"/>
          <w:sz w:val="24"/>
          <w:szCs w:val="24"/>
          <w:rtl/>
        </w:rPr>
        <w:t xml:space="preserve">ويتولّى وكيل خامس — المنسّق (Orchestrator) — تمرير مخرَج كل وكيل مدخلاً للذي بعده، وإعادة العمل إن ردّه المراجع.</w:t>
      </w:r>
    </w:p>
    <w:p>
      <w:pPr>
        <w:pStyle w:val="Heading2"/>
        <w:bidi/>
        <w:spacing w:after="120" w:before="240"/>
        <w:jc w:val="start"/>
      </w:pPr>
      <w:r>
        <w:rPr>
          <w:rFonts w:ascii="Arial" w:cs="Arial" w:eastAsia="Arial" w:hAnsi="Arial"/>
          <w:b/>
          <w:bCs/>
          <w:color w:val="1F4E79"/>
          <w:sz w:val="26"/>
          <w:szCs w:val="26"/>
          <w:rtl/>
        </w:rPr>
        <w:t xml:space="preserve">المكاسب والتكاليف</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المكاسب</w:t>
            </w:r>
          </w:p>
        </w:tc>
        <w:tc>
          <w:tcPr>
            <w:tcW w:type="dxa" w:w="4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التكاليف</w:t>
            </w:r>
          </w:p>
        </w:tc>
      </w:tr>
      <w:tr>
        <w:tc>
          <w:tcPr>
            <w:tcW w:type="dxa" w:w="4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تعليمات كل وكيل أضيق وأوضح فتقلّ أخطاؤه</w:t>
            </w:r>
          </w:p>
        </w:tc>
        <w:tc>
          <w:tcPr>
            <w:tcW w:type="dxa" w:w="4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كل وكيل نداء إضافي للنموذج — التكلفة تتضاعف</w:t>
            </w:r>
          </w:p>
        </w:tc>
      </w:tr>
      <w:tr>
        <w:tc>
          <w:tcPr>
            <w:tcW w:type="dxa" w:w="45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وكيل المراجعة يمسك الأخطاء قبل المستخدم</w:t>
            </w:r>
          </w:p>
        </w:tc>
        <w:tc>
          <w:tcPr>
            <w:tcW w:type="dxa" w:w="45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زمن الاستجابة يطول</w:t>
            </w:r>
          </w:p>
        </w:tc>
      </w:tr>
      <w:tr>
        <w:tc>
          <w:tcPr>
            <w:tcW w:type="dxa" w:w="4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يسهل استبدال وكيل أو تطويره وحده</w:t>
            </w:r>
          </w:p>
        </w:tc>
        <w:tc>
          <w:tcPr>
            <w:tcW w:type="dxa" w:w="45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خطأ في وكيل مبكّر ينتقل إلى من بعده</w:t>
            </w:r>
          </w:p>
        </w:tc>
      </w:tr>
      <w:tr>
        <w:tc>
          <w:tcPr>
            <w:tcW w:type="dxa" w:w="45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إمكانية تشغيل بعض الوكلاء بالتوازي</w:t>
            </w:r>
          </w:p>
        </w:tc>
        <w:tc>
          <w:tcPr>
            <w:tcW w:type="dxa" w:w="45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تعقيد أكبر في التتبّع وكشف الأعطال</w:t>
            </w:r>
          </w:p>
        </w:tc>
      </w:tr>
    </w:tbl>
    <w:p>
      <w:pPr>
        <w:spacing w:after="180"/>
      </w:pPr>
    </w:p>
    <w:p>
      <w:pPr>
        <w:bidi/>
        <w:spacing w:after="120" w:line="300"/>
        <w:jc w:val="start"/>
      </w:pPr>
      <w:r>
        <w:rPr>
          <w:rFonts w:ascii="Arial" w:cs="Arial" w:eastAsia="Arial" w:hAnsi="Arial"/>
          <w:b/>
          <w:bCs/>
          <w:color w:val="C00000"/>
          <w:sz w:val="24"/>
          <w:szCs w:val="24"/>
          <w:rtl/>
        </w:rPr>
        <w:t xml:space="preserve">القاعدة العملية: </w:t>
      </w:r>
      <w:r>
        <w:rPr>
          <w:rFonts w:ascii="Arial" w:cs="Arial" w:eastAsia="Arial" w:hAnsi="Arial"/>
          <w:sz w:val="24"/>
          <w:szCs w:val="24"/>
          <w:rtl/>
        </w:rPr>
        <w:t xml:space="preserve">لا تلجأ إلى تعدّد الوكلاء إلا حين يعجز الوكيل الواحد فعلاً. التعقيد المبكّر يكلّف أكثر مما يفيد.</w:t>
      </w:r>
    </w:p>
    <w:p>
      <w:pPr>
        <w:spacing w:after="120"/>
      </w:pPr>
    </w:p>
    <w:p>
      <w:pPr>
        <w:bidi/>
        <w:spacing w:after="120" w:line="300"/>
        <w:jc w:val="start"/>
      </w:pPr>
      <w:r>
        <w:rPr>
          <w:rFonts w:ascii="Arial" w:cs="Arial" w:eastAsia="Arial" w:hAnsi="Arial"/>
          <w:sz w:val="24"/>
          <w:szCs w:val="24"/>
          <w:rtl/>
        </w:rPr>
        <w:t xml:space="preserve">المثال البرمجي الكامل في الملف: </w:t>
      </w:r>
      <w:r>
        <w:rPr>
          <w:rFonts w:ascii="Consolas" w:cs="Consolas" w:eastAsia="Consolas" w:hAnsi="Consolas"/>
          <w:b/>
          <w:bCs/>
          <w:color w:val="2E74B5"/>
          <w:sz w:val="24"/>
          <w:szCs w:val="24"/>
        </w:rPr>
        <w:t xml:space="preserve">examples/03_multi_agent.py</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المحور الرابع: الاتجاهات المستقبلية (Future Trends)</w:t>
      </w:r>
    </w:p>
    <w:p>
      <w:pPr>
        <w:bidi/>
        <w:spacing w:after="120" w:line="300"/>
        <w:jc w:val="start"/>
      </w:pPr>
      <w:r>
        <w:rPr>
          <w:rFonts w:ascii="Arial" w:cs="Arial" w:eastAsia="Arial" w:hAnsi="Arial"/>
          <w:sz w:val="24"/>
          <w:szCs w:val="24"/>
          <w:rtl/>
        </w:rPr>
        <w:t xml:space="preserve">ما الذي يتحرّك الآن، وإلى أين يتّجه المجال؟</w:t>
      </w:r>
    </w:p>
    <w:p>
      <w:pPr>
        <w:pStyle w:val="Heading2"/>
        <w:bidi/>
        <w:spacing w:after="120" w:before="240"/>
        <w:jc w:val="start"/>
      </w:pPr>
      <w:r>
        <w:rPr>
          <w:rFonts w:ascii="Arial" w:cs="Arial" w:eastAsia="Arial" w:hAnsi="Arial"/>
          <w:b/>
          <w:bCs/>
          <w:color w:val="1F4E79"/>
          <w:sz w:val="26"/>
          <w:szCs w:val="26"/>
          <w:rtl/>
        </w:rPr>
        <w:t xml:space="preserve">١) توحيد طريقة ربط الأدوات</w:t>
      </w:r>
    </w:p>
    <w:p>
      <w:pPr>
        <w:bidi/>
        <w:spacing w:after="120" w:line="300"/>
        <w:jc w:val="start"/>
      </w:pPr>
      <w:r>
        <w:rPr>
          <w:rFonts w:ascii="Arial" w:cs="Arial" w:eastAsia="Arial" w:hAnsi="Arial"/>
          <w:sz w:val="24"/>
          <w:szCs w:val="24"/>
          <w:rtl/>
        </w:rPr>
        <w:t xml:space="preserve">كانت كل منصّة تربط أدواتها بطريقتها الخاصة، فيُعاد كتابة العمل مع كل تغيير. ظهرت معايير مفتوحة — أبرزها Model Context Protocol (MCP) — لتوحيد الطريقة التي تُعرَّف بها الأداة وتُستدعى، فتُكتب الأداة مرة وتعمل مع أي نموذج.</w:t>
      </w:r>
    </w:p>
    <w:p>
      <w:pPr>
        <w:pStyle w:val="Heading2"/>
        <w:bidi/>
        <w:spacing w:after="120" w:before="240"/>
        <w:jc w:val="start"/>
      </w:pPr>
      <w:r>
        <w:rPr>
          <w:rFonts w:ascii="Arial" w:cs="Arial" w:eastAsia="Arial" w:hAnsi="Arial"/>
          <w:b/>
          <w:bCs/>
          <w:color w:val="1F4E79"/>
          <w:sz w:val="26"/>
          <w:szCs w:val="26"/>
          <w:rtl/>
        </w:rPr>
        <w:t xml:space="preserve">٢) الذاكرة طويلة المدى</w:t>
      </w:r>
    </w:p>
    <w:p>
      <w:pPr>
        <w:bidi/>
        <w:spacing w:after="120" w:line="300"/>
        <w:jc w:val="start"/>
      </w:pPr>
      <w:r>
        <w:rPr>
          <w:rFonts w:ascii="Arial" w:cs="Arial" w:eastAsia="Arial" w:hAnsi="Arial"/>
          <w:sz w:val="24"/>
          <w:szCs w:val="24"/>
          <w:rtl/>
        </w:rPr>
        <w:t xml:space="preserve">وكيل اليوم ينسى كل شيء بانتهاء الجلسة. الاتجاه هو منحه ذاكرة دائمة يتذكّر بها تفضيلاتك وما تعلّمه من تعاملاته السابقة معك، فيتحسّن أداؤه مع الوقت بدل أن يبدأ من الصفر كل مرة.</w:t>
      </w:r>
    </w:p>
    <w:p>
      <w:pPr>
        <w:pStyle w:val="Heading2"/>
        <w:bidi/>
        <w:spacing w:after="120" w:before="240"/>
        <w:jc w:val="start"/>
      </w:pPr>
      <w:r>
        <w:rPr>
          <w:rFonts w:ascii="Arial" w:cs="Arial" w:eastAsia="Arial" w:hAnsi="Arial"/>
          <w:b/>
          <w:bCs/>
          <w:color w:val="1F4E79"/>
          <w:sz w:val="26"/>
          <w:szCs w:val="26"/>
          <w:rtl/>
        </w:rPr>
        <w:t xml:space="preserve">٣) الوكلاء متعددو الوسائط</w:t>
      </w:r>
    </w:p>
    <w:p>
      <w:pPr>
        <w:bidi/>
        <w:spacing w:after="120" w:line="300"/>
        <w:jc w:val="start"/>
      </w:pPr>
      <w:r>
        <w:rPr>
          <w:rFonts w:ascii="Arial" w:cs="Arial" w:eastAsia="Arial" w:hAnsi="Arial"/>
          <w:sz w:val="24"/>
          <w:szCs w:val="24"/>
          <w:rtl/>
        </w:rPr>
        <w:t xml:space="preserve">لم يعد المدخل نصاً فقط. الوكيل يقرأ الصور والمخططات، ويستمع، ويرى الشاشة ويتحكّم فيها. وهذا يوسّع دائرة المهام من «معالجة النص» إلى «إنجاز العمل».</w:t>
      </w:r>
    </w:p>
    <w:p>
      <w:pPr>
        <w:pStyle w:val="Heading2"/>
        <w:bidi/>
        <w:spacing w:after="120" w:before="240"/>
        <w:jc w:val="start"/>
      </w:pPr>
      <w:r>
        <w:rPr>
          <w:rFonts w:ascii="Arial" w:cs="Arial" w:eastAsia="Arial" w:hAnsi="Arial"/>
          <w:b/>
          <w:bCs/>
          <w:color w:val="1F4E79"/>
          <w:sz w:val="26"/>
          <w:szCs w:val="26"/>
          <w:rtl/>
        </w:rPr>
        <w:t xml:space="preserve">٤) الاستقلالية وحدودها</w:t>
      </w:r>
    </w:p>
    <w:p>
      <w:pPr>
        <w:bidi/>
        <w:spacing w:after="120" w:line="300"/>
        <w:jc w:val="start"/>
      </w:pPr>
      <w:r>
        <w:rPr>
          <w:rFonts w:ascii="Arial" w:cs="Arial" w:eastAsia="Arial" w:hAnsi="Arial"/>
          <w:sz w:val="24"/>
          <w:szCs w:val="24"/>
          <w:rtl/>
        </w:rPr>
        <w:t xml:space="preserve">كلما زادت استقلالية الوكيل زادت فائدته وزاد خطره معاً. ولهذا تتّجه الأنظمة الجادّة إلى تدرّج واضح في الصلاحيات: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المستوى</w:t>
            </w:r>
          </w:p>
        </w:tc>
        <w:tc>
          <w:tcPr>
            <w:tcW w:type="dxa" w:w="3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الصلاحية</w:t>
            </w:r>
          </w:p>
        </w:tc>
        <w:tc>
          <w:tcPr>
            <w:tcW w:type="dxa" w:w="4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مثال</w:t>
            </w:r>
          </w:p>
        </w:tc>
      </w:tr>
      <w:tr>
        <w:tc>
          <w:tcPr>
            <w:tcW w:type="dxa" w:w="1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مقترِح</w:t>
            </w:r>
          </w:p>
        </w:tc>
        <w:tc>
          <w:tcPr>
            <w:tcW w:type="dxa" w:w="3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يقترح ولا ينفّذ</w:t>
            </w:r>
          </w:p>
        </w:tc>
        <w:tc>
          <w:tcPr>
            <w:tcW w:type="dxa" w:w="4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يكتب مسودّة بريد وينتظر موافقتك</w:t>
            </w:r>
          </w:p>
        </w:tc>
      </w:tr>
      <w:tr>
        <w:tc>
          <w:tcPr>
            <w:tcW w:type="dxa" w:w="1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منفِّذ بإذن</w:t>
            </w:r>
          </w:p>
        </w:tc>
        <w:tc>
          <w:tcPr>
            <w:tcW w:type="dxa" w:w="3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ينفّذ بعد موافقة صريحة على كل خطوة</w:t>
            </w:r>
          </w:p>
        </w:tc>
        <w:tc>
          <w:tcPr>
            <w:tcW w:type="dxa" w:w="4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يطلب الإذن قبل إرسال البريد</w:t>
            </w:r>
          </w:p>
        </w:tc>
      </w:tr>
      <w:tr>
        <w:tc>
          <w:tcPr>
            <w:tcW w:type="dxa" w:w="18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مستقلّ محدود</w:t>
            </w:r>
          </w:p>
        </w:tc>
        <w:tc>
          <w:tcPr>
            <w:tcW w:type="dxa" w:w="30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ينفّذ وحده داخل حدود مرسومة</w:t>
            </w:r>
          </w:p>
        </w:tc>
        <w:tc>
          <w:tcPr>
            <w:tcW w:type="dxa" w:w="42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يرد على الرسائل الروتينية فقط</w:t>
            </w:r>
          </w:p>
        </w:tc>
      </w:tr>
      <w:tr>
        <w:tc>
          <w:tcPr>
            <w:tcW w:type="dxa" w:w="18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مستقلّ كامل</w:t>
            </w:r>
          </w:p>
        </w:tc>
        <w:tc>
          <w:tcPr>
            <w:tcW w:type="dxa" w:w="30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ينفّذ دون مراجعة</w:t>
            </w:r>
          </w:p>
        </w:tc>
        <w:tc>
          <w:tcPr>
            <w:tcW w:type="dxa" w:w="42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نادر — ويحتاج مبرّراً قوياً</w:t>
            </w:r>
          </w:p>
        </w:tc>
      </w:tr>
    </w:tbl>
    <w:p>
      <w:pPr>
        <w:spacing w:after="180"/>
      </w:pPr>
    </w:p>
    <w:p>
      <w:pPr>
        <w:bidi/>
        <w:spacing w:after="120" w:line="300"/>
        <w:jc w:val="start"/>
      </w:pPr>
      <w:r>
        <w:rPr>
          <w:rFonts w:ascii="Arial" w:cs="Arial" w:eastAsia="Arial" w:hAnsi="Arial"/>
          <w:sz w:val="24"/>
          <w:szCs w:val="24"/>
          <w:rtl/>
        </w:rPr>
        <w:t xml:space="preserve">والقاعدة أن الصلاحية تُمنح بقدر الحاجة لا بقدر القدرة. فالخطأ في نص مقروء يُصحَّح، أما الخطأ في تحويل مالي أو حذف بيانات فقد لا يُستدرك.</w:t>
      </w:r>
    </w:p>
    <w:p>
      <w:pPr>
        <w:pStyle w:val="Heading2"/>
        <w:bidi/>
        <w:spacing w:after="120" w:before="240"/>
        <w:jc w:val="start"/>
      </w:pPr>
      <w:r>
        <w:rPr>
          <w:rFonts w:ascii="Arial" w:cs="Arial" w:eastAsia="Arial" w:hAnsi="Arial"/>
          <w:b/>
          <w:bCs/>
          <w:color w:val="1F4E79"/>
          <w:sz w:val="26"/>
          <w:szCs w:val="26"/>
          <w:rtl/>
        </w:rPr>
        <w:t xml:space="preserve">٥) التحدّيات المفتوحة</w:t>
      </w:r>
    </w:p>
    <w:p>
      <w:pPr>
        <w:pStyle w:val="ListParagraph"/>
        <w:numPr>
          <w:ilvl w:val="0"/>
          <w:numId w:val="2"/>
        </w:numPr>
        <w:bidi/>
        <w:spacing w:after="60" w:line="300"/>
        <w:jc w:val="start"/>
      </w:pPr>
      <w:r>
        <w:rPr>
          <w:rFonts w:ascii="Arial" w:cs="Arial" w:eastAsia="Arial" w:hAnsi="Arial"/>
          <w:sz w:val="24"/>
          <w:szCs w:val="24"/>
          <w:rtl/>
        </w:rPr>
        <w:t xml:space="preserve">الموثوقية: الوكيل الذي ينجح ٩٠٪ من المرات قد يكون غير صالح للاستخدام إن كانت الـ ١٠٪ مكلفة.</w:t>
      </w:r>
    </w:p>
    <w:p>
      <w:pPr>
        <w:pStyle w:val="ListParagraph"/>
        <w:numPr>
          <w:ilvl w:val="0"/>
          <w:numId w:val="2"/>
        </w:numPr>
        <w:bidi/>
        <w:spacing w:after="60" w:line="300"/>
        <w:jc w:val="start"/>
      </w:pPr>
      <w:r>
        <w:rPr>
          <w:rFonts w:ascii="Arial" w:cs="Arial" w:eastAsia="Arial" w:hAnsi="Arial"/>
          <w:sz w:val="24"/>
          <w:szCs w:val="24"/>
          <w:rtl/>
        </w:rPr>
        <w:t xml:space="preserve">التكلفة: كل خطوة في الحلقة نداء مدفوع، والمهمة الطويلة تتحوّل إلى فاتورة طويلة.</w:t>
      </w:r>
    </w:p>
    <w:p>
      <w:pPr>
        <w:pStyle w:val="ListParagraph"/>
        <w:numPr>
          <w:ilvl w:val="0"/>
          <w:numId w:val="2"/>
        </w:numPr>
        <w:bidi/>
        <w:spacing w:after="60" w:line="300"/>
        <w:jc w:val="start"/>
      </w:pPr>
      <w:r>
        <w:rPr>
          <w:rFonts w:ascii="Arial" w:cs="Arial" w:eastAsia="Arial" w:hAnsi="Arial"/>
          <w:sz w:val="24"/>
          <w:szCs w:val="24"/>
          <w:rtl/>
        </w:rPr>
        <w:t xml:space="preserve">الأمان: أداة تكتب في قاعدة بيانات أو ترسل بريداً تعني أن الخطأ يخرج إلى العالم ولا يبقى نصاً.</w:t>
      </w:r>
    </w:p>
    <w:p>
      <w:pPr>
        <w:pStyle w:val="ListParagraph"/>
        <w:numPr>
          <w:ilvl w:val="0"/>
          <w:numId w:val="2"/>
        </w:numPr>
        <w:bidi/>
        <w:spacing w:after="60" w:line="300"/>
        <w:jc w:val="start"/>
      </w:pPr>
      <w:r>
        <w:rPr>
          <w:rFonts w:ascii="Arial" w:cs="Arial" w:eastAsia="Arial" w:hAnsi="Arial"/>
          <w:sz w:val="24"/>
          <w:szCs w:val="24"/>
          <w:rtl/>
        </w:rPr>
        <w:t xml:space="preserve">حقن التعليمات: محتوى خبيث في صفحة يقرأها الوكيل قد يحاول توجيهه لتنفيذ ما لم يطلبه المستخدم.</w:t>
      </w:r>
    </w:p>
    <w:p>
      <w:pPr>
        <w:pStyle w:val="ListParagraph"/>
        <w:numPr>
          <w:ilvl w:val="0"/>
          <w:numId w:val="2"/>
        </w:numPr>
        <w:bidi/>
        <w:spacing w:after="60" w:line="300"/>
        <w:jc w:val="start"/>
      </w:pPr>
      <w:r>
        <w:rPr>
          <w:rFonts w:ascii="Arial" w:cs="Arial" w:eastAsia="Arial" w:hAnsi="Arial"/>
          <w:sz w:val="24"/>
          <w:szCs w:val="24"/>
          <w:rtl/>
        </w:rPr>
        <w:t xml:space="preserve">التقييم: كيف نقيس نجاح وكيل في مهمة مفتوحة لا إجابة وحيدة لها؟</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الخلاصة: رؤية لما بعد الـ LLM</w:t>
      </w:r>
    </w:p>
    <w:p>
      <w:pPr>
        <w:bidi/>
        <w:spacing w:after="120" w:line="300"/>
        <w:jc w:val="start"/>
      </w:pPr>
      <w:r>
        <w:rPr>
          <w:rFonts w:ascii="Arial" w:cs="Arial" w:eastAsia="Arial" w:hAnsi="Arial"/>
          <w:sz w:val="24"/>
          <w:szCs w:val="24"/>
          <w:rtl/>
        </w:rPr>
        <w:t xml:space="preserve">لم يعد السؤال المطروح «ما أذكى نموذج؟» بل «ما أنفع نظام نبنيه حول النموذج؟». النموذج اللغوي صار مكوّناً — محرّكاً للاستدلال — داخل نظام أكبر فيه أدوات وذاكرة وحلقة تنفيذ وحدود صلاحيات.</w:t>
      </w:r>
    </w:p>
    <w:p>
      <w:pPr>
        <w:spacing w:after="12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المحور</w:t>
            </w:r>
          </w:p>
        </w:tc>
        <w:tc>
          <w:tcPr>
            <w:tcW w:type="dxa" w:w="6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الخلاصة في سطر</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استخدام الأدوات</w:t>
            </w:r>
          </w:p>
        </w:tc>
        <w:tc>
          <w:tcPr>
            <w:tcW w:type="dxa" w:w="6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النموذج يطلب، والبرنامج ينفّذ — وهنا تُوضع قيود الأمان.</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الوكلاء</w:t>
            </w:r>
          </w:p>
        </w:tc>
        <w:tc>
          <w:tcPr>
            <w:tcW w:type="dxa" w:w="6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الحلقة هي الفرق: فكّر ← نفّذ ← لاحظ، حتى يكتمل الهدف.</w:t>
            </w:r>
          </w:p>
        </w:tc>
      </w:tr>
      <w:tr>
        <w:tc>
          <w:tcPr>
            <w:tcW w:type="dxa" w:w="2400"/>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تعدّد الوكلاء</w:t>
            </w:r>
          </w:p>
        </w:tc>
        <w:tc>
          <w:tcPr>
            <w:tcW w:type="dxa" w:w="6600"/>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التخصّص يقلّل الخطأ ويرفع التكلفة — استخدمه عند الحاجة فقط.</w:t>
            </w:r>
          </w:p>
        </w:tc>
      </w:tr>
      <w:tr>
        <w:tc>
          <w:tcPr>
            <w:tcW w:type="dxa" w:w="2400"/>
            <w:shd w:fill="F2F6FA" w:val="clear"/>
            <w:tcMar>
              <w:top w:type="dxa" w:w="80"/>
              <w:left w:type="dxa" w:w="120"/>
              <w:bottom w:type="dxa" w:w="80"/>
              <w:right w:type="dxa" w:w="120"/>
            </w:tcMar>
          </w:tcPr>
          <w:p>
            <w:pPr>
              <w:bidi/>
              <w:spacing w:after="0" w:line="260"/>
              <w:jc w:val="start"/>
            </w:pPr>
            <w:r>
              <w:rPr>
                <w:rFonts w:ascii="Arial" w:cs="Arial" w:eastAsia="Arial" w:hAnsi="Arial"/>
                <w:b/>
                <w:bCs/>
                <w:sz w:val="22"/>
                <w:szCs w:val="22"/>
                <w:rtl/>
              </w:rPr>
              <w:t xml:space="preserve">المستقبل</w:t>
            </w:r>
          </w:p>
        </w:tc>
        <w:tc>
          <w:tcPr>
            <w:tcW w:type="dxa" w:w="6600"/>
            <w:shd w:fill="F2F6FA" w:val="clear"/>
            <w:tcMar>
              <w:top w:type="dxa" w:w="80"/>
              <w:left w:type="dxa" w:w="120"/>
              <w:bottom w:type="dxa" w:w="80"/>
              <w:right w:type="dxa" w:w="120"/>
            </w:tcMar>
          </w:tcPr>
          <w:p>
            <w:pPr>
              <w:bidi/>
              <w:spacing w:after="0" w:line="260"/>
              <w:jc w:val="start"/>
            </w:pPr>
            <w:r>
              <w:rPr>
                <w:rFonts w:ascii="Arial" w:cs="Arial" w:eastAsia="Arial" w:hAnsi="Arial"/>
                <w:sz w:val="22"/>
                <w:szCs w:val="22"/>
                <w:rtl/>
              </w:rPr>
              <w:t xml:space="preserve">معايير موحّدة، وذاكرة دائمة، وصلاحيات متدرّجة.</w:t>
            </w:r>
          </w:p>
        </w:tc>
      </w:tr>
    </w:tbl>
    <w:p>
      <w:pPr>
        <w:spacing w:after="240"/>
      </w:pPr>
    </w:p>
    <w:p>
      <w:pPr>
        <w:pBdr>
          <w:right w:val="single" w:color="2E74B5" w:sz="18" w:space="10"/>
        </w:pBdr>
        <w:shd w:fill="F2F6FA" w:val="clear"/>
        <w:bidi/>
        <w:spacing w:after="160" w:before="120" w:line="320"/>
        <w:ind w:left="300" w:right="300"/>
        <w:jc w:val="start"/>
      </w:pPr>
      <w:r>
        <w:rPr>
          <w:rFonts w:ascii="Arial" w:cs="Arial" w:eastAsia="Arial" w:hAnsi="Arial"/>
          <w:b/>
          <w:bCs/>
          <w:color w:val="1F4E79"/>
          <w:sz w:val="26"/>
          <w:szCs w:val="26"/>
          <w:rtl/>
        </w:rPr>
        <w:t xml:space="preserve">المستقبل ليس نموذجاً أكبر، بل نظاماً أذكى حول النموذج.</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مراجع للاستزادة</w:t>
      </w:r>
    </w:p>
    <w:p>
      <w:pPr>
        <w:spacing w:after="60"/>
      </w:pPr>
    </w:p>
    <w:p>
      <w:pPr>
        <w:shd w:fill="F5F5F5" w:val="clear"/>
        <w:spacing w:after="120" w:line="280"/>
        <w:ind w:left="200" w:right="200"/>
        <w:jc w:val="left"/>
      </w:pPr>
      <w:r>
        <w:rPr>
          <w:rFonts w:ascii="Consolas" w:cs="Consolas" w:eastAsia="Consolas" w:hAnsi="Consolas"/>
          <w:color w:val="333333"/>
          <w:sz w:val="21"/>
          <w:szCs w:val="21"/>
        </w:rPr>
        <w:t xml:space="preserve">ReAct: Synergizing Reasoning and Acting in Language Models</w:t>
      </w:r>
    </w:p>
    <w:p>
      <w:pPr>
        <w:bidi/>
        <w:spacing w:after="120" w:line="300"/>
        <w:jc w:val="start"/>
      </w:pPr>
      <w:r>
        <w:rPr>
          <w:rFonts w:ascii="Arial" w:cs="Arial" w:eastAsia="Arial" w:hAnsi="Arial"/>
          <w:color w:val="595959"/>
          <w:sz w:val="22"/>
          <w:szCs w:val="22"/>
          <w:rtl/>
        </w:rPr>
        <w:t xml:space="preserve">الورقة التي أسّست نمط «فكّر ثم نفّذ» الذي بُني عليه المحور الثاني.</w:t>
      </w:r>
    </w:p>
    <w:p>
      <w:pPr>
        <w:spacing w:after="80"/>
      </w:pPr>
    </w:p>
    <w:p>
      <w:pPr>
        <w:shd w:fill="F5F5F5" w:val="clear"/>
        <w:spacing w:after="120" w:line="280"/>
        <w:ind w:left="200" w:right="200"/>
        <w:jc w:val="left"/>
      </w:pPr>
      <w:r>
        <w:rPr>
          <w:rFonts w:ascii="Consolas" w:cs="Consolas" w:eastAsia="Consolas" w:hAnsi="Consolas"/>
          <w:color w:val="333333"/>
          <w:sz w:val="21"/>
          <w:szCs w:val="21"/>
        </w:rPr>
        <w:t xml:space="preserve">Toolformer: Language Models Can Teach Themselves to Use Tools</w:t>
      </w:r>
    </w:p>
    <w:p>
      <w:pPr>
        <w:bidi/>
        <w:spacing w:after="120" w:line="300"/>
        <w:jc w:val="start"/>
      </w:pPr>
      <w:r>
        <w:rPr>
          <w:rFonts w:ascii="Arial" w:cs="Arial" w:eastAsia="Arial" w:hAnsi="Arial"/>
          <w:color w:val="595959"/>
          <w:sz w:val="22"/>
          <w:szCs w:val="22"/>
          <w:rtl/>
        </w:rPr>
        <w:t xml:space="preserve">كيف يتعلّم النموذج بنفسه متى يستدعي أداة ومتى يجيب مباشرة.</w:t>
      </w:r>
    </w:p>
    <w:p>
      <w:pPr>
        <w:spacing w:after="80"/>
      </w:pPr>
    </w:p>
    <w:p>
      <w:pPr>
        <w:shd w:fill="F5F5F5" w:val="clear"/>
        <w:spacing w:after="120" w:line="280"/>
        <w:ind w:left="200" w:right="200"/>
        <w:jc w:val="left"/>
      </w:pPr>
      <w:r>
        <w:rPr>
          <w:rFonts w:ascii="Consolas" w:cs="Consolas" w:eastAsia="Consolas" w:hAnsi="Consolas"/>
          <w:color w:val="333333"/>
          <w:sz w:val="21"/>
          <w:szCs w:val="21"/>
        </w:rPr>
        <w:t xml:space="preserve">Model Context Protocol (MCP)</w:t>
      </w:r>
    </w:p>
    <w:p>
      <w:pPr>
        <w:bidi/>
        <w:spacing w:after="120" w:line="300"/>
        <w:jc w:val="start"/>
      </w:pPr>
      <w:r>
        <w:rPr>
          <w:rFonts w:ascii="Arial" w:cs="Arial" w:eastAsia="Arial" w:hAnsi="Arial"/>
          <w:color w:val="595959"/>
          <w:sz w:val="22"/>
          <w:szCs w:val="22"/>
          <w:rtl/>
        </w:rPr>
        <w:t xml:space="preserve">معيار مفتوح لربط النماذج بالأدوات ومصادر البيانات بطريقة موحّدة.</w:t>
      </w:r>
    </w:p>
    <w:p>
      <w:pPr>
        <w:pStyle w:val="Heading1"/>
        <w:pBdr>
          <w:bottom w:val="single" w:color="C00000" w:sz="8" w:space="4"/>
        </w:pBdr>
        <w:bidi/>
        <w:spacing w:after="160" w:before="360"/>
        <w:jc w:val="start"/>
      </w:pPr>
      <w:r>
        <w:rPr>
          <w:rFonts w:ascii="Arial" w:cs="Arial" w:eastAsia="Arial" w:hAnsi="Arial"/>
          <w:b/>
          <w:bCs/>
          <w:color w:val="C00000"/>
          <w:sz w:val="30"/>
          <w:szCs w:val="30"/>
          <w:rtl/>
        </w:rPr>
        <w:t xml:space="preserve">ملحق: تشغيل الأمثلة</w:t>
      </w:r>
    </w:p>
    <w:p>
      <w:pPr>
        <w:bidi/>
        <w:spacing w:after="120" w:line="300"/>
        <w:jc w:val="start"/>
      </w:pPr>
      <w:r>
        <w:rPr>
          <w:rFonts w:ascii="Arial" w:cs="Arial" w:eastAsia="Arial" w:hAnsi="Arial"/>
          <w:sz w:val="24"/>
          <w:szCs w:val="24"/>
          <w:rtl/>
        </w:rPr>
        <w:t xml:space="preserve">الأمثلة الثلاثة تعمل بلا إنترنت وبلا مفتاح API، لأنها تحاكي استجابة النموذج بدالة بسيطة. الهدف منها توضيح البنية والمنطق لا استدعاء نموذج حقيقي، ولا تحتاج تثبيت أي مكتبة — تستخدم بايثون القياسية فقط.</w:t>
      </w:r>
    </w:p>
    <w:p>
      <w:pPr>
        <w:spacing w:after="80"/>
      </w:pPr>
    </w:p>
    <w:p>
      <w:pPr>
        <w:shd w:fill="F5F5F5" w:val="clear"/>
        <w:spacing w:after="0" w:line="260"/>
        <w:ind w:left="240" w:right="240"/>
        <w:jc w:val="left"/>
      </w:pPr>
      <w:r>
        <w:rPr>
          <w:rFonts w:ascii="Consolas" w:cs="Consolas" w:eastAsia="Consolas" w:hAnsi="Consolas"/>
          <w:color w:val="1A1A1A"/>
          <w:sz w:val="20"/>
          <w:szCs w:val="20"/>
        </w:rPr>
        <w:t xml:space="preserve">cd Sideg/projects/seminar-11-agents</w:t>
      </w:r>
    </w:p>
    <w:p>
      <w:pPr>
        <w:shd w:fill="F5F5F5" w:val="clear"/>
        <w:spacing w:after="0" w:line="260"/>
        <w:ind w:left="240" w:right="240"/>
        <w:jc w:val="left"/>
      </w:pPr>
      <w:r>
        <w:rPr>
          <w:rFonts w:ascii="Consolas" w:cs="Consolas" w:eastAsia="Consolas" w:hAnsi="Consolas"/>
          <w:color w:val="1A1A1A"/>
          <w:sz w:val="20"/>
          <w:szCs w:val="20"/>
        </w:rPr>
        <w:t xml:space="preserve">python examples/01_tool_use.py</w:t>
      </w:r>
    </w:p>
    <w:p>
      <w:pPr>
        <w:shd w:fill="F5F5F5" w:val="clear"/>
        <w:spacing w:after="0" w:line="260"/>
        <w:ind w:left="240" w:right="240"/>
        <w:jc w:val="left"/>
      </w:pPr>
      <w:r>
        <w:rPr>
          <w:rFonts w:ascii="Consolas" w:cs="Consolas" w:eastAsia="Consolas" w:hAnsi="Consolas"/>
          <w:color w:val="1A1A1A"/>
          <w:sz w:val="20"/>
          <w:szCs w:val="20"/>
        </w:rPr>
        <w:t xml:space="preserve">python examples/02_simple_agent.py</w:t>
      </w:r>
    </w:p>
    <w:p>
      <w:pPr>
        <w:shd w:fill="F5F5F5" w:val="clear"/>
        <w:spacing w:after="0" w:line="260"/>
        <w:ind w:left="240" w:right="240"/>
        <w:jc w:val="left"/>
      </w:pPr>
      <w:r>
        <w:rPr>
          <w:rFonts w:ascii="Consolas" w:cs="Consolas" w:eastAsia="Consolas" w:hAnsi="Consolas"/>
          <w:color w:val="1A1A1A"/>
          <w:sz w:val="20"/>
          <w:szCs w:val="20"/>
        </w:rPr>
        <w:t xml:space="preserve">python examples/03_multi_agent.py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95959"/>
        <w:sz w:val="18"/>
        <w:szCs w:val="18"/>
      </w:rPr>
      <w:fldChar w:fldCharType="begin"/>
      <w:instrText xml:space="preserve">PAGE</w:instrText>
      <w:fldChar w:fldCharType="separate"/>
      <w:fldChar w:fldCharType="end"/>
    </w:r>
    <w:r>
      <w:rPr>
        <w:rFonts w:ascii="Consolas" w:cs="Consolas" w:eastAsia="Consolas" w:hAnsi="Consolas"/>
        <w:color w:val="595959"/>
        <w:sz w:val="18"/>
        <w:szCs w:val="18"/>
      </w:rPr>
      <w:t xml:space="preserve"> / </w:t>
    </w:r>
    <w:r>
      <w:rPr>
        <w:rFonts w:ascii="Consolas" w:cs="Consolas" w:eastAsia="Consolas" w:hAnsi="Consola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bidi/>
      <w:jc w:val="start"/>
    </w:pPr>
    <w:r>
      <w:rPr>
        <w:rFonts w:ascii="Arial" w:cs="Arial" w:eastAsia="Arial" w:hAnsi="Arial"/>
        <w:color w:val="595959"/>
        <w:sz w:val="18"/>
        <w:szCs w:val="18"/>
        <w:rtl/>
      </w:rPr>
      <w:t xml:space="preserve">السيمنار الحادي عشر — من النماذج اللغوية إلى الوكلاء الأذكياء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2026-08-08T18:42:14.481Z</dcterms:created>
  <dcterms:modified xsi:type="dcterms:W3CDTF">2026-08-08T18:42:14.481Z</dcterms:modified>
</cp:coreProperties>
</file>

<file path=docProps/custom.xml><?xml version="1.0" encoding="utf-8"?>
<Properties xmlns="http://schemas.openxmlformats.org/officeDocument/2006/custom-properties" xmlns:vt="http://schemas.openxmlformats.org/officeDocument/2006/docPropsVTypes"/>
</file>