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Athlon Agent IMP SSO 实现方案</w:t>
      </w:r>
    </w:p>
    <w:p>
      <w:pPr>
        <w:jc w:val="center"/>
      </w:pPr>
      <w:r>
        <w:rPr>
          <w:b/>
        </w:rPr>
        <w:t>文档版本：V1.0    创建日期：2026-06-15</w:t>
        <w:br/>
      </w:r>
      <w:r>
        <w:t>适用范围：Athlon Agent v2.0.5（feature/imp-sso）</w:t>
      </w:r>
    </w:p>
    <w:p>
      <w:pPr>
        <w:pStyle w:val="Heading1"/>
      </w:pPr>
      <w:r>
        <w:t>1. 概述</w:t>
      </w:r>
    </w:p>
    <w:p>
      <w:r>
        <w:rPr>
          <w:b w:val="0"/>
        </w:rPr>
        <w:t>Athlon Agent 作为企业级 WPF 桌面应用，通过 IMP（ICBC Asia）SSO 实现统一身份认证。本实现严格遵循 IMP/SsoFilter 实际协议（ssotoken + check_ssotoken），不采用 OAuth 2.0 模型。</w:t>
      </w:r>
    </w:p>
    <w:p>
      <w:pPr>
        <w:pStyle w:val="ListBullet"/>
      </w:pPr>
      <w:r>
        <w:t>默认 Sso.Enabled = false，前期不影响现有 License 流程</w:t>
      </w:r>
    </w:p>
    <w:p>
      <w:pPr>
        <w:pStyle w:val="ListBullet"/>
      </w:pPr>
      <w:r>
        <w:t>启用后：SSO 与 License 双重门控均须通过</w:t>
      </w:r>
    </w:p>
    <w:p>
      <w:pPr>
        <w:pStyle w:val="ListBullet"/>
      </w:pPr>
      <w:r>
        <w:t>本地会话固定 24 小时有效，不做续期</w:t>
      </w:r>
    </w:p>
    <w:p>
      <w:pPr>
        <w:pStyle w:val="ListBullet"/>
      </w:pPr>
      <w:r>
        <w:t>标题栏显示 IMP 返回的 ename，支持登出</w:t>
      </w:r>
    </w:p>
    <w:p>
      <w:pPr>
        <w:pStyle w:val="Heading1"/>
      </w:pPr>
      <w:r>
        <w:t>2. 设计原则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不使用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使用（IMP 实际）</w:t>
            </w:r>
          </w:p>
        </w:tc>
      </w:tr>
      <w:tr>
        <w:tc>
          <w:tcPr>
            <w:tcW w:type="dxa" w:w="4320"/>
          </w:tcPr>
          <w:p>
            <w:r>
              <w:t>OAuth access/refresh token</w:t>
            </w:r>
          </w:p>
        </w:tc>
        <w:tc>
          <w:tcPr>
            <w:tcW w:type="dxa" w:w="4320"/>
          </w:tcPr>
          <w:p>
            <w:r>
              <w:t>单一 ssotoken（回调 hash 参数 token）</w:t>
            </w:r>
          </w:p>
        </w:tc>
      </w:tr>
      <w:tr>
        <w:tc>
          <w:tcPr>
            <w:tcW w:type="dxa" w:w="4320"/>
          </w:tcPr>
          <w:p>
            <w:r>
              <w:t>POST /refresh_token</w:t>
            </w:r>
          </w:p>
        </w:tc>
        <w:tc>
          <w:tcPr>
            <w:tcW w:type="dxa" w:w="4320"/>
          </w:tcPr>
          <w:p>
            <w:r>
              <w:t>无 refresh；登录时 POST check_ssotoken 一次</w:t>
            </w:r>
          </w:p>
        </w:tc>
      </w:tr>
      <w:tr>
        <w:tc>
          <w:tcPr>
            <w:tcW w:type="dxa" w:w="4320"/>
          </w:tcPr>
          <w:p>
            <w:r>
              <w:t>IMP timeoutRemaining 驱动过期</w:t>
            </w:r>
          </w:p>
        </w:tc>
        <w:tc>
          <w:tcPr>
            <w:tcW w:type="dxa" w:w="4320"/>
          </w:tcPr>
          <w:p>
            <w:r>
              <w:t>本地 LoggedInAt + 24h</w:t>
            </w:r>
          </w:p>
        </w:tc>
      </w:tr>
      <w:tr>
        <w:tc>
          <w:tcPr>
            <w:tcW w:type="dxa" w:w="4320"/>
          </w:tcPr>
          <w:p>
            <w:r>
              <w:t>SsoFilter 5 分钟轮询续期</w:t>
            </w:r>
          </w:p>
        </w:tc>
        <w:tc>
          <w:tcPr>
            <w:tcW w:type="dxa" w:w="4320"/>
          </w:tcPr>
          <w:p>
            <w:r>
              <w:t>不实现续期</w:t>
            </w:r>
          </w:p>
        </w:tc>
      </w:tr>
    </w:tbl>
    <w:p>
      <w:pPr>
        <w:pStyle w:val="Heading1"/>
      </w:pPr>
      <w:r>
        <w:t>3. 配置说明</w:t>
      </w:r>
    </w:p>
    <w:p>
      <w:r>
        <w:rPr>
          <w:b w:val="0"/>
        </w:rPr>
        <w:t>settings.json 示例（~/.athlon-agent/config/settings.json）：</w:t>
      </w:r>
    </w:p>
    <w:p>
      <w:pPr>
        <w:pStyle w:val="IntenseQuote"/>
      </w:pPr>
      <w:r>
        <w:t>{</w:t>
        <w:br/>
        <w:t xml:space="preserve">  "Sso": {</w:t>
        <w:br/>
        <w:t xml:space="preserve">    "Enabled": false,</w:t>
        <w:br/>
        <w:t xml:space="preserve">    "ImpDomain": "www.icbcasia.com",</w:t>
        <w:br/>
        <w:t xml:space="preserve">    "AppId": "252",</w:t>
        <w:br/>
        <w:t xml:space="preserve">    "Version": "20251127",</w:t>
        <w:br/>
        <w:t xml:space="preserve">    "SessionValidityHours": 24,</w:t>
        <w:br/>
        <w:t xml:space="preserve">    "CallbackPort": 5657,</w:t>
        <w:br/>
        <w:t xml:space="preserve">    "CallbackPath": "/sso/auth",</w:t>
        <w:br/>
        <w:t xml:space="preserve">    "CompletePath": "/sso/complete"</w:t>
        <w:br/>
        <w:t xml:space="preserve">  }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Sso.Enabled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4320"/>
          </w:tcPr>
          <w:p>
            <w:r>
              <w:t>false（默认）</w:t>
            </w:r>
          </w:p>
        </w:tc>
        <w:tc>
          <w:tcPr>
            <w:tcW w:type="dxa" w:w="4320"/>
          </w:tcPr>
          <w:p>
            <w:r>
              <w:t>跳过 IMP；仅 License；无 SSO UI</w:t>
            </w:r>
          </w:p>
        </w:tc>
      </w:tr>
      <w:tr>
        <w:tc>
          <w:tcPr>
            <w:tcW w:type="dxa" w:w="4320"/>
          </w:tcPr>
          <w:p>
            <w:r>
              <w:t>true</w:t>
            </w:r>
          </w:p>
        </w:tc>
        <w:tc>
          <w:tcPr>
            <w:tcW w:type="dxa" w:w="4320"/>
          </w:tcPr>
          <w:p>
            <w:r>
              <w:t>SSO 通过后再 License；显示 ename；可登出</w:t>
            </w:r>
          </w:p>
        </w:tc>
      </w:tr>
    </w:tbl>
    <w:p>
      <w:pPr>
        <w:pStyle w:val="Heading1"/>
      </w:pPr>
      <w:r>
        <w:t>4. Token 生命周期</w:t>
      </w:r>
    </w:p>
    <w:p>
      <w:pPr>
        <w:pStyle w:val="ListBullet"/>
      </w:pPr>
      <w:r>
        <w:t>IMP 登录成功 → POST check_ssotoken（仅此一次）→ 存 ssotoken + ename</w:t>
      </w:r>
    </w:p>
    <w:p>
      <w:pPr>
        <w:pStyle w:val="ListBullet"/>
      </w:pPr>
      <w:r>
        <w:t>ExpiresAt = LoggedInAt + SessionValidityHours（默认 24h）</w:t>
      </w:r>
    </w:p>
    <w:p>
      <w:pPr>
        <w:pStyle w:val="ListBullet"/>
      </w:pPr>
      <w:r>
        <w:t>24h 内再次启动：读 DPAPI 缓存，不调 IMP</w:t>
      </w:r>
    </w:p>
    <w:p>
      <w:pPr>
        <w:pStyle w:val="ListBullet"/>
      </w:pPr>
      <w:r>
        <w:t>超过 24h：清缓存 → 重新浏览器 IMP 登录</w:t>
      </w:r>
    </w:p>
    <w:p>
      <w:pPr>
        <w:pStyle w:val="ListBullet"/>
      </w:pPr>
      <w:r>
        <w:t>运行期间不续期、不轮询 check_ssotoken</w:t>
      </w:r>
    </w:p>
    <w:p>
      <w:pPr>
        <w:pStyle w:val="Heading2"/>
      </w:pPr>
      <w:r>
        <w:t>4.1 启动门控流程图</w:t>
      </w:r>
    </w:p>
    <w:p>
      <w:r>
        <w:drawing>
          <wp:inline xmlns:a="http://schemas.openxmlformats.org/drawingml/2006/main" xmlns:pic="http://schemas.openxmlformats.org/drawingml/2006/picture">
            <wp:extent cx="5943600" cy="4651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up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1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</w:rPr>
        <w:t>图 1  应用启动时 SSO / License 门控流程</w:t>
      </w:r>
    </w:p>
    <w:p>
      <w:r>
        <w:rPr>
          <w:i/>
        </w:rPr>
        <w:t>SVG 源文件：diagrams/startup_flow.svg</w:t>
      </w:r>
    </w:p>
    <w:p>
      <w:pPr>
        <w:pStyle w:val="Heading2"/>
      </w:pPr>
      <w:r>
        <w:t>4.2 IMP 登录时序图</w:t>
      </w:r>
    </w:p>
    <w:p>
      <w:r>
        <w:drawing>
          <wp:inline xmlns:a="http://schemas.openxmlformats.org/drawingml/2006/main" xmlns:pic="http://schemas.openxmlformats.org/drawingml/2006/picture">
            <wp:extent cx="5943600" cy="37602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0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</w:rPr>
        <w:t>图 2  IMP 浏览器登录与 hash 回调时序</w:t>
      </w:r>
    </w:p>
    <w:p>
      <w:r>
        <w:rPr>
          <w:i/>
        </w:rPr>
        <w:t>SVG 源文件：diagrams/login_sequence.svg</w:t>
      </w:r>
    </w:p>
    <w:p>
      <w:pPr>
        <w:pStyle w:val="Heading1"/>
      </w:pPr>
      <w:r>
        <w:t>5. IMP 协议要点</w:t>
      </w:r>
    </w:p>
    <w:p>
      <w:pPr>
        <w:pStyle w:val="Heading2"/>
      </w:pPr>
      <w:r>
        <w:t>5.1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端点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何时调用</w:t>
            </w:r>
          </w:p>
        </w:tc>
      </w:tr>
      <w:tr>
        <w:tc>
          <w:tcPr>
            <w:tcW w:type="dxa" w:w="4320"/>
          </w:tcPr>
          <w:p>
            <w:r>
              <w:t>/icbcasia/imp/index.html</w:t>
            </w:r>
          </w:p>
        </w:tc>
        <w:tc>
          <w:tcPr>
            <w:tcW w:type="dxa" w:w="4320"/>
          </w:tcPr>
          <w:p>
            <w:r>
              <w:t>无有效缓存或已过期时打开浏览器</w:t>
            </w:r>
          </w:p>
        </w:tc>
      </w:tr>
      <w:tr>
        <w:tc>
          <w:tcPr>
            <w:tcW w:type="dxa" w:w="4320"/>
          </w:tcPr>
          <w:p>
            <w:r>
              <w:t>/icbcasia/imp/check_ssotoken</w:t>
            </w:r>
          </w:p>
        </w:tc>
        <w:tc>
          <w:tcPr>
            <w:tcW w:type="dxa" w:w="4320"/>
          </w:tcPr>
          <w:p>
            <w:r>
              <w:t>hash 回调拿到 ssotoken 后调用一次</w:t>
            </w:r>
          </w:p>
        </w:tc>
      </w:tr>
      <w:tr>
        <w:tc>
          <w:tcPr>
            <w:tcW w:type="dxa" w:w="4320"/>
          </w:tcPr>
          <w:p>
            <w:r>
              <w:t>/icbcasia/imp/getsaubapp</w:t>
            </w:r>
          </w:p>
        </w:tc>
        <w:tc>
          <w:tcPr>
            <w:tcW w:type="dxa" w:w="4320"/>
          </w:tcPr>
          <w:p>
            <w:r>
              <w:t>可选；回调 URL 已固定时可跳过</w:t>
            </w:r>
          </w:p>
        </w:tc>
      </w:tr>
    </w:tbl>
    <w:p>
      <w:pPr>
        <w:pStyle w:val="Heading2"/>
      </w:pPr>
      <w:r>
        <w:t>5.2 check_ssotoken 请求</w:t>
      </w:r>
    </w:p>
    <w:p>
      <w:pPr>
        <w:pStyle w:val="IntenseQuote"/>
      </w:pPr>
      <w:r>
        <w:t>POST https://{ImpDomain}/icbcasia/imp/check_ssotoken?version=20251127</w:t>
        <w:br/>
        <w:t>Content-Type: application/x-www-form-urlencoded</w:t>
        <w:br/>
        <w:br/>
        <w:t>ssotoken={token}&amp;impappid=252&amp;dse_sessionId={token}&amp;requestip={localIp}</w:t>
      </w:r>
    </w:p>
    <w:p>
      <w:pPr>
        <w:pStyle w:val="Heading2"/>
      </w:pPr>
      <w:r>
        <w:t>5.3 回调 URL 格式</w:t>
      </w:r>
    </w:p>
    <w:p>
      <w:pPr>
        <w:pStyle w:val="IntenseQuote"/>
      </w:pPr>
      <w:r>
        <w:t>http://localhost:5657/sso/auth#/?appId=252&amp;userId=000974115&amp;locale=zh_HK&amp;token={ssotoken}&amp;role=User&amp;depname=FTD</w:t>
      </w:r>
    </w:p>
    <w:p>
      <w:r>
        <w:rPr>
          <w:b w:val="0"/>
        </w:rPr>
        <w:t>注意：token 在 URL hash 中，HttpListener 无法直接读取，需 /sso/auth 返回 JS 解析页。</w:t>
      </w:r>
    </w:p>
    <w:p>
      <w:pPr>
        <w:pStyle w:val="Heading1"/>
      </w:pPr>
      <w:r>
        <w:t>6. 核心组件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>SsoSettings</w:t>
            </w:r>
          </w:p>
        </w:tc>
        <w:tc>
          <w:tcPr>
            <w:tcW w:type="dxa" w:w="2880"/>
          </w:tcPr>
          <w:p>
            <w:r>
              <w:t>Athlon.Agent.Core/Sso/</w:t>
            </w:r>
          </w:p>
        </w:tc>
        <w:tc>
          <w:tcPr>
            <w:tcW w:type="dxa" w:w="2880"/>
          </w:tcPr>
          <w:p>
            <w:r>
              <w:t>配置项，Enabled 默认 false</w:t>
            </w:r>
          </w:p>
        </w:tc>
      </w:tr>
      <w:tr>
        <w:tc>
          <w:tcPr>
            <w:tcW w:type="dxa" w:w="2880"/>
          </w:tcPr>
          <w:p>
            <w:r>
              <w:t>ImpSsoSession</w:t>
            </w:r>
          </w:p>
        </w:tc>
        <w:tc>
          <w:tcPr>
            <w:tcW w:type="dxa" w:w="2880"/>
          </w:tcPr>
          <w:p>
            <w:r>
              <w:t>Athlon.Agent.Core/Sso/</w:t>
            </w:r>
          </w:p>
        </w:tc>
        <w:tc>
          <w:tcPr>
            <w:tcW w:type="dxa" w:w="2880"/>
          </w:tcPr>
          <w:p>
            <w:r>
              <w:t>SsoToken、DisplayName、ExpiresAt</w:t>
            </w:r>
          </w:p>
        </w:tc>
      </w:tr>
      <w:tr>
        <w:tc>
          <w:tcPr>
            <w:tcW w:type="dxa" w:w="2880"/>
          </w:tcPr>
          <w:p>
            <w:r>
              <w:t>ImpSsoSessionStore</w:t>
            </w:r>
          </w:p>
        </w:tc>
        <w:tc>
          <w:tcPr>
            <w:tcW w:type="dxa" w:w="2880"/>
          </w:tcPr>
          <w:p>
            <w:r>
              <w:t>Infrastructure/Sso/</w:t>
            </w:r>
          </w:p>
        </w:tc>
        <w:tc>
          <w:tcPr>
            <w:tcW w:type="dxa" w:w="2880"/>
          </w:tcPr>
          <w:p>
            <w:r>
              <w:t>DPAPI 加密持久化</w:t>
            </w:r>
          </w:p>
        </w:tc>
      </w:tr>
      <w:tr>
        <w:tc>
          <w:tcPr>
            <w:tcW w:type="dxa" w:w="2880"/>
          </w:tcPr>
          <w:p>
            <w:r>
              <w:t>ImpSsoAuthService</w:t>
            </w:r>
          </w:p>
        </w:tc>
        <w:tc>
          <w:tcPr>
            <w:tcW w:type="dxa" w:w="2880"/>
          </w:tcPr>
          <w:p>
            <w:r>
              <w:t>Infrastructure/Sso/</w:t>
            </w:r>
          </w:p>
        </w:tc>
        <w:tc>
          <w:tcPr>
            <w:tcW w:type="dxa" w:w="2880"/>
          </w:tcPr>
          <w:p>
            <w:r>
              <w:t>POST check_ssotoken</w:t>
            </w:r>
          </w:p>
        </w:tc>
      </w:tr>
      <w:tr>
        <w:tc>
          <w:tcPr>
            <w:tcW w:type="dxa" w:w="2880"/>
          </w:tcPr>
          <w:p>
            <w:r>
              <w:t>ImpSsoCallbackServer</w:t>
            </w:r>
          </w:p>
        </w:tc>
        <w:tc>
          <w:tcPr>
            <w:tcW w:type="dxa" w:w="2880"/>
          </w:tcPr>
          <w:p>
            <w:r>
              <w:t>Infrastructure/Sso/</w:t>
            </w:r>
          </w:p>
        </w:tc>
        <w:tc>
          <w:tcPr>
            <w:tcW w:type="dxa" w:w="2880"/>
          </w:tcPr>
          <w:p>
            <w:r>
              <w:t>5657 端口 hash 回调</w:t>
            </w:r>
          </w:p>
        </w:tc>
      </w:tr>
      <w:tr>
        <w:tc>
          <w:tcPr>
            <w:tcW w:type="dxa" w:w="2880"/>
          </w:tcPr>
          <w:p>
            <w:r>
              <w:t>ImpSsoStartupGate</w:t>
            </w:r>
          </w:p>
        </w:tc>
        <w:tc>
          <w:tcPr>
            <w:tcW w:type="dxa" w:w="2880"/>
          </w:tcPr>
          <w:p>
            <w:r>
              <w:t>App/Licensing/</w:t>
            </w:r>
          </w:p>
        </w:tc>
        <w:tc>
          <w:tcPr>
            <w:tcW w:type="dxa" w:w="2880"/>
          </w:tcPr>
          <w:p>
            <w:r>
              <w:t>启动门控编排</w:t>
            </w:r>
          </w:p>
        </w:tc>
      </w:tr>
      <w:tr>
        <w:tc>
          <w:tcPr>
            <w:tcW w:type="dxa" w:w="2880"/>
          </w:tcPr>
          <w:p>
            <w:r>
              <w:t>MainWindowViewModel</w:t>
            </w:r>
          </w:p>
        </w:tc>
        <w:tc>
          <w:tcPr>
            <w:tcW w:type="dxa" w:w="2880"/>
          </w:tcPr>
          <w:p>
            <w:r>
              <w:t>App/ViewModels/</w:t>
            </w:r>
          </w:p>
        </w:tc>
        <w:tc>
          <w:tcPr>
            <w:tcW w:type="dxa" w:w="2880"/>
          </w:tcPr>
          <w:p>
            <w:r>
              <w:t>标题栏 ename + 登出</w:t>
            </w:r>
          </w:p>
        </w:tc>
      </w:tr>
    </w:tbl>
    <w:p>
      <w:pPr>
        <w:pStyle w:val="Heading1"/>
      </w:pPr>
      <w:r>
        <w:t>7. 启动顺序</w:t>
      </w:r>
    </w:p>
    <w:p>
      <w:pPr>
        <w:pStyle w:val="ListNumber"/>
      </w:pPr>
      <w:r>
        <w:t>1. 若 Sso.Enabled → ImpSsoStartupGate.EnsureAuthenticated</w:t>
        <w:br/>
        <w:t>2. LicenseStartupGate.EnsureLicensed</w:t>
        <w:br/>
        <w:t>3. DI 注册 + MainWindow</w:t>
      </w:r>
    </w:p>
    <w:p>
      <w:pPr>
        <w:pStyle w:val="Heading1"/>
      </w:pPr>
      <w:r>
        <w:t>8. UI 行为</w:t>
      </w:r>
    </w:p>
    <w:p>
      <w:pPr>
        <w:pStyle w:val="ListBullet"/>
      </w:pPr>
      <w:r>
        <w:t>Sso.Enabled=true：标题栏右侧显示 ename（IMP 返回）</w:t>
      </w:r>
    </w:p>
    <w:p>
      <w:pPr>
        <w:pStyle w:val="ListBullet"/>
      </w:pPr>
      <w:r>
        <w:t>点击姓名 → 确认「确定要退出登录吗？」→ 清 ssotoken → 退出应用</w:t>
      </w:r>
    </w:p>
    <w:p>
      <w:pPr>
        <w:pStyle w:val="ListBullet"/>
      </w:pPr>
      <w:r>
        <w:t>Sso.Enabled=false：不显示 SSO 相关 UI</w:t>
      </w:r>
    </w:p>
    <w:p>
      <w:pPr>
        <w:pStyle w:val="Heading1"/>
      </w:pPr>
      <w:r>
        <w:t>9. 安全设计</w:t>
      </w:r>
    </w:p>
    <w:p>
      <w:pPr>
        <w:pStyle w:val="ListBullet"/>
      </w:pPr>
      <w:r>
        <w:t>ssotoken 使用 Windows DPAPI 加密存储（CurrentUser）</w:t>
      </w:r>
    </w:p>
    <w:p>
      <w:pPr>
        <w:pStyle w:val="ListBullet"/>
      </w:pPr>
      <w:r>
        <w:t>回调 token 不可信，必须 check_ssotoken 二次校验</w:t>
      </w:r>
    </w:p>
    <w:p>
      <w:pPr>
        <w:pStyle w:val="ListBullet"/>
      </w:pPr>
      <w:r>
        <w:t>日志中应对 ssotoken 脱敏</w:t>
      </w:r>
    </w:p>
    <w:p>
      <w:pPr>
        <w:pStyle w:val="ListBullet"/>
      </w:pPr>
      <w:r>
        <w:t>全部 IMP 通信使用 HTTPS</w:t>
      </w:r>
    </w:p>
    <w:p>
      <w:pPr>
        <w:pStyle w:val="Heading1"/>
      </w:pPr>
      <w:r>
        <w:t>10. 验收标准</w:t>
      </w:r>
    </w:p>
    <w:p>
      <w:pPr>
        <w:pStyle w:val="Heading2"/>
      </w:pPr>
      <w:r>
        <w:t>10.1 Sso.Enabled=false（默认）</w:t>
      </w:r>
    </w:p>
    <w:p>
      <w:pPr>
        <w:pStyle w:val="ListBullet"/>
      </w:pPr>
      <w:r>
        <w:t>启动时不打开浏览器、不监听 5657、不调 IMP</w:t>
      </w:r>
    </w:p>
    <w:p>
      <w:pPr>
        <w:pStyle w:val="ListBullet"/>
      </w:pPr>
      <w:r>
        <w:t>仅走 License 门控</w:t>
      </w:r>
    </w:p>
    <w:p>
      <w:pPr>
        <w:pStyle w:val="ListBullet"/>
      </w:pPr>
      <w:r>
        <w:t>标题栏无 SSO 姓名/登出入口</w:t>
      </w:r>
    </w:p>
    <w:p>
      <w:pPr>
        <w:pStyle w:val="Heading2"/>
      </w:pPr>
      <w:r>
        <w:t>10.2 Sso.Enabled=true</w:t>
      </w:r>
    </w:p>
    <w:p>
      <w:pPr>
        <w:pStyle w:val="ListBullet"/>
      </w:pPr>
      <w:r>
        <w:t>首次 IMP 登录 → check_ssotoken 一次 → 进入主界面</w:t>
      </w:r>
    </w:p>
    <w:p>
      <w:pPr>
        <w:pStyle w:val="ListBullet"/>
      </w:pPr>
      <w:r>
        <w:t>24h 内再次启动免浏览器、免 IMP</w:t>
      </w:r>
    </w:p>
    <w:p>
      <w:pPr>
        <w:pStyle w:val="ListBullet"/>
      </w:pPr>
      <w:r>
        <w:t>超过 24h 重新 IMP 登录</w:t>
      </w:r>
    </w:p>
    <w:p>
      <w:pPr>
        <w:pStyle w:val="ListBullet"/>
      </w:pPr>
      <w:r>
        <w:t>SSO + License 双门控</w:t>
      </w:r>
    </w:p>
    <w:p>
      <w:pPr>
        <w:pStyle w:val="ListBullet"/>
      </w:pPr>
      <w:r>
        <w:t>点击姓名可登出</w:t>
      </w:r>
    </w:p>
    <w:p>
      <w:pPr>
        <w:pStyle w:val="Heading1"/>
      </w:pPr>
      <w:r>
        <w:t>11. 附录：Debug 开关</w:t>
      </w:r>
    </w:p>
    <w:p>
      <w:r>
        <w:rPr>
          <w:b w:val="0"/>
        </w:rPr>
        <w:t>DEBUG 构建可设置环境变量 ATHLON_SKIP_SSO=1 跳过 SSO 门控（与 ATHLON_SKIP_LICENSE 对称）。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