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57" w:rsidRPr="004A7D7A" w:rsidRDefault="00E67F39">
      <w:pPr>
        <w:rPr>
          <w:sz w:val="20"/>
          <w:szCs w:val="20"/>
        </w:rPr>
      </w:pPr>
      <w:r w:rsidRPr="004A7D7A">
        <w:rPr>
          <w:rFonts w:cs="Courier New"/>
          <w:noProof/>
          <w:color w:val="0000FF"/>
          <w:sz w:val="20"/>
          <w:szCs w:val="20"/>
        </w:rPr>
        <w:t>SELECT</w:t>
      </w:r>
      <w:r w:rsidRPr="004A7D7A">
        <w:rPr>
          <w:rFonts w:cs="Courier New"/>
          <w:noProof/>
          <w:sz w:val="20"/>
          <w:szCs w:val="20"/>
        </w:rPr>
        <w:t xml:space="preserve"> </w:t>
      </w:r>
      <w:r w:rsidRPr="004A7D7A">
        <w:rPr>
          <w:rFonts w:cs="Courier New"/>
          <w:noProof/>
          <w:color w:val="808080"/>
          <w:sz w:val="20"/>
          <w:szCs w:val="20"/>
        </w:rPr>
        <w:t>*</w:t>
      </w:r>
      <w:r w:rsidRPr="004A7D7A">
        <w:rPr>
          <w:rFonts w:cs="Courier New"/>
          <w:noProof/>
          <w:sz w:val="20"/>
          <w:szCs w:val="20"/>
        </w:rPr>
        <w:t xml:space="preserve"> </w:t>
      </w:r>
      <w:r w:rsidRPr="004A7D7A">
        <w:rPr>
          <w:rFonts w:cs="Courier New"/>
          <w:noProof/>
          <w:color w:val="0000FF"/>
          <w:sz w:val="20"/>
          <w:szCs w:val="20"/>
        </w:rPr>
        <w:t>FROM</w:t>
      </w:r>
      <w:r w:rsidRPr="004A7D7A">
        <w:rPr>
          <w:rFonts w:cs="Courier New"/>
          <w:noProof/>
          <w:sz w:val="20"/>
          <w:szCs w:val="20"/>
        </w:rPr>
        <w:t xml:space="preserve"> </w:t>
      </w:r>
      <w:r w:rsidRPr="004A7D7A">
        <w:rPr>
          <w:rFonts w:cs="Courier New"/>
          <w:noProof/>
          <w:color w:val="008000"/>
          <w:sz w:val="20"/>
          <w:szCs w:val="20"/>
        </w:rPr>
        <w:t>sys</w:t>
      </w:r>
      <w:r w:rsidRPr="004A7D7A">
        <w:rPr>
          <w:rFonts w:cs="Courier New"/>
          <w:noProof/>
          <w:color w:val="808080"/>
          <w:sz w:val="20"/>
          <w:szCs w:val="20"/>
        </w:rPr>
        <w:t>.</w:t>
      </w:r>
      <w:r w:rsidRPr="004A7D7A">
        <w:rPr>
          <w:rFonts w:cs="Courier New"/>
          <w:noProof/>
          <w:color w:val="008000"/>
          <w:sz w:val="20"/>
          <w:szCs w:val="20"/>
        </w:rPr>
        <w:t>all_objects</w:t>
      </w:r>
    </w:p>
    <w:p w:rsidR="009C55B9" w:rsidRPr="004A7D7A" w:rsidRDefault="00E67F39">
      <w:pPr>
        <w:rPr>
          <w:sz w:val="20"/>
          <w:szCs w:val="20"/>
        </w:rPr>
      </w:pPr>
      <w:r w:rsidRPr="004A7D7A">
        <w:rPr>
          <w:noProof/>
          <w:sz w:val="20"/>
          <w:szCs w:val="20"/>
        </w:rPr>
        <w:drawing>
          <wp:inline distT="0" distB="0" distL="0" distR="0">
            <wp:extent cx="7406640" cy="904183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904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57" w:rsidRPr="004A7D7A" w:rsidRDefault="00E67F39">
      <w:pPr>
        <w:rPr>
          <w:sz w:val="20"/>
          <w:szCs w:val="20"/>
        </w:rPr>
      </w:pPr>
      <w:r w:rsidRPr="004A7D7A">
        <w:rPr>
          <w:sz w:val="20"/>
          <w:szCs w:val="20"/>
        </w:rPr>
        <w:t>Shows the UNION of all schema-scoped user-defined objects and system objects</w:t>
      </w:r>
    </w:p>
    <w:tbl>
      <w:tblPr>
        <w:tblW w:w="0" w:type="auto"/>
        <w:tblInd w:w="94" w:type="dxa"/>
        <w:tblLook w:val="04A0"/>
      </w:tblPr>
      <w:tblGrid>
        <w:gridCol w:w="1958"/>
        <w:gridCol w:w="1257"/>
        <w:gridCol w:w="8571"/>
      </w:tblGrid>
      <w:tr w:rsidR="00461479" w:rsidRPr="00461479" w:rsidTr="0046147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sysname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Object name.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Object identification number. Is unique within a database.</w:t>
            </w:r>
          </w:p>
        </w:tc>
      </w:tr>
      <w:tr w:rsidR="00461479" w:rsidRPr="00461479" w:rsidTr="00461479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principal_id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ID of the individual owner if different from the schema owner. By default, schema-contained objects are owned by the schema owner. However, another owner can be specified by using the ALTER AUTHORIZATION statement to change ownership.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Is NULL if there is no alternative individual owner.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Is NULL if the object type is one of the following: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C = CHECK 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D = DEFAULT (constraint or stand-alone)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F = FOREIGN KEY 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PK = PRIMARY KEY 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R = Rule (old-style, stand-alone)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TA = Assembly (CLR) trigger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TR = SQL trigger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UQ = UNIQUE 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schema_id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ID of the schema that contains the object.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For all schema scoped system objects that are included with SQL Server, this value is always in (</w:t>
            </w: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schema_</w:t>
            </w:r>
            <w:proofErr w:type="gram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id</w:t>
            </w:r>
            <w:proofErr w:type="spellEnd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'sys'), </w:t>
            </w: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schema_id</w:t>
            </w:r>
            <w:proofErr w:type="spellEnd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('INFORMATION_SCHEMA')).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parent_object_id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ID of the object to which this object belongs.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0 = Not a child object.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Object type: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AF = Aggregate function (CLR)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C = CHECK 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D = DEFAULT (constraint or stand-alone)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F = FOREIGN KEY 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FN = SQL scalar function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FS = Assembly (CLR) scalar-function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FT = Assembly (CLR) table-valued function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IF = SQL inline table-valued function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IT = Internal table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P = SQL Stored Procedure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PC = Assembly (CLR) stored-procedure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PG = Plan guide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PK = PRIMARY KEY 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R = Rule (old-style, stand-alone)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RF = Replication-filter-procedure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 = System base table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SN = Synonym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SQ = Service queue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TA = Assembly (CLR) DML trigger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TF = SQL table-valued-function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TR = SQL DML trigger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TT = Table type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U = Table (user-defined)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UQ = UNIQUE 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V = View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X = Extended stored procedure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type_desc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nvarchar</w:t>
            </w:r>
            <w:proofErr w:type="spellEnd"/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(60)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Description of the object type. AGGREGATE_FUNCTION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CHECK_CONSTRAINT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DEFAULT_CONSTRAINT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FOREIGN_KEY_CONSTRAINT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SQL_SCALAR_FUNCTION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CLR_SCALAR_FUNCTION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CLR_TABLE_VALUED_FUNCTION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SQL_INLINE_TABLE_VALUED_FUNCTION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INTERNAL_TABLE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SQL_STORED_PROCEDURE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CLR_STORED_PROCEDURE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PLAN_GUIDE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PRIMARY_KEY_CONSTRAINT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RULE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REPLICATION_FILTER_PROCEDURE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SYSTEM_TABLE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SYNONYM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SERVICE_QUEUE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CLR_TRIGGER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SQL_TABLE_VALUED_FUNCTION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SQL_TRIGGER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TABLE_TYPE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USER_TABLE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UNIQUE_CONSTRAINT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VIEW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EXTENDED_STORED_PROCEDURE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Date the object was created.</w:t>
            </w:r>
          </w:p>
        </w:tc>
      </w:tr>
      <w:tr w:rsidR="00461479" w:rsidRPr="00461479" w:rsidTr="00461479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modify_date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Date the object was last modified by using an ALTER statement. If the object is a table or a view, </w:t>
            </w: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modify_date</w:t>
            </w:r>
            <w:proofErr w:type="spellEnd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also changes when a clustered index on the table or view is created or modified.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is_ms_shipped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Object created by an internal SQL Server component.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is_published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Object is published.</w:t>
            </w:r>
          </w:p>
        </w:tc>
      </w:tr>
      <w:tr w:rsidR="00461479" w:rsidRPr="00461479" w:rsidTr="0046147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is_schema_published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1479" w:rsidRPr="00461479" w:rsidRDefault="00461479" w:rsidP="0046147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1479">
              <w:rPr>
                <w:rFonts w:eastAsia="Times New Roman" w:cs="Times New Roman"/>
                <w:color w:val="000000"/>
                <w:sz w:val="20"/>
                <w:szCs w:val="20"/>
              </w:rPr>
              <w:t>Only the schema of the object is published.</w:t>
            </w:r>
          </w:p>
        </w:tc>
      </w:tr>
    </w:tbl>
    <w:p w:rsidR="002B3957" w:rsidRPr="004A7D7A" w:rsidRDefault="002B3957">
      <w:pPr>
        <w:rPr>
          <w:sz w:val="20"/>
          <w:szCs w:val="20"/>
        </w:rPr>
      </w:pPr>
    </w:p>
    <w:sectPr w:rsidR="002B3957" w:rsidRPr="004A7D7A" w:rsidSect="0091307C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3957"/>
    <w:rsid w:val="002078DC"/>
    <w:rsid w:val="002B3957"/>
    <w:rsid w:val="00461479"/>
    <w:rsid w:val="00480326"/>
    <w:rsid w:val="004A7D7A"/>
    <w:rsid w:val="0091307C"/>
    <w:rsid w:val="009C55B9"/>
    <w:rsid w:val="00A616F0"/>
    <w:rsid w:val="00A960AB"/>
    <w:rsid w:val="00BC69A8"/>
    <w:rsid w:val="00CE1E17"/>
    <w:rsid w:val="00E67F39"/>
    <w:rsid w:val="00E8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2019-09-08T03:29:00Z</dcterms:created>
  <dcterms:modified xsi:type="dcterms:W3CDTF">2019-09-08T04:30:00Z</dcterms:modified>
</cp:coreProperties>
</file>