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9E8E0" w14:textId="77777777" w:rsidR="00333065" w:rsidRDefault="00457A91">
      <w:pPr>
        <w:pStyle w:val="Heading1"/>
        <w:spacing w:after="60"/>
        <w:jc w:val="center"/>
      </w:pPr>
      <w:r>
        <w:rPr>
          <w:b/>
          <w:bCs/>
          <w:color w:val="1F3864"/>
          <w:sz w:val="30"/>
          <w:szCs w:val="30"/>
        </w:rPr>
        <w:t>Comparison of E-Waste Management Regulations in Asia</w:t>
      </w:r>
    </w:p>
    <w:p w14:paraId="1837D2FD" w14:textId="77777777" w:rsidR="00333065" w:rsidRDefault="00457A91">
      <w:pPr>
        <w:spacing w:after="150"/>
        <w:jc w:val="center"/>
      </w:pPr>
      <w:r>
        <w:rPr>
          <w:i/>
          <w:iCs/>
          <w:color w:val="555555"/>
          <w:sz w:val="22"/>
          <w:szCs w:val="22"/>
        </w:rPr>
        <w:t>India, China, Japan, South Korea, and Singapore</w:t>
      </w:r>
    </w:p>
    <w:tbl>
      <w:tblPr>
        <w:tblW w:w="144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20"/>
        <w:gridCol w:w="2520"/>
        <w:gridCol w:w="2520"/>
        <w:gridCol w:w="2520"/>
        <w:gridCol w:w="2520"/>
      </w:tblGrid>
      <w:tr w:rsidR="00333065" w14:paraId="41CD79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A5DFE5" w14:textId="77777777" w:rsidR="00333065" w:rsidRDefault="00457A91"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252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8B1F91" w14:textId="77777777" w:rsidR="00333065" w:rsidRDefault="00457A91">
            <w:r>
              <w:rPr>
                <w:b/>
                <w:bCs/>
                <w:color w:val="FFFFFF"/>
              </w:rPr>
              <w:t>India</w:t>
            </w:r>
          </w:p>
        </w:tc>
        <w:tc>
          <w:tcPr>
            <w:tcW w:w="252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46F38B" w14:textId="77777777" w:rsidR="00333065" w:rsidRDefault="00457A91">
            <w:r>
              <w:rPr>
                <w:b/>
                <w:bCs/>
                <w:color w:val="FFFFFF"/>
              </w:rPr>
              <w:t>China</w:t>
            </w:r>
          </w:p>
        </w:tc>
        <w:tc>
          <w:tcPr>
            <w:tcW w:w="252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F9C441" w14:textId="77777777" w:rsidR="00333065" w:rsidRDefault="00457A91">
            <w:r>
              <w:rPr>
                <w:b/>
                <w:bCs/>
                <w:color w:val="FFFFFF"/>
              </w:rPr>
              <w:t>Japan</w:t>
            </w:r>
          </w:p>
        </w:tc>
        <w:tc>
          <w:tcPr>
            <w:tcW w:w="252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EAEA9F" w14:textId="77777777" w:rsidR="00333065" w:rsidRDefault="00457A91">
            <w:r>
              <w:rPr>
                <w:b/>
                <w:bCs/>
                <w:color w:val="FFFFFF"/>
              </w:rPr>
              <w:t>South Korea</w:t>
            </w:r>
          </w:p>
        </w:tc>
        <w:tc>
          <w:tcPr>
            <w:tcW w:w="252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37D404" w14:textId="77777777" w:rsidR="00333065" w:rsidRDefault="00457A91">
            <w:r>
              <w:rPr>
                <w:b/>
                <w:bCs/>
                <w:color w:val="FFFFFF"/>
              </w:rPr>
              <w:t>Singapore</w:t>
            </w:r>
          </w:p>
        </w:tc>
      </w:tr>
      <w:tr w:rsidR="00333065" w14:paraId="71A494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525A7" w14:textId="77777777" w:rsidR="00333065" w:rsidRDefault="00457A91">
            <w:r>
              <w:rPr>
                <w:b/>
                <w:bCs/>
                <w:sz w:val="19"/>
                <w:szCs w:val="19"/>
              </w:rPr>
              <w:t>Key Law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23C27" w14:textId="77777777" w:rsidR="00333065" w:rsidRDefault="00457A91">
            <w:r>
              <w:rPr>
                <w:sz w:val="19"/>
                <w:szCs w:val="19"/>
              </w:rPr>
              <w:t>E-Waste (Management) Rules, 2022 (in force 1 Apr 2023), under the Environment Protection Act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A7EC2" w14:textId="77777777" w:rsidR="00333065" w:rsidRDefault="00457A91">
            <w:r>
              <w:rPr>
                <w:sz w:val="19"/>
                <w:szCs w:val="19"/>
              </w:rPr>
              <w:t>Regulation on the Management of Recycling of Used Electronic and Electrical Products (2009, effective 2011)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DBA1B" w14:textId="77777777" w:rsidR="00333065" w:rsidRDefault="00457A91">
            <w:r>
              <w:rPr>
                <w:sz w:val="19"/>
                <w:szCs w:val="19"/>
              </w:rPr>
              <w:t>Home Appliance Recycling Law (1998/2001) + Small Home Appliance Recycling Law (2012/2013)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991A6" w14:textId="77777777" w:rsidR="00333065" w:rsidRDefault="00457A91">
            <w:r>
              <w:rPr>
                <w:sz w:val="19"/>
                <w:szCs w:val="19"/>
              </w:rPr>
              <w:t>Act on Resource Circulation of Electrical and Electronic Equipment and Vehicles ("EEEV Act", since 2003, updated 2008 &amp; 2019)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56019" w14:textId="77777777" w:rsidR="00333065" w:rsidRDefault="00457A91">
            <w:r>
              <w:rPr>
                <w:sz w:val="19"/>
                <w:szCs w:val="19"/>
              </w:rPr>
              <w:t>Resource Sustainability Act 2019 + E-waste EPR Regulations (2021)</w:t>
            </w:r>
          </w:p>
        </w:tc>
      </w:tr>
      <w:tr w:rsidR="00333065" w14:paraId="6BC526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8F834" w14:textId="77777777" w:rsidR="00333065" w:rsidRDefault="00457A91">
            <w:r>
              <w:rPr>
                <w:b/>
                <w:bCs/>
                <w:sz w:val="19"/>
                <w:szCs w:val="19"/>
              </w:rPr>
              <w:t>Regulator</w:t>
            </w:r>
          </w:p>
        </w:tc>
        <w:tc>
          <w:tcPr>
            <w:tcW w:w="252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6B457" w14:textId="77777777" w:rsidR="00333065" w:rsidRDefault="00457A91">
            <w:r>
              <w:rPr>
                <w:sz w:val="19"/>
                <w:szCs w:val="19"/>
              </w:rPr>
              <w:t>Central Pollution Control Board (CPCB) / Ministry of Environment, Forest &amp; Climate Change</w:t>
            </w:r>
          </w:p>
        </w:tc>
        <w:tc>
          <w:tcPr>
            <w:tcW w:w="252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13216" w14:textId="77777777" w:rsidR="00333065" w:rsidRDefault="00457A91">
            <w:r>
              <w:rPr>
                <w:sz w:val="19"/>
                <w:szCs w:val="19"/>
              </w:rPr>
              <w:t>Ministry of Ecology and Environment, NDRC, MIIT (fund co-managed with Ministry of Finance)</w:t>
            </w:r>
          </w:p>
        </w:tc>
        <w:tc>
          <w:tcPr>
            <w:tcW w:w="252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B76F2" w14:textId="77777777" w:rsidR="00333065" w:rsidRDefault="00457A91">
            <w:r>
              <w:rPr>
                <w:sz w:val="19"/>
                <w:szCs w:val="19"/>
              </w:rPr>
              <w:t>Ministry of the Environment; Ministry of Economy, Trade and Industry</w:t>
            </w:r>
          </w:p>
        </w:tc>
        <w:tc>
          <w:tcPr>
            <w:tcW w:w="252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EEC9E" w14:textId="77777777" w:rsidR="00333065" w:rsidRDefault="00457A91">
            <w:r>
              <w:rPr>
                <w:sz w:val="19"/>
                <w:szCs w:val="19"/>
              </w:rPr>
              <w:t>Ministry of Environment (MOE)</w:t>
            </w:r>
          </w:p>
        </w:tc>
        <w:tc>
          <w:tcPr>
            <w:tcW w:w="252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846E9" w14:textId="77777777" w:rsidR="00333065" w:rsidRDefault="00457A91">
            <w:r>
              <w:rPr>
                <w:sz w:val="19"/>
                <w:szCs w:val="19"/>
              </w:rPr>
              <w:t>National Environment Agency (NEA)</w:t>
            </w:r>
          </w:p>
        </w:tc>
      </w:tr>
      <w:tr w:rsidR="00333065" w14:paraId="3BE581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2A56A" w14:textId="77777777" w:rsidR="00333065" w:rsidRDefault="00457A91">
            <w:r>
              <w:rPr>
                <w:b/>
                <w:bCs/>
                <w:sz w:val="19"/>
                <w:szCs w:val="19"/>
              </w:rPr>
              <w:t>Core Approach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08DBA" w14:textId="77777777" w:rsidR="00333065" w:rsidRDefault="00457A91">
            <w:r>
              <w:rPr>
                <w:sz w:val="19"/>
                <w:szCs w:val="19"/>
              </w:rPr>
              <w:t>Extended Producer Responsibility (EPR) with annual recycling targets and tradable EPR certificates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9F794" w14:textId="77777777" w:rsidR="00333065" w:rsidRDefault="00457A91">
            <w:r>
              <w:rPr>
                <w:sz w:val="19"/>
                <w:szCs w:val="19"/>
              </w:rPr>
              <w:t>EPR-based licensing plus a government-run WEEE Disposal Fund financed by producer/importer levies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BCEE4" w14:textId="77777777" w:rsidR="00333065" w:rsidRDefault="00457A91">
            <w:r>
              <w:rPr>
                <w:sz w:val="19"/>
                <w:szCs w:val="19"/>
              </w:rPr>
              <w:t>Consumer-paid take-back for 4 major appliances; municipal/retailer collection for small appliances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CF0C6" w14:textId="77777777" w:rsidR="00333065" w:rsidRDefault="00457A91">
            <w:r>
              <w:rPr>
                <w:sz w:val="19"/>
                <w:szCs w:val="19"/>
              </w:rPr>
              <w:t>EPR with recycling-rate targets per product category, plus RoHS-style substance restrictions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D9DA5" w14:textId="77777777" w:rsidR="00333065" w:rsidRDefault="00457A91">
            <w:r>
              <w:rPr>
                <w:sz w:val="19"/>
                <w:szCs w:val="19"/>
              </w:rPr>
              <w:t>EPR administered through a single appointed Producer Responsibility Scheme (PRS) operator</w:t>
            </w:r>
          </w:p>
        </w:tc>
      </w:tr>
      <w:tr w:rsidR="00333065" w14:paraId="4D336E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49321" w14:textId="77777777" w:rsidR="00333065" w:rsidRDefault="00457A91">
            <w:r>
              <w:rPr>
                <w:b/>
                <w:bCs/>
                <w:sz w:val="19"/>
                <w:szCs w:val="19"/>
              </w:rPr>
              <w:t>Who Pays / Is Responsible</w:t>
            </w:r>
          </w:p>
        </w:tc>
        <w:tc>
          <w:tcPr>
            <w:tcW w:w="252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D5A51" w14:textId="77777777" w:rsidR="00333065" w:rsidRDefault="00457A91">
            <w:r>
              <w:rPr>
                <w:sz w:val="19"/>
                <w:szCs w:val="19"/>
              </w:rPr>
              <w:t>Producers, manufacturers, refurbishers, dismantlers and recyclers; all must register on CPCB's EPR portal</w:t>
            </w:r>
          </w:p>
        </w:tc>
        <w:tc>
          <w:tcPr>
            <w:tcW w:w="252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E9C89" w14:textId="77777777" w:rsidR="00333065" w:rsidRDefault="00457A91">
            <w:r>
              <w:rPr>
                <w:sz w:val="19"/>
                <w:szCs w:val="19"/>
              </w:rPr>
              <w:t>Producers and importers pay into the WEEE fund; licensed dismantlers receive subsidies from it</w:t>
            </w:r>
          </w:p>
        </w:tc>
        <w:tc>
          <w:tcPr>
            <w:tcW w:w="252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7F5B5" w14:textId="77777777" w:rsidR="00333065" w:rsidRDefault="00457A91">
            <w:r>
              <w:rPr>
                <w:sz w:val="19"/>
                <w:szCs w:val="19"/>
              </w:rPr>
              <w:t>Consumers pay a recycling fee at disposal for major appliances; retailers and manufacturers are take-back points</w:t>
            </w:r>
          </w:p>
        </w:tc>
        <w:tc>
          <w:tcPr>
            <w:tcW w:w="252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9F499" w14:textId="77777777" w:rsidR="00333065" w:rsidRDefault="00457A91">
            <w:r>
              <w:rPr>
                <w:sz w:val="19"/>
                <w:szCs w:val="19"/>
              </w:rPr>
              <w:t>Manufacturers/importers finance and report collection &amp; recycling; small producers below revenue thresholds are exempt</w:t>
            </w:r>
          </w:p>
        </w:tc>
        <w:tc>
          <w:tcPr>
            <w:tcW w:w="252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9753C" w14:textId="77777777" w:rsidR="00333065" w:rsidRDefault="00457A91">
            <w:r>
              <w:rPr>
                <w:sz w:val="19"/>
                <w:szCs w:val="19"/>
              </w:rPr>
              <w:t>Registered producers finance the PRS operator (ALBA E-Waste); large producers must be licensed</w:t>
            </w:r>
          </w:p>
        </w:tc>
      </w:tr>
      <w:tr w:rsidR="00333065" w14:paraId="428674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4D059" w14:textId="77777777" w:rsidR="00333065" w:rsidRDefault="00457A91">
            <w:r>
              <w:rPr>
                <w:b/>
                <w:bCs/>
                <w:sz w:val="19"/>
                <w:szCs w:val="19"/>
              </w:rPr>
              <w:t>Scope of Covered Products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9BF47" w14:textId="77777777" w:rsidR="00333065" w:rsidRDefault="00457A91">
            <w:r>
              <w:rPr>
                <w:sz w:val="19"/>
                <w:szCs w:val="19"/>
              </w:rPr>
              <w:t>21 product categories (Schedule I), including solar PV modules/cells since the 2022 revision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BAB34" w14:textId="77777777" w:rsidR="00333065" w:rsidRDefault="00457A91">
            <w:r>
              <w:rPr>
                <w:sz w:val="19"/>
                <w:szCs w:val="19"/>
              </w:rPr>
              <w:t>Products listed in the WEEE Catalogue (TVs, fridges, washers, ACs, computers, etc.), expanded over time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3F4BC" w14:textId="77777777" w:rsidR="00333065" w:rsidRDefault="00457A91">
            <w:r>
              <w:rPr>
                <w:sz w:val="19"/>
                <w:szCs w:val="19"/>
              </w:rPr>
              <w:t>4 major appliances under the Home Appliance law; ~400 categories of small electronics under the 2013 law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09A19" w14:textId="77777777" w:rsidR="00333065" w:rsidRDefault="00457A91">
            <w:r>
              <w:rPr>
                <w:sz w:val="19"/>
                <w:szCs w:val="19"/>
              </w:rPr>
              <w:t>Currently ~50 product types (TVs, fridges, washers, ACs, PCs, phones); being expanded to ALL EEE by 2026 under a 2025 amendment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4AE10" w14:textId="77777777" w:rsidR="00333065" w:rsidRDefault="00457A91">
            <w:r>
              <w:rPr>
                <w:sz w:val="19"/>
                <w:szCs w:val="19"/>
              </w:rPr>
              <w:t>Five regulated classes: solar PV panels, ICT equipment, large appliances, batteries, and lamps</w:t>
            </w:r>
          </w:p>
        </w:tc>
      </w:tr>
      <w:tr w:rsidR="00333065" w14:paraId="5B0A42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9DAE4" w14:textId="77777777" w:rsidR="00333065" w:rsidRDefault="00457A91">
            <w:r>
              <w:rPr>
                <w:b/>
                <w:bCs/>
                <w:sz w:val="19"/>
                <w:szCs w:val="19"/>
              </w:rPr>
              <w:t>Targets / Standards</w:t>
            </w:r>
          </w:p>
        </w:tc>
        <w:tc>
          <w:tcPr>
            <w:tcW w:w="252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F414F" w14:textId="77777777" w:rsidR="00333065" w:rsidRDefault="00457A91">
            <w:r>
              <w:rPr>
                <w:sz w:val="19"/>
                <w:szCs w:val="19"/>
              </w:rPr>
              <w:t>Annual, category-specific recycling targets in Schedules III &amp; IV; environmental compensation for shortfalls</w:t>
            </w:r>
          </w:p>
        </w:tc>
        <w:tc>
          <w:tcPr>
            <w:tcW w:w="252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93D6E" w14:textId="77777777" w:rsidR="00333065" w:rsidRDefault="00457A91">
            <w:r>
              <w:rPr>
                <w:sz w:val="19"/>
                <w:szCs w:val="19"/>
              </w:rPr>
              <w:t>Fund-financed subsidies tied to certified dismantling volumes rather than a fixed % target</w:t>
            </w:r>
          </w:p>
        </w:tc>
        <w:tc>
          <w:tcPr>
            <w:tcW w:w="252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6749C" w14:textId="77777777" w:rsidR="00333065" w:rsidRDefault="00457A91">
            <w:r>
              <w:rPr>
                <w:sz w:val="19"/>
                <w:szCs w:val="19"/>
              </w:rPr>
              <w:t>Reuse/recycling rate requirements of roughly 50–80% by appliance type (higher for newer targets)</w:t>
            </w:r>
          </w:p>
        </w:tc>
        <w:tc>
          <w:tcPr>
            <w:tcW w:w="252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461BC" w14:textId="77777777" w:rsidR="00333065" w:rsidRDefault="00457A91">
            <w:r>
              <w:rPr>
                <w:sz w:val="19"/>
                <w:szCs w:val="19"/>
              </w:rPr>
              <w:t>Reuse/recycling rates of about 75–80% of product weight, verified through mandatory reporting</w:t>
            </w:r>
          </w:p>
        </w:tc>
        <w:tc>
          <w:tcPr>
            <w:tcW w:w="252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633B3" w14:textId="77777777" w:rsidR="00333065" w:rsidRDefault="00457A91">
            <w:r>
              <w:rPr>
                <w:sz w:val="19"/>
                <w:szCs w:val="19"/>
              </w:rPr>
              <w:t>Producers must meet NEA-set collection and recycling obligations; unregistered supply is an offence</w:t>
            </w:r>
          </w:p>
        </w:tc>
      </w:tr>
      <w:tr w:rsidR="00333065" w14:paraId="5F5A9B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3E4E1" w14:textId="77777777" w:rsidR="00333065" w:rsidRDefault="00457A91">
            <w:r>
              <w:rPr>
                <w:b/>
                <w:bCs/>
                <w:sz w:val="19"/>
                <w:szCs w:val="19"/>
              </w:rPr>
              <w:t>Informal Sector Handling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05983" w14:textId="77777777" w:rsidR="00333065" w:rsidRDefault="00457A91">
            <w:r>
              <w:rPr>
                <w:sz w:val="19"/>
                <w:szCs w:val="19"/>
              </w:rPr>
              <w:t>Rules aim to formalize informal recyclers by channeling e-waste to CPCB-registered recyclers only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6E543" w14:textId="77777777" w:rsidR="00333065" w:rsidRDefault="00457A91">
            <w:r>
              <w:rPr>
                <w:sz w:val="19"/>
                <w:szCs w:val="19"/>
              </w:rPr>
              <w:t>Historic informal-sector hub (e.g. Guiyu); fund/licensing system pushes volumes into licensed formal recyclers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5F9AE" w14:textId="77777777" w:rsidR="00333065" w:rsidRDefault="00457A91">
            <w:r>
              <w:rPr>
                <w:sz w:val="19"/>
                <w:szCs w:val="19"/>
              </w:rPr>
              <w:t>Low informal sector; long-standing formal take-back infrastructure since the 1990s–2000s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866D9" w14:textId="77777777" w:rsidR="00333065" w:rsidRDefault="00457A91">
            <w:r>
              <w:rPr>
                <w:sz w:val="19"/>
                <w:szCs w:val="19"/>
              </w:rPr>
              <w:t>Low informal sector; PRO/compliance-scheme model channels waste through licensed recyclers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E561F" w14:textId="77777777" w:rsidR="00333065" w:rsidRDefault="00457A91">
            <w:r>
              <w:rPr>
                <w:sz w:val="19"/>
                <w:szCs w:val="19"/>
              </w:rPr>
              <w:t>Minimal informal sector; NEA licenses all e-waste recyclers and appoints a single national PRS operator</w:t>
            </w:r>
          </w:p>
        </w:tc>
      </w:tr>
      <w:tr w:rsidR="00333065" w14:paraId="45F00B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C5AD5" w14:textId="77777777" w:rsidR="00333065" w:rsidRDefault="00457A91">
            <w:r>
              <w:rPr>
                <w:b/>
                <w:bCs/>
                <w:sz w:val="19"/>
                <w:szCs w:val="19"/>
              </w:rPr>
              <w:t>Penalties for Non-Compliance</w:t>
            </w:r>
          </w:p>
        </w:tc>
        <w:tc>
          <w:tcPr>
            <w:tcW w:w="252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56DED" w14:textId="77777777" w:rsidR="00333065" w:rsidRDefault="00457A91">
            <w:r>
              <w:rPr>
                <w:sz w:val="19"/>
                <w:szCs w:val="19"/>
              </w:rPr>
              <w:t>Environmental compensation for unmet EPR targets; fines for unregistered producers</w:t>
            </w:r>
          </w:p>
        </w:tc>
        <w:tc>
          <w:tcPr>
            <w:tcW w:w="252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7010D" w14:textId="77777777" w:rsidR="00333065" w:rsidRDefault="00457A91">
            <w:r>
              <w:rPr>
                <w:sz w:val="19"/>
                <w:szCs w:val="19"/>
              </w:rPr>
              <w:t>Fines and loss of licensing/subsidy eligibility for unlicensed collection or disposal</w:t>
            </w:r>
          </w:p>
        </w:tc>
        <w:tc>
          <w:tcPr>
            <w:tcW w:w="252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03566" w14:textId="77777777" w:rsidR="00333065" w:rsidRDefault="00457A91">
            <w:r>
              <w:rPr>
                <w:sz w:val="19"/>
                <w:szCs w:val="19"/>
              </w:rPr>
              <w:t>Fines for retailers/manufacturers who skip collection duties</w:t>
            </w:r>
          </w:p>
        </w:tc>
        <w:tc>
          <w:tcPr>
            <w:tcW w:w="252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D768E" w14:textId="77777777" w:rsidR="00333065" w:rsidRDefault="00457A91">
            <w:r>
              <w:rPr>
                <w:sz w:val="19"/>
                <w:szCs w:val="19"/>
              </w:rPr>
              <w:t>Fines under the EEEV Act and Korea RoHS for missed targets or substance violations</w:t>
            </w:r>
          </w:p>
        </w:tc>
        <w:tc>
          <w:tcPr>
            <w:tcW w:w="252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9D9A9" w14:textId="77777777" w:rsidR="00333065" w:rsidRDefault="00457A91">
            <w:r>
              <w:rPr>
                <w:sz w:val="19"/>
                <w:szCs w:val="19"/>
              </w:rPr>
              <w:t>Fines up to S$10,000 and/or up to 3 months' jail for unregistered supply</w:t>
            </w:r>
          </w:p>
        </w:tc>
      </w:tr>
    </w:tbl>
    <w:p w14:paraId="24F41990" w14:textId="77777777" w:rsidR="00333065" w:rsidRDefault="00457A91">
      <w:pPr>
        <w:spacing w:before="300"/>
      </w:pPr>
      <w:r>
        <w:rPr>
          <w:b/>
          <w:bCs/>
        </w:rPr>
        <w:t>Notes</w:t>
      </w:r>
    </w:p>
    <w:p w14:paraId="43857A89" w14:textId="77777777" w:rsidR="00333065" w:rsidRDefault="00457A91">
      <w:pPr>
        <w:spacing w:before="100"/>
      </w:pPr>
      <w:r>
        <w:rPr>
          <w:sz w:val="19"/>
          <w:szCs w:val="19"/>
        </w:rPr>
        <w:t>All five jurisdictions apply an Extended Producer Responsibility (EPR) model, but the financing mechanism differs: India and Singapore use tradable EPR certificates/a single PRS operator, China runs a centralized government fund, and Japan splits responsibility between consumer-paid fees (major appliances) and retailer/municipal collection (small appliances). South Korea is transitioning from a ~50-product scope to covering all electrical and electronic equipment by 2026.</w:t>
      </w:r>
    </w:p>
    <w:p w14:paraId="72BAAFB6" w14:textId="77777777" w:rsidR="00333065" w:rsidRDefault="00457A91">
      <w:pPr>
        <w:spacing w:before="150"/>
      </w:pPr>
      <w:r>
        <w:rPr>
          <w:i/>
          <w:iCs/>
          <w:color w:val="777777"/>
          <w:sz w:val="18"/>
          <w:szCs w:val="18"/>
        </w:rPr>
        <w:t>This summary is for general reference; producers and recyclers should confirm current requirements against official government sources, as rules and thresholds are periodically amended.</w:t>
      </w:r>
    </w:p>
    <w:sectPr w:rsidR="00333065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F71B9"/>
    <w:multiLevelType w:val="hybridMultilevel"/>
    <w:tmpl w:val="FFFFFFFF"/>
    <w:lvl w:ilvl="0" w:tplc="3132B1BC">
      <w:start w:val="1"/>
      <w:numFmt w:val="bullet"/>
      <w:lvlText w:val="●"/>
      <w:lvlJc w:val="left"/>
      <w:pPr>
        <w:ind w:left="720" w:hanging="360"/>
      </w:pPr>
    </w:lvl>
    <w:lvl w:ilvl="1" w:tplc="E6C4ACCC">
      <w:start w:val="1"/>
      <w:numFmt w:val="bullet"/>
      <w:lvlText w:val="○"/>
      <w:lvlJc w:val="left"/>
      <w:pPr>
        <w:ind w:left="1440" w:hanging="360"/>
      </w:pPr>
    </w:lvl>
    <w:lvl w:ilvl="2" w:tplc="B882F8F8">
      <w:start w:val="1"/>
      <w:numFmt w:val="bullet"/>
      <w:lvlText w:val="■"/>
      <w:lvlJc w:val="left"/>
      <w:pPr>
        <w:ind w:left="2160" w:hanging="360"/>
      </w:pPr>
    </w:lvl>
    <w:lvl w:ilvl="3" w:tplc="F976D53C">
      <w:start w:val="1"/>
      <w:numFmt w:val="bullet"/>
      <w:lvlText w:val="●"/>
      <w:lvlJc w:val="left"/>
      <w:pPr>
        <w:ind w:left="2880" w:hanging="360"/>
      </w:pPr>
    </w:lvl>
    <w:lvl w:ilvl="4" w:tplc="E3467E9A">
      <w:start w:val="1"/>
      <w:numFmt w:val="bullet"/>
      <w:lvlText w:val="○"/>
      <w:lvlJc w:val="left"/>
      <w:pPr>
        <w:ind w:left="3600" w:hanging="360"/>
      </w:pPr>
    </w:lvl>
    <w:lvl w:ilvl="5" w:tplc="5F92C184">
      <w:start w:val="1"/>
      <w:numFmt w:val="bullet"/>
      <w:lvlText w:val="■"/>
      <w:lvlJc w:val="left"/>
      <w:pPr>
        <w:ind w:left="4320" w:hanging="360"/>
      </w:pPr>
    </w:lvl>
    <w:lvl w:ilvl="6" w:tplc="6D327D1A">
      <w:start w:val="1"/>
      <w:numFmt w:val="bullet"/>
      <w:lvlText w:val="●"/>
      <w:lvlJc w:val="left"/>
      <w:pPr>
        <w:ind w:left="5040" w:hanging="360"/>
      </w:pPr>
    </w:lvl>
    <w:lvl w:ilvl="7" w:tplc="F1A0316E">
      <w:start w:val="1"/>
      <w:numFmt w:val="bullet"/>
      <w:lvlText w:val="●"/>
      <w:lvlJc w:val="left"/>
      <w:pPr>
        <w:ind w:left="5760" w:hanging="360"/>
      </w:pPr>
    </w:lvl>
    <w:lvl w:ilvl="8" w:tplc="9DEA9082">
      <w:start w:val="1"/>
      <w:numFmt w:val="bullet"/>
      <w:lvlText w:val="●"/>
      <w:lvlJc w:val="left"/>
      <w:pPr>
        <w:ind w:left="6480" w:hanging="360"/>
      </w:pPr>
    </w:lvl>
  </w:abstractNum>
  <w:num w:numId="1" w16cid:durableId="13206940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065"/>
    <w:rsid w:val="00333065"/>
    <w:rsid w:val="00457A91"/>
    <w:rsid w:val="00AC2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11AAFF"/>
  <w15:docId w15:val="{F7833134-63E8-0C44-A3A6-CE3D51ECA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E45BCADE012848BADD84F0F5519C36" ma:contentTypeVersion="13" ma:contentTypeDescription="Create a new document." ma:contentTypeScope="" ma:versionID="749d6923f222eb45ac0dc6063575a178">
  <xsd:schema xmlns:xsd="http://www.w3.org/2001/XMLSchema" xmlns:xs="http://www.w3.org/2001/XMLSchema" xmlns:p="http://schemas.microsoft.com/office/2006/metadata/properties" xmlns:ns2="c49d017b-ac22-4c0b-a7a4-c8b9eca6cd70" xmlns:ns3="e0d206d7-ee7c-42da-b133-6e7342787b39" targetNamespace="http://schemas.microsoft.com/office/2006/metadata/properties" ma:root="true" ma:fieldsID="e99e7a50f06ef0e0bf1d9a36c1212498" ns2:_="" ns3:_="">
    <xsd:import namespace="c49d017b-ac22-4c0b-a7a4-c8b9eca6cd70"/>
    <xsd:import namespace="e0d206d7-ee7c-42da-b133-6e7342787b3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9d017b-ac22-4c0b-a7a4-c8b9eca6cd7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d206d7-ee7c-42da-b133-6e7342787b3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5d6c0a8-0dd6-40f9-b8c8-aca075772b73}" ma:internalName="TaxCatchAll" ma:showField="CatchAllData" ma:web="e0d206d7-ee7c-42da-b133-6e7342787b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49d017b-ac22-4c0b-a7a4-c8b9eca6cd70">
      <Terms xmlns="http://schemas.microsoft.com/office/infopath/2007/PartnerControls"/>
    </lcf76f155ced4ddcb4097134ff3c332f>
    <TaxCatchAll xmlns="e0d206d7-ee7c-42da-b133-6e7342787b39" xsi:nil="true"/>
    <ReferenceId xmlns="c49d017b-ac22-4c0b-a7a4-c8b9eca6cd70" xsi:nil="true"/>
  </documentManagement>
</p:properties>
</file>

<file path=customXml/itemProps1.xml><?xml version="1.0" encoding="utf-8"?>
<ds:datastoreItem xmlns:ds="http://schemas.openxmlformats.org/officeDocument/2006/customXml" ds:itemID="{FCDCF943-E7BA-4A1B-B36C-6EC10E52157F}"/>
</file>

<file path=customXml/itemProps2.xml><?xml version="1.0" encoding="utf-8"?>
<ds:datastoreItem xmlns:ds="http://schemas.openxmlformats.org/officeDocument/2006/customXml" ds:itemID="{BBB2BCC4-3633-4365-A627-B7E3D9B95D93}"/>
</file>

<file path=customXml/itemProps3.xml><?xml version="1.0" encoding="utf-8"?>
<ds:datastoreItem xmlns:ds="http://schemas.openxmlformats.org/officeDocument/2006/customXml" ds:itemID="{D631CD45-CE84-4CF9-BC5C-4636A931CEF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699</Words>
  <Characters>3986</Characters>
  <Application>Microsoft Office Word</Application>
  <DocSecurity>0</DocSecurity>
  <Lines>33</Lines>
  <Paragraphs>9</Paragraphs>
  <ScaleCrop>false</ScaleCrop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Kokate</cp:lastModifiedBy>
  <cp:revision>2</cp:revision>
  <dcterms:created xsi:type="dcterms:W3CDTF">2026-08-25T17:34:00Z</dcterms:created>
  <dcterms:modified xsi:type="dcterms:W3CDTF">2026-08-25T17:34:00Z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0x01010029E45BCADE012848BADD84F0F5519C36</vt:lpwstr>
  </property>
</Properties>
</file>