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Times New Roman" w:cs="Times New Roman" w:eastAsia="Times New Roman" w:hAnsi="Times New Roman"/>
          <w:b w:val="1"/>
          <w:bCs w:val="1"/>
          <w:sz w:val="30"/>
          <w:szCs w:val="30"/>
          <w:rtl w:val="0"/>
        </w:rPr>
        <w:t xml:space="preserve">Impact of Social Media Algorithms on Adolescent Mental Health: A Machine Learning Approach</w:t>
      </w:r>
      <w:r w:rsidDel="00000000" w:rsidR="00000000" w:rsidRPr="00000000">
        <w:rPr>
          <w:rtl w:val="0"/>
        </w:rPr>
      </w:r>
    </w:p>
    <w:tbl>
      <w:tblPr>
        <w:tblStyle w:val="Table1"/>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6"/>
        <w:gridCol w:w="3367"/>
        <w:gridCol w:w="3367"/>
        <w:tblGridChange w:id="0">
          <w:tblGrid>
            <w:gridCol w:w="3366"/>
            <w:gridCol w:w="3367"/>
            <w:gridCol w:w="336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2">
            <w:pPr>
              <w:spacing w:line="240" w:lineRule="auto"/>
              <w:jc w:val="center"/>
              <w:rPr/>
            </w:pPr>
            <w:r w:rsidDel="00000000" w:rsidR="00000000" w:rsidRPr="00000000">
              <w:rPr>
                <w:rFonts w:ascii="Times New Roman" w:cs="Times New Roman" w:eastAsia="Times New Roman" w:hAnsi="Times New Roman"/>
                <w:b w:val="1"/>
                <w:bCs w:val="1"/>
                <w:sz w:val="22"/>
                <w:szCs w:val="22"/>
                <w:rtl w:val="0"/>
              </w:rPr>
              <w:t xml:space="preserve">Kartavya Tomar</w:t>
            </w:r>
            <w:r w:rsidDel="00000000" w:rsidR="00000000" w:rsidRPr="00000000">
              <w:rPr>
                <w:rtl w:val="0"/>
              </w:rPr>
            </w:r>
          </w:p>
          <w:p w:rsidR="00000000" w:rsidDel="00000000" w:rsidP="00000000" w:rsidRDefault="00000000" w:rsidRPr="00000000" w14:paraId="00000003">
            <w:pPr>
              <w:spacing w:line="240" w:lineRule="auto"/>
              <w:jc w:val="center"/>
              <w:rPr/>
            </w:pPr>
            <w:r w:rsidDel="00000000" w:rsidR="00000000" w:rsidRPr="00000000">
              <w:rPr>
                <w:rFonts w:ascii="Times New Roman" w:cs="Times New Roman" w:eastAsia="Times New Roman" w:hAnsi="Times New Roman"/>
                <w:sz w:val="20"/>
                <w:szCs w:val="20"/>
                <w:rtl w:val="0"/>
              </w:rPr>
              <w:t xml:space="preserve">Dept. of Computer Science</w:t>
            </w: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Fonts w:ascii="Times New Roman" w:cs="Times New Roman" w:eastAsia="Times New Roman" w:hAnsi="Times New Roman"/>
                <w:sz w:val="20"/>
                <w:szCs w:val="20"/>
                <w:rtl w:val="0"/>
              </w:rPr>
              <w:t xml:space="preserve">Chitkara University</w:t>
            </w: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Fonts w:ascii="Times New Roman" w:cs="Times New Roman" w:eastAsia="Times New Roman" w:hAnsi="Times New Roman"/>
                <w:sz w:val="20"/>
                <w:szCs w:val="20"/>
                <w:rtl w:val="0"/>
              </w:rPr>
              <w:t xml:space="preserve">Punjab,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6">
            <w:pPr>
              <w:spacing w:line="240" w:lineRule="auto"/>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07">
            <w:pPr>
              <w:spacing w:line="240" w:lineRule="auto"/>
              <w:jc w:val="center"/>
              <w:rPr/>
            </w:pPr>
            <w:r w:rsidDel="00000000" w:rsidR="00000000" w:rsidRPr="00000000">
              <w:rPr>
                <w:b w:val="1"/>
                <w:bCs w:val="1"/>
                <w:sz w:val="22"/>
                <w:szCs w:val="22"/>
                <w:rtl w:val="0"/>
              </w:rPr>
              <w:t xml:space="preserve">Dr. Darpan Anand</w:t>
            </w: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Fonts w:ascii="Times New Roman" w:cs="Times New Roman" w:eastAsia="Times New Roman" w:hAnsi="Times New Roman"/>
                <w:sz w:val="20"/>
                <w:szCs w:val="20"/>
                <w:rtl w:val="0"/>
              </w:rPr>
              <w:t xml:space="preserve">Dept. of Computer Science</w:t>
            </w:r>
            <w:r w:rsidDel="00000000" w:rsidR="00000000" w:rsidRPr="00000000">
              <w:rPr>
                <w:rtl w:val="0"/>
              </w:rPr>
            </w:r>
          </w:p>
          <w:p w:rsidR="00000000" w:rsidDel="00000000" w:rsidP="00000000" w:rsidRDefault="00000000" w:rsidRPr="00000000" w14:paraId="00000009">
            <w:pPr>
              <w:spacing w:line="240" w:lineRule="auto"/>
              <w:jc w:val="center"/>
              <w:rPr/>
            </w:pPr>
            <w:r w:rsidDel="00000000" w:rsidR="00000000" w:rsidRPr="00000000">
              <w:rPr>
                <w:rFonts w:ascii="Times New Roman" w:cs="Times New Roman" w:eastAsia="Times New Roman" w:hAnsi="Times New Roman"/>
                <w:sz w:val="20"/>
                <w:szCs w:val="20"/>
                <w:rtl w:val="0"/>
              </w:rPr>
              <w:t xml:space="preserve">Chitkara University</w:t>
            </w:r>
            <w:r w:rsidDel="00000000" w:rsidR="00000000" w:rsidRPr="00000000">
              <w:rPr>
                <w:rtl w:val="0"/>
              </w:rPr>
            </w:r>
          </w:p>
          <w:p w:rsidR="00000000" w:rsidDel="00000000" w:rsidP="00000000" w:rsidRDefault="00000000" w:rsidRPr="00000000" w14:paraId="0000000A">
            <w:pPr>
              <w:spacing w:line="240" w:lineRule="auto"/>
              <w:jc w:val="center"/>
              <w:rPr/>
            </w:pPr>
            <w:r w:rsidDel="00000000" w:rsidR="00000000" w:rsidRPr="00000000">
              <w:rPr>
                <w:rFonts w:ascii="Times New Roman" w:cs="Times New Roman" w:eastAsia="Times New Roman" w:hAnsi="Times New Roman"/>
                <w:sz w:val="20"/>
                <w:szCs w:val="20"/>
                <w:rtl w:val="0"/>
              </w:rPr>
              <w:t xml:space="preserve">Punjab, India</w:t>
            </w:r>
            <w:r w:rsidDel="00000000" w:rsidR="00000000" w:rsidRPr="00000000">
              <w:rPr>
                <w:rtl w:val="0"/>
              </w:rPr>
            </w:r>
          </w:p>
        </w:tc>
      </w:tr>
    </w:tbl>
    <w:p w:rsidR="00000000" w:rsidDel="00000000" w:rsidP="00000000" w:rsidRDefault="00000000" w:rsidRPr="00000000" w14:paraId="0000000B">
      <w:pPr>
        <w:spacing w:after="120" w:lineRule="auto"/>
        <w:rPr/>
        <w:sectPr>
          <w:pgSz w:h="15840" w:w="12240" w:orient="portrait"/>
          <w:pgMar w:bottom="1080" w:top="1080" w:left="1080" w:right="1080" w:header="708" w:footer="708"/>
          <w:pgNumType w:start="1"/>
        </w:sectPr>
      </w:pPr>
      <w:r w:rsidDel="00000000" w:rsidR="00000000" w:rsidRPr="00000000">
        <w:rPr>
          <w:rtl w:val="0"/>
        </w:rPr>
      </w:r>
    </w:p>
    <w:p w:rsidR="00000000" w:rsidDel="00000000" w:rsidP="00000000" w:rsidRDefault="00000000" w:rsidRPr="00000000" w14:paraId="0000000C">
      <w:pPr>
        <w:spacing w:after="120" w:line="240" w:lineRule="auto"/>
        <w:jc w:val="both"/>
        <w:rPr/>
      </w:pPr>
      <w:r w:rsidDel="00000000" w:rsidR="00000000" w:rsidRPr="00000000">
        <w:rPr>
          <w:rFonts w:ascii="Times New Roman" w:cs="Times New Roman" w:eastAsia="Times New Roman" w:hAnsi="Times New Roman"/>
          <w:b w:val="1"/>
          <w:bCs w:val="1"/>
          <w:i w:val="1"/>
          <w:i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—Social media platforms such as Instagram, TikTok, and YouTube rely heavily on artificial-intelligence-driven recommendation algorithms to personalise content and maximise user engagement. While these algorithms enhance user experience by delivering relevant content, they may also create reinforcement loops that repeatedly expose users to similar types of content. Adolescents, being among the most active users of social media, are particularly vulnerable to the psychological effects of such algorithmic exposure. This study investigates the relationship between social media engagement patterns and adolescent mental health indicators using a supervised machine learning approach. A dataset of 612 adolescents aged 13 to 19 was analysed across four behavioural features — daily screen time, engagement frequency, exposure to appearance-based content, and interaction with recommended posts — against a self-reported anxiety score. A Multiple Linear Regression model was trained and benchmarked against three additional regressors (Ridge, Random Forest, and Gradient Boosting). The Multiple Linear Regression model achieved an R² of 0.812 and a Mean Squared Error of 1.94, with appearance-based content exposure and screen time emerging as the strongest predictors of anxiety. Findings indicate that algorithmically recommended content correlates meaningfully with elevated anxiety, supporting the case for ethical recalibration of recommendation systems serving adolescent audiences.</w:t>
      </w:r>
      <w:r w:rsidDel="00000000" w:rsidR="00000000" w:rsidRPr="00000000">
        <w:rPr>
          <w:rtl w:val="0"/>
        </w:rPr>
      </w:r>
    </w:p>
    <w:p w:rsidR="00000000" w:rsidDel="00000000" w:rsidP="00000000" w:rsidRDefault="00000000" w:rsidRPr="00000000" w14:paraId="0000000D">
      <w:pPr>
        <w:spacing w:after="240" w:lineRule="auto"/>
        <w:jc w:val="both"/>
        <w:rPr/>
      </w:pPr>
      <w:r w:rsidDel="00000000" w:rsidR="00000000" w:rsidRPr="00000000">
        <w:rPr>
          <w:rFonts w:ascii="Times New Roman" w:cs="Times New Roman" w:eastAsia="Times New Roman" w:hAnsi="Times New Roman"/>
          <w:b w:val="1"/>
          <w:bCs w:val="1"/>
          <w:sz w:val="20"/>
          <w:szCs w:val="20"/>
          <w:rtl w:val="0"/>
        </w:rPr>
        <w:t xml:space="preserve">Keywords—</w:t>
      </w:r>
      <w:r w:rsidDel="00000000" w:rsidR="00000000" w:rsidRPr="00000000">
        <w:rPr>
          <w:rFonts w:ascii="Times New Roman" w:cs="Times New Roman" w:eastAsia="Times New Roman" w:hAnsi="Times New Roman"/>
          <w:i w:val="1"/>
          <w:iCs w:val="1"/>
          <w:sz w:val="20"/>
          <w:szCs w:val="20"/>
          <w:rtl w:val="0"/>
        </w:rPr>
        <w:t xml:space="preserve">social media algorithms, machine learning, adolescent mental health, recommendation systems, anxiety prediction, multiple linear regression, behavioural analytics.</w:t>
      </w:r>
      <w:r w:rsidDel="00000000" w:rsidR="00000000" w:rsidRPr="00000000">
        <w:rPr>
          <w:rtl w:val="0"/>
        </w:rPr>
      </w:r>
    </w:p>
    <w:p w:rsidR="00000000" w:rsidDel="00000000" w:rsidP="00000000" w:rsidRDefault="00000000" w:rsidRPr="00000000" w14:paraId="0000000E">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  INTRODUCTION</w:t>
      </w:r>
      <w:r w:rsidDel="00000000" w:rsidR="00000000" w:rsidRPr="00000000">
        <w:rPr>
          <w:rtl w:val="0"/>
        </w:rPr>
      </w:r>
    </w:p>
    <w:p w:rsidR="00000000" w:rsidDel="00000000" w:rsidP="00000000" w:rsidRDefault="00000000" w:rsidRPr="00000000" w14:paraId="0000000F">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Over the past decade, social media has shifted from a peripheral form of entertainment to a central infrastructure of adolescent life. Platforms such as Instagram, TikTok, YouTube, and Snapchat are now embedded in the daily routines of teenagers worldwide, shaping how they communicate, form identities, consume information, and spend their leisure hours. Recent surveys estimate that adolescents aged 13 to 19 spend between three and five hours per day on social platforms, with a substantial share of that time driven not by direct search but by algorithmically recommended feeds [1].</w:t>
      </w:r>
      <w:r w:rsidDel="00000000" w:rsidR="00000000" w:rsidRPr="00000000">
        <w:rPr>
          <w:rtl w:val="0"/>
        </w:rPr>
      </w:r>
    </w:p>
    <w:p w:rsidR="00000000" w:rsidDel="00000000" w:rsidP="00000000" w:rsidRDefault="00000000" w:rsidRPr="00000000" w14:paraId="00000010">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At the core of this transformation are AI-driven recommendation systems. These algorithms ingest behavioural signals — likes, comments, watch time, scroll velocity, dwell time, share frequency — and feed them into machine learning models that continuously refine each user's content stream. Collaborative filtering, content-based filtering, and increasingly deep neural recommenders are deployed at platform scale to maximise engagement metrics such as session length and return frequency [2]. The economic logic is straightforward: longer engagement translates directly into advertising revenue.</w:t>
      </w:r>
      <w:r w:rsidDel="00000000" w:rsidR="00000000" w:rsidRPr="00000000">
        <w:rPr>
          <w:rtl w:val="0"/>
        </w:rPr>
      </w:r>
    </w:p>
    <w:p w:rsidR="00000000" w:rsidDel="00000000" w:rsidP="00000000" w:rsidRDefault="00000000" w:rsidRPr="00000000" w14:paraId="00000011">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psychological consequences, however, are more contested. A growing body of research links heavy social media use among adolescents to elevated levels of anxiety, depressive symptoms, sleep disruption, and body image concerns [3], [4]. Algorithmic reinforcement loops are widely suspected to play a role: once a user engages with a particular category of content — fitness comparisons, beauty standards, or emotionally intense material — the recommender system frequently amplifies similar content, creating a narrowing feedback loop. Adolescents, whose self-concept is still forming and whose neural reward systems are particularly sensitive to social feedback, sit at the intersection of this vulnerability.</w:t>
      </w:r>
      <w:r w:rsidDel="00000000" w:rsidR="00000000" w:rsidRPr="00000000">
        <w:rPr>
          <w:rtl w:val="0"/>
        </w:rPr>
      </w:r>
    </w:p>
    <w:p w:rsidR="00000000" w:rsidDel="00000000" w:rsidP="00000000" w:rsidRDefault="00000000" w:rsidRPr="00000000" w14:paraId="00000012">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This study examines whether behavioural indicators of algorithmic exposure can be used to predict adolescent anxiety levels using supervised machine learning. The contributions of the paper are threefold: (i) a structured behavioural dataset focused on algorithm-mediated engagement; (ii) a comparative analysis of four regression-based models in predicting anxiety scores; and (iii) an interpretive feature-importance analysis identifying which behavioural patterns carry the strongest predictive weight.</w:t>
      </w:r>
      <w:r w:rsidDel="00000000" w:rsidR="00000000" w:rsidRPr="00000000">
        <w:rPr>
          <w:rtl w:val="0"/>
        </w:rPr>
      </w:r>
    </w:p>
    <w:p w:rsidR="00000000" w:rsidDel="00000000" w:rsidP="00000000" w:rsidRDefault="00000000" w:rsidRPr="00000000" w14:paraId="00000013">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  RELATED WORK</w:t>
      </w:r>
      <w:r w:rsidDel="00000000" w:rsidR="00000000" w:rsidRPr="00000000">
        <w:rPr>
          <w:rtl w:val="0"/>
        </w:rPr>
      </w:r>
    </w:p>
    <w:p w:rsidR="00000000" w:rsidDel="00000000" w:rsidP="00000000" w:rsidRDefault="00000000" w:rsidRPr="00000000" w14:paraId="00000014">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Research at the intersection of social media use and adolescent mental health has expanded substantially over the past decade, though methodological approaches vary considerably.</w:t>
      </w:r>
      <w:r w:rsidDel="00000000" w:rsidR="00000000" w:rsidRPr="00000000">
        <w:rPr>
          <w:rtl w:val="0"/>
        </w:rPr>
      </w:r>
    </w:p>
    <w:p w:rsidR="00000000" w:rsidDel="00000000" w:rsidP="00000000" w:rsidRDefault="00000000" w:rsidRPr="00000000" w14:paraId="00000015">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Twenge et al. (2018) reported a strong correlation between heavy smartphone and social media use and rising rates of depression and suicide-related outcomes among American adolescents from 2010 onward [4]. The work was influential in framing the public debate, though critics noted its reliance on correlational survey data and effect sizes that, while statistically significant, were modest in magnitude.</w:t>
      </w:r>
      <w:r w:rsidDel="00000000" w:rsidR="00000000" w:rsidRPr="00000000">
        <w:rPr>
          <w:rtl w:val="0"/>
        </w:rPr>
      </w:r>
    </w:p>
    <w:p w:rsidR="00000000" w:rsidDel="00000000" w:rsidP="00000000" w:rsidRDefault="00000000" w:rsidRPr="00000000" w14:paraId="00000016">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Keles, McCrae and Grealish (2020) conducted a systematic review of 13 studies examining the influence of social media on depression, anxiety, and psychological distress in adolescents [5]. The review identified time spent, activity type, investment in social media, and addictive tendencies as the four dimensions most consistently associated with negative mental health outcomes. The authors concluded that the relationship is real but multifactorial and difficult to disentangle from other adolescent stressors.</w:t>
      </w:r>
      <w:r w:rsidDel="00000000" w:rsidR="00000000" w:rsidRPr="00000000">
        <w:rPr>
          <w:rtl w:val="0"/>
        </w:rPr>
      </w:r>
    </w:p>
    <w:p w:rsidR="00000000" w:rsidDel="00000000" w:rsidP="00000000" w:rsidRDefault="00000000" w:rsidRPr="00000000" w14:paraId="00000017">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Naslund et al. (2016) approached the question from the opposite direction, mapping how peer-to-peer social media support can serve as a positive intervention for individuals with mental illness [6]. This work is important context: social media is not uniformly harmful, and any predictive framework must account for both protective and risk-elevating patterns of engagement.</w:t>
      </w:r>
      <w:r w:rsidDel="00000000" w:rsidR="00000000" w:rsidRPr="00000000">
        <w:rPr>
          <w:rtl w:val="0"/>
        </w:rPr>
      </w:r>
    </w:p>
    <w:p w:rsidR="00000000" w:rsidDel="00000000" w:rsidP="00000000" w:rsidRDefault="00000000" w:rsidRPr="00000000" w14:paraId="00000018">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From a technical recommender-system perspective, Ricci, Rokach and Shapira (2015) provide the canonical reference on collaborative and content-based filtering methods [7]. More recent work by Milano, Taddeo and Floridi (2020) has examined the ethics of recommendation algorithms specifically, arguing that engagement-maximising objectives can produce systematic harms even when no individual recommendation is malicious [8].</w:t>
      </w:r>
      <w:r w:rsidDel="00000000" w:rsidR="00000000" w:rsidRPr="00000000">
        <w:rPr>
          <w:rtl w:val="0"/>
        </w:rPr>
      </w:r>
    </w:p>
    <w:p w:rsidR="00000000" w:rsidDel="00000000" w:rsidP="00000000" w:rsidRDefault="00000000" w:rsidRPr="00000000" w14:paraId="00000019">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On the machine learning side, several studies have applied regression and classification models to predict mental health outcomes from behavioural data. Reece and Danforth (2017) used colour and metadata features from Instagram posts with Random Forest classifiers to predict depression markers, achieving accuracy around 70% [9]. De Choudhury et al. (2013) used linguistic features from Twitter to predict postpartum depression with logistic regression at comparable performance [10]. These works establish that behavioural traces on social platforms carry genuine predictive signal for mental health states.</w:t>
      </w:r>
      <w:r w:rsidDel="00000000" w:rsidR="00000000" w:rsidRPr="00000000">
        <w:rPr>
          <w:rtl w:val="0"/>
        </w:rPr>
      </w:r>
    </w:p>
    <w:p w:rsidR="00000000" w:rsidDel="00000000" w:rsidP="00000000" w:rsidRDefault="00000000" w:rsidRPr="00000000" w14:paraId="0000001A">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present study contributes to this literature by focusing specifically on algorithm-mediated engagement signals — rather than content of posts or volume of usage alone — as predictors of adolescent anxiety, and by benchmarking a transparent linear model against more flexible alternatives.</w:t>
      </w:r>
      <w:r w:rsidDel="00000000" w:rsidR="00000000" w:rsidRPr="00000000">
        <w:rPr>
          <w:rtl w:val="0"/>
        </w:rPr>
      </w:r>
    </w:p>
    <w:p w:rsidR="00000000" w:rsidDel="00000000" w:rsidP="00000000" w:rsidRDefault="00000000" w:rsidRPr="00000000" w14:paraId="0000001B">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III.  DATASET DESCRIPTION</w:t>
      </w:r>
      <w:r w:rsidDel="00000000" w:rsidR="00000000" w:rsidRPr="00000000">
        <w:rPr>
          <w:rtl w:val="0"/>
        </w:rPr>
      </w:r>
    </w:p>
    <w:p w:rsidR="00000000" w:rsidDel="00000000" w:rsidP="00000000" w:rsidRDefault="00000000" w:rsidRPr="00000000" w14:paraId="0000001C">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dataset used in this research consists of survey responses and digital behaviour logs collected from 612 adolescents aged 13 to 19 years. Data was gathered through an anonymised online questionnaire distributed across three secondary schools, supplemented by self-reported daily usage exports from participants' smartphone screen-time settings.</w:t>
      </w:r>
      <w:r w:rsidDel="00000000" w:rsidR="00000000" w:rsidRPr="00000000">
        <w:rPr>
          <w:rtl w:val="0"/>
        </w:rPr>
      </w:r>
    </w:p>
    <w:p w:rsidR="00000000" w:rsidDel="00000000" w:rsidP="00000000" w:rsidRDefault="00000000" w:rsidRPr="00000000" w14:paraId="0000001D">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A.  Dataset Composition</w:t>
      </w:r>
      <w:r w:rsidDel="00000000" w:rsidR="00000000" w:rsidRPr="00000000">
        <w:rPr>
          <w:rtl w:val="0"/>
        </w:rPr>
      </w:r>
    </w:p>
    <w:p w:rsidR="00000000" w:rsidDel="00000000" w:rsidP="00000000" w:rsidRDefault="00000000" w:rsidRPr="00000000" w14:paraId="0000001E">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After cleaning and validation, the final dataset contains 612 complete records across 9 variables. The gender split is reasonably balanced: 318 female (51.9%) and 294 male (48.1%) respondents, with a mean age of 16.4 years. Participants were drawn from urban and semi-urban schooling environments, providing some demographic variation while remaining geographically limited.</w:t>
      </w:r>
      <w:r w:rsidDel="00000000" w:rsidR="00000000" w:rsidRPr="00000000">
        <w:rPr>
          <w:rtl w:val="0"/>
        </w:rPr>
      </w:r>
    </w:p>
    <w:tbl>
      <w:tblPr>
        <w:tblStyle w:val="Table2"/>
        <w:tblW w:w="4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2450"/>
        <w:tblGridChange w:id="0">
          <w:tblGrid>
            <w:gridCol w:w="2450"/>
            <w:gridCol w:w="24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1F">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20">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1">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Total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2">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612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3">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Age Range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4">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13–19 yrs (Mean: 16.4)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5">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Gender (F /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6">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318 / 294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7">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Daily Screen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8">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0.5–9.2 hrs (Mean: 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9">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Engagement Freq.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A">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3–62 interactions/hr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B">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Anxiety Score (GAD-7)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C">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0–21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D">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Missing 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2E">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&lt;1.2% (imputed)</w:t>
            </w:r>
            <w:r w:rsidDel="00000000" w:rsidR="00000000" w:rsidRPr="00000000">
              <w:rPr>
                <w:rtl w:val="0"/>
              </w:rPr>
            </w:r>
          </w:p>
        </w:tc>
      </w:tr>
    </w:tbl>
    <w:p w:rsidR="00000000" w:rsidDel="00000000" w:rsidP="00000000" w:rsidRDefault="00000000" w:rsidRPr="00000000" w14:paraId="0000002F">
      <w:pPr>
        <w:spacing w:after="180" w:before="60" w:lineRule="auto"/>
        <w:jc w:val="center"/>
        <w:rPr/>
      </w:pPr>
      <w:r w:rsidDel="00000000" w:rsidR="00000000" w:rsidRPr="00000000">
        <w:rPr>
          <w:rFonts w:ascii="Times New Roman" w:cs="Times New Roman" w:eastAsia="Times New Roman" w:hAnsi="Times New Roman"/>
          <w:sz w:val="18"/>
          <w:szCs w:val="18"/>
          <w:rtl w:val="0"/>
        </w:rPr>
        <w:t xml:space="preserve">Table I.  Dataset Summary Statistics</w:t>
      </w:r>
      <w:r w:rsidDel="00000000" w:rsidR="00000000" w:rsidRPr="00000000">
        <w:rPr>
          <w:rtl w:val="0"/>
        </w:rPr>
      </w:r>
    </w:p>
    <w:p w:rsidR="00000000" w:rsidDel="00000000" w:rsidP="00000000" w:rsidRDefault="00000000" w:rsidRPr="00000000" w14:paraId="00000030">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B.  Target Variable</w:t>
      </w:r>
      <w:r w:rsidDel="00000000" w:rsidR="00000000" w:rsidRPr="00000000">
        <w:rPr>
          <w:rtl w:val="0"/>
        </w:rPr>
      </w:r>
    </w:p>
    <w:p w:rsidR="00000000" w:rsidDel="00000000" w:rsidP="00000000" w:rsidRDefault="00000000" w:rsidRPr="00000000" w14:paraId="00000031">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target variable, AnxietyScore, is derived from a modified GAD-7 (Generalised Anxiety Disorder, 7-item) self-assessment scale completed by each participant. Scores range from 0 (none) to 21 (severe). The distribution in the sample skews moderate: 22.4% None-minimal (0–4), 41.8% Mild (5–9), 24.3% Moderate (10–14), and 11.5% Severe (15–21). This distribution informs the regression rather than classification framing — anxiety is treated as a continuous outcome to preserve the ordinal information.</w:t>
      </w:r>
      <w:r w:rsidDel="00000000" w:rsidR="00000000" w:rsidRPr="00000000">
        <w:rPr>
          <w:rtl w:val="0"/>
        </w:rPr>
      </w:r>
    </w:p>
    <w:p w:rsidR="00000000" w:rsidDel="00000000" w:rsidP="00000000" w:rsidRDefault="00000000" w:rsidRPr="00000000" w14:paraId="00000032">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C.  Feature Variables</w:t>
      </w:r>
      <w:r w:rsidDel="00000000" w:rsidR="00000000" w:rsidRPr="00000000">
        <w:rPr>
          <w:rtl w:val="0"/>
        </w:rPr>
      </w:r>
    </w:p>
    <w:p w:rsidR="00000000" w:rsidDel="00000000" w:rsidP="00000000" w:rsidRDefault="00000000" w:rsidRPr="00000000" w14:paraId="00000033">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Eight independent features feed into the models across three behavioural domains: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Usage volume: daily screen time (hours), session count per day, average session length.</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Algorithmic exposure: engagement frequency (interactions per hour), appearance-based content exposure (proportion of feed flagged as body, beauty, or fitness content), recommendation click-through rate.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Gungsuh" w:cs="Gungsuh" w:eastAsia="Gungsuh" w:hAnsi="Gungsuh"/>
          <w:b w:val="0"/>
          <w:bCs w:val="0"/>
          <w:i w:val="0"/>
          <w:iCs w:val="0"/>
          <w:smallCaps w:val="0"/>
          <w:strike w:val="0"/>
          <w:color w:val="000000"/>
          <w:sz w:val="20"/>
          <w:szCs w:val="20"/>
          <w:u w:val="none"/>
          <w:shd w:fill="auto" w:val="clear"/>
          <w:vertAlign w:val="baseline"/>
          <w:rtl w:val="0"/>
        </w:rPr>
        <w:t xml:space="preserve">Contextual factors: late-night usage flag (≥ 30 minutes after 23:00), notification interaction rate.</w:t>
      </w:r>
    </w:p>
    <w:p w:rsidR="00000000" w:rsidDel="00000000" w:rsidP="00000000" w:rsidRDefault="00000000" w:rsidRPr="00000000" w14:paraId="00000037">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Appearance-based content exposure was estimated by labelling a random sample of each participant's recently engaged content using a small image-classification model fine-tuned on a public body-image dataset. The proportion was then extrapolated as a feature.</w:t>
      </w:r>
      <w:r w:rsidDel="00000000" w:rsidR="00000000" w:rsidRPr="00000000">
        <w:rPr>
          <w:rtl w:val="0"/>
        </w:rPr>
      </w:r>
    </w:p>
    <w:p w:rsidR="00000000" w:rsidDel="00000000" w:rsidP="00000000" w:rsidRDefault="00000000" w:rsidRPr="00000000" w14:paraId="00000038">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IV.  METHODOLOGY</w:t>
      </w:r>
      <w:r w:rsidDel="00000000" w:rsidR="00000000" w:rsidRPr="00000000">
        <w:rPr>
          <w:rtl w:val="0"/>
        </w:rPr>
      </w:r>
    </w:p>
    <w:p w:rsidR="00000000" w:rsidDel="00000000" w:rsidP="00000000" w:rsidRDefault="00000000" w:rsidRPr="00000000" w14:paraId="00000039">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research follows a standard supervised learning pipeline: data cleaning and preparation, feature engineering, train–test partitioning, model training, cross-validated evaluation, and comparative analysis. All work was implemented in Python 3.11 using Scikit-learn, Pandas, and NumPy in a Jupyter Notebook environment.</w:t>
      </w:r>
      <w:r w:rsidDel="00000000" w:rsidR="00000000" w:rsidRPr="00000000">
        <w:rPr>
          <w:rtl w:val="0"/>
        </w:rPr>
      </w:r>
    </w:p>
    <w:p w:rsidR="00000000" w:rsidDel="00000000" w:rsidP="00000000" w:rsidRDefault="00000000" w:rsidRPr="00000000" w14:paraId="0000003A">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A.  Data Preprocessing</w:t>
      </w:r>
      <w:r w:rsidDel="00000000" w:rsidR="00000000" w:rsidRPr="00000000">
        <w:rPr>
          <w:rtl w:val="0"/>
        </w:rPr>
      </w:r>
    </w:p>
    <w:p w:rsidR="00000000" w:rsidDel="00000000" w:rsidP="00000000" w:rsidRDefault="00000000" w:rsidRPr="00000000" w14:paraId="0000003B">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Five preprocessing steps were applied before any model received the data: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Missing values: 14 cells (&lt;1.2%) were imputed using mode substitution for categorical fields and median substitution for continuous fields.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Encoding: categorical variables (gender, late-night usage flag) were one-hot encoded; ordinal variables were label-encoded.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Normalisation: continuous features (screen time, engagement frequency, appearance exposure, recommendation clicks) were scaled to the [0, 1] interval using min-max normalisation to prevent scale bias in distance-sensitive components.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Outlier treatment: IQR-based detection flagged 8 extreme screen-time values (&gt;9 hours/day); these were capped at the 99th percentile rather than removed, preserving sample size.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Train–test split: an 80/20 stratified split was applied, with stratification across binned AnxietyScore quartiles to ensure balanced representation in both partitions.</w:t>
      </w:r>
    </w:p>
    <w:p w:rsidR="00000000" w:rsidDel="00000000" w:rsidP="00000000" w:rsidRDefault="00000000" w:rsidRPr="00000000" w14:paraId="00000041">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B.  Feature Selection</w:t>
      </w:r>
      <w:r w:rsidDel="00000000" w:rsidR="00000000" w:rsidRPr="00000000">
        <w:rPr>
          <w:rtl w:val="0"/>
        </w:rPr>
      </w:r>
    </w:p>
    <w:p w:rsidR="00000000" w:rsidDel="00000000" w:rsidP="00000000" w:rsidRDefault="00000000" w:rsidRPr="00000000" w14:paraId="00000042">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Pearson correlation analysis and Random Forest feature importance estimation were both applied to identify the most informative features. Screen time, appearance-based content exposure, and engagement frequency consistently ranked highest. All eight features were retained for modelling, given the small feature space and the value of preserving contextual signals (late-night usage, notification interaction) for interpretability.</w:t>
      </w:r>
      <w:r w:rsidDel="00000000" w:rsidR="00000000" w:rsidRPr="00000000">
        <w:rPr>
          <w:rtl w:val="0"/>
        </w:rPr>
      </w:r>
    </w:p>
    <w:p w:rsidR="00000000" w:rsidDel="00000000" w:rsidP="00000000" w:rsidRDefault="00000000" w:rsidRPr="00000000" w14:paraId="00000043">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C.  Machine Learning Models</w:t>
      </w:r>
      <w:r w:rsidDel="00000000" w:rsidR="00000000" w:rsidRPr="00000000">
        <w:rPr>
          <w:rtl w:val="0"/>
        </w:rPr>
      </w:r>
    </w:p>
    <w:p w:rsidR="00000000" w:rsidDel="00000000" w:rsidP="00000000" w:rsidRDefault="00000000" w:rsidRPr="00000000" w14:paraId="00000044">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Four regression models were trained and compared, spanning the range from interpretable linear methods to flexible ensemble learners:</w:t>
      </w:r>
      <w:r w:rsidDel="00000000" w:rsidR="00000000" w:rsidRPr="00000000">
        <w:rPr>
          <w:rtl w:val="0"/>
        </w:rPr>
      </w:r>
    </w:p>
    <w:p w:rsidR="00000000" w:rsidDel="00000000" w:rsidP="00000000" w:rsidRDefault="00000000" w:rsidRPr="00000000" w14:paraId="00000045">
      <w:pPr>
        <w:spacing w:after="12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Multiple Linear Regression (MLR): </w:t>
      </w:r>
      <w:r w:rsidDel="00000000" w:rsidR="00000000" w:rsidRPr="00000000">
        <w:rPr>
          <w:rFonts w:ascii="Times New Roman" w:cs="Times New Roman" w:eastAsia="Times New Roman" w:hAnsi="Times New Roman"/>
          <w:sz w:val="20"/>
          <w:szCs w:val="20"/>
          <w:rtl w:val="0"/>
        </w:rPr>
        <w:t xml:space="preserve">the primary model. Provides transparent, interpretable coefficients quantifying each feature's marginal contribution to the predicted anxiety score. Ordinary least squares estimation was used.</w:t>
      </w:r>
      <w:r w:rsidDel="00000000" w:rsidR="00000000" w:rsidRPr="00000000">
        <w:rPr>
          <w:rtl w:val="0"/>
        </w:rPr>
      </w:r>
    </w:p>
    <w:p w:rsidR="00000000" w:rsidDel="00000000" w:rsidP="00000000" w:rsidRDefault="00000000" w:rsidRPr="00000000" w14:paraId="00000046">
      <w:pPr>
        <w:spacing w:after="12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Ridge Regression: </w:t>
      </w:r>
      <w:r w:rsidDel="00000000" w:rsidR="00000000" w:rsidRPr="00000000">
        <w:rPr>
          <w:rFonts w:ascii="Times New Roman" w:cs="Times New Roman" w:eastAsia="Times New Roman" w:hAnsi="Times New Roman"/>
          <w:sz w:val="20"/>
          <w:szCs w:val="20"/>
          <w:rtl w:val="0"/>
        </w:rPr>
        <w:t xml:space="preserve">L2-regularised linear regression included to assess whether multicollinearity among engagement-related features inflates the MLR baseline. Regularisation strength α was tuned via 5-fold cross-validation.</w:t>
      </w:r>
      <w:r w:rsidDel="00000000" w:rsidR="00000000" w:rsidRPr="00000000">
        <w:rPr>
          <w:rtl w:val="0"/>
        </w:rPr>
      </w:r>
    </w:p>
    <w:p w:rsidR="00000000" w:rsidDel="00000000" w:rsidP="00000000" w:rsidRDefault="00000000" w:rsidRPr="00000000" w14:paraId="00000047">
      <w:pPr>
        <w:spacing w:after="12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Random Forest Regressor: </w:t>
      </w:r>
      <w:r w:rsidDel="00000000" w:rsidR="00000000" w:rsidRPr="00000000">
        <w:rPr>
          <w:rFonts w:ascii="Times New Roman" w:cs="Times New Roman" w:eastAsia="Times New Roman" w:hAnsi="Times New Roman"/>
          <w:sz w:val="20"/>
          <w:szCs w:val="20"/>
          <w:rtl w:val="0"/>
        </w:rPr>
        <w:t xml:space="preserve">non-parametric ensemble of 200 decorrelated regression trees. Captures non-linear feature interactions that linear models cannot represent. Maximum depth and minimum samples per leaf were optimised via grid search.</w:t>
      </w:r>
      <w:r w:rsidDel="00000000" w:rsidR="00000000" w:rsidRPr="00000000">
        <w:rPr>
          <w:rtl w:val="0"/>
        </w:rPr>
      </w:r>
    </w:p>
    <w:p w:rsidR="00000000" w:rsidDel="00000000" w:rsidP="00000000" w:rsidRDefault="00000000" w:rsidRPr="00000000" w14:paraId="00000048">
      <w:pPr>
        <w:spacing w:after="120" w:line="240" w:lineRule="auto"/>
        <w:jc w:val="both"/>
        <w:rPr/>
      </w:pPr>
      <w:r w:rsidDel="00000000" w:rsidR="00000000" w:rsidRPr="00000000">
        <w:rPr>
          <w:rFonts w:ascii="Times New Roman" w:cs="Times New Roman" w:eastAsia="Times New Roman" w:hAnsi="Times New Roman"/>
          <w:b w:val="1"/>
          <w:bCs w:val="1"/>
          <w:sz w:val="20"/>
          <w:szCs w:val="20"/>
          <w:rtl w:val="0"/>
        </w:rPr>
        <w:t xml:space="preserve">Gradient Boosting Regressor: </w:t>
      </w:r>
      <w:r w:rsidDel="00000000" w:rsidR="00000000" w:rsidRPr="00000000">
        <w:rPr>
          <w:rFonts w:ascii="Times New Roman" w:cs="Times New Roman" w:eastAsia="Times New Roman" w:hAnsi="Times New Roman"/>
          <w:sz w:val="20"/>
          <w:szCs w:val="20"/>
          <w:rtl w:val="0"/>
        </w:rPr>
        <w:t xml:space="preserve">sequential ensemble fitting residuals at each stage. Learning rate, number of estimators, and tree depth were jointly tuned via grid search with 5-fold cross-validation.</w:t>
      </w:r>
      <w:r w:rsidDel="00000000" w:rsidR="00000000" w:rsidRPr="00000000">
        <w:rPr>
          <w:rtl w:val="0"/>
        </w:rPr>
      </w:r>
    </w:p>
    <w:p w:rsidR="00000000" w:rsidDel="00000000" w:rsidP="00000000" w:rsidRDefault="00000000" w:rsidRPr="00000000" w14:paraId="00000049">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D.  Model Evaluation</w:t>
      </w:r>
      <w:r w:rsidDel="00000000" w:rsidR="00000000" w:rsidRPr="00000000">
        <w:rPr>
          <w:rtl w:val="0"/>
        </w:rPr>
      </w:r>
    </w:p>
    <w:p w:rsidR="00000000" w:rsidDel="00000000" w:rsidP="00000000" w:rsidRDefault="00000000" w:rsidRPr="00000000" w14:paraId="0000004A">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All models were evaluated using two complementary protocols. First, performance on the held-out 20% test set was reported using R² (coefficient of determination), Mean Squared Error (MSE), Root Mean Squared Error (RMSE), and Mean Absolute Error (MAE). Second, 5-fold cross-validation was performed on the training set to assess stability and detect overfitting. Residual plots were examined for heteroscedasticity, and a Variance Inflation Factor (VIF) analysis was conducted on the MLR model to verify the absence of severe multicollinearity (all VIFs &lt; 3.5).</w:t>
      </w:r>
      <w:r w:rsidDel="00000000" w:rsidR="00000000" w:rsidRPr="00000000">
        <w:rPr>
          <w:rtl w:val="0"/>
        </w:rPr>
      </w:r>
    </w:p>
    <w:p w:rsidR="00000000" w:rsidDel="00000000" w:rsidP="00000000" w:rsidRDefault="00000000" w:rsidRPr="00000000" w14:paraId="0000004B">
      <w:pPr>
        <w:spacing w:after="180" w:before="60" w:lineRule="auto"/>
        <w:jc w:val="center"/>
        <w:rPr/>
      </w:pPr>
      <w:r w:rsidDel="00000000" w:rsidR="00000000" w:rsidRPr="00000000">
        <w:rPr>
          <w:rFonts w:ascii="Times New Roman" w:cs="Times New Roman" w:eastAsia="Times New Roman" w:hAnsi="Times New Roman"/>
          <w:sz w:val="18"/>
          <w:szCs w:val="18"/>
          <w:rtl w:val="0"/>
        </w:rPr>
        <w:t xml:space="preserve">Fig. 1.  Supervised learning workflow: preprocessing, 80/20 stratified split, model training with 5-fold cross-validation, and evaluation on held-out test set.</w:t>
      </w:r>
      <w:r w:rsidDel="00000000" w:rsidR="00000000" w:rsidRPr="00000000">
        <w:rPr>
          <w:rtl w:val="0"/>
        </w:rPr>
      </w:r>
    </w:p>
    <w:p w:rsidR="00000000" w:rsidDel="00000000" w:rsidP="00000000" w:rsidRDefault="00000000" w:rsidRPr="00000000" w14:paraId="0000004C">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  RESULTS AND DISCUSSION</w:t>
      </w:r>
      <w:r w:rsidDel="00000000" w:rsidR="00000000" w:rsidRPr="00000000">
        <w:rPr>
          <w:rtl w:val="0"/>
        </w:rPr>
      </w:r>
    </w:p>
    <w:p w:rsidR="00000000" w:rsidDel="00000000" w:rsidP="00000000" w:rsidRDefault="00000000" w:rsidRPr="00000000" w14:paraId="0000004D">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A.  Model Performance</w:t>
      </w:r>
      <w:r w:rsidDel="00000000" w:rsidR="00000000" w:rsidRPr="00000000">
        <w:rPr>
          <w:rtl w:val="0"/>
        </w:rPr>
      </w:r>
    </w:p>
    <w:tbl>
      <w:tblPr>
        <w:tblStyle w:val="Table3"/>
        <w:tblW w:w="4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800"/>
        <w:gridCol w:w="800"/>
        <w:gridCol w:w="800"/>
        <w:gridCol w:w="800"/>
        <w:tblGridChange w:id="0">
          <w:tblGrid>
            <w:gridCol w:w="1700"/>
            <w:gridCol w:w="800"/>
            <w:gridCol w:w="800"/>
            <w:gridCol w:w="800"/>
            <w:gridCol w:w="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4E">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4F">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R²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50">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51">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RMSE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52">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MAE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3">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Multiple Linear Reg.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4">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0.812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5">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6">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7">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1.08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8">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Ridge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9">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0.809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A">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1.97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B">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C">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D">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Random Forest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E">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0.847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5F">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0">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1">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0.96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2">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Gradient Boosting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3">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0.851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4">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5">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66">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0.94</w:t>
            </w:r>
            <w:r w:rsidDel="00000000" w:rsidR="00000000" w:rsidRPr="00000000">
              <w:rPr>
                <w:rtl w:val="0"/>
              </w:rPr>
            </w:r>
          </w:p>
        </w:tc>
      </w:tr>
    </w:tbl>
    <w:p w:rsidR="00000000" w:rsidDel="00000000" w:rsidP="00000000" w:rsidRDefault="00000000" w:rsidRPr="00000000" w14:paraId="00000067">
      <w:pPr>
        <w:spacing w:after="180" w:before="60" w:lineRule="auto"/>
        <w:jc w:val="center"/>
        <w:rPr/>
      </w:pPr>
      <w:r w:rsidDel="00000000" w:rsidR="00000000" w:rsidRPr="00000000">
        <w:rPr>
          <w:rFonts w:ascii="Times New Roman" w:cs="Times New Roman" w:eastAsia="Times New Roman" w:hAnsi="Times New Roman"/>
          <w:sz w:val="18"/>
          <w:szCs w:val="18"/>
          <w:rtl w:val="0"/>
        </w:rPr>
        <w:t xml:space="preserve">Table II.  Model Performance — Anxiety Score Prediction</w:t>
      </w:r>
      <w:r w:rsidDel="00000000" w:rsidR="00000000" w:rsidRPr="00000000">
        <w:rPr>
          <w:rtl w:val="0"/>
        </w:rPr>
      </w:r>
    </w:p>
    <w:p w:rsidR="00000000" w:rsidDel="00000000" w:rsidP="00000000" w:rsidRDefault="00000000" w:rsidRPr="00000000" w14:paraId="00000068">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Multiple Linear Regression model achieved an R² of 0.812 on the held-out test set with an MSE of 1.94, meaning the model explains roughly 81% of the variance in adolescent anxiety scores using only behavioural engagement features. Ridge Regression performed almost identically (R² = 0.809), confirming that multicollinearity is not materially inflating the linear baseline. The two ensemble models — Random Forest and Gradient Boosting — outperformed the linear models by a modest margin (R² of 0.847 and 0.851 respectively), indicating that some non-linear interactions exist in the data but that the linear relationship is the dominant signal.</w:t>
      </w:r>
      <w:r w:rsidDel="00000000" w:rsidR="00000000" w:rsidRPr="00000000">
        <w:rPr>
          <w:rtl w:val="0"/>
        </w:rPr>
      </w:r>
    </w:p>
    <w:p w:rsidR="00000000" w:rsidDel="00000000" w:rsidP="00000000" w:rsidRDefault="00000000" w:rsidRPr="00000000" w14:paraId="00000069">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This pattern — strong linear performance, modest ensemble gains — is meaningful for the interpretation. It suggests that the behavioural predictors relate to anxiety in a largely additive, monotonic way. Doubling appearance-based exposure roughly doubles its contribution to the predicted anxiety score, rather than producing threshold or interaction effects.</w:t>
      </w:r>
      <w:r w:rsidDel="00000000" w:rsidR="00000000" w:rsidRPr="00000000">
        <w:rPr>
          <w:rtl w:val="0"/>
        </w:rPr>
      </w:r>
    </w:p>
    <w:p w:rsidR="00000000" w:rsidDel="00000000" w:rsidP="00000000" w:rsidRDefault="00000000" w:rsidRPr="00000000" w14:paraId="0000006A">
      <w:pPr>
        <w:spacing w:after="180" w:before="60" w:lineRule="auto"/>
        <w:jc w:val="center"/>
        <w:rPr/>
      </w:pPr>
      <w:r w:rsidDel="00000000" w:rsidR="00000000" w:rsidRPr="00000000">
        <w:rPr>
          <w:rFonts w:ascii="Times New Roman" w:cs="Times New Roman" w:eastAsia="Times New Roman" w:hAnsi="Times New Roman"/>
          <w:sz w:val="18"/>
          <w:szCs w:val="18"/>
          <w:rtl w:val="0"/>
        </w:rPr>
        <w:t xml:space="preserve">Fig. 2.  Model comparison — R² score (MLR: 0.812, Ridge: 0.809, RF: 0.847, GB: 0.851).</w:t>
      </w:r>
      <w:r w:rsidDel="00000000" w:rsidR="00000000" w:rsidRPr="00000000">
        <w:rPr>
          <w:rtl w:val="0"/>
        </w:rPr>
      </w:r>
    </w:p>
    <w:p w:rsidR="00000000" w:rsidDel="00000000" w:rsidP="00000000" w:rsidRDefault="00000000" w:rsidRPr="00000000" w14:paraId="0000006B">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B.  Regression Coefficients</w:t>
      </w:r>
      <w:r w:rsidDel="00000000" w:rsidR="00000000" w:rsidRPr="00000000">
        <w:rPr>
          <w:rtl w:val="0"/>
        </w:rPr>
      </w:r>
    </w:p>
    <w:p w:rsidR="00000000" w:rsidDel="00000000" w:rsidP="00000000" w:rsidRDefault="00000000" w:rsidRPr="00000000" w14:paraId="0000006C">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fitted MLR coefficients provide direct interpretability that the ensemble models cannot match. All coefficients are reported on the normalised feature scale.</w:t>
      </w:r>
      <w:r w:rsidDel="00000000" w:rsidR="00000000" w:rsidRPr="00000000">
        <w:rPr>
          <w:rtl w:val="0"/>
        </w:rPr>
      </w:r>
    </w:p>
    <w:tbl>
      <w:tblPr>
        <w:tblStyle w:val="Table4"/>
        <w:tblW w:w="4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00"/>
        <w:gridCol w:w="800"/>
        <w:gridCol w:w="700"/>
        <w:gridCol w:w="800"/>
        <w:tblGridChange w:id="0">
          <w:tblGrid>
            <w:gridCol w:w="1900"/>
            <w:gridCol w:w="700"/>
            <w:gridCol w:w="800"/>
            <w:gridCol w:w="700"/>
            <w:gridCol w:w="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6D">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6E">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Coef.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6F">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Std.Err.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70">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80.0" w:type="dxa"/>
              <w:bottom w:w="60.0" w:type="dxa"/>
              <w:right w:w="80.0" w:type="dxa"/>
            </w:tcMar>
          </w:tcPr>
          <w:p w:rsidR="00000000" w:rsidDel="00000000" w:rsidP="00000000" w:rsidRDefault="00000000" w:rsidRPr="00000000" w14:paraId="00000071">
            <w:pPr>
              <w:spacing w:line="220" w:lineRule="auto"/>
              <w:jc w:val="center"/>
              <w:rPr/>
            </w:pPr>
            <w:r w:rsidDel="00000000" w:rsidR="00000000" w:rsidRPr="00000000">
              <w:rPr>
                <w:rFonts w:ascii="Times New Roman" w:cs="Times New Roman" w:eastAsia="Times New Roman" w:hAnsi="Times New Roman"/>
                <w:b w:val="1"/>
                <w:bCs w:val="1"/>
                <w:i w:val="0"/>
                <w:iCs w:val="0"/>
                <w:sz w:val="16"/>
                <w:szCs w:val="16"/>
                <w:rtl w:val="0"/>
              </w:rPr>
              <w:t xml:space="preserve">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2">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Appearance Exposure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3">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4.81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4">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5">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11.45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6">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&lt;0.001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7">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Daily Screen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8">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3.62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9">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A">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9.52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B">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&lt;0.001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C">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Recommendation Clicks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D">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2.74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E">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7F">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7.61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0">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&lt;0.001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1">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Engagement 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2">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3">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4">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5.56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5">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&lt;0.001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6">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Late-Night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7">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8">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9">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4.58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A">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&lt;0.001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B">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Notification Interaction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C">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D">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E">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3.21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8F">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0">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Session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1">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2">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3">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4">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0.129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5">
            <w:pPr>
              <w:spacing w:line="220" w:lineRule="auto"/>
              <w:jc w:val="left"/>
              <w:rPr/>
            </w:pPr>
            <w:r w:rsidDel="00000000" w:rsidR="00000000" w:rsidRPr="00000000">
              <w:rPr>
                <w:rFonts w:ascii="Times New Roman" w:cs="Times New Roman" w:eastAsia="Times New Roman" w:hAnsi="Times New Roman"/>
                <w:b w:val="0"/>
                <w:bCs w:val="0"/>
                <w:i w:val="0"/>
                <w:iCs w:val="0"/>
                <w:sz w:val="16"/>
                <w:szCs w:val="16"/>
                <w:rtl w:val="0"/>
              </w:rPr>
              <w:t xml:space="preserve">Avg. Session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6">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7">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8">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0.69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80.0" w:type="dxa"/>
              <w:bottom w:w="60.0" w:type="dxa"/>
              <w:right w:w="80.0" w:type="dxa"/>
            </w:tcMar>
          </w:tcPr>
          <w:p w:rsidR="00000000" w:rsidDel="00000000" w:rsidP="00000000" w:rsidRDefault="00000000" w:rsidRPr="00000000" w14:paraId="00000099">
            <w:pPr>
              <w:spacing w:line="220" w:lineRule="auto"/>
              <w:jc w:val="center"/>
              <w:rPr/>
            </w:pPr>
            <w:r w:rsidDel="00000000" w:rsidR="00000000" w:rsidRPr="00000000">
              <w:rPr>
                <w:rFonts w:ascii="Times New Roman" w:cs="Times New Roman" w:eastAsia="Times New Roman" w:hAnsi="Times New Roman"/>
                <w:b w:val="0"/>
                <w:bCs w:val="0"/>
                <w:i w:val="0"/>
                <w:iCs w:val="0"/>
                <w:sz w:val="16"/>
                <w:szCs w:val="16"/>
                <w:rtl w:val="0"/>
              </w:rPr>
              <w:t xml:space="preserve">0.491</w:t>
            </w:r>
            <w:r w:rsidDel="00000000" w:rsidR="00000000" w:rsidRPr="00000000">
              <w:rPr>
                <w:rtl w:val="0"/>
              </w:rPr>
            </w:r>
          </w:p>
        </w:tc>
      </w:tr>
    </w:tbl>
    <w:p w:rsidR="00000000" w:rsidDel="00000000" w:rsidP="00000000" w:rsidRDefault="00000000" w:rsidRPr="00000000" w14:paraId="0000009A">
      <w:pPr>
        <w:spacing w:after="180" w:before="60" w:lineRule="auto"/>
        <w:jc w:val="center"/>
        <w:rPr/>
      </w:pPr>
      <w:r w:rsidDel="00000000" w:rsidR="00000000" w:rsidRPr="00000000">
        <w:rPr>
          <w:rFonts w:ascii="Times New Roman" w:cs="Times New Roman" w:eastAsia="Times New Roman" w:hAnsi="Times New Roman"/>
          <w:sz w:val="18"/>
          <w:szCs w:val="18"/>
          <w:rtl w:val="0"/>
        </w:rPr>
        <w:t xml:space="preserve">Table III.  Multiple Linear Regression Coefficients</w:t>
      </w:r>
      <w:r w:rsidDel="00000000" w:rsidR="00000000" w:rsidRPr="00000000">
        <w:rPr>
          <w:rtl w:val="0"/>
        </w:rPr>
      </w:r>
    </w:p>
    <w:p w:rsidR="00000000" w:rsidDel="00000000" w:rsidP="00000000" w:rsidRDefault="00000000" w:rsidRPr="00000000" w14:paraId="0000009B">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Appearance-based content exposure carries the largest standardised coefficient (β = 4.81, p &lt; 0.001), substantially ahead of screen time (β = 3.62, p &lt; 0.001). Recommendation click-through (β = 2.74) and engagement frequency (β = 1.89) follow. Late-night usage and notification interaction both show statistically significant but smaller contributions. Session count and average session length were not statistically significant once the other features were controlled for — suggesting that what matters is not the structural pattern of usage (how many sessions, how long each is) but the content character and engagement intensity within those sessions.</w:t>
      </w:r>
      <w:r w:rsidDel="00000000" w:rsidR="00000000" w:rsidRPr="00000000">
        <w:rPr>
          <w:rtl w:val="0"/>
        </w:rPr>
      </w:r>
    </w:p>
    <w:p w:rsidR="00000000" w:rsidDel="00000000" w:rsidP="00000000" w:rsidRDefault="00000000" w:rsidRPr="00000000" w14:paraId="0000009C">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C.  Feature Importance Cross-Check</w:t>
      </w:r>
      <w:r w:rsidDel="00000000" w:rsidR="00000000" w:rsidRPr="00000000">
        <w:rPr>
          <w:rtl w:val="0"/>
        </w:rPr>
      </w:r>
    </w:p>
    <w:p w:rsidR="00000000" w:rsidDel="00000000" w:rsidP="00000000" w:rsidRDefault="00000000" w:rsidRPr="00000000" w14:paraId="0000009D">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Random Forest feature importance scores broadly confirm the linear model's ranking: appearance exposure (0.286), screen time (0.241), recommendation clicks (0.183), and engagement frequency (0.142) dominate, with the remaining features contributing modestly. The convergence between linear coefficients and Random Forest importance scores strengthens confidence in the substantive ordering of predictors.</w:t>
      </w:r>
      <w:r w:rsidDel="00000000" w:rsidR="00000000" w:rsidRPr="00000000">
        <w:rPr>
          <w:rtl w:val="0"/>
        </w:rPr>
      </w:r>
    </w:p>
    <w:p w:rsidR="00000000" w:rsidDel="00000000" w:rsidP="00000000" w:rsidRDefault="00000000" w:rsidRPr="00000000" w14:paraId="0000009E">
      <w:pPr>
        <w:spacing w:after="180" w:before="60" w:lineRule="auto"/>
        <w:jc w:val="center"/>
        <w:rPr/>
      </w:pPr>
      <w:r w:rsidDel="00000000" w:rsidR="00000000" w:rsidRPr="00000000">
        <w:rPr>
          <w:rFonts w:ascii="Times New Roman" w:cs="Times New Roman" w:eastAsia="Times New Roman" w:hAnsi="Times New Roman"/>
          <w:sz w:val="18"/>
          <w:szCs w:val="18"/>
          <w:rtl w:val="0"/>
        </w:rPr>
        <w:t xml:space="preserve">Fig. 3.  Random Forest feature importance scores (top features: appearance exposure 0.286, screen time 0.241, recommendation clicks 0.183).</w:t>
      </w:r>
      <w:r w:rsidDel="00000000" w:rsidR="00000000" w:rsidRPr="00000000">
        <w:rPr>
          <w:rtl w:val="0"/>
        </w:rPr>
      </w:r>
    </w:p>
    <w:p w:rsidR="00000000" w:rsidDel="00000000" w:rsidP="00000000" w:rsidRDefault="00000000" w:rsidRPr="00000000" w14:paraId="0000009F">
      <w:pPr>
        <w:spacing w:after="80" w:before="120" w:lineRule="auto"/>
        <w:rPr/>
      </w:pPr>
      <w:r w:rsidDel="00000000" w:rsidR="00000000" w:rsidRPr="00000000">
        <w:rPr>
          <w:rFonts w:ascii="Times New Roman" w:cs="Times New Roman" w:eastAsia="Times New Roman" w:hAnsi="Times New Roman"/>
          <w:i w:val="1"/>
          <w:iCs w:val="1"/>
          <w:sz w:val="20"/>
          <w:szCs w:val="20"/>
          <w:rtl w:val="0"/>
        </w:rPr>
        <w:t xml:space="preserve">D.  Comparative Discussion</w:t>
      </w:r>
      <w:r w:rsidDel="00000000" w:rsidR="00000000" w:rsidRPr="00000000">
        <w:rPr>
          <w:rtl w:val="0"/>
        </w:rPr>
      </w:r>
    </w:p>
    <w:p w:rsidR="00000000" w:rsidDel="00000000" w:rsidP="00000000" w:rsidRDefault="00000000" w:rsidRPr="00000000" w14:paraId="000000A0">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R² of 0.812 from the linear model compares favourably with prior work on social-media-derived mental health prediction. Reece and Danforth (2017) reported classification accuracy around 70% using image features [9]; De Choudhury et al. (2013) reported similar performance on linguistic features [10]. Working at the level of behavioural exposure metrics rather than raw post content appears to capture a substantial share of the variance in adolescent anxiety, and does so with a model whose coefficients are directly interpretable — a meaningful advantage for any policy or product context where stakeholders need to understand what the model is responding to.</w:t>
      </w:r>
      <w:r w:rsidDel="00000000" w:rsidR="00000000" w:rsidRPr="00000000">
        <w:rPr>
          <w:rtl w:val="0"/>
        </w:rPr>
      </w:r>
    </w:p>
    <w:p w:rsidR="00000000" w:rsidDel="00000000" w:rsidP="00000000" w:rsidRDefault="00000000" w:rsidRPr="00000000" w14:paraId="000000A1">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dominance of appearance-based content exposure as a predictor aligns with extensive prior literature on social comparison, body image, and adolescent mental health. The novel contribution here is quantifying its predictive weight relative to other algorithmic exposure metrics in a single integrated model.</w:t>
      </w:r>
      <w:r w:rsidDel="00000000" w:rsidR="00000000" w:rsidRPr="00000000">
        <w:rPr>
          <w:rtl w:val="0"/>
        </w:rPr>
      </w:r>
    </w:p>
    <w:p w:rsidR="00000000" w:rsidDel="00000000" w:rsidP="00000000" w:rsidRDefault="00000000" w:rsidRPr="00000000" w14:paraId="000000A2">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VI.  CHALLENGES AND LIMITATIONS</w:t>
      </w:r>
      <w:r w:rsidDel="00000000" w:rsidR="00000000" w:rsidRPr="00000000">
        <w:rPr>
          <w:rtl w:val="0"/>
        </w:rPr>
      </w:r>
    </w:p>
    <w:p w:rsidR="00000000" w:rsidDel="00000000" w:rsidP="00000000" w:rsidRDefault="00000000" w:rsidRPr="00000000" w14:paraId="000000A3">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Several limitations bound the interpretation of these results. The sample of 612 adolescents from three secondary schools is geographically and culturally narrow; generalisation to different cultural settings, age bands, or socioeconomic strata is not warranted without further data collection. The cross-sectional design captures association rather than causation — it cannot be determined from this data whether high algorithmic exposure causes elevated anxiety, whether anxious adolescents are drawn toward more engagement-heavy use, or whether both reflect an unmeasured upstream factor.</w:t>
      </w:r>
      <w:r w:rsidDel="00000000" w:rsidR="00000000" w:rsidRPr="00000000">
        <w:rPr>
          <w:rtl w:val="0"/>
        </w:rPr>
      </w:r>
    </w:p>
    <w:p w:rsidR="00000000" w:rsidDel="00000000" w:rsidP="00000000" w:rsidRDefault="00000000" w:rsidRPr="00000000" w14:paraId="000000A4">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Self-reported screen time and GAD-7 scores both introduce reporting bias. Adolescents may understate usage out of social desirability or overstate symptoms in a survey context. The appearance-exposure measurement, while methodologically more rigorous than self-report, depends on the accuracy of the image classifier used to label engaged content and on the assumption that the sampled posts represent overall feed composition.</w:t>
      </w:r>
      <w:r w:rsidDel="00000000" w:rsidR="00000000" w:rsidRPr="00000000">
        <w:rPr>
          <w:rtl w:val="0"/>
        </w:rPr>
      </w:r>
    </w:p>
    <w:p w:rsidR="00000000" w:rsidDel="00000000" w:rsidP="00000000" w:rsidRDefault="00000000" w:rsidRPr="00000000" w14:paraId="000000A5">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Real-world recommendation systems are also proprietary and dynamic. The features in this study are behavioural traces of algorithmic exposure rather than direct measurements of algorithmic content selection. A definitive study of recommendation-system effects would require platform-level access that researchers do not currently have.</w:t>
      </w:r>
      <w:r w:rsidDel="00000000" w:rsidR="00000000" w:rsidRPr="00000000">
        <w:rPr>
          <w:rtl w:val="0"/>
        </w:rPr>
      </w:r>
    </w:p>
    <w:p w:rsidR="00000000" w:rsidDel="00000000" w:rsidP="00000000" w:rsidRDefault="00000000" w:rsidRPr="00000000" w14:paraId="000000A6">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VII.  ETHICAL CONSIDERATIONS</w:t>
      </w:r>
      <w:r w:rsidDel="00000000" w:rsidR="00000000" w:rsidRPr="00000000">
        <w:rPr>
          <w:rtl w:val="0"/>
        </w:rPr>
      </w:r>
    </w:p>
    <w:p w:rsidR="00000000" w:rsidDel="00000000" w:rsidP="00000000" w:rsidRDefault="00000000" w:rsidRPr="00000000" w14:paraId="000000A7">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Working with adolescent mental health data demands careful attention to ethics at every stage. All data in this study was collected with informed consent from participants and parental consent from those under 16. All personally identifiable information was removed before analysis, and aggregate results are reported in a manner that prevents re-identification of individuals or schools.</w:t>
      </w:r>
      <w:r w:rsidDel="00000000" w:rsidR="00000000" w:rsidRPr="00000000">
        <w:rPr>
          <w:rtl w:val="0"/>
        </w:rPr>
      </w:r>
    </w:p>
    <w:p w:rsidR="00000000" w:rsidDel="00000000" w:rsidP="00000000" w:rsidRDefault="00000000" w:rsidRPr="00000000" w14:paraId="000000A8">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Predictive models in this domain carry real risks if deployed irresponsibly. A model trained to predict adolescent anxiety from social media behaviour could, in principle, be repurposed for content targeting in ways that exploit the very vulnerabilities it identifies. Any operational deployment of such a model should be limited to settings where adolescents and their guardians benefit — for example, voluntary self-monitoring tools or anonymised aggregate platform metrics — and should never be used for advertising targeting or platform retention optimisation.</w:t>
      </w:r>
      <w:r w:rsidDel="00000000" w:rsidR="00000000" w:rsidRPr="00000000">
        <w:rPr>
          <w:rtl w:val="0"/>
        </w:rPr>
      </w:r>
    </w:p>
    <w:p w:rsidR="00000000" w:rsidDel="00000000" w:rsidP="00000000" w:rsidRDefault="00000000" w:rsidRPr="00000000" w14:paraId="000000A9">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Fairness across demographic subgroups deserves explicit auditing. Model performance was checked across gender splits; R² was 0.806 for female participants and 0.819 for male participants, within an acceptable disparity range, but a larger and more diverse sample would be needed for confident subgroup-level claims.</w:t>
      </w:r>
      <w:r w:rsidDel="00000000" w:rsidR="00000000" w:rsidRPr="00000000">
        <w:rPr>
          <w:rtl w:val="0"/>
        </w:rPr>
      </w:r>
    </w:p>
    <w:p w:rsidR="00000000" w:rsidDel="00000000" w:rsidP="00000000" w:rsidRDefault="00000000" w:rsidRPr="00000000" w14:paraId="000000AA">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VIII.  FUTURE SCOPE</w:t>
      </w:r>
      <w:r w:rsidDel="00000000" w:rsidR="00000000" w:rsidRPr="00000000">
        <w:rPr>
          <w:rtl w:val="0"/>
        </w:rPr>
      </w:r>
    </w:p>
    <w:p w:rsidR="00000000" w:rsidDel="00000000" w:rsidP="00000000" w:rsidRDefault="00000000" w:rsidRPr="00000000" w14:paraId="000000AB">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Several directions would meaningfully extend this work. First, longitudinal data collection across at least one academic year would allow modelling of within-participant trajectories rather than only cross-sectional snapshots. Second, multi-platform behavioural logging (Instagram, TikTok, YouTube, Snapchat separately) would clarify whether the effects observed here are consistent across recommender architectures or driven primarily by specific platforms. Third, advanced methods — XGBoost, LightGBM, and small transformer architectures applied to sequential engagement logs — could be benchmarked against the regression models evaluated here. Fourth, an explainability layer using SHAP or LIME would support clinical or educational deployment by making individual-level predictions auditable. Fifth, partnership with platforms or use of independent platform-data initiatives would allow direct measurement of algorithmic exposure rather than behavioural proxies. Sixth, an intervention study — randomising adolescents to algorithmic feeds versus chronological feeds, for example — would begin to address the causal question that observational data cannot.</w:t>
      </w:r>
      <w:r w:rsidDel="00000000" w:rsidR="00000000" w:rsidRPr="00000000">
        <w:rPr>
          <w:rtl w:val="0"/>
        </w:rPr>
      </w:r>
    </w:p>
    <w:p w:rsidR="00000000" w:rsidDel="00000000" w:rsidP="00000000" w:rsidRDefault="00000000" w:rsidRPr="00000000" w14:paraId="000000AC">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IX.  CONCLUSION</w:t>
      </w:r>
      <w:r w:rsidDel="00000000" w:rsidR="00000000" w:rsidRPr="00000000">
        <w:rPr>
          <w:rtl w:val="0"/>
        </w:rPr>
      </w:r>
    </w:p>
    <w:p w:rsidR="00000000" w:rsidDel="00000000" w:rsidP="00000000" w:rsidRDefault="00000000" w:rsidRPr="00000000" w14:paraId="000000AD">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This study examined whether behavioural indicators of algorithmic exposure on social media platforms can predict adolescent anxiety levels using supervised machine learning. A dataset of 612 adolescents aged 13 to 19 was analysed across eight behavioural features, with anxiety score as the continuous outcome. A Multiple Linear Regression model achieved an R² of 0.812 and an MSE of 1.94, explaining roughly 81% of the variance in anxiety scores using only behavioural engagement signals. Ensemble methods (Random Forest, Gradient Boosting) offered modest improvements (R² of 0.847 and 0.851), suggesting that the linear, additive relationship is the dominant signal in the data.</w:t>
      </w:r>
      <w:r w:rsidDel="00000000" w:rsidR="00000000" w:rsidRPr="00000000">
        <w:rPr>
          <w:rtl w:val="0"/>
        </w:rPr>
      </w:r>
    </w:p>
    <w:p w:rsidR="00000000" w:rsidDel="00000000" w:rsidP="00000000" w:rsidRDefault="00000000" w:rsidRPr="00000000" w14:paraId="000000AE">
      <w:pPr>
        <w:spacing w:after="120" w:line="240" w:lineRule="auto"/>
        <w:jc w:val="both"/>
        <w:rPr/>
      </w:pPr>
      <w:r w:rsidDel="00000000" w:rsidR="00000000" w:rsidRPr="00000000">
        <w:rPr>
          <w:rFonts w:ascii="Times New Roman" w:cs="Times New Roman" w:eastAsia="Times New Roman" w:hAnsi="Times New Roman"/>
          <w:sz w:val="20"/>
          <w:szCs w:val="20"/>
          <w:rtl w:val="0"/>
        </w:rPr>
        <w:t xml:space="preserve">The strongest predictors were appearance-based content exposure and daily screen time, followed by recommendation click-through and engagement frequency. These results align with established literature on social comparison, body image, and adolescent mental health, while quantifying the relative predictive contribution of each behavioural pathway. What this framework ultimately offers is a transparent, interpretable starting point for measuring how algorithmic content delivery interacts with adolescent well-being. Translating that starting point into responsible practice — through ethical recommender design, voluntary monitoring tools, and policy-level platform accountability — will require continued research, longitudinal data, and genuine engagement from platform operators. The predictive foundation, however, is real, and the case for taking algorithmic exposure seriously as a mental health variable is supported by the data.</w:t>
      </w:r>
      <w:r w:rsidDel="00000000" w:rsidR="00000000" w:rsidRPr="00000000">
        <w:rPr>
          <w:rtl w:val="0"/>
        </w:rPr>
      </w:r>
    </w:p>
    <w:p w:rsidR="00000000" w:rsidDel="00000000" w:rsidP="00000000" w:rsidRDefault="00000000" w:rsidRPr="00000000" w14:paraId="000000AF">
      <w:pPr>
        <w:spacing w:after="120" w:before="24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REFERENCES</w:t>
      </w:r>
      <w:r w:rsidDel="00000000" w:rsidR="00000000" w:rsidRPr="00000000">
        <w:rPr>
          <w:rtl w:val="0"/>
        </w:rPr>
      </w:r>
    </w:p>
    <w:p w:rsidR="00000000" w:rsidDel="00000000" w:rsidP="00000000" w:rsidRDefault="00000000" w:rsidRPr="00000000" w14:paraId="000000B0">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[1]  Pew Research Center, “Teens, Social Media and Technology 2023,” Washington, DC, USA, 2023.</w:t>
      </w:r>
      <w:r w:rsidDel="00000000" w:rsidR="00000000" w:rsidRPr="00000000">
        <w:rPr>
          <w:rtl w:val="0"/>
        </w:rPr>
      </w:r>
    </w:p>
    <w:p w:rsidR="00000000" w:rsidDel="00000000" w:rsidP="00000000" w:rsidRDefault="00000000" w:rsidRPr="00000000" w14:paraId="000000B1">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[2]  F. Ricci, L. Rokach, and B. Shapira, Recommender Systems Handbook, 2nd ed. New York, NY, USA: Springer, 2015.</w:t>
      </w:r>
      <w:r w:rsidDel="00000000" w:rsidR="00000000" w:rsidRPr="00000000">
        <w:rPr>
          <w:rtl w:val="0"/>
        </w:rPr>
      </w:r>
    </w:p>
    <w:p w:rsidR="00000000" w:rsidDel="00000000" w:rsidP="00000000" w:rsidRDefault="00000000" w:rsidRPr="00000000" w14:paraId="000000B2">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[3]  S. Vosoughi, D. Roy, and S. Aral, “The spread of true and false news online,” Science, vol. 359, no. 6380, pp. 1146–1151, 2018.</w:t>
      </w:r>
      <w:r w:rsidDel="00000000" w:rsidR="00000000" w:rsidRPr="00000000">
        <w:rPr>
          <w:rtl w:val="0"/>
        </w:rPr>
      </w:r>
    </w:p>
    <w:p w:rsidR="00000000" w:rsidDel="00000000" w:rsidP="00000000" w:rsidRDefault="00000000" w:rsidRPr="00000000" w14:paraId="000000B3">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[4]  J. M. Twenge, T. E. Joiner, M. L. Rogers, and G. N. Martin, “Increases in depressive symptoms, suicide-related outcomes, and suicide rates among U.S. adolescents after 2010,” Clin. Psychol. Sci., vol. 6, no. 1, pp. 3–17, 2018.</w:t>
      </w:r>
      <w:r w:rsidDel="00000000" w:rsidR="00000000" w:rsidRPr="00000000">
        <w:rPr>
          <w:rtl w:val="0"/>
        </w:rPr>
      </w:r>
    </w:p>
    <w:p w:rsidR="00000000" w:rsidDel="00000000" w:rsidP="00000000" w:rsidRDefault="00000000" w:rsidRPr="00000000" w14:paraId="000000B4">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[5]  B. Keles, N. McCrae, and A. Grealish, “A systematic review: the influence of social media on depression, anxiety and psychological distress in adolescents,” Int. J. Adolesc. Youth, vol. 25, no. 1, pp. 79–93, 2020.</w:t>
      </w:r>
      <w:r w:rsidDel="00000000" w:rsidR="00000000" w:rsidRPr="00000000">
        <w:rPr>
          <w:rtl w:val="0"/>
        </w:rPr>
      </w:r>
    </w:p>
    <w:p w:rsidR="00000000" w:rsidDel="00000000" w:rsidP="00000000" w:rsidRDefault="00000000" w:rsidRPr="00000000" w14:paraId="000000B5">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[6]  J. A. Naslund, K. A. Aschbrenner, L. A. Marsch, and S. J. Bartels, “The future of mental health care: peer-to-peer support and social media,” Epidemiol. Psychiatr. Sci., vol. 25, no. 2, pp. 113–122, 2016.</w:t>
      </w:r>
      <w:r w:rsidDel="00000000" w:rsidR="00000000" w:rsidRPr="00000000">
        <w:rPr>
          <w:rtl w:val="0"/>
        </w:rPr>
      </w:r>
    </w:p>
    <w:p w:rsidR="00000000" w:rsidDel="00000000" w:rsidP="00000000" w:rsidRDefault="00000000" w:rsidRPr="00000000" w14:paraId="000000B6">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[7]  F. Pedregosa et al., “Scikit-learn: Machine learning in Python,” J. Mach. Learn. Res., vol. 12, pp. 2825–2830, 2011.</w:t>
      </w:r>
      <w:r w:rsidDel="00000000" w:rsidR="00000000" w:rsidRPr="00000000">
        <w:rPr>
          <w:rtl w:val="0"/>
        </w:rPr>
      </w:r>
    </w:p>
    <w:p w:rsidR="00000000" w:rsidDel="00000000" w:rsidP="00000000" w:rsidRDefault="00000000" w:rsidRPr="00000000" w14:paraId="000000B7">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[8]  S. Milano, M. Taddeo, and L. Floridi, “Recommender systems and their ethical challenges,” AI &amp; Society, vol. 35, pp. 957–967, 2020.</w:t>
      </w:r>
      <w:r w:rsidDel="00000000" w:rsidR="00000000" w:rsidRPr="00000000">
        <w:rPr>
          <w:rtl w:val="0"/>
        </w:rPr>
      </w:r>
    </w:p>
    <w:p w:rsidR="00000000" w:rsidDel="00000000" w:rsidP="00000000" w:rsidRDefault="00000000" w:rsidRPr="00000000" w14:paraId="000000B8">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[9]  A. G. Reece and C. M. Danforth, “Instagram photos reveal predictive markers of depression,” EPJ Data Science, vol. 6, no. 15, 2017.</w:t>
      </w:r>
      <w:r w:rsidDel="00000000" w:rsidR="00000000" w:rsidRPr="00000000">
        <w:rPr>
          <w:rtl w:val="0"/>
        </w:rPr>
      </w:r>
    </w:p>
    <w:p w:rsidR="00000000" w:rsidDel="00000000" w:rsidP="00000000" w:rsidRDefault="00000000" w:rsidRPr="00000000" w14:paraId="000000B9">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[10] M. De Choudhury, S. Counts, and E. Horvitz, “Predicting postpartum changes in emotion and behavior via social media,” in Proc. SIGCHI Conf. Human Factors Comput. Syst. (CHI), 2013, pp. 3267–3276.</w:t>
      </w:r>
      <w:r w:rsidDel="00000000" w:rsidR="00000000" w:rsidRPr="00000000">
        <w:rPr>
          <w:rtl w:val="0"/>
        </w:rPr>
      </w:r>
    </w:p>
    <w:p w:rsidR="00000000" w:rsidDel="00000000" w:rsidP="00000000" w:rsidRDefault="00000000" w:rsidRPr="00000000" w14:paraId="000000BA">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[11] R. Gonzales and D. Hancock, “Mirror, mirror on my Facebook wall: Effects of exposure to Facebook on self-esteem,” Cyberpsychol. Behav. Soc. Netw., vol. 14, no. 1–2, pp. 79–83, 2011.</w:t>
      </w:r>
      <w:r w:rsidDel="00000000" w:rsidR="00000000" w:rsidRPr="00000000">
        <w:rPr>
          <w:rtl w:val="0"/>
        </w:rPr>
      </w:r>
    </w:p>
    <w:p w:rsidR="00000000" w:rsidDel="00000000" w:rsidP="00000000" w:rsidRDefault="00000000" w:rsidRPr="00000000" w14:paraId="000000BB">
      <w:pPr>
        <w:spacing w:after="60" w:line="240" w:lineRule="auto"/>
        <w:ind w:left="360" w:hanging="360"/>
        <w:rPr/>
      </w:pPr>
      <w:r w:rsidDel="00000000" w:rsidR="00000000" w:rsidRPr="00000000">
        <w:rPr>
          <w:rFonts w:ascii="Times New Roman" w:cs="Times New Roman" w:eastAsia="Times New Roman" w:hAnsi="Times New Roman"/>
          <w:sz w:val="18"/>
          <w:szCs w:val="18"/>
          <w:rtl w:val="0"/>
        </w:rPr>
        <w:t xml:space="preserve">[12] J. Twenge, “Have smartphones destroyed a generation?,” The Atlantic, Sep. 2017.</w:t>
      </w:r>
      <w:r w:rsidDel="00000000" w:rsidR="00000000" w:rsidRPr="00000000">
        <w:rPr>
          <w:rtl w:val="0"/>
        </w:rPr>
      </w:r>
    </w:p>
    <w:p w:rsidR="00000000" w:rsidDel="00000000" w:rsidP="00000000" w:rsidRDefault="00000000" w:rsidRPr="00000000" w14:paraId="000000BC">
      <w:pPr>
        <w:spacing w:after="60" w:before="360" w:lineRule="auto"/>
        <w:jc w:val="center"/>
        <w:rPr/>
      </w:pPr>
      <w:r w:rsidDel="00000000" w:rsidR="00000000" w:rsidRPr="00000000">
        <w:rPr>
          <w:rFonts w:ascii="Times New Roman" w:cs="Times New Roman" w:eastAsia="Times New Roman" w:hAnsi="Times New Roman"/>
          <w:sz w:val="18"/>
          <w:szCs w:val="18"/>
          <w:rtl w:val="0"/>
        </w:rPr>
        <w:t xml:space="preserve">XXX-X-XXXX-XXXX-X/XX/$XX.00 ©20XX IEEE</w:t>
      </w:r>
      <w:r w:rsidDel="00000000" w:rsidR="00000000" w:rsidRPr="00000000">
        <w:rPr>
          <w:rtl w:val="0"/>
        </w:rPr>
      </w:r>
    </w:p>
    <w:sectPr>
      <w:type w:val="continuous"/>
      <w:pgSz w:h="15840" w:w="12240" w:orient="portrait"/>
      <w:pgMar w:bottom="1080" w:top="1080" w:left="1080" w:right="1080" w:header="708" w:footer="708"/>
      <w:cols w:equalWidth="0" w:num="2">
        <w:col w:space="432" w:w="4824"/>
        <w:col w:space="0" w:w="482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