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d5889836e468462e5bbba3c5984c36f11f9598"/>
    <w:p>
      <w:pPr>
        <w:pStyle w:val="Heading1"/>
      </w:pPr>
      <w:r>
        <w:t xml:space="preserve">Trade Agreements and Regional Economic Blocs</w:t>
      </w:r>
    </w:p>
    <w:bookmarkStart w:id="26" w:name="fta-free-trade-agreement"/>
    <w:p>
      <w:pPr>
        <w:pStyle w:val="Heading2"/>
      </w:pPr>
      <w:r>
        <w:t xml:space="preserve">1. FTA – Free Trade Agreement</w:t>
      </w:r>
    </w:p>
    <w:bookmarkStart w:id="20" w:name="definition"/>
    <w:p>
      <w:pPr>
        <w:pStyle w:val="Heading3"/>
      </w:pPr>
      <w:r>
        <w:t xml:space="preserve">Definition</w:t>
      </w:r>
    </w:p>
    <w:p>
      <w:pPr>
        <w:pStyle w:val="FirstParagraph"/>
      </w:pPr>
      <w:r>
        <w:t xml:space="preserve">A</w:t>
      </w:r>
      <w:r>
        <w:t xml:space="preserve"> </w:t>
      </w:r>
      <w:r>
        <w:rPr>
          <w:b/>
          <w:bCs/>
        </w:rPr>
        <w:t xml:space="preserve">Free Trade Agreement (FTA)</w:t>
      </w:r>
      <w:r>
        <w:t xml:space="preserve"> </w:t>
      </w:r>
      <w:r>
        <w:t xml:space="preserve">is a treaty between two or more countries that reduces or completely eliminates customs duties (tariffs) on goods traded between them. The primary objective is to encourage international trade by making products more competitive through lower import costs.</w:t>
      </w:r>
    </w:p>
    <w:bookmarkEnd w:id="20"/>
    <w:bookmarkStart w:id="21" w:name="key-features"/>
    <w:p>
      <w:pPr>
        <w:pStyle w:val="Heading3"/>
      </w:pPr>
      <w:r>
        <w:t xml:space="preserve">Key Features</w:t>
      </w:r>
    </w:p>
    <w:p>
      <w:pPr>
        <w:pStyle w:val="Compact"/>
        <w:numPr>
          <w:ilvl w:val="0"/>
          <w:numId w:val="1001"/>
        </w:numPr>
      </w:pPr>
      <w:r>
        <w:t xml:space="preserve">Eliminates or significantly reduces customs duties.</w:t>
      </w:r>
    </w:p>
    <w:p>
      <w:pPr>
        <w:pStyle w:val="Compact"/>
        <w:numPr>
          <w:ilvl w:val="0"/>
          <w:numId w:val="1001"/>
        </w:numPr>
      </w:pPr>
      <w:r>
        <w:t xml:space="preserve">Covers trade in goods and, in many cases, services and investments.</w:t>
      </w:r>
    </w:p>
    <w:p>
      <w:pPr>
        <w:pStyle w:val="Compact"/>
        <w:numPr>
          <w:ilvl w:val="0"/>
          <w:numId w:val="1001"/>
        </w:numPr>
      </w:pPr>
      <w:r>
        <w:t xml:space="preserve">Member countries maintain their own tariffs for non-member countries.</w:t>
      </w:r>
    </w:p>
    <w:p>
      <w:pPr>
        <w:pStyle w:val="Compact"/>
        <w:numPr>
          <w:ilvl w:val="0"/>
          <w:numId w:val="1001"/>
        </w:numPr>
      </w:pPr>
      <w:r>
        <w:t xml:space="preserve">Requires compliance with</w:t>
      </w:r>
      <w:r>
        <w:t xml:space="preserve"> </w:t>
      </w:r>
      <w:r>
        <w:rPr>
          <w:b/>
          <w:bCs/>
        </w:rPr>
        <w:t xml:space="preserve">Rules of Origin (RoO)</w:t>
      </w:r>
      <w:r>
        <w:t xml:space="preserve"> </w:t>
      </w:r>
      <w:r>
        <w:t xml:space="preserve">to ensure only eligible products receive preferential treatment.</w:t>
      </w:r>
    </w:p>
    <w:bookmarkEnd w:id="21"/>
    <w:bookmarkStart w:id="22" w:name="example"/>
    <w:p>
      <w:pPr>
        <w:pStyle w:val="Heading3"/>
      </w:pPr>
      <w:r>
        <w:t xml:space="preserve">Example</w:t>
      </w:r>
    </w:p>
    <w:p>
      <w:pPr>
        <w:pStyle w:val="FirstParagraph"/>
      </w:pPr>
      <w:r>
        <w:t xml:space="preserve">Suppose India exports textiles worth ₹100 lakh to a partner country.</w:t>
      </w:r>
    </w:p>
    <w:p>
      <w:pPr>
        <w:pStyle w:val="Compact"/>
        <w:numPr>
          <w:ilvl w:val="0"/>
          <w:numId w:val="1002"/>
        </w:numPr>
      </w:pPr>
      <w:r>
        <w:t xml:space="preserve">Normal Import Duty:</w:t>
      </w:r>
      <w:r>
        <w:t xml:space="preserve"> </w:t>
      </w:r>
      <w:r>
        <w:rPr>
          <w:b/>
          <w:bCs/>
        </w:rPr>
        <w:t xml:space="preserve">10%</w:t>
      </w:r>
    </w:p>
    <w:p>
      <w:pPr>
        <w:pStyle w:val="Compact"/>
        <w:numPr>
          <w:ilvl w:val="0"/>
          <w:numId w:val="1002"/>
        </w:numPr>
      </w:pPr>
      <w:r>
        <w:t xml:space="preserve">FTA Duty:</w:t>
      </w:r>
      <w:r>
        <w:t xml:space="preserve"> </w:t>
      </w:r>
      <w:r>
        <w:rPr>
          <w:b/>
          <w:bCs/>
        </w:rPr>
        <w:t xml:space="preserve">0%</w:t>
      </w:r>
    </w:p>
    <w:p>
      <w:pPr>
        <w:pStyle w:val="FirstParagraph"/>
      </w:pPr>
      <w:r>
        <w:t xml:space="preserve">The importer saves ₹10 lakh in customs duty, making Indian textiles more competitive.</w:t>
      </w:r>
    </w:p>
    <w:bookmarkEnd w:id="22"/>
    <w:bookmarkStart w:id="23" w:name="major-ftas-signed-by-india"/>
    <w:p>
      <w:pPr>
        <w:pStyle w:val="Heading3"/>
      </w:pPr>
      <w:r>
        <w:t xml:space="preserve">Major FTAs Signed by India</w:t>
      </w:r>
    </w:p>
    <w:p>
      <w:pPr>
        <w:pStyle w:val="Compact"/>
        <w:numPr>
          <w:ilvl w:val="0"/>
          <w:numId w:val="1003"/>
        </w:numPr>
      </w:pPr>
      <w:r>
        <w:t xml:space="preserve">India–UAE CEPA</w:t>
      </w:r>
    </w:p>
    <w:p>
      <w:pPr>
        <w:pStyle w:val="Compact"/>
        <w:numPr>
          <w:ilvl w:val="0"/>
          <w:numId w:val="1003"/>
        </w:numPr>
      </w:pPr>
      <w:r>
        <w:t xml:space="preserve">India–Japan CEPA</w:t>
      </w:r>
    </w:p>
    <w:p>
      <w:pPr>
        <w:pStyle w:val="Compact"/>
        <w:numPr>
          <w:ilvl w:val="0"/>
          <w:numId w:val="1003"/>
        </w:numPr>
      </w:pPr>
      <w:r>
        <w:t xml:space="preserve">India–South Korea CEPA</w:t>
      </w:r>
    </w:p>
    <w:p>
      <w:pPr>
        <w:pStyle w:val="Compact"/>
        <w:numPr>
          <w:ilvl w:val="0"/>
          <w:numId w:val="1003"/>
        </w:numPr>
      </w:pPr>
      <w:r>
        <w:t xml:space="preserve">India–ASEAN FTA</w:t>
      </w:r>
    </w:p>
    <w:p>
      <w:pPr>
        <w:pStyle w:val="Compact"/>
        <w:numPr>
          <w:ilvl w:val="0"/>
          <w:numId w:val="1003"/>
        </w:numPr>
      </w:pPr>
      <w:r>
        <w:t xml:space="preserve">India–Sri Lanka FTA</w:t>
      </w:r>
    </w:p>
    <w:p>
      <w:pPr>
        <w:pStyle w:val="Compact"/>
        <w:numPr>
          <w:ilvl w:val="0"/>
          <w:numId w:val="1003"/>
        </w:numPr>
      </w:pPr>
      <w:r>
        <w:t xml:space="preserve">India–Mauritius CECPA</w:t>
      </w:r>
    </w:p>
    <w:p>
      <w:pPr>
        <w:pStyle w:val="Compact"/>
        <w:numPr>
          <w:ilvl w:val="0"/>
          <w:numId w:val="1003"/>
        </w:numPr>
      </w:pPr>
      <w:r>
        <w:t xml:space="preserve">India–Australia ECTA</w:t>
      </w:r>
    </w:p>
    <w:bookmarkEnd w:id="23"/>
    <w:bookmarkStart w:id="24" w:name="advantages"/>
    <w:p>
      <w:pPr>
        <w:pStyle w:val="Heading3"/>
      </w:pPr>
      <w:r>
        <w:t xml:space="preserve">Advantages</w:t>
      </w:r>
    </w:p>
    <w:p>
      <w:pPr>
        <w:pStyle w:val="Compact"/>
        <w:numPr>
          <w:ilvl w:val="0"/>
          <w:numId w:val="1004"/>
        </w:numPr>
      </w:pPr>
      <w:r>
        <w:t xml:space="preserve">Increased exports</w:t>
      </w:r>
    </w:p>
    <w:p>
      <w:pPr>
        <w:pStyle w:val="Compact"/>
        <w:numPr>
          <w:ilvl w:val="0"/>
          <w:numId w:val="1004"/>
        </w:numPr>
      </w:pPr>
      <w:r>
        <w:t xml:space="preserve">Lower product prices</w:t>
      </w:r>
    </w:p>
    <w:p>
      <w:pPr>
        <w:pStyle w:val="Compact"/>
        <w:numPr>
          <w:ilvl w:val="0"/>
          <w:numId w:val="1004"/>
        </w:numPr>
      </w:pPr>
      <w:r>
        <w:t xml:space="preserve">Improved market access</w:t>
      </w:r>
    </w:p>
    <w:p>
      <w:pPr>
        <w:pStyle w:val="Compact"/>
        <w:numPr>
          <w:ilvl w:val="0"/>
          <w:numId w:val="1004"/>
        </w:numPr>
      </w:pPr>
      <w:r>
        <w:t xml:space="preserve">Stronger economic cooperation</w:t>
      </w:r>
    </w:p>
    <w:bookmarkEnd w:id="24"/>
    <w:bookmarkStart w:id="25" w:name="limitations"/>
    <w:p>
      <w:pPr>
        <w:pStyle w:val="Heading3"/>
      </w:pPr>
      <w:r>
        <w:t xml:space="preserve">Limitations</w:t>
      </w:r>
    </w:p>
    <w:p>
      <w:pPr>
        <w:pStyle w:val="Compact"/>
        <w:numPr>
          <w:ilvl w:val="0"/>
          <w:numId w:val="1005"/>
        </w:numPr>
      </w:pPr>
      <w:r>
        <w:t xml:space="preserve">Rules of Origin documentation required</w:t>
      </w:r>
    </w:p>
    <w:p>
      <w:pPr>
        <w:pStyle w:val="Compact"/>
        <w:numPr>
          <w:ilvl w:val="0"/>
          <w:numId w:val="1005"/>
        </w:numPr>
      </w:pPr>
      <w:r>
        <w:t xml:space="preserve">Sensitive products may be excluded</w:t>
      </w:r>
    </w:p>
    <w:p>
      <w:pPr>
        <w:pStyle w:val="Compact"/>
        <w:numPr>
          <w:ilvl w:val="0"/>
          <w:numId w:val="1005"/>
        </w:numPr>
      </w:pPr>
      <w:r>
        <w:t xml:space="preserve">Can also increase imports into the domestic market</w:t>
      </w:r>
    </w:p>
    <w:p>
      <w:r>
        <w:pict>
          <v:rect style="width:0;height:1.5pt" o:hralign="center" o:hrstd="t" o:hr="t"/>
        </w:pict>
      </w:r>
    </w:p>
    <w:bookmarkEnd w:id="25"/>
    <w:bookmarkEnd w:id="26"/>
    <w:bookmarkEnd w:id="27"/>
    <w:bookmarkStart w:id="33" w:name="pta-preferential-trade-agreement"/>
    <w:p>
      <w:pPr>
        <w:pStyle w:val="Heading1"/>
      </w:pPr>
      <w:r>
        <w:t xml:space="preserve">2. PTA – Preferential Trade Agreement</w:t>
      </w:r>
    </w:p>
    <w:bookmarkStart w:id="28" w:name="definition-1"/>
    <w:p>
      <w:pPr>
        <w:pStyle w:val="Heading3"/>
      </w:pPr>
      <w:r>
        <w:t xml:space="preserve">Definition</w:t>
      </w:r>
    </w:p>
    <w:p>
      <w:pPr>
        <w:pStyle w:val="FirstParagraph"/>
      </w:pPr>
      <w:r>
        <w:t xml:space="preserve">A</w:t>
      </w:r>
      <w:r>
        <w:t xml:space="preserve"> </w:t>
      </w:r>
      <w:r>
        <w:rPr>
          <w:b/>
          <w:bCs/>
        </w:rPr>
        <w:t xml:space="preserve">Preferential Trade Agreement (PTA)</w:t>
      </w:r>
      <w:r>
        <w:t xml:space="preserve"> </w:t>
      </w:r>
      <w:r>
        <w:t xml:space="preserve">provides</w:t>
      </w:r>
      <w:r>
        <w:t xml:space="preserve"> </w:t>
      </w:r>
      <w:r>
        <w:rPr>
          <w:b/>
          <w:bCs/>
        </w:rPr>
        <w:t xml:space="preserve">partial reductions</w:t>
      </w:r>
      <w:r>
        <w:t xml:space="preserve"> </w:t>
      </w:r>
      <w:r>
        <w:t xml:space="preserve">in customs duties on selected products rather than eliminating tariffs completely.</w:t>
      </w:r>
    </w:p>
    <w:p>
      <w:pPr>
        <w:pStyle w:val="BodyText"/>
      </w:pPr>
      <w:r>
        <w:t xml:space="preserve">It is generally considered a preliminary step toward a Free Trade Agreement.</w:t>
      </w:r>
    </w:p>
    <w:bookmarkEnd w:id="28"/>
    <w:bookmarkStart w:id="29" w:name="example-1"/>
    <w:p>
      <w:pPr>
        <w:pStyle w:val="Heading3"/>
      </w:pPr>
      <w:r>
        <w:t xml:space="preserve">Example</w:t>
      </w:r>
    </w:p>
    <w:p>
      <w:pPr>
        <w:pStyle w:val="FirstParagraph"/>
      </w:pPr>
      <w:r>
        <w:t xml:space="preserve">Normal Import Duty:</w:t>
      </w:r>
      <w:r>
        <w:t xml:space="preserve"> </w:t>
      </w:r>
      <w:r>
        <w:rPr>
          <w:b/>
          <w:bCs/>
        </w:rPr>
        <w:t xml:space="preserve">20%</w:t>
      </w:r>
    </w:p>
    <w:p>
      <w:pPr>
        <w:pStyle w:val="BodyText"/>
      </w:pPr>
      <w:r>
        <w:t xml:space="preserve">PTA Duty:</w:t>
      </w:r>
      <w:r>
        <w:t xml:space="preserve"> </w:t>
      </w:r>
      <w:r>
        <w:rPr>
          <w:b/>
          <w:bCs/>
        </w:rPr>
        <w:t xml:space="preserve">12%</w:t>
      </w:r>
    </w:p>
    <w:p>
      <w:pPr>
        <w:pStyle w:val="BodyText"/>
      </w:pPr>
      <w:r>
        <w:t xml:space="preserve">The importer still pays customs duty but receives a reduced tariff.</w:t>
      </w:r>
    </w:p>
    <w:bookmarkEnd w:id="29"/>
    <w:bookmarkStart w:id="30" w:name="difference-between-pta-and-fta"/>
    <w:p>
      <w:pPr>
        <w:pStyle w:val="Heading3"/>
      </w:pPr>
      <w:r>
        <w:t xml:space="preserve">Difference Between PTA and FTA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PTA</w:t>
            </w:r>
          </w:p>
        </w:tc>
        <w:tc>
          <w:tcPr/>
          <w:p>
            <w:pPr>
              <w:pStyle w:val="Compact"/>
            </w:pPr>
            <w:r>
              <w:t xml:space="preserve">FTA</w:t>
            </w:r>
          </w:p>
        </w:tc>
      </w:tr>
      <w:tr>
        <w:tc>
          <w:tcPr/>
          <w:p>
            <w:pPr>
              <w:pStyle w:val="Compact"/>
            </w:pPr>
            <w:r>
              <w:t xml:space="preserve">Partial tariff reduction</w:t>
            </w:r>
          </w:p>
        </w:tc>
        <w:tc>
          <w:tcPr/>
          <w:p>
            <w:pPr>
              <w:pStyle w:val="Compact"/>
            </w:pPr>
            <w:r>
              <w:t xml:space="preserve">Mostly zero or very low tariffs</w:t>
            </w:r>
          </w:p>
        </w:tc>
      </w:tr>
      <w:tr>
        <w:tc>
          <w:tcPr/>
          <w:p>
            <w:pPr>
              <w:pStyle w:val="Compact"/>
            </w:pPr>
            <w:r>
              <w:t xml:space="preserve">Limited products covered</w:t>
            </w:r>
          </w:p>
        </w:tc>
        <w:tc>
          <w:tcPr/>
          <w:p>
            <w:pPr>
              <w:pStyle w:val="Compact"/>
            </w:pPr>
            <w:r>
              <w:t xml:space="preserve">Broad range of products covered</w:t>
            </w:r>
          </w:p>
        </w:tc>
      </w:tr>
      <w:tr>
        <w:tc>
          <w:tcPr/>
          <w:p>
            <w:pPr>
              <w:pStyle w:val="Compact"/>
            </w:pPr>
            <w:r>
              <w:t xml:space="preserve">Easier to negotiate</w:t>
            </w:r>
          </w:p>
        </w:tc>
        <w:tc>
          <w:tcPr/>
          <w:p>
            <w:pPr>
              <w:pStyle w:val="Compact"/>
            </w:pPr>
            <w:r>
              <w:t xml:space="preserve">More comprehensive agreement</w:t>
            </w:r>
          </w:p>
        </w:tc>
      </w:tr>
    </w:tbl>
    <w:bookmarkEnd w:id="30"/>
    <w:bookmarkStart w:id="31" w:name="example-2"/>
    <w:p>
      <w:pPr>
        <w:pStyle w:val="Heading3"/>
      </w:pPr>
      <w:r>
        <w:t xml:space="preserve">Example</w:t>
      </w:r>
    </w:p>
    <w:p>
      <w:pPr>
        <w:pStyle w:val="FirstParagraph"/>
      </w:pPr>
      <w:r>
        <w:t xml:space="preserve">India–MERCOSUR PTA provides tariff concessions on selected products traded between India and MERCOSUR member countries.</w:t>
      </w:r>
    </w:p>
    <w:bookmarkEnd w:id="31"/>
    <w:bookmarkStart w:id="32" w:name="advantages-1"/>
    <w:p>
      <w:pPr>
        <w:pStyle w:val="Heading3"/>
      </w:pPr>
      <w:r>
        <w:t xml:space="preserve">Advantages</w:t>
      </w:r>
    </w:p>
    <w:p>
      <w:pPr>
        <w:pStyle w:val="Compact"/>
        <w:numPr>
          <w:ilvl w:val="0"/>
          <w:numId w:val="1006"/>
        </w:numPr>
      </w:pPr>
      <w:r>
        <w:t xml:space="preserve">Encourages bilateral trade</w:t>
      </w:r>
    </w:p>
    <w:p>
      <w:pPr>
        <w:pStyle w:val="Compact"/>
        <w:numPr>
          <w:ilvl w:val="0"/>
          <w:numId w:val="1006"/>
        </w:numPr>
      </w:pPr>
      <w:r>
        <w:t xml:space="preserve">Easier negotiations</w:t>
      </w:r>
    </w:p>
    <w:p>
      <w:pPr>
        <w:pStyle w:val="Compact"/>
        <w:numPr>
          <w:ilvl w:val="0"/>
          <w:numId w:val="1006"/>
        </w:numPr>
      </w:pPr>
      <w:r>
        <w:t xml:space="preserve">Acts as a foundation for future FTAs</w:t>
      </w:r>
    </w:p>
    <w:p>
      <w:r>
        <w:pict>
          <v:rect style="width:0;height:1.5pt" o:hralign="center" o:hrstd="t" o:hr="t"/>
        </w:pict>
      </w:r>
    </w:p>
    <w:bookmarkEnd w:id="32"/>
    <w:bookmarkEnd w:id="33"/>
    <w:bookmarkStart w:id="38" w:name="mfn-most-favoured-nation"/>
    <w:p>
      <w:pPr>
        <w:pStyle w:val="Heading1"/>
      </w:pPr>
      <w:r>
        <w:t xml:space="preserve">3. MFN – Most Favoured Nation</w:t>
      </w:r>
    </w:p>
    <w:bookmarkStart w:id="34" w:name="definition-2"/>
    <w:p>
      <w:pPr>
        <w:pStyle w:val="Heading3"/>
      </w:pPr>
      <w:r>
        <w:t xml:space="preserve">Definition</w:t>
      </w:r>
    </w:p>
    <w:p>
      <w:pPr>
        <w:pStyle w:val="FirstParagraph"/>
      </w:pPr>
      <w:r>
        <w:t xml:space="preserve">The</w:t>
      </w:r>
      <w:r>
        <w:t xml:space="preserve"> </w:t>
      </w:r>
      <w:r>
        <w:rPr>
          <w:b/>
          <w:bCs/>
        </w:rPr>
        <w:t xml:space="preserve">Most Favoured Nation (MFN)</w:t>
      </w:r>
      <w:r>
        <w:t xml:space="preserve"> </w:t>
      </w:r>
      <w:r>
        <w:t xml:space="preserve">principle is a core rule of the World Trade Organization (WTO). It requires member countries to provide the same standard tariff treatment to all WTO members unless a special trade agreement exists.</w:t>
      </w:r>
    </w:p>
    <w:p>
      <w:pPr>
        <w:pStyle w:val="BodyText"/>
      </w:pPr>
      <w:r>
        <w:t xml:space="preserve">Despite its name, MFN does</w:t>
      </w:r>
      <w:r>
        <w:t xml:space="preserve"> </w:t>
      </w:r>
      <w:r>
        <w:rPr>
          <w:b/>
          <w:bCs/>
        </w:rPr>
        <w:t xml:space="preserve">not</w:t>
      </w:r>
      <w:r>
        <w:t xml:space="preserve"> </w:t>
      </w:r>
      <w:r>
        <w:t xml:space="preserve">mean preferential treatment; it simply means equal treatment.</w:t>
      </w:r>
    </w:p>
    <w:bookmarkEnd w:id="34"/>
    <w:bookmarkStart w:id="35" w:name="example-3"/>
    <w:p>
      <w:pPr>
        <w:pStyle w:val="Heading3"/>
      </w:pPr>
      <w:r>
        <w:t xml:space="preserve">Example</w:t>
      </w:r>
    </w:p>
    <w:p>
      <w:pPr>
        <w:pStyle w:val="FirstParagraph"/>
      </w:pPr>
      <w:r>
        <w:t xml:space="preserve">India imports steel.</w:t>
      </w:r>
    </w:p>
    <w:p>
      <w:pPr>
        <w:pStyle w:val="BodyText"/>
      </w:pPr>
      <w:r>
        <w:t xml:space="preserve">MFN Tariff =</w:t>
      </w:r>
      <w:r>
        <w:t xml:space="preserve"> </w:t>
      </w:r>
      <w:r>
        <w:rPr>
          <w:b/>
          <w:bCs/>
        </w:rPr>
        <w:t xml:space="preserve">10%</w:t>
      </w:r>
    </w:p>
    <w:p>
      <w:pPr>
        <w:pStyle w:val="BodyText"/>
      </w:pPr>
      <w:r>
        <w:t xml:space="preserve">All WTO member countries without a special trade agreement pay the same 10% tariff.</w:t>
      </w:r>
    </w:p>
    <w:bookmarkEnd w:id="35"/>
    <w:bookmarkStart w:id="36" w:name="important-points"/>
    <w:p>
      <w:pPr>
        <w:pStyle w:val="Heading3"/>
      </w:pPr>
      <w:r>
        <w:t xml:space="preserve">Important Points</w:t>
      </w:r>
    </w:p>
    <w:p>
      <w:pPr>
        <w:pStyle w:val="Compact"/>
        <w:numPr>
          <w:ilvl w:val="0"/>
          <w:numId w:val="1007"/>
        </w:numPr>
      </w:pPr>
      <w:r>
        <w:t xml:space="preserve">MFN is the default WTO tariff.</w:t>
      </w:r>
    </w:p>
    <w:p>
      <w:pPr>
        <w:pStyle w:val="Compact"/>
        <w:numPr>
          <w:ilvl w:val="0"/>
          <w:numId w:val="1007"/>
        </w:numPr>
      </w:pPr>
      <w:r>
        <w:t xml:space="preserve">FTAs and PTAs offer tariffs lower than MFN rates.</w:t>
      </w:r>
    </w:p>
    <w:bookmarkEnd w:id="36"/>
    <w:bookmarkStart w:id="37" w:name="example-4"/>
    <w:p>
      <w:pPr>
        <w:pStyle w:val="Heading3"/>
      </w:pPr>
      <w:r>
        <w:t xml:space="preserve">Example</w:t>
      </w:r>
    </w:p>
    <w:p>
      <w:pPr>
        <w:pStyle w:val="FirstParagraph"/>
      </w:pPr>
      <w:r>
        <w:t xml:space="preserve">Product: Automobile Parts</w:t>
      </w:r>
    </w:p>
    <w:p>
      <w:pPr>
        <w:pStyle w:val="Compact"/>
        <w:numPr>
          <w:ilvl w:val="0"/>
          <w:numId w:val="1008"/>
        </w:numPr>
      </w:pPr>
      <w:r>
        <w:t xml:space="preserve">MFN Duty: 12%</w:t>
      </w:r>
    </w:p>
    <w:p>
      <w:pPr>
        <w:pStyle w:val="Compact"/>
        <w:numPr>
          <w:ilvl w:val="0"/>
          <w:numId w:val="1008"/>
        </w:numPr>
      </w:pPr>
      <w:r>
        <w:t xml:space="preserve">FTA Duty: 0%</w:t>
      </w:r>
    </w:p>
    <w:p>
      <w:pPr>
        <w:pStyle w:val="FirstParagraph"/>
      </w:pPr>
      <w:r>
        <w:t xml:space="preserve">The FTA partner enjoys a competitive advantage.</w:t>
      </w:r>
    </w:p>
    <w:p>
      <w:r>
        <w:pict>
          <v:rect style="width:0;height:1.5pt" o:hralign="center" o:hrstd="t" o:hr="t"/>
        </w:pict>
      </w:r>
    </w:p>
    <w:bookmarkEnd w:id="37"/>
    <w:bookmarkEnd w:id="38"/>
    <w:bookmarkStart w:id="42" w:name="X3daceb8d996853df9cb5204acc501caf965b0d2"/>
    <w:p>
      <w:pPr>
        <w:pStyle w:val="Heading1"/>
      </w:pPr>
      <w:r>
        <w:t xml:space="preserve">4. EU MFN – European Union Most Favoured Nation</w:t>
      </w:r>
    </w:p>
    <w:bookmarkStart w:id="39" w:name="definition-3"/>
    <w:p>
      <w:pPr>
        <w:pStyle w:val="Heading3"/>
      </w:pPr>
      <w:r>
        <w:t xml:space="preserve">Definition</w:t>
      </w:r>
    </w:p>
    <w:p>
      <w:pPr>
        <w:pStyle w:val="FirstParagraph"/>
      </w:pPr>
      <w:r>
        <w:t xml:space="preserve">EU MFN refers to the standard tariff schedule applied by the European Union to imports from WTO member countries that do not have a preferential trade agreement with the EU.</w:t>
      </w:r>
    </w:p>
    <w:bookmarkEnd w:id="39"/>
    <w:bookmarkStart w:id="40" w:name="example-5"/>
    <w:p>
      <w:pPr>
        <w:pStyle w:val="Heading3"/>
      </w:pPr>
      <w:r>
        <w:t xml:space="preserve">Example</w:t>
      </w:r>
    </w:p>
    <w:p>
      <w:pPr>
        <w:pStyle w:val="FirstParagraph"/>
      </w:pPr>
      <w:r>
        <w:t xml:space="preserve">An Indian exporter ships chemicals to Germany.</w:t>
      </w:r>
    </w:p>
    <w:p>
      <w:pPr>
        <w:pStyle w:val="BodyText"/>
      </w:pPr>
      <w:r>
        <w:t xml:space="preserve">If the product is not covered under any EU preferential agreement, Germany applies the EU MFN tariff.</w:t>
      </w:r>
    </w:p>
    <w:bookmarkEnd w:id="40"/>
    <w:bookmarkStart w:id="41" w:name="importance"/>
    <w:p>
      <w:pPr>
        <w:pStyle w:val="Heading3"/>
      </w:pPr>
      <w:r>
        <w:t xml:space="preserve">Importance</w:t>
      </w:r>
    </w:p>
    <w:p>
      <w:pPr>
        <w:pStyle w:val="FirstParagraph"/>
      </w:pPr>
      <w:r>
        <w:t xml:space="preserve">If India signs a comprehensive FTA with the EU, many products currently subject to EU MFN tariffs may become duty-free or receive reduced tariffs.</w:t>
      </w:r>
    </w:p>
    <w:p>
      <w:r>
        <w:pict>
          <v:rect style="width:0;height:1.5pt" o:hralign="center" o:hrstd="t" o:hr="t"/>
        </w:pict>
      </w:r>
    </w:p>
    <w:bookmarkEnd w:id="41"/>
    <w:bookmarkEnd w:id="42"/>
    <w:bookmarkStart w:id="47" w:name="eac-east-african-community"/>
    <w:p>
      <w:pPr>
        <w:pStyle w:val="Heading1"/>
      </w:pPr>
      <w:r>
        <w:t xml:space="preserve">5. EAC – East African Community</w:t>
      </w:r>
    </w:p>
    <w:bookmarkStart w:id="43" w:name="members"/>
    <w:p>
      <w:pPr>
        <w:pStyle w:val="Heading3"/>
      </w:pPr>
      <w:r>
        <w:t xml:space="preserve">Members</w:t>
      </w:r>
    </w:p>
    <w:p>
      <w:pPr>
        <w:pStyle w:val="Compact"/>
        <w:numPr>
          <w:ilvl w:val="0"/>
          <w:numId w:val="1009"/>
        </w:numPr>
      </w:pPr>
      <w:r>
        <w:t xml:space="preserve">Kenya</w:t>
      </w:r>
    </w:p>
    <w:p>
      <w:pPr>
        <w:pStyle w:val="Compact"/>
        <w:numPr>
          <w:ilvl w:val="0"/>
          <w:numId w:val="1009"/>
        </w:numPr>
      </w:pPr>
      <w:r>
        <w:t xml:space="preserve">Tanzania</w:t>
      </w:r>
    </w:p>
    <w:p>
      <w:pPr>
        <w:pStyle w:val="Compact"/>
        <w:numPr>
          <w:ilvl w:val="0"/>
          <w:numId w:val="1009"/>
        </w:numPr>
      </w:pPr>
      <w:r>
        <w:t xml:space="preserve">Uganda</w:t>
      </w:r>
    </w:p>
    <w:p>
      <w:pPr>
        <w:pStyle w:val="Compact"/>
        <w:numPr>
          <w:ilvl w:val="0"/>
          <w:numId w:val="1009"/>
        </w:numPr>
      </w:pPr>
      <w:r>
        <w:t xml:space="preserve">Rwanda</w:t>
      </w:r>
    </w:p>
    <w:p>
      <w:pPr>
        <w:pStyle w:val="Compact"/>
        <w:numPr>
          <w:ilvl w:val="0"/>
          <w:numId w:val="1009"/>
        </w:numPr>
      </w:pPr>
      <w:r>
        <w:t xml:space="preserve">Burundi</w:t>
      </w:r>
    </w:p>
    <w:p>
      <w:pPr>
        <w:pStyle w:val="Compact"/>
        <w:numPr>
          <w:ilvl w:val="0"/>
          <w:numId w:val="1009"/>
        </w:numPr>
      </w:pPr>
      <w:r>
        <w:t xml:space="preserve">South Sudan</w:t>
      </w:r>
    </w:p>
    <w:p>
      <w:pPr>
        <w:pStyle w:val="Compact"/>
        <w:numPr>
          <w:ilvl w:val="0"/>
          <w:numId w:val="1009"/>
        </w:numPr>
      </w:pPr>
      <w:r>
        <w:t xml:space="preserve">Democratic Republic of Congo</w:t>
      </w:r>
    </w:p>
    <w:p>
      <w:pPr>
        <w:pStyle w:val="Compact"/>
        <w:numPr>
          <w:ilvl w:val="0"/>
          <w:numId w:val="1009"/>
        </w:numPr>
      </w:pPr>
      <w:r>
        <w:t xml:space="preserve">Somalia</w:t>
      </w:r>
    </w:p>
    <w:bookmarkEnd w:id="43"/>
    <w:bookmarkStart w:id="44" w:name="objective"/>
    <w:p>
      <w:pPr>
        <w:pStyle w:val="Heading3"/>
      </w:pPr>
      <w:r>
        <w:t xml:space="preserve">Objective</w:t>
      </w:r>
    </w:p>
    <w:p>
      <w:pPr>
        <w:pStyle w:val="FirstParagraph"/>
      </w:pPr>
      <w:r>
        <w:t xml:space="preserve">The East African Community promotes regional economic integration by establishing:</w:t>
      </w:r>
    </w:p>
    <w:p>
      <w:pPr>
        <w:pStyle w:val="Compact"/>
        <w:numPr>
          <w:ilvl w:val="0"/>
          <w:numId w:val="1010"/>
        </w:numPr>
      </w:pPr>
      <w:r>
        <w:t xml:space="preserve">Customs Union</w:t>
      </w:r>
    </w:p>
    <w:p>
      <w:pPr>
        <w:pStyle w:val="Compact"/>
        <w:numPr>
          <w:ilvl w:val="0"/>
          <w:numId w:val="1010"/>
        </w:numPr>
      </w:pPr>
      <w:r>
        <w:t xml:space="preserve">Common Market</w:t>
      </w:r>
    </w:p>
    <w:p>
      <w:pPr>
        <w:pStyle w:val="Compact"/>
        <w:numPr>
          <w:ilvl w:val="0"/>
          <w:numId w:val="1010"/>
        </w:numPr>
      </w:pPr>
      <w:r>
        <w:t xml:space="preserve">Monetary Union (future)</w:t>
      </w:r>
    </w:p>
    <w:p>
      <w:pPr>
        <w:pStyle w:val="Compact"/>
        <w:numPr>
          <w:ilvl w:val="0"/>
          <w:numId w:val="1010"/>
        </w:numPr>
      </w:pPr>
      <w:r>
        <w:t xml:space="preserve">Political Cooperation</w:t>
      </w:r>
    </w:p>
    <w:bookmarkEnd w:id="44"/>
    <w:bookmarkStart w:id="45" w:name="trade-features"/>
    <w:p>
      <w:pPr>
        <w:pStyle w:val="Heading3"/>
      </w:pPr>
      <w:r>
        <w:t xml:space="preserve">Trade Features</w:t>
      </w:r>
    </w:p>
    <w:p>
      <w:pPr>
        <w:pStyle w:val="Compact"/>
        <w:numPr>
          <w:ilvl w:val="0"/>
          <w:numId w:val="1011"/>
        </w:numPr>
      </w:pPr>
      <w:r>
        <w:t xml:space="preserve">Free movement of goods among member states</w:t>
      </w:r>
    </w:p>
    <w:p>
      <w:pPr>
        <w:pStyle w:val="Compact"/>
        <w:numPr>
          <w:ilvl w:val="0"/>
          <w:numId w:val="1011"/>
        </w:numPr>
      </w:pPr>
      <w:r>
        <w:t xml:space="preserve">Common External Tariff (CET) for imports from non-member countries</w:t>
      </w:r>
    </w:p>
    <w:bookmarkEnd w:id="45"/>
    <w:bookmarkStart w:id="46" w:name="importance-for-india"/>
    <w:p>
      <w:pPr>
        <w:pStyle w:val="Heading3"/>
      </w:pPr>
      <w:r>
        <w:t xml:space="preserve">Importance for India</w:t>
      </w:r>
    </w:p>
    <w:p>
      <w:pPr>
        <w:pStyle w:val="FirstParagraph"/>
      </w:pPr>
      <w:r>
        <w:t xml:space="preserve">India exports:</w:t>
      </w:r>
    </w:p>
    <w:p>
      <w:pPr>
        <w:pStyle w:val="Compact"/>
        <w:numPr>
          <w:ilvl w:val="0"/>
          <w:numId w:val="1012"/>
        </w:numPr>
      </w:pPr>
      <w:r>
        <w:t xml:space="preserve">Pharmaceuticals</w:t>
      </w:r>
    </w:p>
    <w:p>
      <w:pPr>
        <w:pStyle w:val="Compact"/>
        <w:numPr>
          <w:ilvl w:val="0"/>
          <w:numId w:val="1012"/>
        </w:numPr>
      </w:pPr>
      <w:r>
        <w:t xml:space="preserve">Automobiles</w:t>
      </w:r>
    </w:p>
    <w:p>
      <w:pPr>
        <w:pStyle w:val="Compact"/>
        <w:numPr>
          <w:ilvl w:val="0"/>
          <w:numId w:val="1012"/>
        </w:numPr>
      </w:pPr>
      <w:r>
        <w:t xml:space="preserve">Machinery</w:t>
      </w:r>
    </w:p>
    <w:p>
      <w:pPr>
        <w:pStyle w:val="Compact"/>
        <w:numPr>
          <w:ilvl w:val="0"/>
          <w:numId w:val="1012"/>
        </w:numPr>
      </w:pPr>
      <w:r>
        <w:t xml:space="preserve">Chemicals</w:t>
      </w:r>
    </w:p>
    <w:p>
      <w:pPr>
        <w:pStyle w:val="Compact"/>
        <w:numPr>
          <w:ilvl w:val="0"/>
          <w:numId w:val="1012"/>
        </w:numPr>
      </w:pPr>
      <w:r>
        <w:t xml:space="preserve">Rice</w:t>
      </w:r>
    </w:p>
    <w:p>
      <w:pPr>
        <w:pStyle w:val="FirstParagraph"/>
      </w:pPr>
      <w:r>
        <w:t xml:space="preserve">The EAC represents one of Africa’s fastest-growing markets.</w:t>
      </w:r>
    </w:p>
    <w:p>
      <w:r>
        <w:pict>
          <v:rect style="width:0;height:1.5pt" o:hralign="center" o:hrstd="t" o:hr="t"/>
        </w:pict>
      </w:r>
    </w:p>
    <w:bookmarkEnd w:id="46"/>
    <w:bookmarkEnd w:id="47"/>
    <w:bookmarkStart w:id="53" w:name="gcc-gulf-cooperation-council"/>
    <w:p>
      <w:pPr>
        <w:pStyle w:val="Heading1"/>
      </w:pPr>
      <w:r>
        <w:t xml:space="preserve">6. GCC – Gulf Cooperation Council</w:t>
      </w:r>
    </w:p>
    <w:bookmarkStart w:id="48" w:name="members-1"/>
    <w:p>
      <w:pPr>
        <w:pStyle w:val="Heading3"/>
      </w:pPr>
      <w:r>
        <w:t xml:space="preserve">Members</w:t>
      </w:r>
    </w:p>
    <w:p>
      <w:pPr>
        <w:pStyle w:val="Compact"/>
        <w:numPr>
          <w:ilvl w:val="0"/>
          <w:numId w:val="1013"/>
        </w:numPr>
      </w:pPr>
      <w:r>
        <w:t xml:space="preserve">Saudi Arabia</w:t>
      </w:r>
    </w:p>
    <w:p>
      <w:pPr>
        <w:pStyle w:val="Compact"/>
        <w:numPr>
          <w:ilvl w:val="0"/>
          <w:numId w:val="1013"/>
        </w:numPr>
      </w:pPr>
      <w:r>
        <w:t xml:space="preserve">United Arab Emirates</w:t>
      </w:r>
    </w:p>
    <w:p>
      <w:pPr>
        <w:pStyle w:val="Compact"/>
        <w:numPr>
          <w:ilvl w:val="0"/>
          <w:numId w:val="1013"/>
        </w:numPr>
      </w:pPr>
      <w:r>
        <w:t xml:space="preserve">Qatar</w:t>
      </w:r>
    </w:p>
    <w:p>
      <w:pPr>
        <w:pStyle w:val="Compact"/>
        <w:numPr>
          <w:ilvl w:val="0"/>
          <w:numId w:val="1013"/>
        </w:numPr>
      </w:pPr>
      <w:r>
        <w:t xml:space="preserve">Kuwait</w:t>
      </w:r>
    </w:p>
    <w:p>
      <w:pPr>
        <w:pStyle w:val="Compact"/>
        <w:numPr>
          <w:ilvl w:val="0"/>
          <w:numId w:val="1013"/>
        </w:numPr>
      </w:pPr>
      <w:r>
        <w:t xml:space="preserve">Bahrain</w:t>
      </w:r>
    </w:p>
    <w:p>
      <w:pPr>
        <w:pStyle w:val="Compact"/>
        <w:numPr>
          <w:ilvl w:val="0"/>
          <w:numId w:val="1013"/>
        </w:numPr>
      </w:pPr>
      <w:r>
        <w:t xml:space="preserve">Oman</w:t>
      </w:r>
    </w:p>
    <w:bookmarkEnd w:id="48"/>
    <w:bookmarkStart w:id="49" w:name="objective-1"/>
    <w:p>
      <w:pPr>
        <w:pStyle w:val="Heading3"/>
      </w:pPr>
      <w:r>
        <w:t xml:space="preserve">Objective</w:t>
      </w:r>
    </w:p>
    <w:p>
      <w:pPr>
        <w:pStyle w:val="FirstParagraph"/>
      </w:pPr>
      <w:r>
        <w:t xml:space="preserve">The GCC promotes economic cooperation and integration among Gulf countries.</w:t>
      </w:r>
    </w:p>
    <w:bookmarkEnd w:id="49"/>
    <w:bookmarkStart w:id="50" w:name="key-features-1"/>
    <w:p>
      <w:pPr>
        <w:pStyle w:val="Heading3"/>
      </w:pPr>
      <w:r>
        <w:t xml:space="preserve">Key Features</w:t>
      </w:r>
    </w:p>
    <w:p>
      <w:pPr>
        <w:pStyle w:val="Compact"/>
        <w:numPr>
          <w:ilvl w:val="0"/>
          <w:numId w:val="1014"/>
        </w:numPr>
      </w:pPr>
      <w:r>
        <w:t xml:space="preserve">Customs Union</w:t>
      </w:r>
    </w:p>
    <w:p>
      <w:pPr>
        <w:pStyle w:val="Compact"/>
        <w:numPr>
          <w:ilvl w:val="0"/>
          <w:numId w:val="1014"/>
        </w:numPr>
      </w:pPr>
      <w:r>
        <w:t xml:space="preserve">Common External Tariff</w:t>
      </w:r>
    </w:p>
    <w:p>
      <w:pPr>
        <w:pStyle w:val="Compact"/>
        <w:numPr>
          <w:ilvl w:val="0"/>
          <w:numId w:val="1014"/>
        </w:numPr>
      </w:pPr>
      <w:r>
        <w:t xml:space="preserve">Free movement of goods</w:t>
      </w:r>
    </w:p>
    <w:p>
      <w:pPr>
        <w:pStyle w:val="Compact"/>
        <w:numPr>
          <w:ilvl w:val="0"/>
          <w:numId w:val="1014"/>
        </w:numPr>
      </w:pPr>
      <w:r>
        <w:t xml:space="preserve">Economic cooperation</w:t>
      </w:r>
    </w:p>
    <w:bookmarkEnd w:id="50"/>
    <w:bookmarkStart w:id="51" w:name="indias-trade-with-gcc"/>
    <w:p>
      <w:pPr>
        <w:pStyle w:val="Heading3"/>
      </w:pPr>
      <w:r>
        <w:t xml:space="preserve">India’s Trade with GCC</w:t>
      </w:r>
    </w:p>
    <w:p>
      <w:pPr>
        <w:pStyle w:val="FirstParagraph"/>
      </w:pPr>
      <w:r>
        <w:t xml:space="preserve">Major Exports:</w:t>
      </w:r>
    </w:p>
    <w:p>
      <w:pPr>
        <w:pStyle w:val="Compact"/>
        <w:numPr>
          <w:ilvl w:val="0"/>
          <w:numId w:val="1015"/>
        </w:numPr>
      </w:pPr>
      <w:r>
        <w:t xml:space="preserve">Engineering Goods</w:t>
      </w:r>
    </w:p>
    <w:p>
      <w:pPr>
        <w:pStyle w:val="Compact"/>
        <w:numPr>
          <w:ilvl w:val="0"/>
          <w:numId w:val="1015"/>
        </w:numPr>
      </w:pPr>
      <w:r>
        <w:t xml:space="preserve">Textiles</w:t>
      </w:r>
    </w:p>
    <w:p>
      <w:pPr>
        <w:pStyle w:val="Compact"/>
        <w:numPr>
          <w:ilvl w:val="0"/>
          <w:numId w:val="1015"/>
        </w:numPr>
      </w:pPr>
      <w:r>
        <w:t xml:space="preserve">Food Products</w:t>
      </w:r>
    </w:p>
    <w:p>
      <w:pPr>
        <w:pStyle w:val="Compact"/>
        <w:numPr>
          <w:ilvl w:val="0"/>
          <w:numId w:val="1015"/>
        </w:numPr>
      </w:pPr>
      <w:r>
        <w:t xml:space="preserve">Chemicals</w:t>
      </w:r>
    </w:p>
    <w:p>
      <w:pPr>
        <w:pStyle w:val="Compact"/>
        <w:numPr>
          <w:ilvl w:val="0"/>
          <w:numId w:val="1015"/>
        </w:numPr>
      </w:pPr>
      <w:r>
        <w:t xml:space="preserve">Jewellery</w:t>
      </w:r>
    </w:p>
    <w:p>
      <w:pPr>
        <w:pStyle w:val="FirstParagraph"/>
      </w:pPr>
      <w:r>
        <w:t xml:space="preserve">Major Imports:</w:t>
      </w:r>
    </w:p>
    <w:p>
      <w:pPr>
        <w:pStyle w:val="Compact"/>
        <w:numPr>
          <w:ilvl w:val="0"/>
          <w:numId w:val="1016"/>
        </w:numPr>
      </w:pPr>
      <w:r>
        <w:t xml:space="preserve">Crude Oil</w:t>
      </w:r>
    </w:p>
    <w:p>
      <w:pPr>
        <w:pStyle w:val="Compact"/>
        <w:numPr>
          <w:ilvl w:val="0"/>
          <w:numId w:val="1016"/>
        </w:numPr>
      </w:pPr>
      <w:r>
        <w:t xml:space="preserve">LPG</w:t>
      </w:r>
    </w:p>
    <w:p>
      <w:pPr>
        <w:pStyle w:val="Compact"/>
        <w:numPr>
          <w:ilvl w:val="0"/>
          <w:numId w:val="1016"/>
        </w:numPr>
      </w:pPr>
      <w:r>
        <w:t xml:space="preserve">Petrochemicals</w:t>
      </w:r>
    </w:p>
    <w:bookmarkEnd w:id="51"/>
    <w:bookmarkStart w:id="52" w:name="current-status"/>
    <w:p>
      <w:pPr>
        <w:pStyle w:val="Heading3"/>
      </w:pPr>
      <w:r>
        <w:t xml:space="preserve">Current Status</w:t>
      </w:r>
    </w:p>
    <w:p>
      <w:pPr>
        <w:pStyle w:val="FirstParagraph"/>
      </w:pPr>
      <w:r>
        <w:t xml:space="preserve">India has a Comprehensive Economic Partnership Agreement (CEPA) with the UAE and continues negotiations for a broader India–GCC Free Trade Agreement.</w:t>
      </w:r>
    </w:p>
    <w:p>
      <w:r>
        <w:pict>
          <v:rect style="width:0;height:1.5pt" o:hralign="center" o:hrstd="t" o:hr="t"/>
        </w:pict>
      </w:r>
    </w:p>
    <w:bookmarkEnd w:id="52"/>
    <w:bookmarkEnd w:id="53"/>
    <w:bookmarkStart w:id="57" w:name="X97aa023ac33ccaee632c65be8a013065fc64d4f"/>
    <w:p>
      <w:pPr>
        <w:pStyle w:val="Heading1"/>
      </w:pPr>
      <w:r>
        <w:t xml:space="preserve">7. ECOWAS – Economic Community of West African States</w:t>
      </w:r>
    </w:p>
    <w:bookmarkStart w:id="54" w:name="members-2"/>
    <w:p>
      <w:pPr>
        <w:pStyle w:val="Heading3"/>
      </w:pPr>
      <w:r>
        <w:t xml:space="preserve">Members</w:t>
      </w:r>
    </w:p>
    <w:p>
      <w:pPr>
        <w:pStyle w:val="Compact"/>
        <w:numPr>
          <w:ilvl w:val="0"/>
          <w:numId w:val="1017"/>
        </w:numPr>
      </w:pPr>
      <w:r>
        <w:t xml:space="preserve">Nigeria</w:t>
      </w:r>
    </w:p>
    <w:p>
      <w:pPr>
        <w:pStyle w:val="Compact"/>
        <w:numPr>
          <w:ilvl w:val="0"/>
          <w:numId w:val="1017"/>
        </w:numPr>
      </w:pPr>
      <w:r>
        <w:t xml:space="preserve">Ghana</w:t>
      </w:r>
    </w:p>
    <w:p>
      <w:pPr>
        <w:pStyle w:val="Compact"/>
        <w:numPr>
          <w:ilvl w:val="0"/>
          <w:numId w:val="1017"/>
        </w:numPr>
      </w:pPr>
      <w:r>
        <w:t xml:space="preserve">Senegal</w:t>
      </w:r>
    </w:p>
    <w:p>
      <w:pPr>
        <w:pStyle w:val="Compact"/>
        <w:numPr>
          <w:ilvl w:val="0"/>
          <w:numId w:val="1017"/>
        </w:numPr>
      </w:pPr>
      <w:r>
        <w:t xml:space="preserve">Côte d’Ivoire</w:t>
      </w:r>
    </w:p>
    <w:p>
      <w:pPr>
        <w:pStyle w:val="Compact"/>
        <w:numPr>
          <w:ilvl w:val="0"/>
          <w:numId w:val="1017"/>
        </w:numPr>
      </w:pPr>
      <w:r>
        <w:t xml:space="preserve">Benin</w:t>
      </w:r>
    </w:p>
    <w:p>
      <w:pPr>
        <w:pStyle w:val="Compact"/>
        <w:numPr>
          <w:ilvl w:val="0"/>
          <w:numId w:val="1017"/>
        </w:numPr>
      </w:pPr>
      <w:r>
        <w:t xml:space="preserve">Togo</w:t>
      </w:r>
    </w:p>
    <w:p>
      <w:pPr>
        <w:pStyle w:val="Compact"/>
        <w:numPr>
          <w:ilvl w:val="0"/>
          <w:numId w:val="1017"/>
        </w:numPr>
      </w:pPr>
      <w:r>
        <w:t xml:space="preserve">Liberia</w:t>
      </w:r>
    </w:p>
    <w:p>
      <w:pPr>
        <w:pStyle w:val="Compact"/>
        <w:numPr>
          <w:ilvl w:val="0"/>
          <w:numId w:val="1017"/>
        </w:numPr>
      </w:pPr>
      <w:r>
        <w:t xml:space="preserve">Sierra Leone</w:t>
      </w:r>
    </w:p>
    <w:p>
      <w:pPr>
        <w:pStyle w:val="Compact"/>
        <w:numPr>
          <w:ilvl w:val="0"/>
          <w:numId w:val="1017"/>
        </w:numPr>
      </w:pPr>
      <w:r>
        <w:t xml:space="preserve">Guinea</w:t>
      </w:r>
    </w:p>
    <w:p>
      <w:pPr>
        <w:pStyle w:val="Compact"/>
        <w:numPr>
          <w:ilvl w:val="0"/>
          <w:numId w:val="1017"/>
        </w:numPr>
      </w:pPr>
      <w:r>
        <w:t xml:space="preserve">Mali</w:t>
      </w:r>
    </w:p>
    <w:p>
      <w:pPr>
        <w:pStyle w:val="Compact"/>
        <w:numPr>
          <w:ilvl w:val="0"/>
          <w:numId w:val="1017"/>
        </w:numPr>
      </w:pPr>
      <w:r>
        <w:t xml:space="preserve">Niger</w:t>
      </w:r>
    </w:p>
    <w:p>
      <w:pPr>
        <w:pStyle w:val="Compact"/>
        <w:numPr>
          <w:ilvl w:val="0"/>
          <w:numId w:val="1017"/>
        </w:numPr>
      </w:pPr>
      <w:r>
        <w:t xml:space="preserve">Burkina Faso</w:t>
      </w:r>
    </w:p>
    <w:p>
      <w:pPr>
        <w:pStyle w:val="Compact"/>
        <w:numPr>
          <w:ilvl w:val="0"/>
          <w:numId w:val="1017"/>
        </w:numPr>
      </w:pPr>
      <w:r>
        <w:t xml:space="preserve">Gambia</w:t>
      </w:r>
    </w:p>
    <w:p>
      <w:pPr>
        <w:pStyle w:val="Compact"/>
        <w:numPr>
          <w:ilvl w:val="0"/>
          <w:numId w:val="1017"/>
        </w:numPr>
      </w:pPr>
      <w:r>
        <w:t xml:space="preserve">Guinea-Bissau</w:t>
      </w:r>
    </w:p>
    <w:p>
      <w:pPr>
        <w:pStyle w:val="Compact"/>
        <w:numPr>
          <w:ilvl w:val="0"/>
          <w:numId w:val="1017"/>
        </w:numPr>
      </w:pPr>
      <w:r>
        <w:t xml:space="preserve">Cabo Verde</w:t>
      </w:r>
    </w:p>
    <w:bookmarkEnd w:id="54"/>
    <w:bookmarkStart w:id="55" w:name="objective-2"/>
    <w:p>
      <w:pPr>
        <w:pStyle w:val="Heading3"/>
      </w:pPr>
      <w:r>
        <w:t xml:space="preserve">Objective</w:t>
      </w:r>
    </w:p>
    <w:p>
      <w:pPr>
        <w:pStyle w:val="FirstParagraph"/>
      </w:pPr>
      <w:r>
        <w:t xml:space="preserve">ECOWAS aims to strengthen regional economic integration by promoting:</w:t>
      </w:r>
    </w:p>
    <w:p>
      <w:pPr>
        <w:pStyle w:val="Compact"/>
        <w:numPr>
          <w:ilvl w:val="0"/>
          <w:numId w:val="1018"/>
        </w:numPr>
      </w:pPr>
      <w:r>
        <w:t xml:space="preserve">Free movement of goods</w:t>
      </w:r>
    </w:p>
    <w:p>
      <w:pPr>
        <w:pStyle w:val="Compact"/>
        <w:numPr>
          <w:ilvl w:val="0"/>
          <w:numId w:val="1018"/>
        </w:numPr>
      </w:pPr>
      <w:r>
        <w:t xml:space="preserve">Free movement of people</w:t>
      </w:r>
    </w:p>
    <w:p>
      <w:pPr>
        <w:pStyle w:val="Compact"/>
        <w:numPr>
          <w:ilvl w:val="0"/>
          <w:numId w:val="1018"/>
        </w:numPr>
      </w:pPr>
      <w:r>
        <w:t xml:space="preserve">Customs cooperation</w:t>
      </w:r>
    </w:p>
    <w:p>
      <w:pPr>
        <w:pStyle w:val="Compact"/>
        <w:numPr>
          <w:ilvl w:val="0"/>
          <w:numId w:val="1018"/>
        </w:numPr>
      </w:pPr>
      <w:r>
        <w:t xml:space="preserve">Regional economic development</w:t>
      </w:r>
    </w:p>
    <w:bookmarkEnd w:id="55"/>
    <w:bookmarkStart w:id="56" w:name="indias-major-exports"/>
    <w:p>
      <w:pPr>
        <w:pStyle w:val="Heading3"/>
      </w:pPr>
      <w:r>
        <w:t xml:space="preserve">India’s Major Exports</w:t>
      </w:r>
    </w:p>
    <w:p>
      <w:pPr>
        <w:pStyle w:val="Compact"/>
        <w:numPr>
          <w:ilvl w:val="0"/>
          <w:numId w:val="1019"/>
        </w:numPr>
      </w:pPr>
      <w:r>
        <w:t xml:space="preserve">Pharmaceuticals</w:t>
      </w:r>
    </w:p>
    <w:p>
      <w:pPr>
        <w:pStyle w:val="Compact"/>
        <w:numPr>
          <w:ilvl w:val="0"/>
          <w:numId w:val="1019"/>
        </w:numPr>
      </w:pPr>
      <w:r>
        <w:t xml:space="preserve">Automobiles</w:t>
      </w:r>
    </w:p>
    <w:p>
      <w:pPr>
        <w:pStyle w:val="Compact"/>
        <w:numPr>
          <w:ilvl w:val="0"/>
          <w:numId w:val="1019"/>
        </w:numPr>
      </w:pPr>
      <w:r>
        <w:t xml:space="preserve">Rice</w:t>
      </w:r>
    </w:p>
    <w:p>
      <w:pPr>
        <w:pStyle w:val="Compact"/>
        <w:numPr>
          <w:ilvl w:val="0"/>
          <w:numId w:val="1019"/>
        </w:numPr>
      </w:pPr>
      <w:r>
        <w:t xml:space="preserve">Engineering Goods</w:t>
      </w:r>
    </w:p>
    <w:p>
      <w:pPr>
        <w:pStyle w:val="Compact"/>
        <w:numPr>
          <w:ilvl w:val="0"/>
          <w:numId w:val="1019"/>
        </w:numPr>
      </w:pPr>
      <w:r>
        <w:t xml:space="preserve">Textiles</w:t>
      </w:r>
    </w:p>
    <w:p>
      <w:pPr>
        <w:pStyle w:val="Compact"/>
        <w:numPr>
          <w:ilvl w:val="0"/>
          <w:numId w:val="1019"/>
        </w:numPr>
      </w:pPr>
      <w:r>
        <w:t xml:space="preserve">Machinery</w:t>
      </w:r>
    </w:p>
    <w:p>
      <w:pPr>
        <w:pStyle w:val="FirstParagraph"/>
      </w:pPr>
      <w:r>
        <w:t xml:space="preserve">ECOWAS is an important destination for India’s exports to West Africa.</w:t>
      </w:r>
    </w:p>
    <w:p>
      <w:r>
        <w:pict>
          <v:rect style="width:0;height:1.5pt" o:hralign="center" o:hrstd="t" o:hr="t"/>
        </w:pict>
      </w:r>
    </w:p>
    <w:bookmarkEnd w:id="56"/>
    <w:bookmarkEnd w:id="57"/>
    <w:bookmarkStart w:id="58" w:name="comparison-table"/>
    <w:p>
      <w:pPr>
        <w:pStyle w:val="Heading1"/>
      </w:pPr>
      <w:r>
        <w:t xml:space="preserve">Comparison Table</w:t>
      </w:r>
    </w:p>
    <w:tbl>
      <w:tblPr>
        <w:tblStyle w:val="Table"/>
        <w:tblW w:type="pct" w:w="5000"/>
        <w:tblLayout w:type="fixed"/>
        <w:tblLook w:firstRow="1" w:lastRow="0" w:firstColumn="0" w:lastColumn="0" w:noHBand="0" w:noVBand="0" w:val="0020"/>
      </w:tblPr>
      <w:tblGrid>
        <w:gridCol w:w="1697"/>
        <w:gridCol w:w="1555"/>
        <w:gridCol w:w="1980"/>
        <w:gridCol w:w="1414"/>
        <w:gridCol w:w="1272"/>
      </w:tblGrid>
      <w:tr>
        <w:trPr>
          <w:tblHeader w:val="on"/>
        </w:trPr>
        <w:tc>
          <w:tcPr/>
          <w:p>
            <w:pPr>
              <w:pStyle w:val="Compact"/>
            </w:pPr>
            <w:r>
              <w:t xml:space="preserve">Agreement</w:t>
            </w:r>
          </w:p>
        </w:tc>
        <w:tc>
          <w:tcPr/>
          <w:p>
            <w:pPr>
              <w:pStyle w:val="Compact"/>
            </w:pPr>
            <w:r>
              <w:t xml:space="preserve">Full Form</w:t>
            </w:r>
          </w:p>
        </w:tc>
        <w:tc>
          <w:tcPr/>
          <w:p>
            <w:pPr>
              <w:pStyle w:val="Compact"/>
            </w:pPr>
            <w:r>
              <w:t xml:space="preserve">Duty Benefit</w:t>
            </w:r>
          </w:p>
        </w:tc>
        <w:tc>
          <w:tcPr/>
          <w:p>
            <w:pPr>
              <w:pStyle w:val="Compact"/>
            </w:pPr>
            <w:r>
              <w:t xml:space="preserve">Coverage</w:t>
            </w:r>
          </w:p>
        </w:tc>
        <w:tc>
          <w:tcPr/>
          <w:p>
            <w:pPr>
              <w:pStyle w:val="Compact"/>
            </w:pPr>
            <w:r>
              <w:t xml:space="preserve">Example</w:t>
            </w:r>
          </w:p>
        </w:tc>
      </w:tr>
      <w:tr>
        <w:tc>
          <w:tcPr/>
          <w:p>
            <w:pPr>
              <w:pStyle w:val="Compact"/>
            </w:pPr>
            <w:r>
              <w:t xml:space="preserve">FTA</w:t>
            </w:r>
          </w:p>
        </w:tc>
        <w:tc>
          <w:tcPr/>
          <w:p>
            <w:pPr>
              <w:pStyle w:val="Compact"/>
            </w:pPr>
            <w:r>
              <w:t xml:space="preserve">Free Trade Agreement</w:t>
            </w:r>
          </w:p>
        </w:tc>
        <w:tc>
          <w:tcPr/>
          <w:p>
            <w:pPr>
              <w:pStyle w:val="Compact"/>
            </w:pPr>
            <w:r>
              <w:t xml:space="preserve">Mostly zero or very low tariffs</w:t>
            </w:r>
          </w:p>
        </w:tc>
        <w:tc>
          <w:tcPr/>
          <w:p>
            <w:pPr>
              <w:pStyle w:val="Compact"/>
            </w:pPr>
            <w:r>
              <w:t xml:space="preserve">Broad range of products</w:t>
            </w:r>
          </w:p>
        </w:tc>
        <w:tc>
          <w:tcPr/>
          <w:p>
            <w:pPr>
              <w:pStyle w:val="Compact"/>
            </w:pPr>
            <w:r>
              <w:t xml:space="preserve">India–UAE CEPA</w:t>
            </w:r>
          </w:p>
        </w:tc>
      </w:tr>
      <w:tr>
        <w:tc>
          <w:tcPr/>
          <w:p>
            <w:pPr>
              <w:pStyle w:val="Compact"/>
            </w:pPr>
            <w:r>
              <w:t xml:space="preserve">PTA</w:t>
            </w:r>
          </w:p>
        </w:tc>
        <w:tc>
          <w:tcPr/>
          <w:p>
            <w:pPr>
              <w:pStyle w:val="Compact"/>
            </w:pPr>
            <w:r>
              <w:t xml:space="preserve">Preferential Trade Agreement</w:t>
            </w:r>
          </w:p>
        </w:tc>
        <w:tc>
          <w:tcPr/>
          <w:p>
            <w:pPr>
              <w:pStyle w:val="Compact"/>
            </w:pPr>
            <w:r>
              <w:t xml:space="preserve">Partial tariff reduction</w:t>
            </w:r>
          </w:p>
        </w:tc>
        <w:tc>
          <w:tcPr/>
          <w:p>
            <w:pPr>
              <w:pStyle w:val="Compact"/>
            </w:pPr>
            <w:r>
              <w:t xml:space="preserve">Selected products</w:t>
            </w:r>
          </w:p>
        </w:tc>
        <w:tc>
          <w:tcPr/>
          <w:p>
            <w:pPr>
              <w:pStyle w:val="Compact"/>
            </w:pPr>
            <w:r>
              <w:t xml:space="preserve">India–MERCOSUR PTA</w:t>
            </w:r>
          </w:p>
        </w:tc>
      </w:tr>
      <w:tr>
        <w:tc>
          <w:tcPr/>
          <w:p>
            <w:pPr>
              <w:pStyle w:val="Compact"/>
            </w:pPr>
            <w:r>
              <w:t xml:space="preserve">MFN</w:t>
            </w:r>
          </w:p>
        </w:tc>
        <w:tc>
          <w:tcPr/>
          <w:p>
            <w:pPr>
              <w:pStyle w:val="Compact"/>
            </w:pPr>
            <w:r>
              <w:t xml:space="preserve">Most Favoured Nation</w:t>
            </w:r>
          </w:p>
        </w:tc>
        <w:tc>
          <w:tcPr/>
          <w:p>
            <w:pPr>
              <w:pStyle w:val="Compact"/>
            </w:pPr>
            <w:r>
              <w:t xml:space="preserve">Standard WTO tariff</w:t>
            </w:r>
          </w:p>
        </w:tc>
        <w:tc>
          <w:tcPr/>
          <w:p>
            <w:pPr>
              <w:pStyle w:val="Compact"/>
            </w:pPr>
            <w:r>
              <w:t xml:space="preserve">All WTO members</w:t>
            </w:r>
          </w:p>
        </w:tc>
        <w:tc>
          <w:tcPr/>
          <w:p>
            <w:pPr>
              <w:pStyle w:val="Compact"/>
            </w:pPr>
            <w:r>
              <w:t xml:space="preserve">WTO Default Tariff</w:t>
            </w:r>
          </w:p>
        </w:tc>
      </w:tr>
      <w:tr>
        <w:tc>
          <w:tcPr/>
          <w:p>
            <w:pPr>
              <w:pStyle w:val="Compact"/>
            </w:pPr>
            <w:r>
              <w:t xml:space="preserve">EU MFN</w:t>
            </w:r>
          </w:p>
        </w:tc>
        <w:tc>
          <w:tcPr/>
          <w:p>
            <w:pPr>
              <w:pStyle w:val="Compact"/>
            </w:pPr>
            <w:r>
              <w:t xml:space="preserve">European Union Most Favoured Nation</w:t>
            </w:r>
          </w:p>
        </w:tc>
        <w:tc>
          <w:tcPr/>
          <w:p>
            <w:pPr>
              <w:pStyle w:val="Compact"/>
            </w:pPr>
            <w:r>
              <w:t xml:space="preserve">EU Standard Tariff</w:t>
            </w:r>
          </w:p>
        </w:tc>
        <w:tc>
          <w:tcPr/>
          <w:p>
            <w:pPr>
              <w:pStyle w:val="Compact"/>
            </w:pPr>
            <w:r>
              <w:t xml:space="preserve">Imports into EU</w:t>
            </w:r>
          </w:p>
        </w:tc>
        <w:tc>
          <w:tcPr/>
          <w:p>
            <w:pPr>
              <w:pStyle w:val="Compact"/>
            </w:pPr>
            <w:r>
              <w:t xml:space="preserve">India exports to EU</w:t>
            </w:r>
          </w:p>
        </w:tc>
      </w:tr>
      <w:tr>
        <w:tc>
          <w:tcPr/>
          <w:p>
            <w:pPr>
              <w:pStyle w:val="Compact"/>
            </w:pPr>
            <w:r>
              <w:t xml:space="preserve">EAC</w:t>
            </w:r>
          </w:p>
        </w:tc>
        <w:tc>
          <w:tcPr/>
          <w:p>
            <w:pPr>
              <w:pStyle w:val="Compact"/>
            </w:pPr>
            <w:r>
              <w:t xml:space="preserve">East African Community</w:t>
            </w:r>
          </w:p>
        </w:tc>
        <w:tc>
          <w:tcPr/>
          <w:p>
            <w:pPr>
              <w:pStyle w:val="Compact"/>
            </w:pPr>
            <w:r>
              <w:t xml:space="preserve">Regional free trade</w:t>
            </w:r>
          </w:p>
        </w:tc>
        <w:tc>
          <w:tcPr/>
          <w:p>
            <w:pPr>
              <w:pStyle w:val="Compact"/>
            </w:pPr>
            <w:r>
              <w:t xml:space="preserve">East African countries</w:t>
            </w:r>
          </w:p>
        </w:tc>
        <w:tc>
          <w:tcPr/>
          <w:p>
            <w:pPr>
              <w:pStyle w:val="Compact"/>
            </w:pPr>
            <w:r>
              <w:t xml:space="preserve">Kenya–Uganda Trade</w:t>
            </w:r>
          </w:p>
        </w:tc>
      </w:tr>
      <w:tr>
        <w:tc>
          <w:tcPr/>
          <w:p>
            <w:pPr>
              <w:pStyle w:val="Compact"/>
            </w:pPr>
            <w:r>
              <w:t xml:space="preserve">GCC</w:t>
            </w:r>
          </w:p>
        </w:tc>
        <w:tc>
          <w:tcPr/>
          <w:p>
            <w:pPr>
              <w:pStyle w:val="Compact"/>
            </w:pPr>
            <w:r>
              <w:t xml:space="preserve">Gulf Cooperation Council</w:t>
            </w:r>
          </w:p>
        </w:tc>
        <w:tc>
          <w:tcPr/>
          <w:p>
            <w:pPr>
              <w:pStyle w:val="Compact"/>
            </w:pPr>
            <w:r>
              <w:t xml:space="preserve">Customs Union</w:t>
            </w:r>
          </w:p>
        </w:tc>
        <w:tc>
          <w:tcPr/>
          <w:p>
            <w:pPr>
              <w:pStyle w:val="Compact"/>
            </w:pPr>
            <w:r>
              <w:t xml:space="preserve">Gulf countries</w:t>
            </w:r>
          </w:p>
        </w:tc>
        <w:tc>
          <w:tcPr/>
          <w:p>
            <w:pPr>
              <w:pStyle w:val="Compact"/>
            </w:pPr>
            <w:r>
              <w:t xml:space="preserve">Saudi Arabia–UAE Trade</w:t>
            </w:r>
          </w:p>
        </w:tc>
      </w:tr>
      <w:tr>
        <w:tc>
          <w:tcPr/>
          <w:p>
            <w:pPr>
              <w:pStyle w:val="Compact"/>
            </w:pPr>
            <w:r>
              <w:t xml:space="preserve">ECOWAS</w:t>
            </w:r>
          </w:p>
        </w:tc>
        <w:tc>
          <w:tcPr/>
          <w:p>
            <w:pPr>
              <w:pStyle w:val="Compact"/>
            </w:pPr>
            <w:r>
              <w:t xml:space="preserve">Economic Community of West African States</w:t>
            </w:r>
          </w:p>
        </w:tc>
        <w:tc>
          <w:tcPr/>
          <w:p>
            <w:pPr>
              <w:pStyle w:val="Compact"/>
            </w:pPr>
            <w:r>
              <w:t xml:space="preserve">Regional trade preferences</w:t>
            </w:r>
          </w:p>
        </w:tc>
        <w:tc>
          <w:tcPr/>
          <w:p>
            <w:pPr>
              <w:pStyle w:val="Compact"/>
            </w:pPr>
            <w:r>
              <w:t xml:space="preserve">West African countries</w:t>
            </w:r>
          </w:p>
        </w:tc>
        <w:tc>
          <w:tcPr/>
          <w:p>
            <w:pPr>
              <w:pStyle w:val="Compact"/>
            </w:pPr>
            <w:r>
              <w:t xml:space="preserve">Nigeria–Ghana Trade</w:t>
            </w:r>
          </w:p>
        </w:tc>
      </w:tr>
    </w:tbl>
    <w:bookmarkEnd w:id="58"/>
    <w:bookmarkStart w:id="59" w:name="relevance-in-dgcis-export-data"/>
    <w:p>
      <w:pPr>
        <w:pStyle w:val="Heading1"/>
      </w:pPr>
      <w:r>
        <w:t xml:space="preserve">Relevance in DGCI&amp;S Export Data</w:t>
      </w:r>
    </w:p>
    <w:p>
      <w:pPr>
        <w:pStyle w:val="FirstParagraph"/>
      </w:pPr>
      <w:r>
        <w:t xml:space="preserve">These abbreviations identify the trade agreement or tariff regime applicable to India’s exports.</w:t>
      </w:r>
    </w:p>
    <w:p>
      <w:pPr>
        <w:pStyle w:val="Compact"/>
        <w:numPr>
          <w:ilvl w:val="0"/>
          <w:numId w:val="1020"/>
        </w:numPr>
      </w:pPr>
      <w:r>
        <w:rPr>
          <w:b/>
          <w:bCs/>
        </w:rPr>
        <w:t xml:space="preserve">FTA</w:t>
      </w:r>
      <w:r>
        <w:t xml:space="preserve"> </w:t>
      </w:r>
      <w:r>
        <w:t xml:space="preserve">– Goods exported under a Free Trade Agreement.</w:t>
      </w:r>
    </w:p>
    <w:p>
      <w:pPr>
        <w:pStyle w:val="Compact"/>
        <w:numPr>
          <w:ilvl w:val="0"/>
          <w:numId w:val="1020"/>
        </w:numPr>
      </w:pPr>
      <w:r>
        <w:rPr>
          <w:b/>
          <w:bCs/>
        </w:rPr>
        <w:t xml:space="preserve">PTA</w:t>
      </w:r>
      <w:r>
        <w:t xml:space="preserve"> </w:t>
      </w:r>
      <w:r>
        <w:t xml:space="preserve">– Goods receiving preferential tariff concessions.</w:t>
      </w:r>
    </w:p>
    <w:p>
      <w:pPr>
        <w:pStyle w:val="Compact"/>
        <w:numPr>
          <w:ilvl w:val="0"/>
          <w:numId w:val="1020"/>
        </w:numPr>
      </w:pPr>
      <w:r>
        <w:rPr>
          <w:b/>
          <w:bCs/>
        </w:rPr>
        <w:t xml:space="preserve">MFN</w:t>
      </w:r>
      <w:r>
        <w:t xml:space="preserve"> </w:t>
      </w:r>
      <w:r>
        <w:t xml:space="preserve">– Goods exported under standard WTO tariff treatment.</w:t>
      </w:r>
    </w:p>
    <w:p>
      <w:pPr>
        <w:pStyle w:val="Compact"/>
        <w:numPr>
          <w:ilvl w:val="0"/>
          <w:numId w:val="1020"/>
        </w:numPr>
      </w:pPr>
      <w:r>
        <w:rPr>
          <w:b/>
          <w:bCs/>
        </w:rPr>
        <w:t xml:space="preserve">EU MFN</w:t>
      </w:r>
      <w:r>
        <w:t xml:space="preserve"> </w:t>
      </w:r>
      <w:r>
        <w:t xml:space="preserve">– Goods entering the European Union under its normal MFN tariff schedule.</w:t>
      </w:r>
    </w:p>
    <w:p>
      <w:pPr>
        <w:pStyle w:val="Compact"/>
        <w:numPr>
          <w:ilvl w:val="0"/>
          <w:numId w:val="1020"/>
        </w:numPr>
      </w:pPr>
      <w:r>
        <w:rPr>
          <w:b/>
          <w:bCs/>
        </w:rPr>
        <w:t xml:space="preserve">EAC, GCC, ECOWAS</w:t>
      </w:r>
      <w:r>
        <w:t xml:space="preserve"> </w:t>
      </w:r>
      <w:r>
        <w:t xml:space="preserve">– Destination countries belonging to these regional economic blocs, often used for trade analysis and tariff classification.</w:t>
      </w:r>
    </w:p>
    <w:p>
      <w:pPr>
        <w:pStyle w:val="FirstParagraph"/>
      </w:pPr>
      <w:r>
        <w:t xml:space="preserve">For export analysis projects, these classifications help evaluate:</w:t>
      </w:r>
    </w:p>
    <w:p>
      <w:pPr>
        <w:pStyle w:val="Compact"/>
        <w:numPr>
          <w:ilvl w:val="0"/>
          <w:numId w:val="1021"/>
        </w:numPr>
      </w:pPr>
      <w:r>
        <w:t xml:space="preserve">Export value under different trade agreements.</w:t>
      </w:r>
    </w:p>
    <w:p>
      <w:pPr>
        <w:pStyle w:val="Compact"/>
        <w:numPr>
          <w:ilvl w:val="0"/>
          <w:numId w:val="1021"/>
        </w:numPr>
      </w:pPr>
      <w:r>
        <w:t xml:space="preserve">Growth of exports benefiting from tariff concessions.</w:t>
      </w:r>
    </w:p>
    <w:p>
      <w:pPr>
        <w:pStyle w:val="Compact"/>
        <w:numPr>
          <w:ilvl w:val="0"/>
          <w:numId w:val="1021"/>
        </w:numPr>
      </w:pPr>
      <w:r>
        <w:t xml:space="preserve">Performance of exports to major regional economic blocs.</w:t>
      </w:r>
    </w:p>
    <w:p>
      <w:pPr>
        <w:pStyle w:val="Compact"/>
        <w:numPr>
          <w:ilvl w:val="0"/>
          <w:numId w:val="1021"/>
        </w:numPr>
      </w:pPr>
      <w:r>
        <w:t xml:space="preserve">Impact of trade agreements on India’s export competitiveness.</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2026-06-25T06:34:15Z</dcterms:created>
  <dcterms:modified xsi:type="dcterms:W3CDTF">2026-06-25T06:34:15Z</dcterms:modified>
</cp:coreProperties>
</file>

<file path=docProps/custom.xml><?xml version="1.0" encoding="utf-8"?>
<Properties xmlns="http://schemas.openxmlformats.org/officeDocument/2006/custom-properties" xmlns:vt="http://schemas.openxmlformats.org/officeDocument/2006/docPropsVTypes"/>
</file>