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52" w:lineRule="auto"/>
        <w:jc w:val="center"/>
      </w:pPr>
      <w:r>
        <w:rPr>
          <w:rFonts w:ascii="Times New Roman" w:hAnsi="Times New Roman"/>
          <w:b/>
          <w:i w:val="0"/>
          <w:sz w:val="48"/>
        </w:rPr>
        <w:t>Smart Pharmacy Management System: An Open-Source Architecture Integrating Multimodal LLMs for Clinical Decision Support, FEFO Inventory Optimization, and Point-of-Sale Security in Single-Branch Pharmacies</w:t>
      </w:r>
    </w:p>
    <w:p>
      <w:pPr>
        <w:spacing w:before="80" w:after="0" w:line="240" w:lineRule="auto"/>
        <w:jc w:val="center"/>
      </w:pPr>
      <w:r>
        <w:rPr>
          <w:rFonts w:ascii="Times New Roman" w:hAnsi="Times New Roman"/>
          <w:b/>
          <w:i w:val="0"/>
          <w:sz w:val="22"/>
        </w:rPr>
        <w:t>Karthikeyan R</w:t>
      </w:r>
    </w:p>
    <w:p>
      <w:pPr>
        <w:spacing w:before="0" w:after="0" w:line="240" w:lineRule="auto"/>
        <w:jc w:val="center"/>
      </w:pPr>
      <w:r>
        <w:rPr>
          <w:rFonts w:ascii="Times New Roman" w:hAnsi="Times New Roman"/>
          <w:b w:val="0"/>
          <w:i/>
          <w:sz w:val="20"/>
        </w:rPr>
        <w:t>Department of Computer Science and Engineering</w:t>
      </w:r>
    </w:p>
    <w:p>
      <w:pPr>
        <w:spacing w:before="0" w:after="0" w:line="240" w:lineRule="auto"/>
        <w:jc w:val="center"/>
      </w:pPr>
      <w:r>
        <w:rPr>
          <w:rFonts w:ascii="Times New Roman" w:hAnsi="Times New Roman"/>
          <w:b w:val="0"/>
          <w:i/>
          <w:sz w:val="20"/>
        </w:rPr>
        <w:t>AMET University, Chennai, India</w:t>
      </w:r>
    </w:p>
    <w:p>
      <w:pPr>
        <w:spacing w:before="0" w:after="280" w:line="240" w:lineRule="auto"/>
        <w:jc w:val="center"/>
      </w:pPr>
      <w:r>
        <w:rPr>
          <w:rFonts w:ascii="Times New Roman" w:hAnsi="Times New Roman"/>
          <w:b w:val="0"/>
          <w:i w:val="0"/>
          <w:sz w:val="20"/>
        </w:rPr>
        <w:t>karthikeyanr@amet.ac.in</w:t>
      </w:r>
    </w:p>
    <w:p>
      <w:pPr>
        <w:spacing w:before="0" w:after="160" w:line="240" w:lineRule="auto"/>
        <w:jc w:val="both"/>
      </w:pPr>
      <w:r>
        <w:rPr>
          <w:rFonts w:ascii="Times New Roman" w:hAnsi="Times New Roman"/>
          <w:b/>
          <w:i/>
          <w:sz w:val="18"/>
        </w:rPr>
        <w:t>Abstract</w:t>
      </w:r>
      <w:r>
        <w:rPr>
          <w:rFonts w:ascii="Times New Roman" w:hAnsi="Times New Roman"/>
          <w:b/>
          <w:i w:val="0"/>
          <w:sz w:val="18"/>
        </w:rPr>
        <w:t>---</w:t>
      </w:r>
      <w:r>
        <w:rPr>
          <w:rFonts w:ascii="Times New Roman" w:hAnsi="Times New Roman"/>
          <w:b w:val="0"/>
          <w:i/>
          <w:sz w:val="18"/>
        </w:rPr>
        <w:t xml:space="preserve"> Retail community pharmacies face significant health and operational challenges, including adverse drug reactions (ADRs) affecting 1 in 10 patients globally, inventory expiry losses accounting for 2% to 5% of stock value, and administrative bottlenecks during checkout. This systems paper presents the Smart Pharmacy Management System (SPMS), an integrated open-source platform tailored for single-branch retail pharmacy deployment with a documented migration path to PostgreSQL for enterprise scaling. SPMS combines five multimodal clinical decision support (CDS) micro-services powered by Google Gemini 2.0 Flash: drug interaction screening, anatomical symptom recommendation, vision prescription OCR, invoice parsing, and a clinical pharmacist chatbot. To mitigate stock waste, SPMS introduces an algorithmic First-Expired-First-Out (FEFO) clearance pricing engine that dynamically applies tiered discounts (15% to 25%) based on remaining shelf life. The system enforces a six-layer defense-in-depth security model featuring JWT authentication, PBKDF2-SHA256 password hashing, three-tier RBAC, IP rate limiting, and OWASP security headers. We present a comparative empirical ablation study validating LLM JSON-schema enforcement against free-text prompt parsing, demonstrating a reduction in JSON syntax errors from 14.0% to 0.0% and an improvement in clinical decision accuracy. Ground-truth evaluation against the RxNorm/DDInter benchmark dataset verified by a licensed pharmacist (inter-annotator Cohen's kappa = 0.88) demonstrates a 93.3% precision, 91.1% recall, and 92.2% F1-score for drug interaction detection, outperforming rule-based baselines. Across 185 functional test scenarios, SPMS achieved a 97.8% pass rate, sub-50ms CRUD latencies, and an overall macro average F1-score of 92.0% across clinical AI tasks.</w:t>
      </w:r>
    </w:p>
    <w:p>
      <w:pPr>
        <w:spacing w:before="0" w:after="280" w:line="240" w:lineRule="auto"/>
        <w:jc w:val="both"/>
      </w:pPr>
      <w:r>
        <w:rPr>
          <w:rFonts w:ascii="Times New Roman" w:hAnsi="Times New Roman"/>
          <w:b/>
          <w:i/>
          <w:sz w:val="18"/>
        </w:rPr>
        <w:t>Keywords</w:t>
      </w:r>
      <w:r>
        <w:rPr>
          <w:rFonts w:ascii="Times New Roman" w:hAnsi="Times New Roman"/>
          <w:b/>
          <w:i w:val="0"/>
          <w:sz w:val="18"/>
        </w:rPr>
        <w:t>---</w:t>
      </w:r>
      <w:r>
        <w:rPr>
          <w:rFonts w:ascii="Times New Roman" w:hAnsi="Times New Roman"/>
          <w:b w:val="0"/>
          <w:i/>
          <w:sz w:val="18"/>
        </w:rPr>
        <w:t xml:space="preserve"> Pharmacy Management System, Clinical Decision Support, Google Gemini API, Drug Interaction Detection, FEFO Inventory, Point-of-Sale, JWT Authentication, JSON Schema Enforcement, RxNorm Baseline</w:t>
      </w:r>
    </w:p>
    <w:p>
      <w:pPr>
        <w:sectPr>
          <w:pgSz w:w="11906" w:h="16838"/>
          <w:pgMar w:top="1080" w:right="900" w:bottom="1440" w:left="900" w:header="720" w:footer="720" w:gutter="0"/>
          <w:cols w:space="720"/>
          <w:docGrid w:linePitch="360"/>
        </w:sectPr>
      </w:pPr>
    </w:p>
    <w:p>
      <w:pPr>
        <w:spacing w:before="280" w:after="120" w:line="240" w:lineRule="auto"/>
        <w:jc w:val="center"/>
      </w:pPr>
      <w:r>
        <w:rPr>
          <w:rFonts w:ascii="Times New Roman" w:hAnsi="Times New Roman"/>
          <w:b/>
          <w:i w:val="0"/>
          <w:sz w:val="20"/>
        </w:rPr>
        <w:t>I. INTRODUCTION</w:t>
      </w:r>
    </w:p>
    <w:p>
      <w:pPr>
        <w:spacing w:before="200" w:after="80" w:line="240" w:lineRule="auto"/>
        <w:jc w:val="left"/>
      </w:pPr>
      <w:r>
        <w:rPr>
          <w:rFonts w:ascii="Times New Roman" w:hAnsi="Times New Roman"/>
          <w:b/>
          <w:i/>
          <w:sz w:val="20"/>
        </w:rPr>
        <w:t>A. Background and System Positioning</w:t>
      </w:r>
    </w:p>
    <w:p>
      <w:pPr>
        <w:spacing w:before="0" w:after="120" w:line="240" w:lineRule="auto"/>
        <w:ind w:firstLine="288"/>
        <w:jc w:val="both"/>
      </w:pPr>
      <w:r>
        <w:rPr>
          <w:rFonts w:ascii="Times New Roman" w:hAnsi="Times New Roman"/>
          <w:b w:val="0"/>
          <w:i w:val="0"/>
          <w:sz w:val="20"/>
        </w:rPr>
        <w:t>Community pharmacies play a vital role in outpatient healthcare delivery globally. According to the World Health Organization (WHO), preventable medication errors and adverse drug reactions (ADEs) impact approximately 10% of patients worldwide [1]. In retail community pharmacy settings, pharmacists must verify prescriptions, check contraindications, manage batch expirations, and process sales under tight time constraints.</w:t>
      </w:r>
    </w:p>
    <w:p>
      <w:pPr>
        <w:spacing w:before="0" w:after="120" w:line="240" w:lineRule="auto"/>
        <w:ind w:firstLine="288"/>
        <w:jc w:val="both"/>
      </w:pPr>
      <w:r>
        <w:rPr>
          <w:rFonts w:ascii="Times New Roman" w:hAnsi="Times New Roman"/>
          <w:b w:val="0"/>
          <w:i w:val="0"/>
          <w:sz w:val="20"/>
        </w:rPr>
        <w:t>This paper presents the Smart Pharmacy Management System (SPMS) as an applied systems and software engineering contribution. Rather than claiming novel deep learning architecture inventions, SPMS represents the first integrated open-source system pipeline unifying multimodal LLM-based clinical decision support, automated FEFO clearance repricing, and defense-in-depth security engineered specifically for single-branch community retail pharmacies.</w:t>
      </w:r>
    </w:p>
    <w:p>
      <w:pPr>
        <w:spacing w:before="200" w:after="80" w:line="240" w:lineRule="auto"/>
        <w:jc w:val="left"/>
      </w:pPr>
      <w:r>
        <w:rPr>
          <w:rFonts w:ascii="Times New Roman" w:hAnsi="Times New Roman"/>
          <w:b/>
          <w:i/>
          <w:sz w:val="20"/>
        </w:rPr>
        <w:t>B. Problem Statement &amp; Operational Gaps</w:t>
      </w:r>
    </w:p>
    <w:p>
      <w:pPr>
        <w:spacing w:before="0" w:after="120" w:line="240" w:lineRule="auto"/>
        <w:ind w:firstLine="288"/>
        <w:jc w:val="both"/>
      </w:pPr>
      <w:r>
        <w:rPr>
          <w:rFonts w:ascii="Times New Roman" w:hAnsi="Times New Roman"/>
          <w:b w:val="0"/>
          <w:i w:val="0"/>
          <w:sz w:val="20"/>
        </w:rPr>
        <w:t>Retail pharmacies encounter four major operational bottlenecks:</w:t>
      </w:r>
    </w:p>
    <w:p>
      <w:pPr>
        <w:spacing w:before="20" w:after="20" w:line="240" w:lineRule="auto"/>
        <w:ind w:firstLine="216"/>
        <w:jc w:val="both"/>
      </w:pPr>
      <w:r>
        <w:rPr>
          <w:rFonts w:ascii="Times New Roman" w:hAnsi="Times New Roman"/>
          <w:b w:val="0"/>
          <w:i w:val="0"/>
          <w:sz w:val="20"/>
        </w:rPr>
        <w:t>1) Transactional POS Without Clinical Screening: Traditional POS software operates purely as a financial register without real-time drug interaction or patient allergy screening [2].</w:t>
      </w:r>
    </w:p>
    <w:p>
      <w:pPr>
        <w:spacing w:before="20" w:after="20" w:line="240" w:lineRule="auto"/>
        <w:ind w:firstLine="216"/>
        <w:jc w:val="both"/>
      </w:pPr>
      <w:r>
        <w:rPr>
          <w:rFonts w:ascii="Times New Roman" w:hAnsi="Times New Roman"/>
          <w:b w:val="0"/>
          <w:i w:val="0"/>
          <w:sz w:val="20"/>
        </w:rPr>
        <w:t>2) Expiry Losses: Manual stock tracking leads to 2% to 5% annual inventory losses from expired pharmaceuticals [3].</w:t>
      </w:r>
    </w:p>
    <w:p>
      <w:pPr>
        <w:spacing w:before="20" w:after="20" w:line="240" w:lineRule="auto"/>
        <w:ind w:firstLine="216"/>
        <w:jc w:val="both"/>
      </w:pPr>
      <w:r>
        <w:rPr>
          <w:rFonts w:ascii="Times New Roman" w:hAnsi="Times New Roman"/>
          <w:b w:val="0"/>
          <w:i w:val="0"/>
          <w:sz w:val="20"/>
        </w:rPr>
        <w:t>3) Data Entry Delays: Digitizing handwritten paper prescriptions and paper supplier invoices requires manual keyboard entry.</w:t>
      </w:r>
    </w:p>
    <w:p>
      <w:pPr>
        <w:spacing w:before="20" w:after="20" w:line="240" w:lineRule="auto"/>
        <w:ind w:firstLine="216"/>
        <w:jc w:val="both"/>
      </w:pPr>
      <w:r>
        <w:rPr>
          <w:rFonts w:ascii="Times New Roman" w:hAnsi="Times New Roman"/>
          <w:b w:val="0"/>
          <w:i w:val="0"/>
          <w:sz w:val="20"/>
        </w:rPr>
        <w:t>4) Weak Application Security: Legacy desktop tools frequently lack JWT authentication, rate limiting, and OWASP security headers.</w:t>
      </w:r>
    </w:p>
    <w:p>
      <w:pPr>
        <w:spacing w:before="200" w:after="80" w:line="240" w:lineRule="auto"/>
        <w:jc w:val="left"/>
      </w:pPr>
      <w:r>
        <w:rPr>
          <w:rFonts w:ascii="Times New Roman" w:hAnsi="Times New Roman"/>
          <w:b/>
          <w:i/>
          <w:sz w:val="20"/>
        </w:rPr>
        <w:t>C. Key Systems Contributions</w:t>
      </w:r>
    </w:p>
    <w:p>
      <w:pPr>
        <w:spacing w:before="0" w:after="120" w:line="240" w:lineRule="auto"/>
        <w:ind w:firstLine="288"/>
        <w:jc w:val="both"/>
      </w:pPr>
      <w:r>
        <w:rPr>
          <w:rFonts w:ascii="Times New Roman" w:hAnsi="Times New Roman"/>
          <w:b w:val="0"/>
          <w:i w:val="0"/>
          <w:sz w:val="20"/>
        </w:rPr>
        <w:t>The key engineering and empirical contributions of this paper are:</w:t>
      </w:r>
    </w:p>
    <w:p>
      <w:pPr>
        <w:spacing w:before="20" w:after="20" w:line="240" w:lineRule="auto"/>
        <w:ind w:firstLine="216"/>
        <w:jc w:val="both"/>
      </w:pPr>
      <w:r>
        <w:rPr>
          <w:rFonts w:ascii="Times New Roman" w:hAnsi="Times New Roman"/>
          <w:b w:val="0"/>
          <w:i w:val="0"/>
          <w:sz w:val="20"/>
        </w:rPr>
        <w:t>1) Pipeline Integration: An end-to-end open-source software pipeline connecting Flask, SQLite, Vanilla JS SPA, and Google Gemini 2.0 Flash.</w:t>
      </w:r>
    </w:p>
    <w:p>
      <w:pPr>
        <w:spacing w:before="20" w:after="20" w:line="240" w:lineRule="auto"/>
        <w:ind w:firstLine="216"/>
        <w:jc w:val="both"/>
      </w:pPr>
      <w:r>
        <w:rPr>
          <w:rFonts w:ascii="Times New Roman" w:hAnsi="Times New Roman"/>
          <w:b w:val="0"/>
          <w:i w:val="0"/>
          <w:sz w:val="20"/>
        </w:rPr>
        <w:t>2) Empirical Schema Ablation Study: A measured comparative analysis of Gemini 2.0 Flash using JSON-schema enforcement (response_mime_type='application/json') vs. free-text prompt parsing.</w:t>
      </w:r>
    </w:p>
    <w:p>
      <w:pPr>
        <w:spacing w:before="20" w:after="20" w:line="240" w:lineRule="auto"/>
        <w:ind w:firstLine="216"/>
        <w:jc w:val="both"/>
      </w:pPr>
      <w:r>
        <w:rPr>
          <w:rFonts w:ascii="Times New Roman" w:hAnsi="Times New Roman"/>
          <w:b w:val="0"/>
          <w:i w:val="0"/>
          <w:sz w:val="20"/>
        </w:rPr>
        <w:t>3) Ground-Truth Benchmark Validation: Validation of 45 drug interaction scenarios against RxNorm/DDInter benchmarks with a licensed clinical pharmacist (inter-annotator Cohen's kappa = 0.88), establishing baseline performance against rule-based checkers and GPT-4o-mini.</w:t>
      </w:r>
    </w:p>
    <w:p>
      <w:pPr>
        <w:spacing w:before="20" w:after="20" w:line="240" w:lineRule="auto"/>
        <w:ind w:firstLine="216"/>
        <w:jc w:val="both"/>
      </w:pPr>
      <w:r>
        <w:rPr>
          <w:rFonts w:ascii="Times New Roman" w:hAnsi="Times New Roman"/>
          <w:b w:val="0"/>
          <w:i w:val="0"/>
          <w:sz w:val="20"/>
        </w:rPr>
        <w:t>4) Algorithmic FEFO Engine: A deterministic step-function model for dynamic clearance pricing based on remaining shelf life.</w:t>
      </w:r>
    </w:p>
    <w:p>
      <w:pPr>
        <w:spacing w:before="20" w:after="20" w:line="240" w:lineRule="auto"/>
        <w:ind w:firstLine="216"/>
        <w:jc w:val="both"/>
      </w:pPr>
      <w:r>
        <w:rPr>
          <w:rFonts w:ascii="Times New Roman" w:hAnsi="Times New Roman"/>
          <w:b w:val="0"/>
          <w:i w:val="0"/>
          <w:sz w:val="20"/>
        </w:rPr>
        <w:t>5) OWASP Defense-in-Depth Model: A six-layer application security framework tailored for retail healthcare software.</w:t>
      </w:r>
    </w:p>
    <w:p>
      <w:pPr>
        <w:spacing w:before="200" w:after="80" w:line="240" w:lineRule="auto"/>
        <w:jc w:val="left"/>
      </w:pPr>
      <w:r>
        <w:rPr>
          <w:rFonts w:ascii="Times New Roman" w:hAnsi="Times New Roman"/>
          <w:b/>
          <w:i/>
          <w:sz w:val="20"/>
        </w:rPr>
        <w:t>D. Paper Organization</w:t>
      </w:r>
    </w:p>
    <w:p>
      <w:pPr>
        <w:spacing w:before="0" w:after="120" w:line="240" w:lineRule="auto"/>
        <w:ind w:firstLine="288"/>
        <w:jc w:val="both"/>
      </w:pPr>
      <w:r>
        <w:rPr>
          <w:rFonts w:ascii="Times New Roman" w:hAnsi="Times New Roman"/>
          <w:b w:val="0"/>
          <w:i w:val="0"/>
          <w:sz w:val="20"/>
        </w:rPr>
        <w:t>The remainder of this paper is organized as follows: Section II discusses literature and comparative systems. Section III presents system methodology, architecture, and safety safeguards. Section IV details implementation. Section V reports empirical results, baseline benchmarks, and ablation studies. Section VI provides discussion. Section VII concludes the paper.</w:t>
      </w:r>
    </w:p>
    <w:p>
      <w:pPr>
        <w:spacing w:before="280" w:after="120" w:line="240" w:lineRule="auto"/>
        <w:jc w:val="center"/>
      </w:pPr>
      <w:r>
        <w:rPr>
          <w:rFonts w:ascii="Times New Roman" w:hAnsi="Times New Roman"/>
          <w:b/>
          <w:i w:val="0"/>
          <w:sz w:val="20"/>
        </w:rPr>
        <w:t>II. LITERATURE REVIEW AND RELATED WORK</w:t>
      </w:r>
    </w:p>
    <w:p>
      <w:pPr>
        <w:spacing w:before="0" w:after="120" w:line="240" w:lineRule="auto"/>
        <w:ind w:firstLine="288"/>
        <w:jc w:val="both"/>
      </w:pPr>
      <w:r>
        <w:rPr>
          <w:rFonts w:ascii="Times New Roman" w:hAnsi="Times New Roman"/>
          <w:b w:val="0"/>
          <w:i w:val="0"/>
          <w:sz w:val="20"/>
        </w:rPr>
        <w:t>We examine prior research across pharmacy information systems, medical AI decision support, inventory control, and health IT security.</w:t>
      </w:r>
    </w:p>
    <w:p>
      <w:pPr>
        <w:spacing w:before="200" w:after="80" w:line="240" w:lineRule="auto"/>
        <w:jc w:val="left"/>
      </w:pPr>
      <w:r>
        <w:rPr>
          <w:rFonts w:ascii="Times New Roman" w:hAnsi="Times New Roman"/>
          <w:b/>
          <w:i/>
          <w:sz w:val="20"/>
        </w:rPr>
        <w:t>A. Literature Review</w:t>
      </w:r>
    </w:p>
    <w:p>
      <w:pPr>
        <w:spacing w:before="40" w:after="40" w:line="240" w:lineRule="auto"/>
        <w:ind w:firstLine="216"/>
        <w:jc w:val="both"/>
      </w:pPr>
      <w:r>
        <w:rPr>
          <w:rFonts w:ascii="Times New Roman" w:hAnsi="Times New Roman"/>
          <w:b w:val="0"/>
          <w:i w:val="0"/>
          <w:sz w:val="20"/>
        </w:rPr>
        <w:t>1) Ershad et al. (2019) [4]: Web-based PHP/MySQL system for basic stock logging. Lacked clinical AI, security controls, or FEFO pricing.</w:t>
      </w:r>
    </w:p>
    <w:p>
      <w:pPr>
        <w:spacing w:before="40" w:after="40" w:line="240" w:lineRule="auto"/>
        <w:ind w:firstLine="216"/>
        <w:jc w:val="both"/>
      </w:pPr>
      <w:r>
        <w:rPr>
          <w:rFonts w:ascii="Times New Roman" w:hAnsi="Times New Roman"/>
          <w:b w:val="0"/>
          <w:i w:val="0"/>
          <w:sz w:val="20"/>
        </w:rPr>
        <w:t>2) Kumar and Singh (2020) [5]: Android app with barcode item lookup. Restricted to basic mobile UI; no drug interaction checks.</w:t>
      </w:r>
    </w:p>
    <w:p>
      <w:pPr>
        <w:spacing w:before="40" w:after="40" w:line="240" w:lineRule="auto"/>
        <w:ind w:firstLine="216"/>
        <w:jc w:val="both"/>
      </w:pPr>
      <w:r>
        <w:rPr>
          <w:rFonts w:ascii="Times New Roman" w:hAnsi="Times New Roman"/>
          <w:b w:val="0"/>
          <w:i w:val="0"/>
          <w:sz w:val="20"/>
        </w:rPr>
        <w:t>3) Alotaibi and Federico (2017) [1]: Survey establishing that clinical decision support reduces prescription errors by 55%.</w:t>
      </w:r>
    </w:p>
    <w:p>
      <w:pPr>
        <w:spacing w:before="40" w:after="40" w:line="240" w:lineRule="auto"/>
        <w:ind w:firstLine="216"/>
        <w:jc w:val="both"/>
      </w:pPr>
      <w:r>
        <w:rPr>
          <w:rFonts w:ascii="Times New Roman" w:hAnsi="Times New Roman"/>
          <w:b w:val="0"/>
          <w:i w:val="0"/>
          <w:sz w:val="20"/>
        </w:rPr>
        <w:t>4) Singhal et al. (2023) [6]: Med-PaLM demonstrating high medical Q&amp;A performance. Focused on benchmarks, not retail POS software integration.</w:t>
      </w:r>
    </w:p>
    <w:p>
      <w:pPr>
        <w:spacing w:before="40" w:after="40" w:line="240" w:lineRule="auto"/>
        <w:ind w:firstLine="216"/>
        <w:jc w:val="both"/>
      </w:pPr>
      <w:r>
        <w:rPr>
          <w:rFonts w:ascii="Times New Roman" w:hAnsi="Times New Roman"/>
          <w:b w:val="0"/>
          <w:i w:val="0"/>
          <w:sz w:val="20"/>
        </w:rPr>
        <w:t>5) Chen et al. (2019) [7]: NLP drug interaction detection achieving 87% accuracy. Relied on static keyword rules rather than multimodal LLMs.</w:t>
      </w:r>
    </w:p>
    <w:p>
      <w:pPr>
        <w:spacing w:before="40" w:after="40" w:line="240" w:lineRule="auto"/>
        <w:ind w:firstLine="216"/>
        <w:jc w:val="both"/>
      </w:pPr>
      <w:r>
        <w:rPr>
          <w:rFonts w:ascii="Times New Roman" w:hAnsi="Times New Roman"/>
          <w:b w:val="0"/>
          <w:i w:val="0"/>
          <w:sz w:val="20"/>
        </w:rPr>
        <w:t>6) De Boeck et al. (2016) [3]: Validated that FEFO inventory policies reduce pharmaceutical waste by 18-32%.</w:t>
      </w:r>
    </w:p>
    <w:p>
      <w:pPr>
        <w:spacing w:before="40" w:after="40" w:line="240" w:lineRule="auto"/>
        <w:ind w:firstLine="216"/>
        <w:jc w:val="both"/>
      </w:pPr>
      <w:r>
        <w:rPr>
          <w:rFonts w:ascii="Times New Roman" w:hAnsi="Times New Roman"/>
          <w:b w:val="0"/>
          <w:i w:val="0"/>
          <w:sz w:val="20"/>
        </w:rPr>
        <w:t>7) Patel and Sharma (2022) [8]: MedAssist web search assistance tool. Lacked vision OCR, thermal printer integration, or OWASP headers.</w:t>
      </w:r>
    </w:p>
    <w:p>
      <w:pPr>
        <w:spacing w:before="200" w:after="80" w:line="240" w:lineRule="auto"/>
        <w:jc w:val="left"/>
      </w:pPr>
      <w:r>
        <w:rPr>
          <w:rFonts w:ascii="Times New Roman" w:hAnsi="Times New Roman"/>
          <w:b/>
          <w:i/>
          <w:sz w:val="20"/>
        </w:rPr>
        <w:t>B. System Comparison Matrix</w:t>
      </w:r>
    </w:p>
    <w:p>
      <w:pPr>
        <w:spacing w:before="200" w:after="20" w:line="240" w:lineRule="auto"/>
        <w:jc w:val="center"/>
      </w:pPr>
      <w:r>
        <w:rPr>
          <w:rFonts w:ascii="Times New Roman" w:hAnsi="Times New Roman"/>
          <w:b/>
          <w:i w:val="0"/>
          <w:sz w:val="16"/>
        </w:rPr>
        <w:t>TABLE I</w:t>
      </w:r>
    </w:p>
    <w:p>
      <w:pPr>
        <w:spacing w:before="0" w:after="80" w:line="240" w:lineRule="auto"/>
        <w:jc w:val="center"/>
      </w:pPr>
      <w:r>
        <w:rPr>
          <w:rFonts w:ascii="Times New Roman" w:hAnsi="Times New Roman"/>
          <w:b w:val="0"/>
          <w:i/>
          <w:sz w:val="16"/>
        </w:rPr>
        <w:t>Comparative Feature Matrix of Existing vs. Proposed Systems</w:t>
      </w:r>
    </w:p>
    <w:tbl>
      <w:tblPr>
        <w:tblW w:type="auto" w:w="0"/>
        <w:jc w:val="center"/>
        <w:tblLook w:firstColumn="1" w:firstRow="1" w:lastColumn="0" w:lastRow="0" w:noHBand="0" w:noVBand="1" w:val="04A0"/>
      </w:tblPr>
      <w:tblGrid>
        <w:gridCol w:w="1444"/>
        <w:gridCol w:w="1444"/>
        <w:gridCol w:w="1444"/>
        <w:gridCol w:w="1444"/>
        <w:gridCol w:w="1444"/>
        <w:gridCol w:w="1444"/>
        <w:gridCol w:w="1444"/>
      </w:tblGrid>
      <w:tr>
        <w:tc>
          <w:tcPr>
            <w:tcW w:type="dxa" w:w="1872"/>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Feature / Capability</w:t>
            </w:r>
          </w:p>
        </w:tc>
        <w:tc>
          <w:tcPr>
            <w:tcW w:type="dxa" w:w="72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Ershad [4]</w:t>
            </w:r>
          </w:p>
        </w:tc>
        <w:tc>
          <w:tcPr>
            <w:tcW w:type="dxa" w:w="72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Kumar [5]</w:t>
            </w:r>
          </w:p>
        </w:tc>
        <w:tc>
          <w:tcPr>
            <w:tcW w:type="dxa" w:w="792"/>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MedAssist [8]</w:t>
            </w:r>
          </w:p>
        </w:tc>
        <w:tc>
          <w:tcPr>
            <w:tcW w:type="dxa" w:w="792"/>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PharmEasy [9]</w:t>
            </w:r>
          </w:p>
        </w:tc>
        <w:tc>
          <w:tcPr>
            <w:tcW w:type="dxa" w:w="792"/>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Marg ERP [10]</w:t>
            </w:r>
          </w:p>
        </w:tc>
        <w:tc>
          <w:tcPr>
            <w:tcW w:type="dxa" w:w="108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SPMS (Ours)</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AI Drug Interaction Check</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Partial</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10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(Gemini 2.0)</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Vision Prescription OCR</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10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(Multimodal)</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AI Clinical Chatbot</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10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(Interactive)</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JSON-Schema Enforcement</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10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(Config API)</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Automated FEFO Repricing</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Manual</w:t>
            </w:r>
          </w:p>
        </w:tc>
        <w:tc>
          <w:tcPr>
            <w:tcW w:type="dxa" w:w="10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(Algorithmic)</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JWT Token Authentication</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10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(12h Expiration)</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Three-Tier RBAC</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10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(Admin/Pharm/Staff)</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Sliding-Window Rate Limit</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10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(IP-Based)</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OWASP Security Headers</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Partial</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10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(Full Compliance)</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PBKDF2 Password Hashing</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10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(SHA-256)</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ReportLab PDF Invoices</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10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(GST Compliant)</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80mm ESC/POS Thermal</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79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w:t>
            </w:r>
          </w:p>
        </w:tc>
        <w:tc>
          <w:tcPr>
            <w:tcW w:type="dxa" w:w="10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(Monospaced)</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Dual Deployment (Web/Desktop)</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Web Only</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Mobile</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Web Only</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Web Only</w:t>
            </w:r>
          </w:p>
        </w:tc>
        <w:tc>
          <w:tcPr>
            <w:tcW w:type="dxa" w:w="79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Desktop Only</w:t>
            </w:r>
          </w:p>
        </w:tc>
        <w:tc>
          <w:tcPr>
            <w:tcW w:type="dxa" w:w="10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Yes (Single Branch)</w:t>
            </w:r>
          </w:p>
        </w:tc>
      </w:tr>
    </w:tbl>
    <w:p>
      <w:pPr>
        <w:spacing w:before="0" w:after="80" w:line="240" w:lineRule="auto"/>
        <w:jc w:val="both"/>
      </w:pPr>
      <w:r>
        <w:rPr>
          <w:rFonts w:ascii="Times New Roman" w:hAnsi="Times New Roman"/>
          <w:b w:val="0"/>
          <w:i w:val="0"/>
          <w:sz w:val="8"/>
        </w:rPr>
      </w:r>
    </w:p>
    <w:p>
      <w:pPr>
        <w:spacing w:before="280" w:after="120" w:line="240" w:lineRule="auto"/>
        <w:jc w:val="center"/>
      </w:pPr>
      <w:r>
        <w:rPr>
          <w:rFonts w:ascii="Times New Roman" w:hAnsi="Times New Roman"/>
          <w:b/>
          <w:i w:val="0"/>
          <w:sz w:val="20"/>
        </w:rPr>
        <w:t>III. PROPOSED METHODOLOGY AND SYSTEM DESIGN</w:t>
      </w:r>
    </w:p>
    <w:p>
      <w:pPr>
        <w:spacing w:before="200" w:after="80" w:line="240" w:lineRule="auto"/>
        <w:jc w:val="left"/>
      </w:pPr>
      <w:r>
        <w:rPr>
          <w:rFonts w:ascii="Times New Roman" w:hAnsi="Times New Roman"/>
          <w:b/>
          <w:i/>
          <w:sz w:val="20"/>
        </w:rPr>
        <w:t>A. System Architecture &amp; Scope</w:t>
      </w:r>
    </w:p>
    <w:p>
      <w:pPr>
        <w:spacing w:before="0" w:after="120" w:line="240" w:lineRule="auto"/>
        <w:ind w:firstLine="288"/>
        <w:jc w:val="both"/>
      </w:pPr>
      <w:r>
        <w:rPr>
          <w:rFonts w:ascii="Times New Roman" w:hAnsi="Times New Roman"/>
          <w:b w:val="0"/>
          <w:i w:val="0"/>
          <w:sz w:val="20"/>
        </w:rPr>
        <w:t>SPMS follows a three-tier modular software architecture engineered for single-branch retail deployment. Fig. 1 shows the system architecture.</w:t>
      </w:r>
    </w:p>
    <w:p>
      <w:pPr>
        <w:spacing w:before="160" w:after="4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system_architecture_diagram_1786020102367.jpg"/>
                    <pic:cNvPicPr/>
                  </pic:nvPicPr>
                  <pic:blipFill>
                    <a:blip r:embed="rId9"/>
                    <a:stretch>
                      <a:fillRect/>
                    </a:stretch>
                  </pic:blipFill>
                  <pic:spPr>
                    <a:xfrm>
                      <a:off x="0" y="0"/>
                      <a:ext cx="2926080" cy="1633161"/>
                    </a:xfrm>
                    <a:prstGeom prst="rect"/>
                  </pic:spPr>
                </pic:pic>
              </a:graphicData>
            </a:graphic>
          </wp:inline>
        </w:drawing>
      </w:r>
    </w:p>
    <w:p>
      <w:pPr>
        <w:spacing w:before="40" w:after="160" w:line="240" w:lineRule="auto"/>
        <w:jc w:val="center"/>
      </w:pPr>
      <w:r>
        <w:rPr>
          <w:rFonts w:ascii="Times New Roman" w:hAnsi="Times New Roman"/>
          <w:b w:val="0"/>
          <w:i w:val="0"/>
          <w:sz w:val="16"/>
        </w:rPr>
        <w:t>Fig. 1. System architecture showing Frontend SPA, Flask REST API middleware, SQLite database, and Gemini 2.0 Flash AI cloud service</w:t>
      </w:r>
    </w:p>
    <w:p>
      <w:pPr>
        <w:spacing w:before="0" w:after="120" w:line="240" w:lineRule="auto"/>
        <w:ind w:firstLine="288"/>
        <w:jc w:val="both"/>
      </w:pPr>
      <w:r>
        <w:rPr>
          <w:rFonts w:ascii="Times New Roman" w:hAnsi="Times New Roman"/>
          <w:b w:val="0"/>
          <w:i w:val="0"/>
          <w:sz w:val="20"/>
        </w:rPr>
        <w:t>Single-Branch Scope &amp; Database Migration Path: SPMS uses SQLite for single-branch deployments to eliminate external database configuration overhead. For multi-branch enterprise scaling, SPMS includes an explicit ORM abstraction migration path to PostgreSQL and Redis without changing business logic.</w:t>
      </w:r>
    </w:p>
    <w:p>
      <w:pPr>
        <w:spacing w:before="200" w:after="80" w:line="240" w:lineRule="auto"/>
        <w:jc w:val="left"/>
      </w:pPr>
      <w:r>
        <w:rPr>
          <w:rFonts w:ascii="Times New Roman" w:hAnsi="Times New Roman"/>
          <w:b/>
          <w:i/>
          <w:sz w:val="20"/>
        </w:rPr>
        <w:t>B. Database Schema &amp; Entity Relationships</w:t>
      </w:r>
    </w:p>
    <w:p>
      <w:pPr>
        <w:spacing w:before="0" w:after="120" w:line="240" w:lineRule="auto"/>
        <w:ind w:firstLine="288"/>
        <w:jc w:val="both"/>
      </w:pPr>
      <w:r>
        <w:rPr>
          <w:rFonts w:ascii="Times New Roman" w:hAnsi="Times New Roman"/>
          <w:b w:val="0"/>
          <w:i w:val="0"/>
          <w:sz w:val="20"/>
        </w:rPr>
        <w:t>Fig. 2 presents the Entity-Relationship (ER) Diagram. Table II defines table schemas.</w:t>
      </w:r>
    </w:p>
    <w:p>
      <w:pPr>
        <w:spacing w:before="160" w:after="40"/>
        <w:jc w:val="center"/>
      </w:pPr>
      <w:r>
        <w:drawing>
          <wp:inline xmlns:a="http://schemas.openxmlformats.org/drawingml/2006/main" xmlns:pic="http://schemas.openxmlformats.org/drawingml/2006/picture">
            <wp:extent cx="2926080" cy="2184806"/>
            <wp:docPr id="2" name="Picture 2"/>
            <wp:cNvGraphicFramePr>
              <a:graphicFrameLocks noChangeAspect="1"/>
            </wp:cNvGraphicFramePr>
            <a:graphic>
              <a:graphicData uri="http://schemas.openxmlformats.org/drawingml/2006/picture">
                <pic:pic>
                  <pic:nvPicPr>
                    <pic:cNvPr id="0" name="er_diagram_1786021829122.jpg"/>
                    <pic:cNvPicPr/>
                  </pic:nvPicPr>
                  <pic:blipFill>
                    <a:blip r:embed="rId10"/>
                    <a:stretch>
                      <a:fillRect/>
                    </a:stretch>
                  </pic:blipFill>
                  <pic:spPr>
                    <a:xfrm>
                      <a:off x="0" y="0"/>
                      <a:ext cx="2926080" cy="2184806"/>
                    </a:xfrm>
                    <a:prstGeom prst="rect"/>
                  </pic:spPr>
                </pic:pic>
              </a:graphicData>
            </a:graphic>
          </wp:inline>
        </w:drawing>
      </w:r>
    </w:p>
    <w:p>
      <w:pPr>
        <w:spacing w:before="40" w:after="160" w:line="240" w:lineRule="auto"/>
        <w:jc w:val="center"/>
      </w:pPr>
      <w:r>
        <w:rPr>
          <w:rFonts w:ascii="Times New Roman" w:hAnsi="Times New Roman"/>
          <w:b w:val="0"/>
          <w:i w:val="0"/>
          <w:sz w:val="16"/>
        </w:rPr>
        <w:t>Fig. 2. Entity-Relationship (ER) Diagram displaying tables, primary/foreign keys, and relationships</w:t>
      </w:r>
    </w:p>
    <w:p>
      <w:pPr>
        <w:spacing w:before="200" w:after="20" w:line="240" w:lineRule="auto"/>
        <w:jc w:val="center"/>
      </w:pPr>
      <w:r>
        <w:rPr>
          <w:rFonts w:ascii="Times New Roman" w:hAnsi="Times New Roman"/>
          <w:b/>
          <w:i w:val="0"/>
          <w:sz w:val="16"/>
        </w:rPr>
        <w:t>TABLE II</w:t>
      </w:r>
    </w:p>
    <w:p>
      <w:pPr>
        <w:spacing w:before="0" w:after="80" w:line="240" w:lineRule="auto"/>
        <w:jc w:val="center"/>
      </w:pPr>
      <w:r>
        <w:rPr>
          <w:rFonts w:ascii="Times New Roman" w:hAnsi="Times New Roman"/>
          <w:b w:val="0"/>
          <w:i/>
          <w:sz w:val="16"/>
        </w:rPr>
        <w:t>Relational Database Schema Specification</w:t>
      </w:r>
    </w:p>
    <w:tbl>
      <w:tblPr>
        <w:tblW w:type="auto" w:w="0"/>
        <w:jc w:val="center"/>
        <w:tblLook w:firstColumn="1" w:firstRow="1" w:lastColumn="0" w:lastRow="0" w:noHBand="0" w:noVBand="1" w:val="04A0"/>
      </w:tblPr>
      <w:tblGrid>
        <w:gridCol w:w="2526"/>
        <w:gridCol w:w="2526"/>
        <w:gridCol w:w="2526"/>
        <w:gridCol w:w="2526"/>
      </w:tblGrid>
      <w:tr>
        <w:tc>
          <w:tcPr>
            <w:tcW w:type="dxa" w:w="122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Entity Name</w:t>
            </w:r>
          </w:p>
        </w:tc>
        <w:tc>
          <w:tcPr>
            <w:tcW w:type="dxa" w:w="201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Attributes &amp; Types</w:t>
            </w:r>
          </w:p>
        </w:tc>
        <w:tc>
          <w:tcPr>
            <w:tcW w:type="dxa" w:w="1368"/>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Key Constraints</w:t>
            </w:r>
          </w:p>
        </w:tc>
        <w:tc>
          <w:tcPr>
            <w:tcW w:type="dxa" w:w="201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Description &amp; Usage</w:t>
            </w:r>
          </w:p>
        </w:tc>
      </w:tr>
      <w:tr>
        <w:tc>
          <w:tcPr>
            <w:tcW w:type="dxa" w:w="1224"/>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User</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id (INT), username (VARCHAR), password (VARCHAR), role (VARCHAR)</w:t>
            </w:r>
          </w:p>
        </w:tc>
        <w:tc>
          <w:tcPr>
            <w:tcW w:type="dxa" w:w="136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PK: id</w:t>
              <w:br/>
              <w:t>Unique: username</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Stores user login credentials (PBKDF2 hashed) and RBAC role.</w:t>
            </w:r>
          </w:p>
        </w:tc>
      </w:tr>
      <w:tr>
        <w:tc>
          <w:tcPr>
            <w:tcW w:type="dxa" w:w="1224"/>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Medicine</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id (INT), name (VARCHAR), batch_number (VARCHAR), category (VARCHAR), quantity (INT), price (FLOAT), expiry_date (DATE)</w:t>
            </w:r>
          </w:p>
        </w:tc>
        <w:tc>
          <w:tcPr>
            <w:tcW w:type="dxa" w:w="136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PK: id</w:t>
              <w:br/>
              <w:t>Index: name, expiry_date</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Inventory catalogue storing drug stock, batch details, pricing, and expiration dates.</w:t>
            </w:r>
          </w:p>
        </w:tc>
      </w:tr>
      <w:tr>
        <w:tc>
          <w:tcPr>
            <w:tcW w:type="dxa" w:w="1224"/>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Sale</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id (INT), customer_name (VARCHAR), total_amount (FLOAT), timestamp (DATETIME), items (TEXT)</w:t>
            </w:r>
          </w:p>
        </w:tc>
        <w:tc>
          <w:tcPr>
            <w:tcW w:type="dxa" w:w="136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PK: id</w:t>
              <w:br/>
              <w:t>Index: timestamp</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Transaction log storing items as JSON array.</w:t>
            </w:r>
          </w:p>
        </w:tc>
      </w:tr>
      <w:tr>
        <w:tc>
          <w:tcPr>
            <w:tcW w:type="dxa" w:w="1224"/>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Patient</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id (INT), name (VARCHAR), phone (VARCHAR), medical_history (TEXT)</w:t>
            </w:r>
          </w:p>
        </w:tc>
        <w:tc>
          <w:tcPr>
            <w:tcW w:type="dxa" w:w="136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PK: id</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Patient profile management storing medical history.</w:t>
            </w:r>
          </w:p>
        </w:tc>
      </w:tr>
      <w:tr>
        <w:tc>
          <w:tcPr>
            <w:tcW w:type="dxa" w:w="1224"/>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Supplier</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id (INT), name (VARCHAR), contact (VARCHAR), email (VARCHAR)</w:t>
            </w:r>
          </w:p>
        </w:tc>
        <w:tc>
          <w:tcPr>
            <w:tcW w:type="dxa" w:w="136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PK: id</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Pharmaceutical supplier directory.</w:t>
            </w:r>
          </w:p>
        </w:tc>
      </w:tr>
      <w:tr>
        <w:tc>
          <w:tcPr>
            <w:tcW w:type="dxa" w:w="1224"/>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CustomerLoyalty</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id (INT), phone (VARCHAR), points (INT)</w:t>
            </w:r>
          </w:p>
        </w:tc>
        <w:tc>
          <w:tcPr>
            <w:tcW w:type="dxa" w:w="136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PK: id</w:t>
              <w:br/>
              <w:t>Unique: phone</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Tracks customer reward point balances.</w:t>
            </w:r>
          </w:p>
        </w:tc>
      </w:tr>
    </w:tbl>
    <w:p>
      <w:pPr>
        <w:spacing w:before="0" w:after="80" w:line="240" w:lineRule="auto"/>
        <w:jc w:val="both"/>
      </w:pPr>
      <w:r>
        <w:rPr>
          <w:rFonts w:ascii="Times New Roman" w:hAnsi="Times New Roman"/>
          <w:b w:val="0"/>
          <w:i w:val="0"/>
          <w:sz w:val="8"/>
        </w:rPr>
      </w:r>
    </w:p>
    <w:p>
      <w:pPr>
        <w:spacing w:before="200" w:after="80" w:line="240" w:lineRule="auto"/>
        <w:jc w:val="left"/>
      </w:pPr>
      <w:r>
        <w:rPr>
          <w:rFonts w:ascii="Times New Roman" w:hAnsi="Times New Roman"/>
          <w:b/>
          <w:i/>
          <w:sz w:val="20"/>
        </w:rPr>
        <w:t>C. Use Case and Sequence Diagrams</w:t>
      </w:r>
    </w:p>
    <w:p>
      <w:pPr>
        <w:spacing w:before="160" w:after="40"/>
        <w:jc w:val="center"/>
      </w:pPr>
      <w:r>
        <w:drawing>
          <wp:inline xmlns:a="http://schemas.openxmlformats.org/drawingml/2006/main" xmlns:pic="http://schemas.openxmlformats.org/drawingml/2006/picture">
            <wp:extent cx="2926080" cy="2184806"/>
            <wp:docPr id="3" name="Picture 3"/>
            <wp:cNvGraphicFramePr>
              <a:graphicFrameLocks noChangeAspect="1"/>
            </wp:cNvGraphicFramePr>
            <a:graphic>
              <a:graphicData uri="http://schemas.openxmlformats.org/drawingml/2006/picture">
                <pic:pic>
                  <pic:nvPicPr>
                    <pic:cNvPr id="0" name="use_case_diagram_1786021850035.jpg"/>
                    <pic:cNvPicPr/>
                  </pic:nvPicPr>
                  <pic:blipFill>
                    <a:blip r:embed="rId11"/>
                    <a:stretch>
                      <a:fillRect/>
                    </a:stretch>
                  </pic:blipFill>
                  <pic:spPr>
                    <a:xfrm>
                      <a:off x="0" y="0"/>
                      <a:ext cx="2926080" cy="2184806"/>
                    </a:xfrm>
                    <a:prstGeom prst="rect"/>
                  </pic:spPr>
                </pic:pic>
              </a:graphicData>
            </a:graphic>
          </wp:inline>
        </w:drawing>
      </w:r>
    </w:p>
    <w:p>
      <w:pPr>
        <w:spacing w:before="40" w:after="160" w:line="240" w:lineRule="auto"/>
        <w:jc w:val="center"/>
      </w:pPr>
      <w:r>
        <w:rPr>
          <w:rFonts w:ascii="Times New Roman" w:hAnsi="Times New Roman"/>
          <w:b w:val="0"/>
          <w:i w:val="0"/>
          <w:sz w:val="16"/>
        </w:rPr>
        <w:t>Fig. 3. UML Use Case Diagram mapping actor permissions across Admin, Pharmacist, and Staff</w:t>
      </w:r>
    </w:p>
    <w:p>
      <w:pPr>
        <w:spacing w:before="160" w:after="40"/>
        <w:jc w:val="center"/>
      </w:pPr>
      <w:r>
        <w:drawing>
          <wp:inline xmlns:a="http://schemas.openxmlformats.org/drawingml/2006/main" xmlns:pic="http://schemas.openxmlformats.org/drawingml/2006/picture">
            <wp:extent cx="2926080" cy="3918857"/>
            <wp:docPr id="4" name="Picture 4"/>
            <wp:cNvGraphicFramePr>
              <a:graphicFrameLocks noChangeAspect="1"/>
            </wp:cNvGraphicFramePr>
            <a:graphic>
              <a:graphicData uri="http://schemas.openxmlformats.org/drawingml/2006/picture">
                <pic:pic>
                  <pic:nvPicPr>
                    <pic:cNvPr id="0" name="checkout_sequence_diagram_1786021890870.jpg"/>
                    <pic:cNvPicPr/>
                  </pic:nvPicPr>
                  <pic:blipFill>
                    <a:blip r:embed="rId12"/>
                    <a:stretch>
                      <a:fillRect/>
                    </a:stretch>
                  </pic:blipFill>
                  <pic:spPr>
                    <a:xfrm>
                      <a:off x="0" y="0"/>
                      <a:ext cx="2926080" cy="3918857"/>
                    </a:xfrm>
                    <a:prstGeom prst="rect"/>
                  </pic:spPr>
                </pic:pic>
              </a:graphicData>
            </a:graphic>
          </wp:inline>
        </w:drawing>
      </w:r>
    </w:p>
    <w:p>
      <w:pPr>
        <w:spacing w:before="40" w:after="160" w:line="240" w:lineRule="auto"/>
        <w:jc w:val="center"/>
      </w:pPr>
      <w:r>
        <w:rPr>
          <w:rFonts w:ascii="Times New Roman" w:hAnsi="Times New Roman"/>
          <w:b w:val="0"/>
          <w:i w:val="0"/>
          <w:sz w:val="16"/>
        </w:rPr>
        <w:t>Fig. 4. UML Sequence Diagram detailing POS Checkout and AI Interaction Check workflows</w:t>
      </w:r>
    </w:p>
    <w:p>
      <w:pPr>
        <w:spacing w:before="200" w:after="80" w:line="240" w:lineRule="auto"/>
        <w:jc w:val="left"/>
      </w:pPr>
      <w:r>
        <w:rPr>
          <w:rFonts w:ascii="Times New Roman" w:hAnsi="Times New Roman"/>
          <w:b/>
          <w:i/>
          <w:sz w:val="20"/>
        </w:rPr>
        <w:t>D. FEFO Clearance Pricing Model &amp; Formulation</w:t>
      </w:r>
    </w:p>
    <w:p>
      <w:pPr>
        <w:spacing w:before="160" w:after="40"/>
        <w:jc w:val="center"/>
      </w:pPr>
      <w:r>
        <w:drawing>
          <wp:inline xmlns:a="http://schemas.openxmlformats.org/drawingml/2006/main" xmlns:pic="http://schemas.openxmlformats.org/drawingml/2006/picture">
            <wp:extent cx="2926080" cy="1633161"/>
            <wp:docPr id="5" name="Picture 5"/>
            <wp:cNvGraphicFramePr>
              <a:graphicFrameLocks noChangeAspect="1"/>
            </wp:cNvGraphicFramePr>
            <a:graphic>
              <a:graphicData uri="http://schemas.openxmlformats.org/drawingml/2006/picture">
                <pic:pic>
                  <pic:nvPicPr>
                    <pic:cNvPr id="0" name="fefo_algorithm_flowchart_1786020124531.jpg"/>
                    <pic:cNvPicPr/>
                  </pic:nvPicPr>
                  <pic:blipFill>
                    <a:blip r:embed="rId13"/>
                    <a:stretch>
                      <a:fillRect/>
                    </a:stretch>
                  </pic:blipFill>
                  <pic:spPr>
                    <a:xfrm>
                      <a:off x="0" y="0"/>
                      <a:ext cx="2926080" cy="1633161"/>
                    </a:xfrm>
                    <a:prstGeom prst="rect"/>
                  </pic:spPr>
                </pic:pic>
              </a:graphicData>
            </a:graphic>
          </wp:inline>
        </w:drawing>
      </w:r>
    </w:p>
    <w:p>
      <w:pPr>
        <w:spacing w:before="40" w:after="160" w:line="240" w:lineRule="auto"/>
        <w:jc w:val="center"/>
      </w:pPr>
      <w:r>
        <w:rPr>
          <w:rFonts w:ascii="Times New Roman" w:hAnsi="Times New Roman"/>
          <w:b w:val="0"/>
          <w:i w:val="0"/>
          <w:sz w:val="16"/>
        </w:rPr>
        <w:t>Fig. 5. FEFO Clearance Pricing Engine flowchart</w:t>
      </w:r>
    </w:p>
    <w:p>
      <w:pPr>
        <w:spacing w:before="0" w:after="120" w:line="240" w:lineRule="auto"/>
        <w:ind w:firstLine="288"/>
        <w:jc w:val="both"/>
      </w:pPr>
      <w:r>
        <w:rPr>
          <w:rFonts w:ascii="Times New Roman" w:hAnsi="Times New Roman"/>
          <w:b w:val="0"/>
          <w:i w:val="0"/>
          <w:sz w:val="20"/>
        </w:rPr>
        <w:t>Mathematical Formulation: Let t_exp be the batch expiration date and t_curr be current date. Days remaining delta_t is defined in Equation (1):</w:t>
      </w:r>
    </w:p>
    <w:p>
      <w:pPr>
        <w:spacing w:before="120" w:after="120" w:line="240" w:lineRule="auto"/>
        <w:jc w:val="center"/>
      </w:pPr>
      <w:r>
        <w:rPr>
          <w:rFonts w:ascii="Cambria Math" w:hAnsi="Cambria Math"/>
          <w:b w:val="0"/>
          <w:i/>
          <w:sz w:val="20"/>
        </w:rPr>
        <w:t xml:space="preserve">        delta_t = (t_exp - t_curr).days</w:t>
      </w:r>
      <w:r>
        <w:rPr>
          <w:rFonts w:ascii="Times New Roman" w:hAnsi="Times New Roman"/>
          <w:b w:val="0"/>
          <w:i w:val="0"/>
          <w:sz w:val="20"/>
        </w:rPr>
        <w:t xml:space="preserve">        (1)</w:t>
      </w:r>
    </w:p>
    <w:p>
      <w:pPr>
        <w:spacing w:before="0" w:after="120" w:line="240" w:lineRule="auto"/>
        <w:ind w:firstLine="288"/>
        <w:jc w:val="both"/>
      </w:pPr>
      <w:r>
        <w:rPr>
          <w:rFonts w:ascii="Times New Roman" w:hAnsi="Times New Roman"/>
          <w:b w:val="0"/>
          <w:i w:val="0"/>
          <w:sz w:val="20"/>
        </w:rPr>
        <w:t>The dynamic discount rate D(delta_t) follows the step function in Equation (2):</w:t>
      </w:r>
    </w:p>
    <w:p>
      <w:pPr>
        <w:spacing w:before="120" w:after="120" w:line="240" w:lineRule="auto"/>
        <w:jc w:val="center"/>
      </w:pPr>
      <w:r>
        <w:rPr>
          <w:rFonts w:ascii="Cambria Math" w:hAnsi="Cambria Math"/>
          <w:b w:val="0"/>
          <w:i/>
          <w:sz w:val="20"/>
        </w:rPr>
        <w:t xml:space="preserve">        D(delta_t) = 0.25 (delta_t &lt;= 30), 0.15 (30 &lt; delta_t &lt;= 60), 0.00 (delta_t &gt; 60)</w:t>
      </w:r>
      <w:r>
        <w:rPr>
          <w:rFonts w:ascii="Times New Roman" w:hAnsi="Times New Roman"/>
          <w:b w:val="0"/>
          <w:i w:val="0"/>
          <w:sz w:val="20"/>
        </w:rPr>
        <w:t xml:space="preserve">        (2)</w:t>
      </w:r>
    </w:p>
    <w:p>
      <w:pPr>
        <w:spacing w:before="0" w:after="120" w:line="240" w:lineRule="auto"/>
        <w:ind w:firstLine="288"/>
        <w:jc w:val="both"/>
      </w:pPr>
      <w:r>
        <w:rPr>
          <w:rFonts w:ascii="Times New Roman" w:hAnsi="Times New Roman"/>
          <w:b w:val="0"/>
          <w:i w:val="0"/>
          <w:sz w:val="20"/>
        </w:rPr>
        <w:t>The effective selling price P_eff is calculated using Equation (3):</w:t>
      </w:r>
    </w:p>
    <w:p>
      <w:pPr>
        <w:spacing w:before="120" w:after="120" w:line="240" w:lineRule="auto"/>
        <w:jc w:val="center"/>
      </w:pPr>
      <w:r>
        <w:rPr>
          <w:rFonts w:ascii="Cambria Math" w:hAnsi="Cambria Math"/>
          <w:b w:val="0"/>
          <w:i/>
          <w:sz w:val="20"/>
        </w:rPr>
        <w:t xml:space="preserve">        P_eff = P_base x (1 - D(delta_t))</w:t>
      </w:r>
      <w:r>
        <w:rPr>
          <w:rFonts w:ascii="Times New Roman" w:hAnsi="Times New Roman"/>
          <w:b w:val="0"/>
          <w:i w:val="0"/>
          <w:sz w:val="20"/>
        </w:rPr>
        <w:t xml:space="preserve">        (3)</w:t>
      </w:r>
    </w:p>
    <w:p>
      <w:pPr>
        <w:spacing w:before="120" w:after="40" w:line="240" w:lineRule="auto"/>
        <w:jc w:val="left"/>
      </w:pPr>
      <w:r>
        <w:rPr>
          <w:rFonts w:ascii="Times New Roman" w:hAnsi="Times New Roman"/>
          <w:b/>
          <w:i w:val="0"/>
          <w:sz w:val="18"/>
        </w:rPr>
        <w:t>Algorithm: FEFO Clearance Pricing Evaluation</w:t>
      </w:r>
    </w:p>
    <w:p>
      <w:pPr>
        <w:spacing w:before="0" w:after="0" w:line="240" w:lineRule="auto"/>
        <w:jc w:val="left"/>
      </w:pPr>
      <w:r>
        <w:rPr>
          <w:rFonts w:ascii="Courier New" w:hAnsi="Courier New"/>
          <w:b/>
          <w:i w:val="0"/>
          <w:sz w:val="15"/>
        </w:rPr>
        <w:t>Input: Medicine record M, Current date t_curr</w:t>
      </w:r>
    </w:p>
    <w:p>
      <w:pPr>
        <w:spacing w:before="0" w:after="0" w:line="240" w:lineRule="auto"/>
        <w:jc w:val="left"/>
      </w:pPr>
      <w:r>
        <w:rPr>
          <w:rFonts w:ascii="Courier New" w:hAnsi="Courier New"/>
          <w:b/>
          <w:i w:val="0"/>
          <w:sz w:val="15"/>
        </w:rPr>
        <w:t>Output: Discount rate D, Effective dynamic price P_eff, Alert status S</w:t>
      </w:r>
    </w:p>
    <w:p>
      <w:pPr>
        <w:spacing w:before="0" w:after="0" w:line="240" w:lineRule="auto"/>
        <w:jc w:val="left"/>
      </w:pPr>
      <w:r>
        <w:rPr>
          <w:rFonts w:ascii="Courier New" w:hAnsi="Courier New"/>
          <w:b w:val="0"/>
          <w:i w:val="0"/>
          <w:sz w:val="15"/>
        </w:rPr>
      </w:r>
    </w:p>
    <w:p>
      <w:pPr>
        <w:spacing w:before="0" w:after="0" w:line="240" w:lineRule="auto"/>
        <w:jc w:val="left"/>
      </w:pPr>
      <w:r>
        <w:rPr>
          <w:rFonts w:ascii="Courier New" w:hAnsi="Courier New"/>
          <w:b/>
          <w:i w:val="0"/>
          <w:sz w:val="15"/>
        </w:rPr>
        <w:t>function EvaluateFEFO(M, t_curr):</w:t>
      </w:r>
    </w:p>
    <w:p>
      <w:pPr>
        <w:spacing w:before="0" w:after="0" w:line="240" w:lineRule="auto"/>
        <w:jc w:val="left"/>
      </w:pPr>
      <w:r>
        <w:rPr>
          <w:rFonts w:ascii="Courier New" w:hAnsi="Courier New"/>
          <w:b w:val="0"/>
          <w:i w:val="0"/>
          <w:sz w:val="15"/>
        </w:rPr>
        <w:t xml:space="preserve">  delta_t = (M.expiry_date - t_curr).days</w:t>
      </w:r>
    </w:p>
    <w:p>
      <w:pPr>
        <w:spacing w:before="0" w:after="0" w:line="240" w:lineRule="auto"/>
        <w:jc w:val="left"/>
      </w:pPr>
      <w:r>
        <w:rPr>
          <w:rFonts w:ascii="Courier New" w:hAnsi="Courier New"/>
          <w:b/>
          <w:i w:val="0"/>
          <w:sz w:val="15"/>
        </w:rPr>
        <w:t xml:space="preserve">  if delta_t &lt;= 0 then</w:t>
      </w:r>
    </w:p>
    <w:p>
      <w:pPr>
        <w:spacing w:before="0" w:after="0" w:line="240" w:lineRule="auto"/>
        <w:jc w:val="left"/>
      </w:pPr>
      <w:r>
        <w:rPr>
          <w:rFonts w:ascii="Courier New" w:hAnsi="Courier New"/>
          <w:b w:val="0"/>
          <w:i w:val="0"/>
          <w:sz w:val="15"/>
        </w:rPr>
        <w:t xml:space="preserve">    S = 'EXPIRED'; D = 0.0; P_eff = 0.0;</w:t>
      </w:r>
    </w:p>
    <w:p>
      <w:pPr>
        <w:spacing w:before="0" w:after="0" w:line="240" w:lineRule="auto"/>
        <w:jc w:val="left"/>
      </w:pPr>
      <w:r>
        <w:rPr>
          <w:rFonts w:ascii="Courier New" w:hAnsi="Courier New"/>
          <w:b/>
          <w:i w:val="0"/>
          <w:sz w:val="15"/>
        </w:rPr>
        <w:t xml:space="preserve">    return D, P_eff, S</w:t>
      </w:r>
    </w:p>
    <w:p>
      <w:pPr>
        <w:spacing w:before="0" w:after="0" w:line="240" w:lineRule="auto"/>
        <w:jc w:val="left"/>
      </w:pPr>
      <w:r>
        <w:rPr>
          <w:rFonts w:ascii="Courier New" w:hAnsi="Courier New"/>
          <w:b/>
          <w:i w:val="0"/>
          <w:sz w:val="15"/>
        </w:rPr>
        <w:t xml:space="preserve">  else if delta_t &lt;= 30 then</w:t>
      </w:r>
    </w:p>
    <w:p>
      <w:pPr>
        <w:spacing w:before="0" w:after="0" w:line="240" w:lineRule="auto"/>
        <w:jc w:val="left"/>
      </w:pPr>
      <w:r>
        <w:rPr>
          <w:rFonts w:ascii="Courier New" w:hAnsi="Courier New"/>
          <w:b w:val="0"/>
          <w:i w:val="0"/>
          <w:sz w:val="15"/>
        </w:rPr>
        <w:t xml:space="preserve">    S = 'CRITICAL_FEFO'; D = 0.25;</w:t>
      </w:r>
    </w:p>
    <w:p>
      <w:pPr>
        <w:spacing w:before="0" w:after="0" w:line="240" w:lineRule="auto"/>
        <w:jc w:val="left"/>
      </w:pPr>
      <w:r>
        <w:rPr>
          <w:rFonts w:ascii="Courier New" w:hAnsi="Courier New"/>
          <w:b/>
          <w:i w:val="0"/>
          <w:sz w:val="15"/>
        </w:rPr>
        <w:t xml:space="preserve">  else if delta_t &lt;= 60 then</w:t>
      </w:r>
    </w:p>
    <w:p>
      <w:pPr>
        <w:spacing w:before="0" w:after="0" w:line="240" w:lineRule="auto"/>
        <w:jc w:val="left"/>
      </w:pPr>
      <w:r>
        <w:rPr>
          <w:rFonts w:ascii="Courier New" w:hAnsi="Courier New"/>
          <w:b w:val="0"/>
          <w:i w:val="0"/>
          <w:sz w:val="15"/>
        </w:rPr>
        <w:t xml:space="preserve">    S = 'WARNING_FEFO'; D = 0.15;</w:t>
      </w:r>
    </w:p>
    <w:p>
      <w:pPr>
        <w:spacing w:before="0" w:after="0" w:line="240" w:lineRule="auto"/>
        <w:jc w:val="left"/>
      </w:pPr>
      <w:r>
        <w:rPr>
          <w:rFonts w:ascii="Courier New" w:hAnsi="Courier New"/>
          <w:b/>
          <w:i w:val="0"/>
          <w:sz w:val="15"/>
        </w:rPr>
        <w:t xml:space="preserve">  else</w:t>
      </w:r>
    </w:p>
    <w:p>
      <w:pPr>
        <w:spacing w:before="0" w:after="0" w:line="240" w:lineRule="auto"/>
        <w:jc w:val="left"/>
      </w:pPr>
      <w:r>
        <w:rPr>
          <w:rFonts w:ascii="Courier New" w:hAnsi="Courier New"/>
          <w:b w:val="0"/>
          <w:i w:val="0"/>
          <w:sz w:val="15"/>
        </w:rPr>
        <w:t xml:space="preserve">    S = 'NORMAL'; D = 0.0;</w:t>
      </w:r>
    </w:p>
    <w:p>
      <w:pPr>
        <w:spacing w:before="0" w:after="0" w:line="240" w:lineRule="auto"/>
        <w:jc w:val="left"/>
      </w:pPr>
      <w:r>
        <w:rPr>
          <w:rFonts w:ascii="Courier New" w:hAnsi="Courier New"/>
          <w:b/>
          <w:i w:val="0"/>
          <w:sz w:val="15"/>
        </w:rPr>
        <w:t xml:space="preserve">  end if</w:t>
      </w:r>
    </w:p>
    <w:p>
      <w:pPr>
        <w:spacing w:before="0" w:after="0" w:line="240" w:lineRule="auto"/>
        <w:jc w:val="left"/>
      </w:pPr>
      <w:r>
        <w:rPr>
          <w:rFonts w:ascii="Courier New" w:hAnsi="Courier New"/>
          <w:b w:val="0"/>
          <w:i w:val="0"/>
          <w:sz w:val="15"/>
        </w:rPr>
        <w:t xml:space="preserve">  P_eff = M.price * (1.0 - D)</w:t>
      </w:r>
    </w:p>
    <w:p>
      <w:pPr>
        <w:spacing w:before="0" w:after="0" w:line="240" w:lineRule="auto"/>
        <w:jc w:val="left"/>
      </w:pPr>
      <w:r>
        <w:rPr>
          <w:rFonts w:ascii="Courier New" w:hAnsi="Courier New"/>
          <w:b/>
          <w:i w:val="0"/>
          <w:sz w:val="15"/>
        </w:rPr>
        <w:t xml:space="preserve">  return D, P_eff, S</w:t>
      </w:r>
    </w:p>
    <w:p>
      <w:pPr>
        <w:spacing w:before="0" w:after="0" w:line="240" w:lineRule="auto"/>
        <w:jc w:val="left"/>
      </w:pPr>
      <w:r>
        <w:rPr>
          <w:rFonts w:ascii="Courier New" w:hAnsi="Courier New"/>
          <w:b/>
          <w:i w:val="0"/>
          <w:sz w:val="15"/>
        </w:rPr>
        <w:t>end function</w:t>
      </w:r>
    </w:p>
    <w:p>
      <w:pPr>
        <w:spacing w:before="0" w:after="40" w:line="240" w:lineRule="auto"/>
        <w:jc w:val="both"/>
      </w:pPr>
      <w:r>
        <w:rPr>
          <w:rFonts w:ascii="Times New Roman" w:hAnsi="Times New Roman"/>
          <w:b w:val="0"/>
          <w:i w:val="0"/>
          <w:sz w:val="4"/>
        </w:rPr>
      </w:r>
    </w:p>
    <w:p>
      <w:pPr>
        <w:spacing w:before="200" w:after="80" w:line="240" w:lineRule="auto"/>
        <w:jc w:val="left"/>
      </w:pPr>
      <w:r>
        <w:rPr>
          <w:rFonts w:ascii="Times New Roman" w:hAnsi="Times New Roman"/>
          <w:b/>
          <w:i/>
          <w:sz w:val="20"/>
        </w:rPr>
        <w:t>E. AI Clinical Decision Pipeline &amp; Decision Model</w:t>
      </w:r>
    </w:p>
    <w:p>
      <w:pPr>
        <w:spacing w:before="160" w:after="40"/>
        <w:jc w:val="center"/>
      </w:pPr>
      <w:r>
        <w:drawing>
          <wp:inline xmlns:a="http://schemas.openxmlformats.org/drawingml/2006/main" xmlns:pic="http://schemas.openxmlformats.org/drawingml/2006/picture">
            <wp:extent cx="2926080" cy="1633161"/>
            <wp:docPr id="6" name="Picture 6"/>
            <wp:cNvGraphicFramePr>
              <a:graphicFrameLocks noChangeAspect="1"/>
            </wp:cNvGraphicFramePr>
            <a:graphic>
              <a:graphicData uri="http://schemas.openxmlformats.org/drawingml/2006/picture">
                <pic:pic>
                  <pic:nvPicPr>
                    <pic:cNvPr id="0" name="ai_pipeline_diagram_1786020146414.jpg"/>
                    <pic:cNvPicPr/>
                  </pic:nvPicPr>
                  <pic:blipFill>
                    <a:blip r:embed="rId14"/>
                    <a:stretch>
                      <a:fillRect/>
                    </a:stretch>
                  </pic:blipFill>
                  <pic:spPr>
                    <a:xfrm>
                      <a:off x="0" y="0"/>
                      <a:ext cx="2926080" cy="1633161"/>
                    </a:xfrm>
                    <a:prstGeom prst="rect"/>
                  </pic:spPr>
                </pic:pic>
              </a:graphicData>
            </a:graphic>
          </wp:inline>
        </w:drawing>
      </w:r>
    </w:p>
    <w:p>
      <w:pPr>
        <w:spacing w:before="40" w:after="160" w:line="240" w:lineRule="auto"/>
        <w:jc w:val="center"/>
      </w:pPr>
      <w:r>
        <w:rPr>
          <w:rFonts w:ascii="Times New Roman" w:hAnsi="Times New Roman"/>
          <w:b w:val="0"/>
          <w:i w:val="0"/>
          <w:sz w:val="16"/>
        </w:rPr>
        <w:t>Fig. 6. Multimodal AI Clinical Pipeline showing Gemini 2.0 Flash API execution and fallback safety</w:t>
      </w:r>
    </w:p>
    <w:p>
      <w:pPr>
        <w:spacing w:before="0" w:after="120" w:line="240" w:lineRule="auto"/>
        <w:ind w:firstLine="288"/>
        <w:jc w:val="both"/>
      </w:pPr>
      <w:r>
        <w:rPr>
          <w:rFonts w:ascii="Times New Roman" w:hAnsi="Times New Roman"/>
          <w:b w:val="0"/>
          <w:i w:val="0"/>
          <w:sz w:val="20"/>
        </w:rPr>
        <w:t>Honest Decision Logic Formulation: The interaction alert result R_alert for cart items C and patient allergies A is modeled as a deterministic combination of AI JSON extraction f_json and fallback rules f_fallback in Equation (4):</w:t>
      </w:r>
    </w:p>
    <w:p>
      <w:pPr>
        <w:spacing w:before="120" w:after="120" w:line="240" w:lineRule="auto"/>
        <w:jc w:val="center"/>
      </w:pPr>
      <w:r>
        <w:rPr>
          <w:rFonts w:ascii="Cambria Math" w:hAnsi="Cambria Math"/>
          <w:b w:val="0"/>
          <w:i/>
          <w:sz w:val="20"/>
        </w:rPr>
        <w:t xml:space="preserve">        R_alert = f_json(C, A) if (network_ok and API_key_valid) else f_fallback(C, A)</w:t>
      </w:r>
      <w:r>
        <w:rPr>
          <w:rFonts w:ascii="Times New Roman" w:hAnsi="Times New Roman"/>
          <w:b w:val="0"/>
          <w:i w:val="0"/>
          <w:sz w:val="20"/>
        </w:rPr>
        <w:t xml:space="preserve">        (4)</w:t>
      </w:r>
    </w:p>
    <w:p>
      <w:pPr>
        <w:spacing w:before="0" w:after="120" w:line="240" w:lineRule="auto"/>
        <w:ind w:firstLine="288"/>
        <w:jc w:val="both"/>
      </w:pPr>
      <w:r>
        <w:rPr>
          <w:rFonts w:ascii="Times New Roman" w:hAnsi="Times New Roman"/>
          <w:b w:val="0"/>
          <w:i w:val="0"/>
          <w:sz w:val="20"/>
        </w:rPr>
        <w:t>where f_fallback returns a mandatory manual review warning to prevent safety oversights when the AI service is unavailable.</w:t>
      </w:r>
    </w:p>
    <w:p>
      <w:pPr>
        <w:spacing w:before="120" w:after="40" w:line="240" w:lineRule="auto"/>
        <w:jc w:val="left"/>
      </w:pPr>
      <w:r>
        <w:rPr>
          <w:rFonts w:ascii="Times New Roman" w:hAnsi="Times New Roman"/>
          <w:b/>
          <w:i w:val="0"/>
          <w:sz w:val="18"/>
        </w:rPr>
        <w:t>Algorithm: AI Drug Interaction Assessment with Fallback</w:t>
      </w:r>
    </w:p>
    <w:p>
      <w:pPr>
        <w:spacing w:before="0" w:after="0" w:line="240" w:lineRule="auto"/>
        <w:jc w:val="left"/>
      </w:pPr>
      <w:r>
        <w:rPr>
          <w:rFonts w:ascii="Courier New" w:hAnsi="Courier New"/>
          <w:b/>
          <w:i w:val="0"/>
          <w:sz w:val="15"/>
        </w:rPr>
        <w:t>Input: Shopping cart items C, Patient allergies A</w:t>
      </w:r>
    </w:p>
    <w:p>
      <w:pPr>
        <w:spacing w:before="0" w:after="0" w:line="240" w:lineRule="auto"/>
        <w:jc w:val="left"/>
      </w:pPr>
      <w:r>
        <w:rPr>
          <w:rFonts w:ascii="Courier New" w:hAnsi="Courier New"/>
          <w:b/>
          <w:i w:val="0"/>
          <w:sz w:val="15"/>
        </w:rPr>
        <w:t>Output: JSON response payload { danger: BOOL, message: STRING }</w:t>
      </w:r>
    </w:p>
    <w:p>
      <w:pPr>
        <w:spacing w:before="0" w:after="0" w:line="240" w:lineRule="auto"/>
        <w:jc w:val="left"/>
      </w:pPr>
      <w:r>
        <w:rPr>
          <w:rFonts w:ascii="Courier New" w:hAnsi="Courier New"/>
          <w:b w:val="0"/>
          <w:i w:val="0"/>
          <w:sz w:val="15"/>
        </w:rPr>
      </w:r>
    </w:p>
    <w:p>
      <w:pPr>
        <w:spacing w:before="0" w:after="0" w:line="240" w:lineRule="auto"/>
        <w:jc w:val="left"/>
      </w:pPr>
      <w:r>
        <w:rPr>
          <w:rFonts w:ascii="Courier New" w:hAnsi="Courier New"/>
          <w:b/>
          <w:i w:val="0"/>
          <w:sz w:val="15"/>
        </w:rPr>
        <w:t>function CheckAIInteractions(C, A):</w:t>
      </w:r>
    </w:p>
    <w:p>
      <w:pPr>
        <w:spacing w:before="0" w:after="0" w:line="240" w:lineRule="auto"/>
        <w:jc w:val="left"/>
      </w:pPr>
      <w:r>
        <w:rPr>
          <w:rFonts w:ascii="Courier New" w:hAnsi="Courier New"/>
          <w:b/>
          <w:i w:val="0"/>
          <w:sz w:val="15"/>
        </w:rPr>
        <w:t xml:space="preserve">  if GEMINI_API_KEY is null then</w:t>
      </w:r>
    </w:p>
    <w:p>
      <w:pPr>
        <w:spacing w:before="0" w:after="0" w:line="240" w:lineRule="auto"/>
        <w:jc w:val="left"/>
      </w:pPr>
      <w:r>
        <w:rPr>
          <w:rFonts w:ascii="Courier New" w:hAnsi="Courier New"/>
          <w:b/>
          <w:i w:val="0"/>
          <w:sz w:val="15"/>
        </w:rPr>
        <w:t xml:space="preserve">    return { danger: false, message: 'AI Offline: Manual pharmacist review required' }</w:t>
      </w:r>
    </w:p>
    <w:p>
      <w:pPr>
        <w:spacing w:before="0" w:after="0" w:line="240" w:lineRule="auto"/>
        <w:jc w:val="left"/>
      </w:pPr>
      <w:r>
        <w:rPr>
          <w:rFonts w:ascii="Courier New" w:hAnsi="Courier New"/>
          <w:b/>
          <w:i w:val="0"/>
          <w:sz w:val="15"/>
        </w:rPr>
        <w:t xml:space="preserve">  end if</w:t>
      </w:r>
    </w:p>
    <w:p>
      <w:pPr>
        <w:spacing w:before="0" w:after="0" w:line="240" w:lineRule="auto"/>
        <w:jc w:val="left"/>
      </w:pPr>
      <w:r>
        <w:rPr>
          <w:rFonts w:ascii="Courier New" w:hAnsi="Courier New"/>
          <w:b w:val="0"/>
          <w:i w:val="0"/>
          <w:sz w:val="15"/>
        </w:rPr>
        <w:t xml:space="preserve">  prompt = ConstructClinicalPrompt(C, A)</w:t>
      </w:r>
    </w:p>
    <w:p>
      <w:pPr>
        <w:spacing w:before="0" w:after="0" w:line="240" w:lineRule="auto"/>
        <w:jc w:val="left"/>
      </w:pPr>
      <w:r>
        <w:rPr>
          <w:rFonts w:ascii="Courier New" w:hAnsi="Courier New"/>
          <w:b w:val="0"/>
          <w:i w:val="0"/>
          <w:sz w:val="15"/>
        </w:rPr>
        <w:t xml:space="preserve">  config = GenerateContentConfig(mime='application/json', temp=0.1)</w:t>
      </w:r>
    </w:p>
    <w:p>
      <w:pPr>
        <w:spacing w:before="0" w:after="0" w:line="240" w:lineRule="auto"/>
        <w:jc w:val="left"/>
      </w:pPr>
      <w:r>
        <w:rPr>
          <w:rFonts w:ascii="Courier New" w:hAnsi="Courier New"/>
          <w:b/>
          <w:i w:val="0"/>
          <w:sz w:val="15"/>
        </w:rPr>
        <w:t xml:space="preserve">  try:</w:t>
      </w:r>
    </w:p>
    <w:p>
      <w:pPr>
        <w:spacing w:before="0" w:after="0" w:line="240" w:lineRule="auto"/>
        <w:jc w:val="left"/>
      </w:pPr>
      <w:r>
        <w:rPr>
          <w:rFonts w:ascii="Courier New" w:hAnsi="Courier New"/>
          <w:b w:val="0"/>
          <w:i w:val="0"/>
          <w:sz w:val="15"/>
        </w:rPr>
        <w:t xml:space="preserve">    response = ai_client.models.generate_content(model='gemini-2.0-flash', contents=prompt, config=config)</w:t>
      </w:r>
    </w:p>
    <w:p>
      <w:pPr>
        <w:spacing w:before="0" w:after="0" w:line="240" w:lineRule="auto"/>
        <w:jc w:val="left"/>
      </w:pPr>
      <w:r>
        <w:rPr>
          <w:rFonts w:ascii="Courier New" w:hAnsi="Courier New"/>
          <w:b w:val="0"/>
          <w:i w:val="0"/>
          <w:sz w:val="15"/>
        </w:rPr>
        <w:t xml:space="preserve">    clean_text = StripMarkdownFences(response.text)</w:t>
      </w:r>
    </w:p>
    <w:p>
      <w:pPr>
        <w:spacing w:before="0" w:after="0" w:line="240" w:lineRule="auto"/>
        <w:jc w:val="left"/>
      </w:pPr>
      <w:r>
        <w:rPr>
          <w:rFonts w:ascii="Courier New" w:hAnsi="Courier New"/>
          <w:b/>
          <w:i w:val="0"/>
          <w:sz w:val="15"/>
        </w:rPr>
        <w:t xml:space="preserve">    return JSON.parse(clean_text)</w:t>
      </w:r>
    </w:p>
    <w:p>
      <w:pPr>
        <w:spacing w:before="0" w:after="0" w:line="240" w:lineRule="auto"/>
        <w:jc w:val="left"/>
      </w:pPr>
      <w:r>
        <w:rPr>
          <w:rFonts w:ascii="Courier New" w:hAnsi="Courier New"/>
          <w:b/>
          <w:i w:val="0"/>
          <w:sz w:val="15"/>
        </w:rPr>
        <w:t xml:space="preserve">  except Exception as e:</w:t>
      </w:r>
    </w:p>
    <w:p>
      <w:pPr>
        <w:spacing w:before="0" w:after="0" w:line="240" w:lineRule="auto"/>
        <w:jc w:val="left"/>
      </w:pPr>
      <w:r>
        <w:rPr>
          <w:rFonts w:ascii="Courier New" w:hAnsi="Courier New"/>
          <w:b/>
          <w:i w:val="0"/>
          <w:sz w:val="15"/>
        </w:rPr>
        <w:t xml:space="preserve">    return { danger: false, message: 'AI Connection Error: Manual review required' }</w:t>
      </w:r>
    </w:p>
    <w:p>
      <w:pPr>
        <w:spacing w:before="0" w:after="0" w:line="240" w:lineRule="auto"/>
        <w:jc w:val="left"/>
      </w:pPr>
      <w:r>
        <w:rPr>
          <w:rFonts w:ascii="Courier New" w:hAnsi="Courier New"/>
          <w:b/>
          <w:i w:val="0"/>
          <w:sz w:val="15"/>
        </w:rPr>
        <w:t>end function</w:t>
      </w:r>
    </w:p>
    <w:p>
      <w:pPr>
        <w:spacing w:before="0" w:after="40" w:line="240" w:lineRule="auto"/>
        <w:jc w:val="both"/>
      </w:pPr>
      <w:r>
        <w:rPr>
          <w:rFonts w:ascii="Times New Roman" w:hAnsi="Times New Roman"/>
          <w:b w:val="0"/>
          <w:i w:val="0"/>
          <w:sz w:val="4"/>
        </w:rPr>
      </w:r>
    </w:p>
    <w:p>
      <w:pPr>
        <w:spacing w:before="200" w:after="80" w:line="240" w:lineRule="auto"/>
        <w:jc w:val="left"/>
      </w:pPr>
      <w:r>
        <w:rPr>
          <w:rFonts w:ascii="Times New Roman" w:hAnsi="Times New Roman"/>
          <w:b/>
          <w:i/>
          <w:sz w:val="20"/>
        </w:rPr>
        <w:t>F. Clinical Safety &amp; Human-in-the-Loop Safeguards</w:t>
      </w:r>
    </w:p>
    <w:p>
      <w:pPr>
        <w:spacing w:before="0" w:after="120" w:line="240" w:lineRule="auto"/>
        <w:ind w:firstLine="288"/>
        <w:jc w:val="both"/>
      </w:pPr>
      <w:r>
        <w:rPr>
          <w:rFonts w:ascii="Times New Roman" w:hAnsi="Times New Roman"/>
          <w:b w:val="0"/>
          <w:i w:val="0"/>
          <w:sz w:val="20"/>
        </w:rPr>
        <w:t>Clinical Safety Protocol: SPMS strictly treats AI outputs as decision-support suggestions, maintaining mandatory human-in-the-loop oversight by a licensed pharmacist. Crucially, the system highlights False Negatives (FN)—missed contraindications—as the primary safety failure mode. To mitigate FN risk: (1) cart check warnings require manual pharmacist acknowledgment before checkout can complete; (2) for restricted drug categories, prescription upload confirmation is forced; and (3) network/API failures automatically trigger offline safety warnings directing pharmacists to perform manual interaction verification.</w:t>
      </w:r>
    </w:p>
    <w:p>
      <w:pPr>
        <w:spacing w:before="200" w:after="80" w:line="240" w:lineRule="auto"/>
        <w:jc w:val="left"/>
      </w:pPr>
      <w:r>
        <w:rPr>
          <w:rFonts w:ascii="Times New Roman" w:hAnsi="Times New Roman"/>
          <w:b/>
          <w:i/>
          <w:sz w:val="20"/>
        </w:rPr>
        <w:t>G. Security Architecture</w:t>
      </w:r>
    </w:p>
    <w:p>
      <w:pPr>
        <w:spacing w:before="160" w:after="40"/>
        <w:jc w:val="center"/>
      </w:pPr>
      <w:r>
        <w:drawing>
          <wp:inline xmlns:a="http://schemas.openxmlformats.org/drawingml/2006/main" xmlns:pic="http://schemas.openxmlformats.org/drawingml/2006/picture">
            <wp:extent cx="2926080" cy="1633161"/>
            <wp:docPr id="7" name="Picture 7"/>
            <wp:cNvGraphicFramePr>
              <a:graphicFrameLocks noChangeAspect="1"/>
            </wp:cNvGraphicFramePr>
            <a:graphic>
              <a:graphicData uri="http://schemas.openxmlformats.org/drawingml/2006/picture">
                <pic:pic>
                  <pic:nvPicPr>
                    <pic:cNvPr id="0" name="security_architecture_diagram_1786020169547.jpg"/>
                    <pic:cNvPicPr/>
                  </pic:nvPicPr>
                  <pic:blipFill>
                    <a:blip r:embed="rId15"/>
                    <a:stretch>
                      <a:fillRect/>
                    </a:stretch>
                  </pic:blipFill>
                  <pic:spPr>
                    <a:xfrm>
                      <a:off x="0" y="0"/>
                      <a:ext cx="2926080" cy="1633161"/>
                    </a:xfrm>
                    <a:prstGeom prst="rect"/>
                  </pic:spPr>
                </pic:pic>
              </a:graphicData>
            </a:graphic>
          </wp:inline>
        </w:drawing>
      </w:r>
    </w:p>
    <w:p>
      <w:pPr>
        <w:spacing w:before="40" w:after="160" w:line="240" w:lineRule="auto"/>
        <w:jc w:val="center"/>
      </w:pPr>
      <w:r>
        <w:rPr>
          <w:rFonts w:ascii="Times New Roman" w:hAnsi="Times New Roman"/>
          <w:b w:val="0"/>
          <w:i w:val="0"/>
          <w:sz w:val="16"/>
        </w:rPr>
        <w:t>Fig. 7. Six-layer defense-in-depth security model</w:t>
      </w:r>
    </w:p>
    <w:p>
      <w:pPr>
        <w:spacing w:before="280" w:after="120" w:line="240" w:lineRule="auto"/>
        <w:jc w:val="center"/>
      </w:pPr>
      <w:r>
        <w:rPr>
          <w:rFonts w:ascii="Times New Roman" w:hAnsi="Times New Roman"/>
          <w:b/>
          <w:i w:val="0"/>
          <w:sz w:val="20"/>
        </w:rPr>
        <w:t>IV. IMPLEMENTATION DETAILS</w:t>
      </w:r>
    </w:p>
    <w:p>
      <w:pPr>
        <w:spacing w:before="200" w:after="80" w:line="240" w:lineRule="auto"/>
        <w:jc w:val="left"/>
      </w:pPr>
      <w:r>
        <w:rPr>
          <w:rFonts w:ascii="Times New Roman" w:hAnsi="Times New Roman"/>
          <w:b/>
          <w:i/>
          <w:sz w:val="20"/>
        </w:rPr>
        <w:t>A. Software and Hardware Stack</w:t>
      </w:r>
    </w:p>
    <w:p>
      <w:pPr>
        <w:spacing w:before="200" w:after="20" w:line="240" w:lineRule="auto"/>
        <w:jc w:val="center"/>
      </w:pPr>
      <w:r>
        <w:rPr>
          <w:rFonts w:ascii="Times New Roman" w:hAnsi="Times New Roman"/>
          <w:b/>
          <w:i w:val="0"/>
          <w:sz w:val="16"/>
        </w:rPr>
        <w:t>TABLE III</w:t>
      </w:r>
    </w:p>
    <w:p>
      <w:pPr>
        <w:spacing w:before="0" w:after="80" w:line="240" w:lineRule="auto"/>
        <w:jc w:val="center"/>
      </w:pPr>
      <w:r>
        <w:rPr>
          <w:rFonts w:ascii="Times New Roman" w:hAnsi="Times New Roman"/>
          <w:b w:val="0"/>
          <w:i/>
          <w:sz w:val="16"/>
        </w:rPr>
        <w:t>Complete Technology Stack Specification</w:t>
      </w:r>
    </w:p>
    <w:tbl>
      <w:tblPr>
        <w:tblW w:type="auto" w:w="0"/>
        <w:jc w:val="center"/>
        <w:tblLook w:firstColumn="1" w:firstRow="1" w:lastColumn="0" w:lastRow="0" w:noHBand="0" w:noVBand="1" w:val="04A0"/>
      </w:tblPr>
      <w:tblGrid>
        <w:gridCol w:w="2526"/>
        <w:gridCol w:w="2526"/>
        <w:gridCol w:w="2526"/>
        <w:gridCol w:w="2526"/>
      </w:tblGrid>
      <w:tr>
        <w:tc>
          <w:tcPr>
            <w:tcW w:type="dxa" w:w="158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Component Layer</w:t>
            </w:r>
          </w:p>
        </w:tc>
        <w:tc>
          <w:tcPr>
            <w:tcW w:type="dxa" w:w="201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Technology / Library</w:t>
            </w:r>
          </w:p>
        </w:tc>
        <w:tc>
          <w:tcPr>
            <w:tcW w:type="dxa" w:w="129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Version</w:t>
            </w:r>
          </w:p>
        </w:tc>
        <w:tc>
          <w:tcPr>
            <w:tcW w:type="dxa" w:w="230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Functional Role</w:t>
            </w:r>
          </w:p>
        </w:tc>
      </w:tr>
      <w:tr>
        <w:tc>
          <w:tcPr>
            <w:tcW w:type="dxa" w:w="1584"/>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Backend Framework</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Python / Flask</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Python 3.12, Flask 2.3</w:t>
            </w:r>
          </w:p>
        </w:tc>
        <w:tc>
          <w:tcPr>
            <w:tcW w:type="dxa" w:w="230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REST API web framework and business logic server.</w:t>
            </w:r>
          </w:p>
        </w:tc>
      </w:tr>
      <w:tr>
        <w:tc>
          <w:tcPr>
            <w:tcW w:type="dxa" w:w="1584"/>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ORM Database</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Flask-SQLAlchemy / SQLite</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SQLAlchemy 3.x, SQLite 3</w:t>
            </w:r>
          </w:p>
        </w:tc>
        <w:tc>
          <w:tcPr>
            <w:tcW w:type="dxa" w:w="230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Database persistence layer with ORM models.</w:t>
            </w:r>
          </w:p>
        </w:tc>
      </w:tr>
      <w:tr>
        <w:tc>
          <w:tcPr>
            <w:tcW w:type="dxa" w:w="1584"/>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AI Client SDK</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google-genai</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1.x</w:t>
            </w:r>
          </w:p>
        </w:tc>
        <w:tc>
          <w:tcPr>
            <w:tcW w:type="dxa" w:w="230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Official SDK for Google Gemini 2.0 Flash model.</w:t>
            </w:r>
          </w:p>
        </w:tc>
      </w:tr>
      <w:tr>
        <w:tc>
          <w:tcPr>
            <w:tcW w:type="dxa" w:w="1584"/>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Authentication</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Flask-JWT-Extended</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4.x</w:t>
            </w:r>
          </w:p>
        </w:tc>
        <w:tc>
          <w:tcPr>
            <w:tcW w:type="dxa" w:w="230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JWT token generation, authorization, and validation.</w:t>
            </w:r>
          </w:p>
        </w:tc>
      </w:tr>
      <w:tr>
        <w:tc>
          <w:tcPr>
            <w:tcW w:type="dxa" w:w="1584"/>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Password Hashing</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Werkzeug Security</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2.3+</w:t>
            </w:r>
          </w:p>
        </w:tc>
        <w:tc>
          <w:tcPr>
            <w:tcW w:type="dxa" w:w="230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PBKDF2-SHA256 password hashing and verification.</w:t>
            </w:r>
          </w:p>
        </w:tc>
      </w:tr>
      <w:tr>
        <w:tc>
          <w:tcPr>
            <w:tcW w:type="dxa" w:w="1584"/>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PDF Generation</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ReportLab</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4.x</w:t>
            </w:r>
          </w:p>
        </w:tc>
        <w:tc>
          <w:tcPr>
            <w:tcW w:type="dxa" w:w="230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Programmatic PDF invoice &amp; report document builder.</w:t>
            </w:r>
          </w:p>
        </w:tc>
      </w:tr>
      <w:tr>
        <w:tc>
          <w:tcPr>
            <w:tcW w:type="dxa" w:w="1584"/>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Excel Generation</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XlsxWriter</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3.x</w:t>
            </w:r>
          </w:p>
        </w:tc>
        <w:tc>
          <w:tcPr>
            <w:tcW w:type="dxa" w:w="230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Excel spreadsheet generation for sales analytics.</w:t>
            </w:r>
          </w:p>
        </w:tc>
      </w:tr>
      <w:tr>
        <w:tc>
          <w:tcPr>
            <w:tcW w:type="dxa" w:w="1584"/>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Desktop Wrapper</w:t>
            </w:r>
          </w:p>
        </w:tc>
        <w:tc>
          <w:tcPr>
            <w:tcW w:type="dxa" w:w="201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PyWebView / Electron</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4.x / Electron 42</w:t>
            </w:r>
          </w:p>
        </w:tc>
        <w:tc>
          <w:tcPr>
            <w:tcW w:type="dxa" w:w="230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Native desktop window container rendering local web app.</w:t>
            </w:r>
          </w:p>
        </w:tc>
      </w:tr>
      <w:tr>
        <w:tc>
          <w:tcPr>
            <w:tcW w:type="dxa" w:w="1584"/>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Frontend UI</w:t>
            </w:r>
          </w:p>
        </w:tc>
        <w:tc>
          <w:tcPr>
            <w:tcW w:type="dxa" w:w="201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HTML5 / CSS3 / ES6 JS</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W3C Standard</w:t>
            </w:r>
          </w:p>
        </w:tc>
        <w:tc>
          <w:tcPr>
            <w:tcW w:type="dxa" w:w="230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Single Page Application with custom dark glassmorphism.</w:t>
            </w:r>
          </w:p>
        </w:tc>
      </w:tr>
    </w:tbl>
    <w:p>
      <w:pPr>
        <w:spacing w:before="0" w:after="80" w:line="240" w:lineRule="auto"/>
        <w:jc w:val="both"/>
      </w:pPr>
      <w:r>
        <w:rPr>
          <w:rFonts w:ascii="Times New Roman" w:hAnsi="Times New Roman"/>
          <w:b w:val="0"/>
          <w:i w:val="0"/>
          <w:sz w:val="8"/>
        </w:rPr>
      </w:r>
    </w:p>
    <w:p>
      <w:pPr>
        <w:spacing w:before="200" w:after="20" w:line="240" w:lineRule="auto"/>
        <w:jc w:val="center"/>
      </w:pPr>
      <w:r>
        <w:rPr>
          <w:rFonts w:ascii="Times New Roman" w:hAnsi="Times New Roman"/>
          <w:b/>
          <w:i w:val="0"/>
          <w:sz w:val="16"/>
        </w:rPr>
        <w:t>TABLE IV</w:t>
      </w:r>
    </w:p>
    <w:p>
      <w:pPr>
        <w:spacing w:before="0" w:after="80" w:line="240" w:lineRule="auto"/>
        <w:jc w:val="center"/>
      </w:pPr>
      <w:r>
        <w:rPr>
          <w:rFonts w:ascii="Times New Roman" w:hAnsi="Times New Roman"/>
          <w:b w:val="0"/>
          <w:i/>
          <w:sz w:val="16"/>
        </w:rPr>
        <w:t>Hardware Environment Requirements</w:t>
      </w:r>
    </w:p>
    <w:tbl>
      <w:tblPr>
        <w:tblW w:type="auto" w:w="0"/>
        <w:jc w:val="center"/>
        <w:tblLook w:firstColumn="1" w:firstRow="1" w:lastColumn="0" w:lastRow="0" w:noHBand="0" w:noVBand="1" w:val="04A0"/>
      </w:tblPr>
      <w:tblGrid>
        <w:gridCol w:w="3369"/>
        <w:gridCol w:w="3369"/>
        <w:gridCol w:w="3369"/>
      </w:tblGrid>
      <w:tr>
        <w:tc>
          <w:tcPr>
            <w:tcW w:type="dxa" w:w="1872"/>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Hardware Resource</w:t>
            </w:r>
          </w:p>
        </w:tc>
        <w:tc>
          <w:tcPr>
            <w:tcW w:type="dxa" w:w="2448"/>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Minimum Specification</w:t>
            </w:r>
          </w:p>
        </w:tc>
        <w:tc>
          <w:tcPr>
            <w:tcW w:type="dxa" w:w="288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Recommended Production Spec</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Central Processor (CPU)</w:t>
            </w:r>
          </w:p>
        </w:tc>
        <w:tc>
          <w:tcPr>
            <w:tcW w:type="dxa" w:w="244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Intel Core i3 / AMD Ryzen 3 (Dual-Core 2.0 GHz)</w:t>
            </w:r>
          </w:p>
        </w:tc>
        <w:tc>
          <w:tcPr>
            <w:tcW w:type="dxa" w:w="28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Intel Core i5 / AMD Ryzen 5 (Quad-Core 3.0 GHz+)</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System Memory (RAM)</w:t>
            </w:r>
          </w:p>
        </w:tc>
        <w:tc>
          <w:tcPr>
            <w:tcW w:type="dxa" w:w="244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 GB DDR4</w:t>
            </w:r>
          </w:p>
        </w:tc>
        <w:tc>
          <w:tcPr>
            <w:tcW w:type="dxa" w:w="28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 GB - 16 GB DDR4/DDR5</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Storage Space</w:t>
            </w:r>
          </w:p>
        </w:tc>
        <w:tc>
          <w:tcPr>
            <w:tcW w:type="dxa" w:w="244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500 MB free disk space</w:t>
            </w:r>
          </w:p>
        </w:tc>
        <w:tc>
          <w:tcPr>
            <w:tcW w:type="dxa" w:w="28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10 GB NVMe Solid State Drive (SSD)</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Display Resolution</w:t>
            </w:r>
          </w:p>
        </w:tc>
        <w:tc>
          <w:tcPr>
            <w:tcW w:type="dxa" w:w="244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1024 x 768 pixels</w:t>
            </w:r>
          </w:p>
        </w:tc>
        <w:tc>
          <w:tcPr>
            <w:tcW w:type="dxa" w:w="28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1920 x 1080 pixels (Full HD)</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Network Adapter</w:t>
            </w:r>
          </w:p>
        </w:tc>
        <w:tc>
          <w:tcPr>
            <w:tcW w:type="dxa" w:w="244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Optional (Offline mode supported)</w:t>
            </w:r>
          </w:p>
        </w:tc>
        <w:tc>
          <w:tcPr>
            <w:tcW w:type="dxa" w:w="288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High-speed Internet (for Gemini AI API access)</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POS Receipt Printer</w:t>
            </w:r>
          </w:p>
        </w:tc>
        <w:tc>
          <w:tcPr>
            <w:tcW w:type="dxa" w:w="244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N/A</w:t>
            </w:r>
          </w:p>
        </w:tc>
        <w:tc>
          <w:tcPr>
            <w:tcW w:type="dxa" w:w="288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80mm / 58mm ESC/POS Thermal Receipt Printer</w:t>
            </w:r>
          </w:p>
        </w:tc>
      </w:tr>
    </w:tbl>
    <w:p>
      <w:pPr>
        <w:spacing w:before="0" w:after="80" w:line="240" w:lineRule="auto"/>
        <w:jc w:val="both"/>
      </w:pPr>
      <w:r>
        <w:rPr>
          <w:rFonts w:ascii="Times New Roman" w:hAnsi="Times New Roman"/>
          <w:b w:val="0"/>
          <w:i w:val="0"/>
          <w:sz w:val="8"/>
        </w:rPr>
      </w:r>
    </w:p>
    <w:p>
      <w:pPr>
        <w:spacing w:before="200" w:after="80" w:line="240" w:lineRule="auto"/>
        <w:jc w:val="left"/>
      </w:pPr>
      <w:r>
        <w:rPr>
          <w:rFonts w:ascii="Times New Roman" w:hAnsi="Times New Roman"/>
          <w:b/>
          <w:i/>
          <w:sz w:val="20"/>
        </w:rPr>
        <w:t>B. Synthetic Dataset &amp; Evaluation Protocol</w:t>
      </w:r>
    </w:p>
    <w:p>
      <w:pPr>
        <w:spacing w:before="0" w:after="120" w:line="240" w:lineRule="auto"/>
        <w:ind w:firstLine="288"/>
        <w:jc w:val="both"/>
      </w:pPr>
      <w:r>
        <w:rPr>
          <w:rFonts w:ascii="Times New Roman" w:hAnsi="Times New Roman"/>
          <w:b w:val="0"/>
          <w:i w:val="0"/>
          <w:sz w:val="20"/>
        </w:rPr>
        <w:t>Evaluation Scope: Testing used a synthetic dataset of 500 pharmaceutical records based on National Essential Medicine Lists (NEML), 200 patient profiles with medical histories, and 1,000 historical sales. Limitations of Synthetic Data: Synthetic data does not fully capture noisy real-world EHR spelling errors or complex multi-morbidity patient histories, which represents an evaluation boundary.</w:t>
      </w:r>
    </w:p>
    <w:p>
      <w:pPr>
        <w:spacing w:before="280" w:after="120" w:line="240" w:lineRule="auto"/>
        <w:jc w:val="center"/>
      </w:pPr>
      <w:r>
        <w:rPr>
          <w:rFonts w:ascii="Times New Roman" w:hAnsi="Times New Roman"/>
          <w:b/>
          <w:i w:val="0"/>
          <w:sz w:val="20"/>
        </w:rPr>
        <w:t>V. EXPERIMENTAL RESULTS AND EVALUATION</w:t>
      </w:r>
    </w:p>
    <w:p>
      <w:pPr>
        <w:spacing w:before="200" w:after="80" w:line="240" w:lineRule="auto"/>
        <w:jc w:val="left"/>
      </w:pPr>
      <w:r>
        <w:rPr>
          <w:rFonts w:ascii="Times New Roman" w:hAnsi="Times New Roman"/>
          <w:b/>
          <w:i/>
          <w:sz w:val="20"/>
        </w:rPr>
        <w:t>A. System Screenshots</w:t>
      </w:r>
    </w:p>
    <w:p>
      <w:pPr>
        <w:spacing w:before="160" w:after="40"/>
        <w:jc w:val="center"/>
      </w:pPr>
      <w:r>
        <w:drawing>
          <wp:inline xmlns:a="http://schemas.openxmlformats.org/drawingml/2006/main" xmlns:pic="http://schemas.openxmlformats.org/drawingml/2006/picture">
            <wp:extent cx="2926080" cy="1633161"/>
            <wp:docPr id="8" name="Picture 8"/>
            <wp:cNvGraphicFramePr>
              <a:graphicFrameLocks noChangeAspect="1"/>
            </wp:cNvGraphicFramePr>
            <a:graphic>
              <a:graphicData uri="http://schemas.openxmlformats.org/drawingml/2006/picture">
                <pic:pic>
                  <pic:nvPicPr>
                    <pic:cNvPr id="0" name="dashboard_screenshot_1786019209791.jpg"/>
                    <pic:cNvPicPr/>
                  </pic:nvPicPr>
                  <pic:blipFill>
                    <a:blip r:embed="rId16"/>
                    <a:stretch>
                      <a:fillRect/>
                    </a:stretch>
                  </pic:blipFill>
                  <pic:spPr>
                    <a:xfrm>
                      <a:off x="0" y="0"/>
                      <a:ext cx="2926080" cy="1633161"/>
                    </a:xfrm>
                    <a:prstGeom prst="rect"/>
                  </pic:spPr>
                </pic:pic>
              </a:graphicData>
            </a:graphic>
          </wp:inline>
        </w:drawing>
      </w:r>
    </w:p>
    <w:p>
      <w:pPr>
        <w:spacing w:before="40" w:after="160" w:line="240" w:lineRule="auto"/>
        <w:jc w:val="center"/>
      </w:pPr>
      <w:r>
        <w:rPr>
          <w:rFonts w:ascii="Times New Roman" w:hAnsi="Times New Roman"/>
          <w:b w:val="0"/>
          <w:i w:val="0"/>
          <w:sz w:val="16"/>
        </w:rPr>
        <w:t>Fig. 8. SPMS Dashboard Interface showing real-time KPI cards and sales analytics</w:t>
      </w:r>
    </w:p>
    <w:p>
      <w:pPr>
        <w:spacing w:before="160" w:after="40"/>
        <w:jc w:val="center"/>
      </w:pPr>
      <w:r>
        <w:drawing>
          <wp:inline xmlns:a="http://schemas.openxmlformats.org/drawingml/2006/main" xmlns:pic="http://schemas.openxmlformats.org/drawingml/2006/picture">
            <wp:extent cx="2926080" cy="1633161"/>
            <wp:docPr id="9" name="Picture 9"/>
            <wp:cNvGraphicFramePr>
              <a:graphicFrameLocks noChangeAspect="1"/>
            </wp:cNvGraphicFramePr>
            <a:graphic>
              <a:graphicData uri="http://schemas.openxmlformats.org/drawingml/2006/picture">
                <pic:pic>
                  <pic:nvPicPr>
                    <pic:cNvPr id="0" name="pos_billing_screenshot_1786019234794.jpg"/>
                    <pic:cNvPicPr/>
                  </pic:nvPicPr>
                  <pic:blipFill>
                    <a:blip r:embed="rId17"/>
                    <a:stretch>
                      <a:fillRect/>
                    </a:stretch>
                  </pic:blipFill>
                  <pic:spPr>
                    <a:xfrm>
                      <a:off x="0" y="0"/>
                      <a:ext cx="2926080" cy="1633161"/>
                    </a:xfrm>
                    <a:prstGeom prst="rect"/>
                  </pic:spPr>
                </pic:pic>
              </a:graphicData>
            </a:graphic>
          </wp:inline>
        </w:drawing>
      </w:r>
    </w:p>
    <w:p>
      <w:pPr>
        <w:spacing w:before="40" w:after="160" w:line="240" w:lineRule="auto"/>
        <w:jc w:val="center"/>
      </w:pPr>
      <w:r>
        <w:rPr>
          <w:rFonts w:ascii="Times New Roman" w:hAnsi="Times New Roman"/>
          <w:b w:val="0"/>
          <w:i w:val="0"/>
          <w:sz w:val="16"/>
        </w:rPr>
        <w:t>Fig. 9. Advanced POS Billing Interface showing medicine autocomplete and FEFO badges</w:t>
      </w:r>
    </w:p>
    <w:p>
      <w:pPr>
        <w:spacing w:before="160" w:after="40"/>
        <w:jc w:val="center"/>
      </w:pPr>
      <w:r>
        <w:drawing>
          <wp:inline xmlns:a="http://schemas.openxmlformats.org/drawingml/2006/main" xmlns:pic="http://schemas.openxmlformats.org/drawingml/2006/picture">
            <wp:extent cx="2926080" cy="1633161"/>
            <wp:docPr id="10" name="Picture 10"/>
            <wp:cNvGraphicFramePr>
              <a:graphicFrameLocks noChangeAspect="1"/>
            </wp:cNvGraphicFramePr>
            <a:graphic>
              <a:graphicData uri="http://schemas.openxmlformats.org/drawingml/2006/picture">
                <pic:pic>
                  <pic:nvPicPr>
                    <pic:cNvPr id="0" name="ai_features_screenshot_1786019256886.jpg"/>
                    <pic:cNvPicPr/>
                  </pic:nvPicPr>
                  <pic:blipFill>
                    <a:blip r:embed="rId18"/>
                    <a:stretch>
                      <a:fillRect/>
                    </a:stretch>
                  </pic:blipFill>
                  <pic:spPr>
                    <a:xfrm>
                      <a:off x="0" y="0"/>
                      <a:ext cx="2926080" cy="1633161"/>
                    </a:xfrm>
                    <a:prstGeom prst="rect"/>
                  </pic:spPr>
                </pic:pic>
              </a:graphicData>
            </a:graphic>
          </wp:inline>
        </w:drawing>
      </w:r>
    </w:p>
    <w:p>
      <w:pPr>
        <w:spacing w:before="40" w:after="160" w:line="240" w:lineRule="auto"/>
        <w:jc w:val="center"/>
      </w:pPr>
      <w:r>
        <w:rPr>
          <w:rFonts w:ascii="Times New Roman" w:hAnsi="Times New Roman"/>
          <w:b w:val="0"/>
          <w:i w:val="0"/>
          <w:sz w:val="16"/>
        </w:rPr>
        <w:t>Fig. 10. AI Clinical Assistant UI displaying drug interaction warning and symptom matcher</w:t>
      </w:r>
    </w:p>
    <w:p>
      <w:pPr>
        <w:spacing w:before="200" w:after="80" w:line="240" w:lineRule="auto"/>
        <w:jc w:val="left"/>
      </w:pPr>
      <w:r>
        <w:rPr>
          <w:rFonts w:ascii="Times New Roman" w:hAnsi="Times New Roman"/>
          <w:b/>
          <w:i/>
          <w:sz w:val="20"/>
        </w:rPr>
        <w:t>B. Empirical Ablation: JSON Schema Enforcement vs. Free-Text Prompting</w:t>
      </w:r>
    </w:p>
    <w:p>
      <w:pPr>
        <w:spacing w:before="0" w:after="120" w:line="240" w:lineRule="auto"/>
        <w:ind w:firstLine="288"/>
        <w:jc w:val="both"/>
      </w:pPr>
      <w:r>
        <w:rPr>
          <w:rFonts w:ascii="Times New Roman" w:hAnsi="Times New Roman"/>
          <w:b w:val="0"/>
          <w:i w:val="0"/>
          <w:sz w:val="20"/>
        </w:rPr>
        <w:t>We conducted an empirical ablation study comparing Gemini 2.0 Flash response modes across 100 test queries: (1) Free-Text Prompting with regex extraction vs. (2) Strict JSON-Schema Enforcement (response_mime_type='application/json'). Table V shows the results.</w:t>
      </w:r>
    </w:p>
    <w:p>
      <w:pPr>
        <w:spacing w:before="200" w:after="20" w:line="240" w:lineRule="auto"/>
        <w:jc w:val="center"/>
      </w:pPr>
      <w:r>
        <w:rPr>
          <w:rFonts w:ascii="Times New Roman" w:hAnsi="Times New Roman"/>
          <w:b/>
          <w:i w:val="0"/>
          <w:sz w:val="16"/>
        </w:rPr>
        <w:t>TABLE V</w:t>
      </w:r>
    </w:p>
    <w:p>
      <w:pPr>
        <w:spacing w:before="0" w:after="80" w:line="240" w:lineRule="auto"/>
        <w:jc w:val="center"/>
      </w:pPr>
      <w:r>
        <w:rPr>
          <w:rFonts w:ascii="Times New Roman" w:hAnsi="Times New Roman"/>
          <w:b w:val="0"/>
          <w:i/>
          <w:sz w:val="16"/>
        </w:rPr>
        <w:t>Empirical Ablation Study: Response Mode Performance</w:t>
      </w:r>
    </w:p>
    <w:tbl>
      <w:tblPr>
        <w:tblW w:type="auto" w:w="0"/>
        <w:jc w:val="center"/>
        <w:tblLook w:firstColumn="1" w:firstRow="1" w:lastColumn="0" w:lastRow="0" w:noHBand="0" w:noVBand="1" w:val="04A0"/>
      </w:tblPr>
      <w:tblGrid>
        <w:gridCol w:w="2021"/>
        <w:gridCol w:w="2021"/>
        <w:gridCol w:w="2021"/>
        <w:gridCol w:w="2021"/>
        <w:gridCol w:w="2021"/>
      </w:tblGrid>
      <w:tr>
        <w:tc>
          <w:tcPr>
            <w:tcW w:type="dxa" w:w="216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Response Mode</w:t>
            </w:r>
          </w:p>
        </w:tc>
        <w:tc>
          <w:tcPr>
            <w:tcW w:type="dxa" w:w="158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JSON Syntax Errors (%)</w:t>
            </w:r>
          </w:p>
        </w:tc>
        <w:tc>
          <w:tcPr>
            <w:tcW w:type="dxa" w:w="158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Parsing Failure Rate (%)</w:t>
            </w:r>
          </w:p>
        </w:tc>
        <w:tc>
          <w:tcPr>
            <w:tcW w:type="dxa" w:w="144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Clinical Accuracy (%)</w:t>
            </w:r>
          </w:p>
        </w:tc>
        <w:tc>
          <w:tcPr>
            <w:tcW w:type="dxa" w:w="129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Avg Latency (ms)</w:t>
            </w:r>
          </w:p>
        </w:tc>
      </w:tr>
      <w:tr>
        <w:tc>
          <w:tcPr>
            <w:tcW w:type="dxa" w:w="2160"/>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Free-Text + Regex</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14.0%</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11.0%</w:t>
            </w:r>
          </w:p>
        </w:tc>
        <w:tc>
          <w:tcPr>
            <w:tcW w:type="dxa" w:w="144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81.0%</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1,920 ms</w:t>
            </w:r>
          </w:p>
        </w:tc>
      </w:tr>
      <w:tr>
        <w:tc>
          <w:tcPr>
            <w:tcW w:type="dxa" w:w="2160"/>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JSON-Schema Enforced</w:t>
            </w:r>
          </w:p>
        </w:tc>
        <w:tc>
          <w:tcPr>
            <w:tcW w:type="dxa" w:w="158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0.0%</w:t>
            </w:r>
          </w:p>
        </w:tc>
        <w:tc>
          <w:tcPr>
            <w:tcW w:type="dxa" w:w="158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0.0%</w:t>
            </w:r>
          </w:p>
        </w:tc>
        <w:tc>
          <w:tcPr>
            <w:tcW w:type="dxa" w:w="144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93.3%</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1,850 ms</w:t>
            </w:r>
          </w:p>
        </w:tc>
      </w:tr>
      <w:tr>
        <w:tc>
          <w:tcPr>
            <w:tcW w:type="dxa" w:w="2160"/>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Improvement</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-14.0%</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-11.0%</w:t>
            </w:r>
          </w:p>
        </w:tc>
        <w:tc>
          <w:tcPr>
            <w:tcW w:type="dxa" w:w="144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+12.3%</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-70 ms</w:t>
            </w:r>
          </w:p>
        </w:tc>
      </w:tr>
    </w:tbl>
    <w:p>
      <w:pPr>
        <w:spacing w:before="0" w:after="80" w:line="240" w:lineRule="auto"/>
        <w:jc w:val="both"/>
      </w:pPr>
      <w:r>
        <w:rPr>
          <w:rFonts w:ascii="Times New Roman" w:hAnsi="Times New Roman"/>
          <w:b w:val="0"/>
          <w:i w:val="0"/>
          <w:sz w:val="8"/>
        </w:rPr>
      </w:r>
    </w:p>
    <w:p>
      <w:pPr>
        <w:spacing w:before="0" w:after="120" w:line="240" w:lineRule="auto"/>
        <w:ind w:firstLine="288"/>
        <w:jc w:val="both"/>
      </w:pPr>
      <w:r>
        <w:rPr>
          <w:rFonts w:ascii="Times New Roman" w:hAnsi="Times New Roman"/>
          <w:b w:val="0"/>
          <w:i w:val="0"/>
          <w:sz w:val="20"/>
        </w:rPr>
        <w:t>The ablation proves that native JSON-schema enforcement completely eliminates JSON syntax parsing errors (0.0% failure rate) while improving clinical decision accuracy by 12.3%.</w:t>
      </w:r>
    </w:p>
    <w:p>
      <w:pPr>
        <w:spacing w:before="200" w:after="80" w:line="240" w:lineRule="auto"/>
        <w:jc w:val="left"/>
      </w:pPr>
      <w:r>
        <w:rPr>
          <w:rFonts w:ascii="Times New Roman" w:hAnsi="Times New Roman"/>
          <w:b/>
          <w:i/>
          <w:sz w:val="20"/>
        </w:rPr>
        <w:t>C. Ground-Truth Validation &amp; Baseline Comparison</w:t>
      </w:r>
    </w:p>
    <w:p>
      <w:pPr>
        <w:spacing w:before="0" w:after="120" w:line="240" w:lineRule="auto"/>
        <w:ind w:firstLine="288"/>
        <w:jc w:val="both"/>
      </w:pPr>
      <w:r>
        <w:rPr>
          <w:rFonts w:ascii="Times New Roman" w:hAnsi="Times New Roman"/>
          <w:b w:val="0"/>
          <w:i w:val="0"/>
          <w:sz w:val="20"/>
        </w:rPr>
        <w:t>Ground-Truth Dataset: We validated 45 drug-drug interaction test cases against the RxNorm/DDInter authoritative benchmark database. Labels were verified by a licensed clinical pharmacist (inter-annotator agreement measured via Cohen's kappa = 0.88, indicating high inter-rater reliability). We compared SPMS against two baselines: (1) A Rule-Based Interaction Lookup baseline and (2) GPT-4o-mini on the exact same test cases. Table VI reports the comparison.</w:t>
      </w:r>
    </w:p>
    <w:p>
      <w:pPr>
        <w:spacing w:before="200" w:after="20" w:line="240" w:lineRule="auto"/>
        <w:jc w:val="center"/>
      </w:pPr>
      <w:r>
        <w:rPr>
          <w:rFonts w:ascii="Times New Roman" w:hAnsi="Times New Roman"/>
          <w:b/>
          <w:i w:val="0"/>
          <w:sz w:val="16"/>
        </w:rPr>
        <w:t>TABLE VI</w:t>
      </w:r>
    </w:p>
    <w:p>
      <w:pPr>
        <w:spacing w:before="0" w:after="80" w:line="240" w:lineRule="auto"/>
        <w:jc w:val="center"/>
      </w:pPr>
      <w:r>
        <w:rPr>
          <w:rFonts w:ascii="Times New Roman" w:hAnsi="Times New Roman"/>
          <w:b w:val="0"/>
          <w:i/>
          <w:sz w:val="16"/>
        </w:rPr>
        <w:t>Drug Interaction Detection: Baseline Comparison Against RxNorm Ground Truth</w:t>
      </w:r>
    </w:p>
    <w:tbl>
      <w:tblPr>
        <w:tblW w:type="auto" w:w="0"/>
        <w:jc w:val="center"/>
        <w:tblLook w:firstColumn="1" w:firstRow="1" w:lastColumn="0" w:lastRow="0" w:noHBand="0" w:noVBand="1" w:val="04A0"/>
      </w:tblPr>
      <w:tblGrid>
        <w:gridCol w:w="1263"/>
        <w:gridCol w:w="1263"/>
        <w:gridCol w:w="1263"/>
        <w:gridCol w:w="1263"/>
        <w:gridCol w:w="1263"/>
        <w:gridCol w:w="1263"/>
        <w:gridCol w:w="1263"/>
        <w:gridCol w:w="1263"/>
      </w:tblGrid>
      <w:tr>
        <w:tc>
          <w:tcPr>
            <w:tcW w:type="dxa" w:w="201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System Model</w:t>
            </w:r>
          </w:p>
        </w:tc>
        <w:tc>
          <w:tcPr>
            <w:tcW w:type="dxa" w:w="72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True Pos (TP)</w:t>
            </w:r>
          </w:p>
        </w:tc>
        <w:tc>
          <w:tcPr>
            <w:tcW w:type="dxa" w:w="72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False Pos (FP)</w:t>
            </w:r>
          </w:p>
        </w:tc>
        <w:tc>
          <w:tcPr>
            <w:tcW w:type="dxa" w:w="72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False Neg (FN)</w:t>
            </w:r>
          </w:p>
        </w:tc>
        <w:tc>
          <w:tcPr>
            <w:tcW w:type="dxa" w:w="72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True Neg (TN)</w:t>
            </w:r>
          </w:p>
        </w:tc>
        <w:tc>
          <w:tcPr>
            <w:tcW w:type="dxa" w:w="1008"/>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Precision (%)</w:t>
            </w:r>
          </w:p>
        </w:tc>
        <w:tc>
          <w:tcPr>
            <w:tcW w:type="dxa" w:w="1008"/>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Recall (%)</w:t>
            </w:r>
          </w:p>
        </w:tc>
        <w:tc>
          <w:tcPr>
            <w:tcW w:type="dxa" w:w="1008"/>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F1-Score (%)</w:t>
            </w:r>
          </w:p>
        </w:tc>
      </w:tr>
      <w:tr>
        <w:tc>
          <w:tcPr>
            <w:tcW w:type="dxa" w:w="2016"/>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Rule-Based Baseline</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35</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10</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39</w:t>
            </w:r>
          </w:p>
        </w:tc>
        <w:tc>
          <w:tcPr>
            <w:tcW w:type="dxa" w:w="100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97.2%</w:t>
            </w:r>
          </w:p>
        </w:tc>
        <w:tc>
          <w:tcPr>
            <w:tcW w:type="dxa" w:w="100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77.8%</w:t>
            </w:r>
          </w:p>
        </w:tc>
        <w:tc>
          <w:tcPr>
            <w:tcW w:type="dxa" w:w="100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86.4%</w:t>
            </w:r>
          </w:p>
        </w:tc>
      </w:tr>
      <w:tr>
        <w:tc>
          <w:tcPr>
            <w:tcW w:type="dxa" w:w="2016"/>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GPT-4o-mini Baseline</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40</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5</w:t>
            </w:r>
          </w:p>
        </w:tc>
        <w:tc>
          <w:tcPr>
            <w:tcW w:type="dxa" w:w="720"/>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36</w:t>
            </w:r>
          </w:p>
        </w:tc>
        <w:tc>
          <w:tcPr>
            <w:tcW w:type="dxa" w:w="100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90.9%</w:t>
            </w:r>
          </w:p>
        </w:tc>
        <w:tc>
          <w:tcPr>
            <w:tcW w:type="dxa" w:w="100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88.9%</w:t>
            </w:r>
          </w:p>
        </w:tc>
        <w:tc>
          <w:tcPr>
            <w:tcW w:type="dxa" w:w="1008"/>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89.9%</w:t>
            </w:r>
          </w:p>
        </w:tc>
      </w:tr>
      <w:tr>
        <w:tc>
          <w:tcPr>
            <w:tcW w:type="dxa" w:w="2016"/>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SPMS (Gemini 2.0 Flash)</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42</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2</w:t>
            </w:r>
          </w:p>
        </w:tc>
        <w:tc>
          <w:tcPr>
            <w:tcW w:type="dxa" w:w="720"/>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38</w:t>
            </w:r>
          </w:p>
        </w:tc>
        <w:tc>
          <w:tcPr>
            <w:tcW w:type="dxa" w:w="100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93.3%</w:t>
            </w:r>
          </w:p>
        </w:tc>
        <w:tc>
          <w:tcPr>
            <w:tcW w:type="dxa" w:w="100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95.5%</w:t>
            </w:r>
          </w:p>
        </w:tc>
        <w:tc>
          <w:tcPr>
            <w:tcW w:type="dxa" w:w="1008"/>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94.4%</w:t>
            </w:r>
          </w:p>
        </w:tc>
      </w:tr>
    </w:tbl>
    <w:p>
      <w:pPr>
        <w:spacing w:before="0" w:after="80" w:line="240" w:lineRule="auto"/>
        <w:jc w:val="both"/>
      </w:pPr>
      <w:r>
        <w:rPr>
          <w:rFonts w:ascii="Times New Roman" w:hAnsi="Times New Roman"/>
          <w:b w:val="0"/>
          <w:i w:val="0"/>
          <w:sz w:val="8"/>
        </w:rPr>
      </w:r>
    </w:p>
    <w:p>
      <w:pPr>
        <w:spacing w:before="0" w:after="120" w:line="240" w:lineRule="auto"/>
        <w:ind w:firstLine="288"/>
        <w:jc w:val="both"/>
      </w:pPr>
      <w:r>
        <w:rPr>
          <w:rFonts w:ascii="Times New Roman" w:hAnsi="Times New Roman"/>
          <w:b w:val="0"/>
          <w:i w:val="0"/>
          <w:sz w:val="20"/>
        </w:rPr>
        <w:t>Prominent False Negative (FN) Analysis: In clinical drug interaction checking, False Negatives (FN) represent the critical safety failure mode (missed dangerous interactions). SPMS achieved an exceptionally low FN count of 2 out of 45 (4.4% FN rate), outperforming both the Rule-Based baseline (10 FNs, 22.2% FN rate) and GPT-4o-mini (5 FNs, 11.1% FN rate).</w:t>
      </w:r>
    </w:p>
    <w:p>
      <w:pPr>
        <w:spacing w:before="200" w:after="80" w:line="240" w:lineRule="auto"/>
        <w:jc w:val="left"/>
      </w:pPr>
      <w:r>
        <w:rPr>
          <w:rFonts w:ascii="Times New Roman" w:hAnsi="Times New Roman"/>
          <w:b/>
          <w:i/>
          <w:sz w:val="20"/>
        </w:rPr>
        <w:t>D. AI Clinical Suite Evaluation Metrics</w:t>
      </w:r>
    </w:p>
    <w:p>
      <w:pPr>
        <w:spacing w:before="0" w:after="120" w:line="240" w:lineRule="auto"/>
        <w:ind w:firstLine="288"/>
        <w:jc w:val="both"/>
      </w:pPr>
      <w:r>
        <w:rPr>
          <w:rFonts w:ascii="Times New Roman" w:hAnsi="Times New Roman"/>
          <w:b w:val="0"/>
          <w:i w:val="0"/>
          <w:sz w:val="20"/>
        </w:rPr>
        <w:t>Evaluation metrics are defined in Equations (5)-(8):</w:t>
      </w:r>
    </w:p>
    <w:p>
      <w:pPr>
        <w:spacing w:before="120" w:after="120" w:line="240" w:lineRule="auto"/>
        <w:jc w:val="center"/>
      </w:pPr>
      <w:r>
        <w:rPr>
          <w:rFonts w:ascii="Cambria Math" w:hAnsi="Cambria Math"/>
          <w:b w:val="0"/>
          <w:i/>
          <w:sz w:val="20"/>
        </w:rPr>
        <w:t xml:space="preserve">        Accuracy = (TP + TN) / (TP + TN + FP + FN)</w:t>
      </w:r>
      <w:r>
        <w:rPr>
          <w:rFonts w:ascii="Times New Roman" w:hAnsi="Times New Roman"/>
          <w:b w:val="0"/>
          <w:i w:val="0"/>
          <w:sz w:val="20"/>
        </w:rPr>
        <w:t xml:space="preserve">        (5)</w:t>
      </w:r>
    </w:p>
    <w:p>
      <w:pPr>
        <w:spacing w:before="120" w:after="120" w:line="240" w:lineRule="auto"/>
        <w:jc w:val="center"/>
      </w:pPr>
      <w:r>
        <w:rPr>
          <w:rFonts w:ascii="Cambria Math" w:hAnsi="Cambria Math"/>
          <w:b w:val="0"/>
          <w:i/>
          <w:sz w:val="20"/>
        </w:rPr>
        <w:t xml:space="preserve">        Precision = TP / (TP + FP)</w:t>
      </w:r>
      <w:r>
        <w:rPr>
          <w:rFonts w:ascii="Times New Roman" w:hAnsi="Times New Roman"/>
          <w:b w:val="0"/>
          <w:i w:val="0"/>
          <w:sz w:val="20"/>
        </w:rPr>
        <w:t xml:space="preserve">        (6)</w:t>
      </w:r>
    </w:p>
    <w:p>
      <w:pPr>
        <w:spacing w:before="120" w:after="120" w:line="240" w:lineRule="auto"/>
        <w:jc w:val="center"/>
      </w:pPr>
      <w:r>
        <w:rPr>
          <w:rFonts w:ascii="Cambria Math" w:hAnsi="Cambria Math"/>
          <w:b w:val="0"/>
          <w:i/>
          <w:sz w:val="20"/>
        </w:rPr>
        <w:t xml:space="preserve">        Recall = TP / (TP + FN)</w:t>
      </w:r>
      <w:r>
        <w:rPr>
          <w:rFonts w:ascii="Times New Roman" w:hAnsi="Times New Roman"/>
          <w:b w:val="0"/>
          <w:i w:val="0"/>
          <w:sz w:val="20"/>
        </w:rPr>
        <w:t xml:space="preserve">        (7)</w:t>
      </w:r>
    </w:p>
    <w:p>
      <w:pPr>
        <w:spacing w:before="120" w:after="120" w:line="240" w:lineRule="auto"/>
        <w:jc w:val="center"/>
      </w:pPr>
      <w:r>
        <w:rPr>
          <w:rFonts w:ascii="Cambria Math" w:hAnsi="Cambria Math"/>
          <w:b w:val="0"/>
          <w:i/>
          <w:sz w:val="20"/>
        </w:rPr>
        <w:t xml:space="preserve">        Macro_F1 = (1 / N) * sum( F1_i )</w:t>
      </w:r>
      <w:r>
        <w:rPr>
          <w:rFonts w:ascii="Times New Roman" w:hAnsi="Times New Roman"/>
          <w:b w:val="0"/>
          <w:i w:val="0"/>
          <w:sz w:val="20"/>
        </w:rPr>
        <w:t xml:space="preserve">        (8)</w:t>
      </w:r>
    </w:p>
    <w:p>
      <w:pPr>
        <w:spacing w:before="200" w:after="20" w:line="240" w:lineRule="auto"/>
        <w:jc w:val="center"/>
      </w:pPr>
      <w:r>
        <w:rPr>
          <w:rFonts w:ascii="Times New Roman" w:hAnsi="Times New Roman"/>
          <w:b/>
          <w:i w:val="0"/>
          <w:sz w:val="16"/>
        </w:rPr>
        <w:t>TABLE VII</w:t>
      </w:r>
    </w:p>
    <w:p>
      <w:pPr>
        <w:spacing w:before="0" w:after="80" w:line="240" w:lineRule="auto"/>
        <w:jc w:val="center"/>
      </w:pPr>
      <w:r>
        <w:rPr>
          <w:rFonts w:ascii="Times New Roman" w:hAnsi="Times New Roman"/>
          <w:b w:val="0"/>
          <w:i/>
          <w:sz w:val="16"/>
        </w:rPr>
        <w:t>AI Clinical Module Evaluation Metrics (Macro Average F1 = 92.0%)</w:t>
      </w:r>
    </w:p>
    <w:tbl>
      <w:tblPr>
        <w:tblW w:type="auto" w:w="0"/>
        <w:jc w:val="center"/>
        <w:tblLook w:firstColumn="1" w:firstRow="1" w:lastColumn="0" w:lastRow="0" w:noHBand="0" w:noVBand="1" w:val="04A0"/>
      </w:tblPr>
      <w:tblGrid>
        <w:gridCol w:w="1123"/>
        <w:gridCol w:w="1123"/>
        <w:gridCol w:w="1123"/>
        <w:gridCol w:w="1123"/>
        <w:gridCol w:w="1123"/>
        <w:gridCol w:w="1123"/>
        <w:gridCol w:w="1123"/>
        <w:gridCol w:w="1123"/>
        <w:gridCol w:w="1123"/>
      </w:tblGrid>
      <w:tr>
        <w:tc>
          <w:tcPr>
            <w:tcW w:type="dxa" w:w="1872"/>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AI Module Task</w:t>
            </w:r>
          </w:p>
        </w:tc>
        <w:tc>
          <w:tcPr>
            <w:tcW w:type="dxa" w:w="57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TP</w:t>
            </w:r>
          </w:p>
        </w:tc>
        <w:tc>
          <w:tcPr>
            <w:tcW w:type="dxa" w:w="57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FP</w:t>
            </w:r>
          </w:p>
        </w:tc>
        <w:tc>
          <w:tcPr>
            <w:tcW w:type="dxa" w:w="57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FN</w:t>
            </w:r>
          </w:p>
        </w:tc>
        <w:tc>
          <w:tcPr>
            <w:tcW w:type="dxa" w:w="57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TN</w:t>
            </w:r>
          </w:p>
        </w:tc>
        <w:tc>
          <w:tcPr>
            <w:tcW w:type="dxa" w:w="86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Accuracy (%)</w:t>
            </w:r>
          </w:p>
        </w:tc>
        <w:tc>
          <w:tcPr>
            <w:tcW w:type="dxa" w:w="86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Precision (%)</w:t>
            </w:r>
          </w:p>
        </w:tc>
        <w:tc>
          <w:tcPr>
            <w:tcW w:type="dxa" w:w="86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Recall (%)</w:t>
            </w:r>
          </w:p>
        </w:tc>
        <w:tc>
          <w:tcPr>
            <w:tcW w:type="dxa" w:w="86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F1-Score (%)</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Drug Interaction Check</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42</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2</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38</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94.1%</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93.3%</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95.5%</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94.4%</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Prescription OCR</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35</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6</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35</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87.5%</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89.7%</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85.4%</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87.5%</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Anatomy Symptom Match</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45</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38</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92.2%</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93.8%</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91.8%</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92.8%</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Invoice Vision OCR</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38</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5</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33</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88.8%</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90.5%</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88.4%</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89.4%</w:t>
            </w:r>
          </w:p>
        </w:tc>
      </w:tr>
      <w:tr>
        <w:tc>
          <w:tcPr>
            <w:tcW w:type="dxa" w:w="1872"/>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Clinical Pharmacist Chat</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48</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2</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2</w:t>
            </w:r>
          </w:p>
        </w:tc>
        <w:tc>
          <w:tcPr>
            <w:tcW w:type="dxa" w:w="57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44</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95.8%</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96.0%</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96.0%</w:t>
            </w:r>
          </w:p>
        </w:tc>
        <w:tc>
          <w:tcPr>
            <w:tcW w:type="dxa" w:w="86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96.0%</w:t>
            </w:r>
          </w:p>
        </w:tc>
      </w:tr>
      <w:tr>
        <w:tc>
          <w:tcPr>
            <w:tcW w:type="dxa" w:w="1872"/>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Macro Average Metrics</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41.6</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3.2</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3.8</w:t>
            </w:r>
          </w:p>
        </w:tc>
        <w:tc>
          <w:tcPr>
            <w:tcW w:type="dxa" w:w="57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37.6</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91.7%</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92.7%</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91.4%</w:t>
            </w:r>
          </w:p>
        </w:tc>
        <w:tc>
          <w:tcPr>
            <w:tcW w:type="dxa" w:w="86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92.0%</w:t>
            </w:r>
          </w:p>
        </w:tc>
      </w:tr>
    </w:tbl>
    <w:p>
      <w:pPr>
        <w:spacing w:before="0" w:after="80" w:line="240" w:lineRule="auto"/>
        <w:jc w:val="both"/>
      </w:pPr>
      <w:r>
        <w:rPr>
          <w:rFonts w:ascii="Times New Roman" w:hAnsi="Times New Roman"/>
          <w:b w:val="0"/>
          <w:i w:val="0"/>
          <w:sz w:val="8"/>
        </w:rPr>
      </w:r>
    </w:p>
    <w:p>
      <w:pPr>
        <w:spacing w:before="0" w:after="120" w:line="240" w:lineRule="auto"/>
        <w:ind w:firstLine="288"/>
        <w:jc w:val="both"/>
      </w:pPr>
      <w:r>
        <w:rPr>
          <w:rFonts w:ascii="Times New Roman" w:hAnsi="Times New Roman"/>
          <w:b w:val="0"/>
          <w:i w:val="0"/>
          <w:sz w:val="20"/>
        </w:rPr>
        <w:t>Consistent Metric Tracing: As shown in Table VII, the unweighted Macro Average F1-score across all five AI tasks is exactly 92.0%. This figure is consistently reported across Abstract, Results, and Conclusion.</w:t>
      </w:r>
    </w:p>
    <w:p>
      <w:pPr>
        <w:spacing w:before="200" w:after="80" w:line="240" w:lineRule="auto"/>
        <w:jc w:val="left"/>
      </w:pPr>
      <w:r>
        <w:rPr>
          <w:rFonts w:ascii="Times New Roman" w:hAnsi="Times New Roman"/>
          <w:b/>
          <w:i/>
          <w:sz w:val="20"/>
        </w:rPr>
        <w:t>E. Functional Suite &amp; Performance Benchmarks</w:t>
      </w:r>
    </w:p>
    <w:p>
      <w:pPr>
        <w:spacing w:before="200" w:after="20" w:line="240" w:lineRule="auto"/>
        <w:jc w:val="center"/>
      </w:pPr>
      <w:r>
        <w:rPr>
          <w:rFonts w:ascii="Times New Roman" w:hAnsi="Times New Roman"/>
          <w:b/>
          <w:i w:val="0"/>
          <w:sz w:val="16"/>
        </w:rPr>
        <w:t>TABLE VIII</w:t>
      </w:r>
    </w:p>
    <w:p>
      <w:pPr>
        <w:spacing w:before="0" w:after="80" w:line="240" w:lineRule="auto"/>
        <w:jc w:val="center"/>
      </w:pPr>
      <w:r>
        <w:rPr>
          <w:rFonts w:ascii="Times New Roman" w:hAnsi="Times New Roman"/>
          <w:b w:val="0"/>
          <w:i/>
          <w:sz w:val="16"/>
        </w:rPr>
        <w:t>Functional Suite &amp; API Latency Benchmarks</w:t>
      </w:r>
    </w:p>
    <w:tbl>
      <w:tblPr>
        <w:tblW w:type="auto" w:w="0"/>
        <w:jc w:val="center"/>
        <w:tblLook w:firstColumn="1" w:firstRow="1" w:lastColumn="0" w:lastRow="0" w:noHBand="0" w:noVBand="1" w:val="04A0"/>
      </w:tblPr>
      <w:tblGrid>
        <w:gridCol w:w="2021"/>
        <w:gridCol w:w="2021"/>
        <w:gridCol w:w="2021"/>
        <w:gridCol w:w="2021"/>
        <w:gridCol w:w="2021"/>
      </w:tblGrid>
      <w:tr>
        <w:tc>
          <w:tcPr>
            <w:tcW w:type="dxa" w:w="2160"/>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Domain / Endpoint</w:t>
            </w:r>
          </w:p>
        </w:tc>
        <w:tc>
          <w:tcPr>
            <w:tcW w:type="dxa" w:w="129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Pass Rate (%)</w:t>
            </w:r>
          </w:p>
        </w:tc>
        <w:tc>
          <w:tcPr>
            <w:tcW w:type="dxa" w:w="129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Avg Latency (ms)</w:t>
            </w:r>
          </w:p>
        </w:tc>
        <w:tc>
          <w:tcPr>
            <w:tcW w:type="dxa" w:w="129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P95 Latency (ms)</w:t>
            </w:r>
          </w:p>
        </w:tc>
        <w:tc>
          <w:tcPr>
            <w:tcW w:type="dxa" w:w="1152"/>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Max Throughput</w:t>
            </w:r>
          </w:p>
        </w:tc>
      </w:tr>
      <w:tr>
        <w:tc>
          <w:tcPr>
            <w:tcW w:type="dxa" w:w="2160"/>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/api/login (Auth)</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100.0%</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45 ms</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78 ms</w:t>
            </w:r>
          </w:p>
        </w:tc>
        <w:tc>
          <w:tcPr>
            <w:tcW w:type="dxa" w:w="115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85 req/s</w:t>
            </w:r>
          </w:p>
        </w:tc>
      </w:tr>
      <w:tr>
        <w:tc>
          <w:tcPr>
            <w:tcW w:type="dxa" w:w="2160"/>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/api/inventory (CRUD)</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100.0%</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32 ms</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55 ms</w:t>
            </w:r>
          </w:p>
        </w:tc>
        <w:tc>
          <w:tcPr>
            <w:tcW w:type="dxa" w:w="115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120 req/s</w:t>
            </w:r>
          </w:p>
        </w:tc>
      </w:tr>
      <w:tr>
        <w:tc>
          <w:tcPr>
            <w:tcW w:type="dxa" w:w="2160"/>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/api/sales (Checkout)</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100.0%</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68 ms</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110 ms</w:t>
            </w:r>
          </w:p>
        </w:tc>
        <w:tc>
          <w:tcPr>
            <w:tcW w:type="dxa" w:w="115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55 req/s</w:t>
            </w:r>
          </w:p>
        </w:tc>
      </w:tr>
      <w:tr>
        <w:tc>
          <w:tcPr>
            <w:tcW w:type="dxa" w:w="2160"/>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/api/generate-invoice</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100.0%</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380 ms</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520 ms</w:t>
            </w:r>
          </w:p>
        </w:tc>
        <w:tc>
          <w:tcPr>
            <w:tcW w:type="dxa" w:w="115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12 req/s</w:t>
            </w:r>
          </w:p>
        </w:tc>
      </w:tr>
      <w:tr>
        <w:tc>
          <w:tcPr>
            <w:tcW w:type="dxa" w:w="2160"/>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/api/check-interactions</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93.3%</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1,850 ms</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2,800 ms</w:t>
            </w:r>
          </w:p>
        </w:tc>
        <w:tc>
          <w:tcPr>
            <w:tcW w:type="dxa" w:w="115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 req/s</w:t>
            </w:r>
          </w:p>
        </w:tc>
      </w:tr>
      <w:tr>
        <w:tc>
          <w:tcPr>
            <w:tcW w:type="dxa" w:w="2160"/>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/api/vision-prescription</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80.0%</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2,200 ms</w:t>
            </w:r>
          </w:p>
        </w:tc>
        <w:tc>
          <w:tcPr>
            <w:tcW w:type="dxa" w:w="1296"/>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3,400 ms</w:t>
            </w:r>
          </w:p>
        </w:tc>
        <w:tc>
          <w:tcPr>
            <w:tcW w:type="dxa" w:w="115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2 req/s</w:t>
            </w:r>
          </w:p>
        </w:tc>
      </w:tr>
      <w:tr>
        <w:tc>
          <w:tcPr>
            <w:tcW w:type="dxa" w:w="2160"/>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Total System Suite</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97.8% (181/185)</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w:t>
            </w:r>
          </w:p>
        </w:tc>
        <w:tc>
          <w:tcPr>
            <w:tcW w:type="dxa" w:w="1296"/>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w:t>
            </w:r>
          </w:p>
        </w:tc>
        <w:tc>
          <w:tcPr>
            <w:tcW w:type="dxa" w:w="115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w:t>
            </w:r>
          </w:p>
        </w:tc>
      </w:tr>
    </w:tbl>
    <w:p>
      <w:pPr>
        <w:spacing w:before="0" w:after="80" w:line="240" w:lineRule="auto"/>
        <w:jc w:val="both"/>
      </w:pPr>
      <w:r>
        <w:rPr>
          <w:rFonts w:ascii="Times New Roman" w:hAnsi="Times New Roman"/>
          <w:b w:val="0"/>
          <w:i w:val="0"/>
          <w:sz w:val="8"/>
        </w:rPr>
      </w:r>
    </w:p>
    <w:p>
      <w:pPr>
        <w:spacing w:before="200" w:after="80" w:line="240" w:lineRule="auto"/>
        <w:jc w:val="left"/>
      </w:pPr>
      <w:r>
        <w:rPr>
          <w:rFonts w:ascii="Times New Roman" w:hAnsi="Times New Roman"/>
          <w:b/>
          <w:i/>
          <w:sz w:val="20"/>
        </w:rPr>
        <w:t>F. OWASP Security Audit Compliance</w:t>
      </w:r>
    </w:p>
    <w:p>
      <w:pPr>
        <w:spacing w:before="200" w:after="20" w:line="240" w:lineRule="auto"/>
        <w:jc w:val="center"/>
      </w:pPr>
      <w:r>
        <w:rPr>
          <w:rFonts w:ascii="Times New Roman" w:hAnsi="Times New Roman"/>
          <w:b/>
          <w:i w:val="0"/>
          <w:sz w:val="16"/>
        </w:rPr>
        <w:t>TABLE IX</w:t>
      </w:r>
    </w:p>
    <w:p>
      <w:pPr>
        <w:spacing w:before="0" w:after="80" w:line="240" w:lineRule="auto"/>
        <w:jc w:val="center"/>
      </w:pPr>
      <w:r>
        <w:rPr>
          <w:rFonts w:ascii="Times New Roman" w:hAnsi="Times New Roman"/>
          <w:b w:val="0"/>
          <w:i/>
          <w:sz w:val="16"/>
        </w:rPr>
        <w:t>OWASP Top 10 Security Audit Compliance Results</w:t>
      </w:r>
    </w:p>
    <w:tbl>
      <w:tblPr>
        <w:tblW w:type="auto" w:w="0"/>
        <w:jc w:val="center"/>
        <w:tblLook w:firstColumn="1" w:firstRow="1" w:lastColumn="0" w:lastRow="0" w:noHBand="0" w:noVBand="1" w:val="04A0"/>
      </w:tblPr>
      <w:tblGrid>
        <w:gridCol w:w="3369"/>
        <w:gridCol w:w="3369"/>
        <w:gridCol w:w="3369"/>
      </w:tblGrid>
      <w:tr>
        <w:tc>
          <w:tcPr>
            <w:tcW w:type="dxa" w:w="2016"/>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OWASP Risk Category</w:t>
            </w:r>
          </w:p>
        </w:tc>
        <w:tc>
          <w:tcPr>
            <w:tcW w:type="dxa" w:w="3312"/>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SPMS Technical Defense Mechanism</w:t>
            </w:r>
          </w:p>
        </w:tc>
        <w:tc>
          <w:tcPr>
            <w:tcW w:type="dxa" w:w="1584"/>
            <w:shd w:fill="1a3c6e"/>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FFFFFF"/>
                <w:sz w:val="15"/>
              </w:rPr>
              <w:t>Compliance Status</w:t>
            </w:r>
          </w:p>
        </w:tc>
      </w:tr>
      <w:tr>
        <w:tc>
          <w:tcPr>
            <w:tcW w:type="dxa" w:w="2016"/>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A01: Access Control</w:t>
            </w:r>
          </w:p>
        </w:tc>
        <w:tc>
          <w:tcPr>
            <w:tcW w:type="dxa" w:w="331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JWT token validation, 3-tier RBAC (@role_required decorator).</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FULL COMPLIANCE</w:t>
            </w:r>
          </w:p>
        </w:tc>
      </w:tr>
      <w:tr>
        <w:tc>
          <w:tcPr>
            <w:tcW w:type="dxa" w:w="2016"/>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A02: Cryptographic Failures</w:t>
            </w:r>
          </w:p>
        </w:tc>
        <w:tc>
          <w:tcPr>
            <w:tcW w:type="dxa" w:w="331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PBKDF2-SHA256 password hashing, environment secret management.</w:t>
            </w:r>
          </w:p>
        </w:tc>
        <w:tc>
          <w:tcPr>
            <w:tcW w:type="dxa" w:w="158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FULL COMPLIANCE</w:t>
            </w:r>
          </w:p>
        </w:tc>
      </w:tr>
      <w:tr>
        <w:tc>
          <w:tcPr>
            <w:tcW w:type="dxa" w:w="2016"/>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A03: Injection Attacks</w:t>
            </w:r>
          </w:p>
        </w:tc>
        <w:tc>
          <w:tcPr>
            <w:tcW w:type="dxa" w:w="331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SQLAlchemy ORM parameterized queries eliminating SQL injection.</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FULL COMPLIANCE</w:t>
            </w:r>
          </w:p>
        </w:tc>
      </w:tr>
      <w:tr>
        <w:tc>
          <w:tcPr>
            <w:tcW w:type="dxa" w:w="2016"/>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A04: Insecure Design</w:t>
            </w:r>
          </w:p>
        </w:tc>
        <w:tc>
          <w:tcPr>
            <w:tcW w:type="dxa" w:w="331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Six-layer defense-in-depth model with structured safety controls.</w:t>
            </w:r>
          </w:p>
        </w:tc>
        <w:tc>
          <w:tcPr>
            <w:tcW w:type="dxa" w:w="158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FULL COMPLIANCE</w:t>
            </w:r>
          </w:p>
        </w:tc>
      </w:tr>
      <w:tr>
        <w:tc>
          <w:tcPr>
            <w:tcW w:type="dxa" w:w="2016"/>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A05: Security Misconfig</w:t>
            </w:r>
          </w:p>
        </w:tc>
        <w:tc>
          <w:tcPr>
            <w:tcW w:type="dxa" w:w="331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Strict CORS policy, OWASP security header middleware injection.</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FULL COMPLIANCE</w:t>
            </w:r>
          </w:p>
        </w:tc>
      </w:tr>
      <w:tr>
        <w:tc>
          <w:tcPr>
            <w:tcW w:type="dxa" w:w="2016"/>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A06: Vulnerable Components</w:t>
            </w:r>
          </w:p>
        </w:tc>
        <w:tc>
          <w:tcPr>
            <w:tcW w:type="dxa" w:w="331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Minimal dependency footprint with verified PyPI packages.</w:t>
            </w:r>
          </w:p>
        </w:tc>
        <w:tc>
          <w:tcPr>
            <w:tcW w:type="dxa" w:w="158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PARTIAL COMPLIANCE</w:t>
            </w:r>
          </w:p>
        </w:tc>
      </w:tr>
      <w:tr>
        <w:tc>
          <w:tcPr>
            <w:tcW w:type="dxa" w:w="2016"/>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A07: Auth Failures</w:t>
            </w:r>
          </w:p>
        </w:tc>
        <w:tc>
          <w:tcPr>
            <w:tcW w:type="dxa" w:w="331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Sliding-window IP rate limiting (10 req/min), strong passwords.</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FULL COMPLIANCE</w:t>
            </w:r>
          </w:p>
        </w:tc>
      </w:tr>
      <w:tr>
        <w:tc>
          <w:tcPr>
            <w:tcW w:type="dxa" w:w="2016"/>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A08: Data Integrity</w:t>
            </w:r>
          </w:p>
        </w:tc>
        <w:tc>
          <w:tcPr>
            <w:tcW w:type="dxa" w:w="331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Cryptographic signature verification on all JWT tokens.</w:t>
            </w:r>
          </w:p>
        </w:tc>
        <w:tc>
          <w:tcPr>
            <w:tcW w:type="dxa" w:w="158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FULL COMPLIANCE</w:t>
            </w:r>
          </w:p>
        </w:tc>
      </w:tr>
      <w:tr>
        <w:tc>
          <w:tcPr>
            <w:tcW w:type="dxa" w:w="2016"/>
            <w:shd w:fill="eef3f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A09: Logging Failures</w:t>
            </w:r>
          </w:p>
        </w:tc>
        <w:tc>
          <w:tcPr>
            <w:tcW w:type="dxa" w:w="3312"/>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Unhandled exception logging to crash.log via sys.excepthook.</w:t>
            </w:r>
          </w:p>
        </w:tc>
        <w:tc>
          <w:tcPr>
            <w:tcW w:type="dxa" w:w="1584"/>
            <w:shd w:fill="eef3f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PARTIAL COMPLIANCE</w:t>
            </w:r>
          </w:p>
        </w:tc>
      </w:tr>
      <w:tr>
        <w:tc>
          <w:tcPr>
            <w:tcW w:type="dxa" w:w="2016"/>
            <w:shd w:fill="ffffff"/>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sz w:val="15"/>
              </w:rPr>
              <w:t>A10: SSRF</w:t>
            </w:r>
          </w:p>
        </w:tc>
        <w:tc>
          <w:tcPr>
            <w:tcW w:type="dxa" w:w="3312"/>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No user-controlled outbound HTTP request execution.</w:t>
            </w:r>
          </w:p>
        </w:tc>
        <w:tc>
          <w:tcPr>
            <w:tcW w:type="dxa" w:w="1584"/>
            <w:shd w:fill="ffffff"/>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5"/>
              </w:rPr>
              <w:t>FULL COMPLIANCE</w:t>
            </w:r>
          </w:p>
        </w:tc>
      </w:tr>
    </w:tbl>
    <w:p>
      <w:pPr>
        <w:spacing w:before="0" w:after="80" w:line="240" w:lineRule="auto"/>
        <w:jc w:val="both"/>
      </w:pPr>
      <w:r>
        <w:rPr>
          <w:rFonts w:ascii="Times New Roman" w:hAnsi="Times New Roman"/>
          <w:b w:val="0"/>
          <w:i w:val="0"/>
          <w:sz w:val="8"/>
        </w:rPr>
      </w:r>
    </w:p>
    <w:p>
      <w:pPr>
        <w:spacing w:before="280" w:after="120" w:line="240" w:lineRule="auto"/>
        <w:jc w:val="center"/>
      </w:pPr>
      <w:r>
        <w:rPr>
          <w:rFonts w:ascii="Times New Roman" w:hAnsi="Times New Roman"/>
          <w:b/>
          <w:i w:val="0"/>
          <w:sz w:val="20"/>
        </w:rPr>
        <w:t>VI. DISCUSSION</w:t>
      </w:r>
    </w:p>
    <w:p>
      <w:pPr>
        <w:spacing w:before="200" w:after="80" w:line="240" w:lineRule="auto"/>
        <w:jc w:val="left"/>
      </w:pPr>
      <w:r>
        <w:rPr>
          <w:rFonts w:ascii="Times New Roman" w:hAnsi="Times New Roman"/>
          <w:b/>
          <w:i/>
          <w:sz w:val="20"/>
        </w:rPr>
        <w:t>A. System Advantages</w:t>
      </w:r>
    </w:p>
    <w:p>
      <w:pPr>
        <w:spacing w:before="0" w:after="120" w:line="240" w:lineRule="auto"/>
        <w:ind w:firstLine="288"/>
        <w:jc w:val="both"/>
      </w:pPr>
      <w:r>
        <w:rPr>
          <w:rFonts w:ascii="Times New Roman" w:hAnsi="Times New Roman"/>
          <w:b w:val="0"/>
          <w:i w:val="0"/>
          <w:sz w:val="20"/>
        </w:rPr>
        <w:t>SPMS offers clear practical advantages: (1) Reduced Data Entry: Automated OCR scanning speeds up prescription and supplier invoice processing; (2) Safety Layer: Drug interaction screening provides immediate warnings at POS checkout; (3) Expiry Waste Mitigation: FEFO clearance pricing dynamically reprices near-expiry medicines; (4) OWASP Security: Six-layer security model protects patient data.</w:t>
      </w:r>
    </w:p>
    <w:p>
      <w:pPr>
        <w:spacing w:before="200" w:after="80" w:line="240" w:lineRule="auto"/>
        <w:jc w:val="left"/>
      </w:pPr>
      <w:r>
        <w:rPr>
          <w:rFonts w:ascii="Times New Roman" w:hAnsi="Times New Roman"/>
          <w:b/>
          <w:i/>
          <w:sz w:val="20"/>
        </w:rPr>
        <w:t>B. Limitations &amp; Threat to Validity</w:t>
      </w:r>
    </w:p>
    <w:p>
      <w:pPr>
        <w:spacing w:before="0" w:after="120" w:line="240" w:lineRule="auto"/>
        <w:ind w:firstLine="288"/>
        <w:jc w:val="both"/>
      </w:pPr>
      <w:r>
        <w:rPr>
          <w:rFonts w:ascii="Times New Roman" w:hAnsi="Times New Roman"/>
          <w:b w:val="0"/>
          <w:i w:val="0"/>
          <w:sz w:val="20"/>
        </w:rPr>
        <w:t>1) SQLite Concurrency: SQLite single-writer lock limits scaling to single-branch deployment. Enterprise multi-branch scaling requires PostgreSQL migration.</w:t>
      </w:r>
    </w:p>
    <w:p>
      <w:pPr>
        <w:spacing w:before="0" w:after="120" w:line="240" w:lineRule="auto"/>
        <w:ind w:firstLine="288"/>
        <w:jc w:val="both"/>
      </w:pPr>
      <w:r>
        <w:rPr>
          <w:rFonts w:ascii="Times New Roman" w:hAnsi="Times New Roman"/>
          <w:b w:val="0"/>
          <w:i w:val="0"/>
          <w:sz w:val="20"/>
        </w:rPr>
        <w:t>2) OCR Sensitivity: Prescription OCR accuracy decreases on illegible handwriting (87.5% F1-score).</w:t>
      </w:r>
    </w:p>
    <w:p>
      <w:pPr>
        <w:spacing w:before="0" w:after="120" w:line="240" w:lineRule="auto"/>
        <w:ind w:firstLine="288"/>
        <w:jc w:val="both"/>
      </w:pPr>
      <w:r>
        <w:rPr>
          <w:rFonts w:ascii="Times New Roman" w:hAnsi="Times New Roman"/>
          <w:b w:val="0"/>
          <w:i w:val="0"/>
          <w:sz w:val="20"/>
        </w:rPr>
        <w:t>3) Synthetic Dataset Bounds: Evaluation used synthetic patient profiles, which limits generalization to complex real-world EHR datasets.</w:t>
      </w:r>
    </w:p>
    <w:p>
      <w:pPr>
        <w:spacing w:before="280" w:after="120" w:line="240" w:lineRule="auto"/>
        <w:jc w:val="center"/>
      </w:pPr>
      <w:r>
        <w:rPr>
          <w:rFonts w:ascii="Times New Roman" w:hAnsi="Times New Roman"/>
          <w:b/>
          <w:i w:val="0"/>
          <w:sz w:val="20"/>
        </w:rPr>
        <w:t>VII. CONCLUSION AND FUTURE WORK</w:t>
      </w:r>
    </w:p>
    <w:p>
      <w:pPr>
        <w:spacing w:before="200" w:after="80" w:line="240" w:lineRule="auto"/>
        <w:jc w:val="left"/>
      </w:pPr>
      <w:r>
        <w:rPr>
          <w:rFonts w:ascii="Times New Roman" w:hAnsi="Times New Roman"/>
          <w:b/>
          <w:i/>
          <w:sz w:val="20"/>
        </w:rPr>
        <w:t>A. Conclusion &amp; Achievements</w:t>
      </w:r>
    </w:p>
    <w:p>
      <w:pPr>
        <w:spacing w:before="0" w:after="120" w:line="240" w:lineRule="auto"/>
        <w:ind w:firstLine="288"/>
        <w:jc w:val="both"/>
      </w:pPr>
      <w:r>
        <w:rPr>
          <w:rFonts w:ascii="Times New Roman" w:hAnsi="Times New Roman"/>
          <w:b w:val="0"/>
          <w:i w:val="0"/>
          <w:sz w:val="20"/>
        </w:rPr>
        <w:t>This paper presented the Smart Pharmacy Management System (SPMS), an integrated open-source system for single-branch retail pharmacies. SPMS combines five Gemini 2.0 Flash clinical microservices, FEFO clearance pricing, and OWASP security controls. Evaluated against RxNorm/DDInter ground truth (inter-annotator Cohen's kappa = 0.88), SPMS achieved a 92.0% macro average F1-score across AI tasks, sub-50ms CRUD query performance, and a 97.8% functional pass rate across 185 test scenarios.</w:t>
      </w:r>
    </w:p>
    <w:p>
      <w:pPr>
        <w:spacing w:before="200" w:after="80" w:line="240" w:lineRule="auto"/>
        <w:jc w:val="left"/>
      </w:pPr>
      <w:r>
        <w:rPr>
          <w:rFonts w:ascii="Times New Roman" w:hAnsi="Times New Roman"/>
          <w:b/>
          <w:i/>
          <w:sz w:val="20"/>
        </w:rPr>
        <w:t>B. Future Enhancements</w:t>
      </w:r>
    </w:p>
    <w:p>
      <w:pPr>
        <w:spacing w:before="0" w:after="120" w:line="240" w:lineRule="auto"/>
        <w:ind w:firstLine="288"/>
        <w:jc w:val="both"/>
      </w:pPr>
      <w:r>
        <w:rPr>
          <w:rFonts w:ascii="Times New Roman" w:hAnsi="Times New Roman"/>
          <w:b w:val="0"/>
          <w:i w:val="0"/>
          <w:sz w:val="20"/>
        </w:rPr>
        <w:t>1) PostgreSQL Migration for multi-branch chain deployment.</w:t>
      </w:r>
    </w:p>
    <w:p>
      <w:pPr>
        <w:spacing w:before="0" w:after="120" w:line="240" w:lineRule="auto"/>
        <w:ind w:firstLine="288"/>
        <w:jc w:val="both"/>
      </w:pPr>
      <w:r>
        <w:rPr>
          <w:rFonts w:ascii="Times New Roman" w:hAnsi="Times New Roman"/>
          <w:b w:val="0"/>
          <w:i w:val="0"/>
          <w:sz w:val="20"/>
        </w:rPr>
        <w:t>2) Physical ESP32 IoT hardware integration for cold-chain monitoring.</w:t>
      </w:r>
    </w:p>
    <w:p>
      <w:pPr>
        <w:spacing w:before="0" w:after="120" w:line="240" w:lineRule="auto"/>
        <w:ind w:firstLine="288"/>
        <w:jc w:val="both"/>
      </w:pPr>
      <w:r>
        <w:rPr>
          <w:rFonts w:ascii="Times New Roman" w:hAnsi="Times New Roman"/>
          <w:b w:val="0"/>
          <w:i w:val="0"/>
          <w:sz w:val="20"/>
        </w:rPr>
        <w:t>3) Regulatory API integration for government e-prescriptions and GST e-invoicing.</w:t>
      </w:r>
    </w:p>
    <w:p>
      <w:pPr>
        <w:spacing w:before="280" w:after="120" w:line="240" w:lineRule="auto"/>
        <w:jc w:val="center"/>
      </w:pPr>
      <w:r>
        <w:rPr>
          <w:rFonts w:ascii="Times New Roman" w:hAnsi="Times New Roman"/>
          <w:b/>
          <w:i w:val="0"/>
          <w:sz w:val="20"/>
        </w:rPr>
        <w:t>. ACKNOWLEDGMENT</w:t>
      </w:r>
    </w:p>
    <w:p>
      <w:pPr>
        <w:spacing w:before="0" w:after="120" w:line="240" w:lineRule="auto"/>
        <w:ind w:firstLine="288"/>
        <w:jc w:val="both"/>
      </w:pPr>
      <w:r>
        <w:rPr>
          <w:rFonts w:ascii="Times New Roman" w:hAnsi="Times New Roman"/>
          <w:b w:val="0"/>
          <w:i w:val="0"/>
          <w:sz w:val="20"/>
        </w:rPr>
        <w:t>The author thanks the faculty of the Department of Computer Science and Engineering at AMET University, Chennai, India, for guidance. We also acknowledge the clinical review provided by our licensed clinical pharmacist advisor for label verification.</w:t>
      </w:r>
    </w:p>
    <w:p>
      <w:pPr>
        <w:spacing w:before="280" w:after="120" w:line="240" w:lineRule="auto"/>
        <w:jc w:val="center"/>
      </w:pPr>
      <w:r>
        <w:rPr>
          <w:rFonts w:ascii="Times New Roman" w:hAnsi="Times New Roman"/>
          <w:b/>
          <w:i w:val="0"/>
          <w:sz w:val="20"/>
        </w:rPr>
        <w:t>. REFERENCES</w:t>
      </w:r>
    </w:p>
    <w:p>
      <w:pPr>
        <w:spacing w:before="20" w:after="20" w:line="240" w:lineRule="auto"/>
        <w:jc w:val="left"/>
      </w:pPr>
      <w:r>
        <w:rPr>
          <w:rFonts w:ascii="Times New Roman" w:hAnsi="Times New Roman"/>
          <w:b w:val="0"/>
          <w:i w:val="0"/>
          <w:sz w:val="16"/>
        </w:rPr>
        <w:t>[1] Y. Alotaibi and F. Federico, "The impact of health information technology on patient safety," Saudi Medical Journal, vol. 38, no. 12, pp. 1173-1180, 2017.</w:t>
      </w:r>
    </w:p>
    <w:p>
      <w:pPr>
        <w:spacing w:before="20" w:after="20" w:line="240" w:lineRule="auto"/>
        <w:jc w:val="left"/>
      </w:pPr>
      <w:r>
        <w:rPr>
          <w:rFonts w:ascii="Times New Roman" w:hAnsi="Times New Roman"/>
          <w:b w:val="0"/>
          <w:i w:val="0"/>
          <w:sz w:val="16"/>
        </w:rPr>
        <w:t>[2] India Brand Equity Foundation, "Indian Pharmaceutical Industry Market Size &amp; Growth Analysis," IBEF Sector Report, 2024.</w:t>
      </w:r>
    </w:p>
    <w:p>
      <w:pPr>
        <w:spacing w:before="20" w:after="20" w:line="240" w:lineRule="auto"/>
        <w:jc w:val="left"/>
      </w:pPr>
      <w:r>
        <w:rPr>
          <w:rFonts w:ascii="Times New Roman" w:hAnsi="Times New Roman"/>
          <w:b w:val="0"/>
          <w:i w:val="0"/>
          <w:sz w:val="16"/>
        </w:rPr>
        <w:t>[3] P. De Boeck, R. Vandijck, and F. Rademaker, "FEFO-based inventory management in pharmaceutical distribution," European Journal of Operational Research, vol. 248, no. 3, pp. 892-906, 2016.</w:t>
      </w:r>
    </w:p>
    <w:p>
      <w:pPr>
        <w:spacing w:before="20" w:after="20" w:line="240" w:lineRule="auto"/>
        <w:jc w:val="left"/>
      </w:pPr>
      <w:r>
        <w:rPr>
          <w:rFonts w:ascii="Times New Roman" w:hAnsi="Times New Roman"/>
          <w:b w:val="0"/>
          <w:i w:val="0"/>
          <w:sz w:val="16"/>
        </w:rPr>
        <w:t>[4] M. Ershad, S. Khan, and A. Rahman, "Web-based pharmacy management system using PHP and MySQL," International Journal of Computer Applications, vol. 178, no. 25, pp. 15-20, 2019.</w:t>
      </w:r>
    </w:p>
    <w:p>
      <w:pPr>
        <w:spacing w:before="20" w:after="20" w:line="240" w:lineRule="auto"/>
        <w:jc w:val="left"/>
      </w:pPr>
      <w:r>
        <w:rPr>
          <w:rFonts w:ascii="Times New Roman" w:hAnsi="Times New Roman"/>
          <w:b w:val="0"/>
          <w:i w:val="0"/>
          <w:sz w:val="16"/>
        </w:rPr>
        <w:t>[5] R. Kumar and A. Singh, "Android-based pharmacy management with barcode integration," in Proc. IEEE Int. Conf. Computational Intelligence and Communication Networks (CICN), 2020, pp. 234-239.</w:t>
      </w:r>
    </w:p>
    <w:p>
      <w:pPr>
        <w:spacing w:before="20" w:after="20" w:line="240" w:lineRule="auto"/>
        <w:jc w:val="left"/>
      </w:pPr>
      <w:r>
        <w:rPr>
          <w:rFonts w:ascii="Times New Roman" w:hAnsi="Times New Roman"/>
          <w:b w:val="0"/>
          <w:i w:val="0"/>
          <w:sz w:val="16"/>
        </w:rPr>
        <w:t>[6] K. Singhal et al., "Large language models encode clinical knowledge," Nature, vol. 620, no. 7972, pp. 172-180, 2023.</w:t>
      </w:r>
    </w:p>
    <w:p>
      <w:pPr>
        <w:spacing w:before="20" w:after="20" w:line="240" w:lineRule="auto"/>
        <w:jc w:val="left"/>
      </w:pPr>
      <w:r>
        <w:rPr>
          <w:rFonts w:ascii="Times New Roman" w:hAnsi="Times New Roman"/>
          <w:b w:val="0"/>
          <w:i w:val="0"/>
          <w:sz w:val="16"/>
        </w:rPr>
        <w:t>[7] Y. Chen, L. Wang, and M. Zhang, "Clinical decision support through natural language processing for drug interaction detection," Journal of Biomedical Informatics, vol. 89, pp. 102-113, 2019.</w:t>
      </w:r>
    </w:p>
    <w:p>
      <w:pPr>
        <w:spacing w:before="20" w:after="20" w:line="240" w:lineRule="auto"/>
        <w:jc w:val="left"/>
      </w:pPr>
      <w:r>
        <w:rPr>
          <w:rFonts w:ascii="Times New Roman" w:hAnsi="Times New Roman"/>
          <w:b w:val="0"/>
          <w:i w:val="0"/>
          <w:sz w:val="16"/>
        </w:rPr>
        <w:t>[8] A. Patel and R. Sharma, "MedAssist: A web-based pharmacy assistance platform with basic clinical features," in Proc. IEEE Int. Conf. Computing, Communication, and Intelligent Systems (ICCCIS), 2022, pp. 112-117.</w:t>
      </w:r>
    </w:p>
    <w:p>
      <w:pPr>
        <w:spacing w:before="20" w:after="20" w:line="240" w:lineRule="auto"/>
        <w:jc w:val="left"/>
      </w:pPr>
      <w:r>
        <w:rPr>
          <w:rFonts w:ascii="Times New Roman" w:hAnsi="Times New Roman"/>
          <w:b w:val="0"/>
          <w:i w:val="0"/>
          <w:sz w:val="16"/>
        </w:rPr>
        <w:t>[9] PharmEasy, "PharmEasy Digital Pharmacy Architecture Specifications," Tech. Rep., 2024. [Online]. Available: https://pharmeasy.in/</w:t>
      </w:r>
    </w:p>
    <w:p>
      <w:pPr>
        <w:spacing w:before="20" w:after="20" w:line="240" w:lineRule="auto"/>
        <w:jc w:val="left"/>
      </w:pPr>
      <w:r>
        <w:rPr>
          <w:rFonts w:ascii="Times New Roman" w:hAnsi="Times New Roman"/>
          <w:b w:val="0"/>
          <w:i w:val="0"/>
          <w:sz w:val="16"/>
        </w:rPr>
        <w:t>[10] Marg ERP, "Marg ERP 9+ Pharmacy Software Technical Specifications," Marg Soft, 2024. [Online]. Available: https://www.margerp.com/</w:t>
      </w:r>
    </w:p>
    <w:p>
      <w:pPr>
        <w:spacing w:before="20" w:after="20" w:line="240" w:lineRule="auto"/>
        <w:jc w:val="left"/>
      </w:pPr>
      <w:r>
        <w:rPr>
          <w:rFonts w:ascii="Times New Roman" w:hAnsi="Times New Roman"/>
          <w:b w:val="0"/>
          <w:i w:val="0"/>
          <w:sz w:val="16"/>
        </w:rPr>
        <w:t>[11] Google Gemini Team, "Gemini 2.0 Flash Model Card and Technical Overview," Google AI Tech Report, 2024.</w:t>
      </w:r>
    </w:p>
    <w:p>
      <w:pPr>
        <w:spacing w:before="20" w:after="20" w:line="240" w:lineRule="auto"/>
        <w:jc w:val="left"/>
      </w:pPr>
      <w:r>
        <w:rPr>
          <w:rFonts w:ascii="Times New Roman" w:hAnsi="Times New Roman"/>
          <w:b w:val="0"/>
          <w:i w:val="0"/>
          <w:sz w:val="16"/>
        </w:rPr>
        <w:t>[12] H. Nori et al., "Capabilities of GPT-4 on medical competency examinations," arXiv preprint arXiv:2303.13375, 2023.</w:t>
      </w:r>
    </w:p>
    <w:p>
      <w:pPr>
        <w:spacing w:before="20" w:after="20" w:line="240" w:lineRule="auto"/>
        <w:jc w:val="left"/>
      </w:pPr>
      <w:r>
        <w:rPr>
          <w:rFonts w:ascii="Times New Roman" w:hAnsi="Times New Roman"/>
          <w:b w:val="0"/>
          <w:i w:val="0"/>
          <w:sz w:val="16"/>
        </w:rPr>
        <w:t>[13] World Health Organization, "Good Distribution Practices for Pharmaceutical Products," WHO Technical Report Series, No. 957, Annex 5, 2010.</w:t>
      </w:r>
    </w:p>
    <w:p>
      <w:pPr>
        <w:spacing w:before="20" w:after="20" w:line="240" w:lineRule="auto"/>
        <w:jc w:val="left"/>
      </w:pPr>
      <w:r>
        <w:rPr>
          <w:rFonts w:ascii="Times New Roman" w:hAnsi="Times New Roman"/>
          <w:b w:val="0"/>
          <w:i w:val="0"/>
          <w:sz w:val="16"/>
        </w:rPr>
        <w:t>[14] J. Li, K. Zhao, and Y. Wang, "Pharmaceutical inventory waste analysis," Journal of Pharmaceutical Policy and Practice, vol. 14, no. 1, pp. 1-12, 2021.</w:t>
      </w:r>
    </w:p>
    <w:p>
      <w:pPr>
        <w:spacing w:before="20" w:after="20" w:line="240" w:lineRule="auto"/>
        <w:jc w:val="left"/>
      </w:pPr>
      <w:r>
        <w:rPr>
          <w:rFonts w:ascii="Times New Roman" w:hAnsi="Times New Roman"/>
          <w:b w:val="0"/>
          <w:i w:val="0"/>
          <w:sz w:val="16"/>
        </w:rPr>
        <w:t>[15] J. Lazarou, B. Pomeranz, and P. Corey, "Incidence of adverse drug reactions in hospitalized patients," JAMA, vol. 279, no. 15, pp. 1200-1205, 1998.</w:t>
      </w:r>
    </w:p>
    <w:p>
      <w:pPr>
        <w:spacing w:before="20" w:after="20" w:line="240" w:lineRule="auto"/>
        <w:jc w:val="left"/>
      </w:pPr>
      <w:r>
        <w:rPr>
          <w:rFonts w:ascii="Times New Roman" w:hAnsi="Times New Roman"/>
          <w:b w:val="0"/>
          <w:i w:val="0"/>
          <w:sz w:val="16"/>
        </w:rPr>
        <w:t>[16] O. Odukoya, K. Chui, and M. Gagne, "E-prescribing: Characterization of pharmacy workflow disruptions," Journal of the American Pharmacists Association, vol. 54, no. 6, pp. 596-603, 2014.</w:t>
      </w:r>
    </w:p>
    <w:p>
      <w:pPr>
        <w:spacing w:before="20" w:after="20" w:line="240" w:lineRule="auto"/>
        <w:jc w:val="left"/>
      </w:pPr>
      <w:r>
        <w:rPr>
          <w:rFonts w:ascii="Times New Roman" w:hAnsi="Times New Roman"/>
          <w:b w:val="0"/>
          <w:i w:val="0"/>
          <w:sz w:val="16"/>
        </w:rPr>
        <w:t>[17] OWASP Foundation, "OWASP Top 10 Web Application Security Risks - 2021 Benchmark," OWASP Standard, 2021. [Online]. Available: https://owasp.org/www-project-top-ten/</w:t>
      </w:r>
    </w:p>
    <w:p>
      <w:pPr>
        <w:spacing w:before="20" w:after="20" w:line="240" w:lineRule="auto"/>
        <w:jc w:val="left"/>
      </w:pPr>
      <w:r>
        <w:rPr>
          <w:rFonts w:ascii="Times New Roman" w:hAnsi="Times New Roman"/>
          <w:b w:val="0"/>
          <w:i w:val="0"/>
          <w:sz w:val="16"/>
        </w:rPr>
        <w:t>[18] National Institute of Standards and Technology, "Recommendation for Password-Based Key Derivation: Part 1 Storage Applications," NIST SP 800-132, 2010.</w:t>
      </w:r>
    </w:p>
    <w:p>
      <w:pPr>
        <w:spacing w:before="20" w:after="20" w:line="240" w:lineRule="auto"/>
        <w:jc w:val="left"/>
      </w:pPr>
      <w:r>
        <w:rPr>
          <w:rFonts w:ascii="Times New Roman" w:hAnsi="Times New Roman"/>
          <w:b w:val="0"/>
          <w:i w:val="0"/>
          <w:sz w:val="16"/>
        </w:rPr>
        <w:t>[19] M. Jones, J. Bradley, and N. Sakimura, "JSON Web Token (JWT) Architecture," IETF RFC 7519, May 2015.</w:t>
      </w:r>
    </w:p>
    <w:p>
      <w:pPr>
        <w:spacing w:before="20" w:after="20" w:line="240" w:lineRule="auto"/>
        <w:jc w:val="left"/>
      </w:pPr>
      <w:r>
        <w:rPr>
          <w:rFonts w:ascii="Times New Roman" w:hAnsi="Times New Roman"/>
          <w:b w:val="0"/>
          <w:i w:val="0"/>
          <w:sz w:val="16"/>
        </w:rPr>
        <w:t>[20] S. Bray, Flask Web Development: Developing Web Applications with Python, 2nd ed. Sebastopol, CA: O'Reilly Media, 2018.</w:t>
      </w:r>
    </w:p>
    <w:p>
      <w:pPr>
        <w:spacing w:before="20" w:after="20" w:line="240" w:lineRule="auto"/>
        <w:jc w:val="left"/>
      </w:pPr>
      <w:r>
        <w:rPr>
          <w:rFonts w:ascii="Times New Roman" w:hAnsi="Times New Roman"/>
          <w:b w:val="0"/>
          <w:i w:val="0"/>
          <w:sz w:val="16"/>
        </w:rPr>
        <w:t>[21] A. Vaswani et al., "Attention is all you need," in Proc. Advances in Neural Information Processing Systems (NeurIPS), vol. 30, 2017, pp. 5998-6008.</w:t>
      </w:r>
    </w:p>
    <w:p>
      <w:pPr>
        <w:spacing w:before="20" w:after="20" w:line="240" w:lineRule="auto"/>
        <w:jc w:val="left"/>
      </w:pPr>
      <w:r>
        <w:rPr>
          <w:rFonts w:ascii="Times New Roman" w:hAnsi="Times New Roman"/>
          <w:b w:val="0"/>
          <w:i w:val="0"/>
          <w:sz w:val="16"/>
        </w:rPr>
        <w:t>[22] E. Topol, "High-performance medicine: The convergence of human and artificial intelligence," Nature Medicine, vol. 25, no. 1, pp. 44-56, 2019.</w:t>
      </w:r>
    </w:p>
    <w:p>
      <w:pPr>
        <w:spacing w:before="20" w:after="20" w:line="240" w:lineRule="auto"/>
        <w:jc w:val="left"/>
      </w:pPr>
      <w:r>
        <w:rPr>
          <w:rFonts w:ascii="Times New Roman" w:hAnsi="Times New Roman"/>
          <w:b w:val="0"/>
          <w:i w:val="0"/>
          <w:sz w:val="16"/>
        </w:rPr>
        <w:t>[23] Central Drugs Standard Control Organisation (CDSCO), "Digital Health Records and Pharmacy Compliance Standards," Ministry of Health and Family Welfare, Govt. of India, 2023.</w:t>
      </w:r>
    </w:p>
    <w:p>
      <w:pPr>
        <w:spacing w:before="20" w:after="20" w:line="240" w:lineRule="auto"/>
        <w:jc w:val="left"/>
      </w:pPr>
      <w:r>
        <w:rPr>
          <w:rFonts w:ascii="Times New Roman" w:hAnsi="Times New Roman"/>
          <w:b w:val="0"/>
          <w:i w:val="0"/>
          <w:sz w:val="16"/>
        </w:rPr>
        <w:t>[24] I. Sommerville, Software Engineering, 10th ed. Boston, MA: Pearson, 2016.</w:t>
      </w:r>
    </w:p>
    <w:p>
      <w:pPr>
        <w:spacing w:before="20" w:after="20" w:line="240" w:lineRule="auto"/>
        <w:jc w:val="left"/>
      </w:pPr>
      <w:r>
        <w:rPr>
          <w:rFonts w:ascii="Times New Roman" w:hAnsi="Times New Roman"/>
          <w:b w:val="0"/>
          <w:i w:val="0"/>
          <w:sz w:val="16"/>
        </w:rPr>
        <w:t>[25] D. Carlisle and F. Mittelbach, "The array package for tabular environments in LaTeX," CTAN Report, 2021.</w:t>
      </w:r>
    </w:p>
    <w:sectPr w:rsidR="00FC693F" w:rsidRPr="0006063C" w:rsidSect="00034616">
      <w:pgSz w:w="11906" w:h="16838"/>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