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007" w:rsidRPr="0014413E" w:rsidRDefault="00316007" w:rsidP="009B646A">
      <w:pPr>
        <w:pStyle w:val="BodyText"/>
        <w:spacing w:before="120" w:after="0"/>
        <w:ind w:firstLine="0"/>
        <w:jc w:val="center"/>
        <w:rPr>
          <w:b/>
          <w:sz w:val="22"/>
          <w:szCs w:val="22"/>
        </w:rPr>
      </w:pPr>
      <w:bookmarkStart w:id="0" w:name="_GoBack"/>
      <w:bookmarkEnd w:id="0"/>
      <w:proofErr w:type="gramStart"/>
      <w:r w:rsidRPr="0014413E">
        <w:rPr>
          <w:b/>
          <w:sz w:val="22"/>
          <w:szCs w:val="22"/>
        </w:rPr>
        <w:t>YOUR</w:t>
      </w:r>
      <w:proofErr w:type="gramEnd"/>
      <w:r w:rsidRPr="0014413E">
        <w:rPr>
          <w:b/>
          <w:sz w:val="22"/>
          <w:szCs w:val="22"/>
        </w:rPr>
        <w:t xml:space="preserve"> ROLLOVER OPTIONS</w:t>
      </w:r>
    </w:p>
    <w:p w:rsidR="006014DE" w:rsidRPr="00E44CA0" w:rsidRDefault="006014DE" w:rsidP="005D4EC3">
      <w:pPr>
        <w:pStyle w:val="BodyText"/>
        <w:spacing w:after="0"/>
        <w:ind w:firstLine="0"/>
        <w:jc w:val="both"/>
        <w:rPr>
          <w:b/>
          <w:sz w:val="22"/>
          <w:szCs w:val="22"/>
        </w:rPr>
      </w:pPr>
    </w:p>
    <w:p w:rsidR="00316007" w:rsidRPr="00E44CA0" w:rsidRDefault="00316007" w:rsidP="007A71A1">
      <w:pPr>
        <w:pStyle w:val="BodyText"/>
        <w:spacing w:after="120"/>
        <w:ind w:firstLine="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You are receiving this notice because all or a portion of a payment you are receiving</w:t>
      </w:r>
      <w:r w:rsidR="008B2DCE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 xml:space="preserve">from the </w:t>
      </w:r>
      <w:r w:rsidR="008B2DCE" w:rsidRPr="00E44CA0">
        <w:rPr>
          <w:sz w:val="22"/>
          <w:szCs w:val="22"/>
        </w:rPr>
        <w:t xml:space="preserve">Motion Picture Industry </w:t>
      </w:r>
      <w:r w:rsidR="006A7B46">
        <w:rPr>
          <w:sz w:val="22"/>
          <w:szCs w:val="22"/>
        </w:rPr>
        <w:t xml:space="preserve">(MPI) </w:t>
      </w:r>
      <w:r w:rsidR="008B2DCE" w:rsidRPr="00E44CA0">
        <w:rPr>
          <w:sz w:val="22"/>
          <w:szCs w:val="22"/>
        </w:rPr>
        <w:t xml:space="preserve">Pension Plan and/or the Individual Account Plan </w:t>
      </w:r>
      <w:r w:rsidRPr="00E44CA0">
        <w:rPr>
          <w:sz w:val="22"/>
          <w:szCs w:val="22"/>
        </w:rPr>
        <w:t>(the “Plan”) is eligible to be rolled over to an IRA or</w:t>
      </w:r>
      <w:r w:rsidR="008B2DCE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 xml:space="preserve">an employer plan. This notice describes the rollover rules that apply to payments from the Plan. </w:t>
      </w:r>
    </w:p>
    <w:p w:rsidR="00316007" w:rsidRPr="00E44CA0" w:rsidRDefault="00316007" w:rsidP="005D4EC3">
      <w:pPr>
        <w:pStyle w:val="BodyText"/>
        <w:spacing w:after="0"/>
        <w:ind w:firstLine="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 xml:space="preserve">Rules that apply to most payments from </w:t>
      </w:r>
      <w:r w:rsidR="009B613A">
        <w:rPr>
          <w:sz w:val="22"/>
          <w:szCs w:val="22"/>
        </w:rPr>
        <w:t>the P</w:t>
      </w:r>
      <w:r w:rsidRPr="00E44CA0">
        <w:rPr>
          <w:sz w:val="22"/>
          <w:szCs w:val="22"/>
        </w:rPr>
        <w:t>lan are described in the “General</w:t>
      </w:r>
      <w:r w:rsidR="008B2DCE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 xml:space="preserve">Information </w:t>
      </w:r>
      <w:proofErr w:type="gramStart"/>
      <w:r w:rsidRPr="00E44CA0">
        <w:rPr>
          <w:sz w:val="22"/>
          <w:szCs w:val="22"/>
        </w:rPr>
        <w:t>About</w:t>
      </w:r>
      <w:proofErr w:type="gramEnd"/>
      <w:r w:rsidRPr="00E44CA0">
        <w:rPr>
          <w:sz w:val="22"/>
          <w:szCs w:val="22"/>
        </w:rPr>
        <w:t xml:space="preserve"> Rollovers” section. Special rules that only apply in certain</w:t>
      </w:r>
      <w:r w:rsidR="008B2DCE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circumstances are described in the “Special Rules and Options” section.</w:t>
      </w:r>
    </w:p>
    <w:p w:rsidR="004B26BC" w:rsidRPr="00E44CA0" w:rsidRDefault="004B26BC" w:rsidP="005D4EC3">
      <w:pPr>
        <w:pStyle w:val="BodyText"/>
        <w:spacing w:after="0"/>
        <w:ind w:firstLine="0"/>
        <w:jc w:val="both"/>
        <w:rPr>
          <w:b/>
          <w:sz w:val="22"/>
          <w:szCs w:val="22"/>
        </w:rPr>
      </w:pPr>
    </w:p>
    <w:p w:rsidR="00316007" w:rsidRPr="00E44CA0" w:rsidRDefault="00316007" w:rsidP="005D4EC3">
      <w:pPr>
        <w:pStyle w:val="BodyText"/>
        <w:spacing w:after="0"/>
        <w:ind w:firstLine="0"/>
        <w:jc w:val="center"/>
        <w:rPr>
          <w:b/>
          <w:sz w:val="22"/>
          <w:szCs w:val="22"/>
        </w:rPr>
      </w:pPr>
      <w:r w:rsidRPr="00E44CA0">
        <w:rPr>
          <w:b/>
          <w:sz w:val="22"/>
          <w:szCs w:val="22"/>
        </w:rPr>
        <w:t>GENERAL INFORMATION ABOUT ROLLOVERS</w:t>
      </w:r>
    </w:p>
    <w:p w:rsidR="006014DE" w:rsidRPr="00E44CA0" w:rsidRDefault="006014DE" w:rsidP="005D4EC3">
      <w:pPr>
        <w:pStyle w:val="BodyText"/>
        <w:spacing w:after="0"/>
        <w:ind w:firstLine="0"/>
        <w:jc w:val="both"/>
        <w:rPr>
          <w:b/>
          <w:sz w:val="22"/>
          <w:szCs w:val="22"/>
          <w:u w:val="single"/>
        </w:rPr>
      </w:pPr>
    </w:p>
    <w:p w:rsidR="00316007" w:rsidRPr="00E44CA0" w:rsidRDefault="00316007" w:rsidP="00452415">
      <w:pPr>
        <w:pStyle w:val="BodyText"/>
        <w:spacing w:after="120"/>
        <w:ind w:firstLine="0"/>
        <w:jc w:val="both"/>
        <w:rPr>
          <w:b/>
          <w:sz w:val="22"/>
          <w:szCs w:val="22"/>
        </w:rPr>
      </w:pPr>
      <w:r w:rsidRPr="00E44CA0">
        <w:rPr>
          <w:b/>
          <w:sz w:val="22"/>
          <w:szCs w:val="22"/>
        </w:rPr>
        <w:t>How can a rollover affect my taxes?</w:t>
      </w:r>
    </w:p>
    <w:p w:rsidR="00316007" w:rsidRPr="00E44CA0" w:rsidRDefault="00316007" w:rsidP="002B7599">
      <w:pPr>
        <w:pStyle w:val="BodyText"/>
        <w:spacing w:after="0"/>
        <w:ind w:left="360" w:firstLine="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You will be taxed on a payment</w:t>
      </w:r>
      <w:r w:rsidR="009B613A">
        <w:rPr>
          <w:sz w:val="22"/>
          <w:szCs w:val="22"/>
        </w:rPr>
        <w:t xml:space="preserve"> you receive</w:t>
      </w:r>
      <w:r w:rsidRPr="00E44CA0">
        <w:rPr>
          <w:sz w:val="22"/>
          <w:szCs w:val="22"/>
        </w:rPr>
        <w:t xml:space="preserve"> from the Plan if you do not roll it over. If you are under</w:t>
      </w:r>
      <w:r w:rsidR="008B2DCE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age 59½ and do not do a rollover, you will also have to pay a 10% additional income tax</w:t>
      </w:r>
      <w:r w:rsidR="008B2DCE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on early distributions (unless an exception applies). However, if you do a rollover, you</w:t>
      </w:r>
      <w:r w:rsidR="008B2DCE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will not have to pay tax until you receive payments later and the 10% additional income</w:t>
      </w:r>
      <w:r w:rsidR="008B2DCE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tax will not apply if those payments are made after you are age 59½ (or if an exception</w:t>
      </w:r>
      <w:r w:rsidR="008B2DCE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applies).</w:t>
      </w:r>
    </w:p>
    <w:p w:rsidR="004B26BC" w:rsidRPr="00E44CA0" w:rsidRDefault="004B26BC" w:rsidP="005D4EC3">
      <w:pPr>
        <w:pStyle w:val="BodyText"/>
        <w:spacing w:after="0"/>
        <w:ind w:firstLine="0"/>
        <w:jc w:val="both"/>
        <w:rPr>
          <w:b/>
          <w:sz w:val="22"/>
          <w:szCs w:val="22"/>
        </w:rPr>
      </w:pPr>
    </w:p>
    <w:p w:rsidR="00316007" w:rsidRPr="00E44CA0" w:rsidRDefault="00316007" w:rsidP="00452415">
      <w:pPr>
        <w:pStyle w:val="BodyText"/>
        <w:spacing w:after="120"/>
        <w:ind w:firstLine="0"/>
        <w:jc w:val="both"/>
        <w:rPr>
          <w:b/>
          <w:sz w:val="22"/>
          <w:szCs w:val="22"/>
        </w:rPr>
      </w:pPr>
      <w:r w:rsidRPr="00E44CA0">
        <w:rPr>
          <w:b/>
          <w:sz w:val="22"/>
          <w:szCs w:val="22"/>
        </w:rPr>
        <w:t>Where may I roll over the payment?</w:t>
      </w:r>
    </w:p>
    <w:p w:rsidR="00316007" w:rsidRPr="00E44CA0" w:rsidRDefault="00316007" w:rsidP="002B7599">
      <w:pPr>
        <w:pStyle w:val="BodyText"/>
        <w:spacing w:after="0"/>
        <w:ind w:left="360" w:firstLine="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You may roll over the payment to either an IRA (an individual retirement account or</w:t>
      </w:r>
      <w:r w:rsidR="008B2DCE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individual retirement annuity) or an employer plan (a tax-qualified plan, section 403(b)</w:t>
      </w:r>
      <w:r w:rsidR="008B2DCE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plan, or governmental section 457(b) plan) that will accept the rollover. The rules of the</w:t>
      </w:r>
      <w:r w:rsidR="008B2DCE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IRA or employer plan that holds the rollover will determine your investment options,</w:t>
      </w:r>
      <w:r w:rsidR="008B2DCE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fees, and rights to payment from the IRA or employer plan (for example, no spousal</w:t>
      </w:r>
      <w:r w:rsidR="008B2DCE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consent rules apply to IRAs and IRAs may not provide loans). Further, the amount</w:t>
      </w:r>
      <w:r w:rsidR="008B2DCE" w:rsidRPr="00E44CA0">
        <w:rPr>
          <w:sz w:val="22"/>
          <w:szCs w:val="22"/>
        </w:rPr>
        <w:t xml:space="preserve"> r</w:t>
      </w:r>
      <w:r w:rsidRPr="00E44CA0">
        <w:rPr>
          <w:sz w:val="22"/>
          <w:szCs w:val="22"/>
        </w:rPr>
        <w:t>olled over will become subject to the tax rules that apply to the IRA or employer plan.</w:t>
      </w:r>
    </w:p>
    <w:p w:rsidR="004B26BC" w:rsidRPr="00E44CA0" w:rsidRDefault="004B26BC" w:rsidP="005D4EC3">
      <w:pPr>
        <w:pStyle w:val="BodyText"/>
        <w:spacing w:after="0"/>
        <w:ind w:firstLine="0"/>
        <w:jc w:val="both"/>
        <w:rPr>
          <w:b/>
          <w:sz w:val="22"/>
          <w:szCs w:val="22"/>
          <w:u w:val="single"/>
        </w:rPr>
      </w:pPr>
    </w:p>
    <w:p w:rsidR="00316007" w:rsidRPr="00E44CA0" w:rsidRDefault="00316007" w:rsidP="00452415">
      <w:pPr>
        <w:pStyle w:val="BodyText"/>
        <w:spacing w:after="120"/>
        <w:ind w:firstLine="0"/>
        <w:jc w:val="both"/>
        <w:rPr>
          <w:b/>
          <w:sz w:val="22"/>
          <w:szCs w:val="22"/>
        </w:rPr>
      </w:pPr>
      <w:r w:rsidRPr="00E44CA0">
        <w:rPr>
          <w:b/>
          <w:sz w:val="22"/>
          <w:szCs w:val="22"/>
        </w:rPr>
        <w:t>How do I do a rollover?</w:t>
      </w:r>
    </w:p>
    <w:p w:rsidR="00316007" w:rsidRPr="00E44CA0" w:rsidRDefault="00316007" w:rsidP="002B7599">
      <w:pPr>
        <w:pStyle w:val="BodyText"/>
        <w:spacing w:after="120"/>
        <w:ind w:left="360" w:firstLine="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There are two ways to do a rollover. You can do either a direct rollover or a 60-day</w:t>
      </w:r>
      <w:r w:rsidR="008B2DCE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rollover.</w:t>
      </w:r>
    </w:p>
    <w:p w:rsidR="00316007" w:rsidRPr="00E44CA0" w:rsidRDefault="009B613A" w:rsidP="002B7599">
      <w:pPr>
        <w:pStyle w:val="BodyText"/>
        <w:spacing w:after="120"/>
        <w:ind w:left="360" w:firstLine="0"/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D</w:t>
      </w:r>
      <w:r w:rsidR="00316007" w:rsidRPr="00E44CA0">
        <w:rPr>
          <w:sz w:val="22"/>
          <w:szCs w:val="22"/>
          <w:u w:val="single"/>
        </w:rPr>
        <w:t>irect rollover</w:t>
      </w:r>
      <w:r>
        <w:rPr>
          <w:sz w:val="22"/>
          <w:szCs w:val="22"/>
          <w:u w:val="single"/>
        </w:rPr>
        <w:t>:</w:t>
      </w:r>
      <w:r w:rsidR="00316007" w:rsidRPr="00E44CA0">
        <w:rPr>
          <w:sz w:val="22"/>
          <w:szCs w:val="22"/>
        </w:rPr>
        <w:t xml:space="preserve"> the Plan will make the payment directly to your IRA or an</w:t>
      </w:r>
      <w:r w:rsidR="008B2DCE" w:rsidRPr="00E44CA0">
        <w:rPr>
          <w:sz w:val="22"/>
          <w:szCs w:val="22"/>
        </w:rPr>
        <w:t xml:space="preserve"> </w:t>
      </w:r>
      <w:r w:rsidR="00316007" w:rsidRPr="00E44CA0">
        <w:rPr>
          <w:sz w:val="22"/>
          <w:szCs w:val="22"/>
        </w:rPr>
        <w:t>employer plan. You should contact the IRA sponsor or the administrator of the</w:t>
      </w:r>
      <w:r w:rsidR="008B2DCE" w:rsidRPr="00E44CA0">
        <w:rPr>
          <w:sz w:val="22"/>
          <w:szCs w:val="22"/>
        </w:rPr>
        <w:t xml:space="preserve"> </w:t>
      </w:r>
      <w:r w:rsidR="00316007" w:rsidRPr="00E44CA0">
        <w:rPr>
          <w:sz w:val="22"/>
          <w:szCs w:val="22"/>
        </w:rPr>
        <w:t>employer plan for information on how to do a direct rollover.</w:t>
      </w:r>
    </w:p>
    <w:p w:rsidR="00316007" w:rsidRPr="00E44CA0" w:rsidRDefault="009B613A" w:rsidP="002B7599">
      <w:pPr>
        <w:pStyle w:val="BodyText"/>
        <w:spacing w:after="0"/>
        <w:ind w:left="360" w:firstLine="0"/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60 day</w:t>
      </w:r>
      <w:r w:rsidR="00316007" w:rsidRPr="00E44CA0">
        <w:rPr>
          <w:sz w:val="22"/>
          <w:szCs w:val="22"/>
          <w:u w:val="single"/>
        </w:rPr>
        <w:t xml:space="preserve"> rollover</w:t>
      </w:r>
      <w:r>
        <w:rPr>
          <w:sz w:val="22"/>
          <w:szCs w:val="22"/>
          <w:u w:val="single"/>
        </w:rPr>
        <w:t>:</w:t>
      </w:r>
      <w:r w:rsidR="00316007" w:rsidRPr="00E44CA0">
        <w:rPr>
          <w:sz w:val="22"/>
          <w:szCs w:val="22"/>
        </w:rPr>
        <w:t xml:space="preserve"> you may </w:t>
      </w:r>
      <w:r>
        <w:rPr>
          <w:sz w:val="22"/>
          <w:szCs w:val="22"/>
        </w:rPr>
        <w:t>make</w:t>
      </w:r>
      <w:r w:rsidR="00316007" w:rsidRPr="00E44CA0">
        <w:rPr>
          <w:sz w:val="22"/>
          <w:szCs w:val="22"/>
        </w:rPr>
        <w:t xml:space="preserve"> a deposit into an</w:t>
      </w:r>
      <w:r w:rsidR="008B2DCE" w:rsidRPr="00E44CA0">
        <w:rPr>
          <w:sz w:val="22"/>
          <w:szCs w:val="22"/>
        </w:rPr>
        <w:t xml:space="preserve"> </w:t>
      </w:r>
      <w:r w:rsidR="00316007" w:rsidRPr="00E44CA0">
        <w:rPr>
          <w:sz w:val="22"/>
          <w:szCs w:val="22"/>
        </w:rPr>
        <w:t>IRA or eligible employer plan that will accept it. You will have 60 days after you receive</w:t>
      </w:r>
      <w:r w:rsidR="008B2DCE" w:rsidRPr="00E44CA0">
        <w:rPr>
          <w:sz w:val="22"/>
          <w:szCs w:val="22"/>
        </w:rPr>
        <w:t xml:space="preserve"> </w:t>
      </w:r>
      <w:r w:rsidR="00316007" w:rsidRPr="00E44CA0">
        <w:rPr>
          <w:sz w:val="22"/>
          <w:szCs w:val="22"/>
        </w:rPr>
        <w:t>the payment to make the deposit. If you do not do a direct rollover, the Plan is required</w:t>
      </w:r>
      <w:r w:rsidR="008B2DCE" w:rsidRPr="00E44CA0">
        <w:rPr>
          <w:sz w:val="22"/>
          <w:szCs w:val="22"/>
        </w:rPr>
        <w:t xml:space="preserve"> </w:t>
      </w:r>
      <w:r w:rsidR="00316007" w:rsidRPr="00E44CA0">
        <w:rPr>
          <w:sz w:val="22"/>
          <w:szCs w:val="22"/>
        </w:rPr>
        <w:t>to withhold 20% of the payment for federal income taxes (up to the amount of cash and</w:t>
      </w:r>
      <w:r w:rsidR="008B2DCE" w:rsidRPr="00E44CA0">
        <w:rPr>
          <w:sz w:val="22"/>
          <w:szCs w:val="22"/>
        </w:rPr>
        <w:t xml:space="preserve"> </w:t>
      </w:r>
      <w:r w:rsidR="00316007" w:rsidRPr="00E44CA0">
        <w:rPr>
          <w:sz w:val="22"/>
          <w:szCs w:val="22"/>
        </w:rPr>
        <w:t>property received). This means that, in order to roll over the</w:t>
      </w:r>
      <w:r w:rsidR="008B2DCE" w:rsidRPr="00E44CA0">
        <w:rPr>
          <w:sz w:val="22"/>
          <w:szCs w:val="22"/>
        </w:rPr>
        <w:t xml:space="preserve"> </w:t>
      </w:r>
      <w:r w:rsidR="00316007" w:rsidRPr="00E44CA0">
        <w:rPr>
          <w:sz w:val="22"/>
          <w:szCs w:val="22"/>
        </w:rPr>
        <w:t>entire payment in a 60-day rollover, you must use other funds to make up for the 20%</w:t>
      </w:r>
      <w:r w:rsidR="008B2DCE" w:rsidRPr="00E44CA0">
        <w:rPr>
          <w:sz w:val="22"/>
          <w:szCs w:val="22"/>
        </w:rPr>
        <w:t xml:space="preserve"> </w:t>
      </w:r>
      <w:r w:rsidR="00316007" w:rsidRPr="00E44CA0">
        <w:rPr>
          <w:sz w:val="22"/>
          <w:szCs w:val="22"/>
        </w:rPr>
        <w:t>withheld. If you do not roll over the entire amount of the payment, the portion not rolled</w:t>
      </w:r>
      <w:r w:rsidR="008B2DCE" w:rsidRPr="00E44CA0">
        <w:rPr>
          <w:sz w:val="22"/>
          <w:szCs w:val="22"/>
        </w:rPr>
        <w:t xml:space="preserve"> o</w:t>
      </w:r>
      <w:r w:rsidR="00316007" w:rsidRPr="00E44CA0">
        <w:rPr>
          <w:sz w:val="22"/>
          <w:szCs w:val="22"/>
        </w:rPr>
        <w:t>ver will be taxed and will be subject to the 10% additional income tax on early</w:t>
      </w:r>
      <w:r w:rsidR="008B2DCE" w:rsidRPr="00E44CA0">
        <w:rPr>
          <w:sz w:val="22"/>
          <w:szCs w:val="22"/>
        </w:rPr>
        <w:t xml:space="preserve"> </w:t>
      </w:r>
      <w:r w:rsidR="00316007" w:rsidRPr="00E44CA0">
        <w:rPr>
          <w:sz w:val="22"/>
          <w:szCs w:val="22"/>
        </w:rPr>
        <w:t>distributions if you are under age 59½ (unless an exception applies).</w:t>
      </w:r>
    </w:p>
    <w:p w:rsidR="004B510D" w:rsidRPr="00E44CA0" w:rsidRDefault="004B510D" w:rsidP="005D4EC3">
      <w:pPr>
        <w:pStyle w:val="BodyText"/>
        <w:spacing w:after="0"/>
        <w:ind w:firstLine="0"/>
        <w:jc w:val="both"/>
        <w:rPr>
          <w:b/>
          <w:sz w:val="22"/>
          <w:szCs w:val="22"/>
        </w:rPr>
      </w:pPr>
    </w:p>
    <w:p w:rsidR="00316007" w:rsidRPr="00E44CA0" w:rsidRDefault="00316007" w:rsidP="00452415">
      <w:pPr>
        <w:pStyle w:val="BodyText"/>
        <w:spacing w:after="120"/>
        <w:ind w:firstLine="0"/>
        <w:jc w:val="both"/>
        <w:rPr>
          <w:b/>
          <w:sz w:val="22"/>
          <w:szCs w:val="22"/>
        </w:rPr>
      </w:pPr>
      <w:r w:rsidRPr="00E44CA0">
        <w:rPr>
          <w:b/>
          <w:sz w:val="22"/>
          <w:szCs w:val="22"/>
        </w:rPr>
        <w:t>How much may I roll over?</w:t>
      </w:r>
    </w:p>
    <w:p w:rsidR="00316007" w:rsidRPr="00E44CA0" w:rsidRDefault="00316007" w:rsidP="002B7599">
      <w:pPr>
        <w:pStyle w:val="BodyText"/>
        <w:spacing w:after="0"/>
        <w:ind w:left="360" w:firstLine="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If you wish to do a rollover, you may roll over all or part of the amount eligible for</w:t>
      </w:r>
      <w:r w:rsidR="008B2DCE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rollover. Any payment from the Plan is eligible for rollover, except:</w:t>
      </w:r>
    </w:p>
    <w:p w:rsidR="00316007" w:rsidRPr="00E44CA0" w:rsidRDefault="00316007" w:rsidP="0014413E">
      <w:pPr>
        <w:pStyle w:val="BodyText"/>
        <w:numPr>
          <w:ilvl w:val="0"/>
          <w:numId w:val="32"/>
        </w:numPr>
        <w:tabs>
          <w:tab w:val="clear" w:pos="2160"/>
        </w:tabs>
        <w:spacing w:before="120" w:after="0"/>
        <w:ind w:left="108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Certain payments spread over a period of at least 10 years or over your life or life</w:t>
      </w:r>
      <w:r w:rsidR="008B2DCE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expectancy (or the lives or joint life expectancy of you and your beneficiary)</w:t>
      </w:r>
    </w:p>
    <w:p w:rsidR="00316007" w:rsidRPr="00E44CA0" w:rsidRDefault="00316007" w:rsidP="005D4EC3">
      <w:pPr>
        <w:pStyle w:val="BodyText"/>
        <w:numPr>
          <w:ilvl w:val="0"/>
          <w:numId w:val="32"/>
        </w:numPr>
        <w:tabs>
          <w:tab w:val="clear" w:pos="2160"/>
        </w:tabs>
        <w:spacing w:after="0"/>
        <w:ind w:left="108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Required minimum distributions after age 70½ (or after death)</w:t>
      </w:r>
    </w:p>
    <w:p w:rsidR="00316007" w:rsidRPr="00E44CA0" w:rsidRDefault="00316007" w:rsidP="003E4962">
      <w:pPr>
        <w:pStyle w:val="BodyText"/>
        <w:numPr>
          <w:ilvl w:val="0"/>
          <w:numId w:val="32"/>
        </w:numPr>
        <w:tabs>
          <w:tab w:val="clear" w:pos="2160"/>
        </w:tabs>
        <w:spacing w:after="120"/>
        <w:ind w:left="108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Corrective distributions of contributions that exceed tax law limitations</w:t>
      </w:r>
      <w:r w:rsidR="006749CF" w:rsidRPr="00E44CA0">
        <w:rPr>
          <w:sz w:val="22"/>
          <w:szCs w:val="22"/>
        </w:rPr>
        <w:t>.</w:t>
      </w:r>
    </w:p>
    <w:p w:rsidR="00316007" w:rsidRPr="00E44CA0" w:rsidRDefault="006A7B46" w:rsidP="002B7599">
      <w:pPr>
        <w:pStyle w:val="BodyText"/>
        <w:spacing w:after="0"/>
        <w:ind w:left="360" w:firstLine="0"/>
        <w:jc w:val="both"/>
        <w:rPr>
          <w:sz w:val="22"/>
          <w:szCs w:val="22"/>
        </w:rPr>
      </w:pPr>
      <w:r>
        <w:rPr>
          <w:sz w:val="22"/>
          <w:szCs w:val="22"/>
        </w:rPr>
        <w:t>The Plan A</w:t>
      </w:r>
      <w:r w:rsidR="00316007" w:rsidRPr="00E44CA0">
        <w:rPr>
          <w:sz w:val="22"/>
          <w:szCs w:val="22"/>
        </w:rPr>
        <w:t xml:space="preserve">dministrator or the </w:t>
      </w:r>
      <w:proofErr w:type="spellStart"/>
      <w:r w:rsidR="004B510D" w:rsidRPr="00E44CA0">
        <w:rPr>
          <w:sz w:val="22"/>
          <w:szCs w:val="22"/>
        </w:rPr>
        <w:t>pay</w:t>
      </w:r>
      <w:r w:rsidR="002335B2" w:rsidRPr="00E44CA0">
        <w:rPr>
          <w:sz w:val="22"/>
          <w:szCs w:val="22"/>
        </w:rPr>
        <w:t>o</w:t>
      </w:r>
      <w:r w:rsidR="004B510D" w:rsidRPr="00E44CA0">
        <w:rPr>
          <w:sz w:val="22"/>
          <w:szCs w:val="22"/>
        </w:rPr>
        <w:t>r</w:t>
      </w:r>
      <w:proofErr w:type="spellEnd"/>
      <w:r w:rsidR="00316007" w:rsidRPr="00E44CA0">
        <w:rPr>
          <w:sz w:val="22"/>
          <w:szCs w:val="22"/>
        </w:rPr>
        <w:t xml:space="preserve"> can tell you what portion of a payment is eligible for</w:t>
      </w:r>
      <w:r w:rsidR="008B2DCE" w:rsidRPr="00E44CA0">
        <w:rPr>
          <w:sz w:val="22"/>
          <w:szCs w:val="22"/>
        </w:rPr>
        <w:t xml:space="preserve"> </w:t>
      </w:r>
      <w:r w:rsidR="00316007" w:rsidRPr="00E44CA0">
        <w:rPr>
          <w:sz w:val="22"/>
          <w:szCs w:val="22"/>
        </w:rPr>
        <w:t>rollover.</w:t>
      </w:r>
    </w:p>
    <w:p w:rsidR="004B510D" w:rsidRPr="00E44CA0" w:rsidRDefault="004B510D" w:rsidP="005D4EC3">
      <w:pPr>
        <w:pStyle w:val="BodyText"/>
        <w:spacing w:after="0"/>
        <w:ind w:firstLine="0"/>
        <w:jc w:val="both"/>
        <w:rPr>
          <w:b/>
          <w:sz w:val="22"/>
          <w:szCs w:val="22"/>
        </w:rPr>
      </w:pPr>
    </w:p>
    <w:p w:rsidR="00BE28D5" w:rsidRDefault="00BE28D5" w:rsidP="003E4962">
      <w:pPr>
        <w:pStyle w:val="BodyText"/>
        <w:spacing w:after="120"/>
        <w:ind w:firstLine="0"/>
        <w:jc w:val="both"/>
        <w:rPr>
          <w:b/>
          <w:sz w:val="22"/>
          <w:szCs w:val="22"/>
        </w:rPr>
        <w:sectPr w:rsidR="00BE28D5" w:rsidSect="009D5E77">
          <w:headerReference w:type="even" r:id="rId12"/>
          <w:headerReference w:type="default" r:id="rId13"/>
          <w:headerReference w:type="first" r:id="rId14"/>
          <w:pgSz w:w="12240" w:h="15840" w:code="1"/>
          <w:pgMar w:top="1526" w:right="720" w:bottom="720" w:left="720" w:header="360" w:footer="288" w:gutter="0"/>
          <w:cols w:space="720"/>
          <w:titlePg/>
          <w:docGrid w:linePitch="360"/>
        </w:sectPr>
      </w:pPr>
    </w:p>
    <w:p w:rsidR="00316007" w:rsidRPr="00E44CA0" w:rsidRDefault="00316007" w:rsidP="003E4962">
      <w:pPr>
        <w:pStyle w:val="BodyText"/>
        <w:spacing w:after="120"/>
        <w:ind w:firstLine="0"/>
        <w:jc w:val="both"/>
        <w:rPr>
          <w:b/>
          <w:sz w:val="22"/>
          <w:szCs w:val="22"/>
        </w:rPr>
      </w:pPr>
      <w:r w:rsidRPr="00E44CA0">
        <w:rPr>
          <w:b/>
          <w:sz w:val="22"/>
          <w:szCs w:val="22"/>
        </w:rPr>
        <w:lastRenderedPageBreak/>
        <w:t>If I don’t do a rollover, will I have to pay the 10% additional income tax on early</w:t>
      </w:r>
      <w:r w:rsidR="008B2DCE" w:rsidRPr="00E44CA0">
        <w:rPr>
          <w:b/>
          <w:sz w:val="22"/>
          <w:szCs w:val="22"/>
        </w:rPr>
        <w:t xml:space="preserve"> </w:t>
      </w:r>
      <w:r w:rsidRPr="00E44CA0">
        <w:rPr>
          <w:b/>
          <w:sz w:val="22"/>
          <w:szCs w:val="22"/>
        </w:rPr>
        <w:t>distributions?</w:t>
      </w:r>
    </w:p>
    <w:p w:rsidR="00316007" w:rsidRPr="00E44CA0" w:rsidRDefault="00316007" w:rsidP="002B7599">
      <w:pPr>
        <w:pStyle w:val="BodyText"/>
        <w:spacing w:after="0"/>
        <w:ind w:left="360" w:firstLine="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If you are under age 59½, you will have to pay the 10% additional income tax on early</w:t>
      </w:r>
      <w:r w:rsidR="008B2DCE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distributions for any payment from the Plan (including amounts withheld for income tax)</w:t>
      </w:r>
      <w:r w:rsidR="008B2DCE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that you do not roll over, unless one of the exceptions listed below applies. This tax is</w:t>
      </w:r>
      <w:r w:rsidR="008B2DCE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in addition to the regular income tax on the payment not rolled over.</w:t>
      </w:r>
    </w:p>
    <w:p w:rsidR="00316007" w:rsidRPr="00E44CA0" w:rsidRDefault="00316007" w:rsidP="002B7599">
      <w:pPr>
        <w:pStyle w:val="BodyText"/>
        <w:spacing w:before="120" w:after="120"/>
        <w:ind w:left="360" w:firstLine="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The 10% additional income tax does not apply to the following payments from the Plan:</w:t>
      </w:r>
    </w:p>
    <w:p w:rsidR="00316007" w:rsidRPr="00E44CA0" w:rsidRDefault="00316007" w:rsidP="005D4EC3">
      <w:pPr>
        <w:pStyle w:val="BodyText"/>
        <w:numPr>
          <w:ilvl w:val="0"/>
          <w:numId w:val="33"/>
        </w:numPr>
        <w:tabs>
          <w:tab w:val="clear" w:pos="2160"/>
        </w:tabs>
        <w:spacing w:after="0"/>
        <w:ind w:left="108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Payments made after you separate from service if you will be at least age 55 in</w:t>
      </w:r>
      <w:r w:rsidR="001A27E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the year of the separation</w:t>
      </w:r>
    </w:p>
    <w:p w:rsidR="00316007" w:rsidRPr="00E44CA0" w:rsidRDefault="00316007" w:rsidP="005D4EC3">
      <w:pPr>
        <w:pStyle w:val="BodyText"/>
        <w:numPr>
          <w:ilvl w:val="0"/>
          <w:numId w:val="33"/>
        </w:numPr>
        <w:tabs>
          <w:tab w:val="clear" w:pos="2160"/>
        </w:tabs>
        <w:spacing w:after="0"/>
        <w:ind w:left="108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Payments that start after you separate from service if paid at least annually in</w:t>
      </w:r>
      <w:r w:rsidR="001A27E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 xml:space="preserve">equal or close to equal </w:t>
      </w:r>
      <w:r w:rsidR="004B510D" w:rsidRPr="00E44CA0">
        <w:rPr>
          <w:sz w:val="22"/>
          <w:szCs w:val="22"/>
        </w:rPr>
        <w:t>a</w:t>
      </w:r>
      <w:r w:rsidRPr="00E44CA0">
        <w:rPr>
          <w:sz w:val="22"/>
          <w:szCs w:val="22"/>
        </w:rPr>
        <w:t>mounts over your life or life expectancy (or the lives or</w:t>
      </w:r>
      <w:r w:rsidR="001A27E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joint life expectancy of you and your beneficiary)</w:t>
      </w:r>
    </w:p>
    <w:p w:rsidR="00316007" w:rsidRPr="00E44CA0" w:rsidRDefault="00316007" w:rsidP="005D4EC3">
      <w:pPr>
        <w:pStyle w:val="BodyText"/>
        <w:numPr>
          <w:ilvl w:val="0"/>
          <w:numId w:val="33"/>
        </w:numPr>
        <w:tabs>
          <w:tab w:val="clear" w:pos="2160"/>
        </w:tabs>
        <w:spacing w:after="0"/>
        <w:ind w:left="108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Payments made due to disability</w:t>
      </w:r>
    </w:p>
    <w:p w:rsidR="00316007" w:rsidRPr="00E44CA0" w:rsidRDefault="00316007" w:rsidP="005D4EC3">
      <w:pPr>
        <w:pStyle w:val="BodyText"/>
        <w:numPr>
          <w:ilvl w:val="0"/>
          <w:numId w:val="33"/>
        </w:numPr>
        <w:tabs>
          <w:tab w:val="clear" w:pos="2160"/>
        </w:tabs>
        <w:spacing w:after="0"/>
        <w:ind w:left="108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Payments after your death</w:t>
      </w:r>
    </w:p>
    <w:p w:rsidR="00316007" w:rsidRPr="00E44CA0" w:rsidRDefault="00316007" w:rsidP="005D4EC3">
      <w:pPr>
        <w:pStyle w:val="BodyText"/>
        <w:numPr>
          <w:ilvl w:val="0"/>
          <w:numId w:val="33"/>
        </w:numPr>
        <w:tabs>
          <w:tab w:val="clear" w:pos="2160"/>
        </w:tabs>
        <w:spacing w:after="0"/>
        <w:ind w:left="108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Corrective distributions of contributions that exceed tax law limitations</w:t>
      </w:r>
    </w:p>
    <w:p w:rsidR="00316007" w:rsidRPr="00E44CA0" w:rsidRDefault="00316007" w:rsidP="005D4EC3">
      <w:pPr>
        <w:pStyle w:val="BodyText"/>
        <w:numPr>
          <w:ilvl w:val="0"/>
          <w:numId w:val="33"/>
        </w:numPr>
        <w:tabs>
          <w:tab w:val="clear" w:pos="2160"/>
        </w:tabs>
        <w:spacing w:after="0"/>
        <w:ind w:left="108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Payments made directly to the government to satisfy a federal tax levy</w:t>
      </w:r>
    </w:p>
    <w:p w:rsidR="00316007" w:rsidRPr="00E44CA0" w:rsidRDefault="00316007" w:rsidP="005D4EC3">
      <w:pPr>
        <w:pStyle w:val="BodyText"/>
        <w:numPr>
          <w:ilvl w:val="0"/>
          <w:numId w:val="33"/>
        </w:numPr>
        <w:tabs>
          <w:tab w:val="clear" w:pos="2160"/>
        </w:tabs>
        <w:spacing w:after="0"/>
        <w:ind w:left="108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Payments made under a qualified domestic relations order (QDRO)</w:t>
      </w:r>
    </w:p>
    <w:p w:rsidR="00316007" w:rsidRPr="00E44CA0" w:rsidRDefault="00316007" w:rsidP="005D4EC3">
      <w:pPr>
        <w:pStyle w:val="BodyText"/>
        <w:numPr>
          <w:ilvl w:val="0"/>
          <w:numId w:val="33"/>
        </w:numPr>
        <w:tabs>
          <w:tab w:val="clear" w:pos="2160"/>
        </w:tabs>
        <w:spacing w:after="0"/>
        <w:ind w:left="108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Payments up to the amount of your deductible medical expenses</w:t>
      </w:r>
    </w:p>
    <w:p w:rsidR="00316007" w:rsidRPr="00E44CA0" w:rsidRDefault="00316007" w:rsidP="005D4EC3">
      <w:pPr>
        <w:pStyle w:val="BodyText"/>
        <w:numPr>
          <w:ilvl w:val="0"/>
          <w:numId w:val="33"/>
        </w:numPr>
        <w:tabs>
          <w:tab w:val="clear" w:pos="2160"/>
        </w:tabs>
        <w:spacing w:after="0"/>
        <w:ind w:left="108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Certain payments made while you are on active duty if you were a member of a</w:t>
      </w:r>
      <w:r w:rsidR="001A27E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reserve component called to duty after September 11, 2001 for more than 179</w:t>
      </w:r>
      <w:r w:rsidR="001A27E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days</w:t>
      </w:r>
      <w:r w:rsidR="006749CF" w:rsidRPr="00E44CA0">
        <w:rPr>
          <w:sz w:val="22"/>
          <w:szCs w:val="22"/>
        </w:rPr>
        <w:t>.</w:t>
      </w:r>
    </w:p>
    <w:p w:rsidR="004B510D" w:rsidRPr="00E44CA0" w:rsidRDefault="004B510D" w:rsidP="005D4EC3">
      <w:pPr>
        <w:pStyle w:val="BodyText"/>
        <w:spacing w:after="0"/>
        <w:ind w:firstLine="0"/>
        <w:jc w:val="both"/>
        <w:rPr>
          <w:b/>
          <w:sz w:val="22"/>
          <w:szCs w:val="22"/>
        </w:rPr>
      </w:pPr>
    </w:p>
    <w:p w:rsidR="00316007" w:rsidRPr="00E44CA0" w:rsidRDefault="00316007" w:rsidP="006749CF">
      <w:pPr>
        <w:pStyle w:val="BodyText"/>
        <w:spacing w:after="120"/>
        <w:ind w:firstLine="0"/>
        <w:jc w:val="both"/>
        <w:rPr>
          <w:b/>
          <w:sz w:val="22"/>
          <w:szCs w:val="22"/>
        </w:rPr>
      </w:pPr>
      <w:r w:rsidRPr="00E44CA0">
        <w:rPr>
          <w:b/>
          <w:sz w:val="22"/>
          <w:szCs w:val="22"/>
        </w:rPr>
        <w:t>If I do a rollover to an IRA, will the 10% additional income tax apply to early</w:t>
      </w:r>
      <w:r w:rsidR="008A574A" w:rsidRPr="00E44CA0">
        <w:rPr>
          <w:b/>
          <w:sz w:val="22"/>
          <w:szCs w:val="22"/>
        </w:rPr>
        <w:t xml:space="preserve"> </w:t>
      </w:r>
      <w:r w:rsidRPr="00E44CA0">
        <w:rPr>
          <w:b/>
          <w:sz w:val="22"/>
          <w:szCs w:val="22"/>
        </w:rPr>
        <w:t>distributions from the IRA?</w:t>
      </w:r>
    </w:p>
    <w:p w:rsidR="00316007" w:rsidRPr="00E44CA0" w:rsidRDefault="00316007" w:rsidP="002B7599">
      <w:pPr>
        <w:pStyle w:val="BodyText"/>
        <w:spacing w:after="120"/>
        <w:ind w:left="360" w:firstLine="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If you receive a payment from an IRA when you are under age 59½, you will have to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pay the 10% additional income tax on early distributions from the IRA, unless an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exception applies. In general, the exceptions to the 10% additional income tax for early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distributions from an IRA are the same as the exceptions listed above for early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distributions from a plan. However, there are a few differences for payments from an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IRA, including:</w:t>
      </w:r>
    </w:p>
    <w:p w:rsidR="00316007" w:rsidRPr="00E44CA0" w:rsidRDefault="00316007" w:rsidP="005D4EC3">
      <w:pPr>
        <w:pStyle w:val="BodyText"/>
        <w:numPr>
          <w:ilvl w:val="0"/>
          <w:numId w:val="34"/>
        </w:numPr>
        <w:tabs>
          <w:tab w:val="clear" w:pos="2160"/>
        </w:tabs>
        <w:spacing w:after="0"/>
        <w:ind w:left="108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 xml:space="preserve">There is no exception for payments after separation from service that </w:t>
      </w:r>
      <w:proofErr w:type="gramStart"/>
      <w:r w:rsidRPr="00E44CA0">
        <w:rPr>
          <w:sz w:val="22"/>
          <w:szCs w:val="22"/>
        </w:rPr>
        <w:t>are</w:t>
      </w:r>
      <w:proofErr w:type="gramEnd"/>
      <w:r w:rsidRPr="00E44CA0">
        <w:rPr>
          <w:sz w:val="22"/>
          <w:szCs w:val="22"/>
        </w:rPr>
        <w:t xml:space="preserve"> made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after age 55</w:t>
      </w:r>
      <w:r w:rsidR="002904DE" w:rsidRPr="00E44CA0">
        <w:rPr>
          <w:sz w:val="22"/>
          <w:szCs w:val="22"/>
        </w:rPr>
        <w:t>.</w:t>
      </w:r>
    </w:p>
    <w:p w:rsidR="00316007" w:rsidRPr="00E44CA0" w:rsidRDefault="00316007" w:rsidP="005D4EC3">
      <w:pPr>
        <w:pStyle w:val="BodyText"/>
        <w:numPr>
          <w:ilvl w:val="0"/>
          <w:numId w:val="34"/>
        </w:numPr>
        <w:tabs>
          <w:tab w:val="clear" w:pos="2160"/>
        </w:tabs>
        <w:spacing w:after="0"/>
        <w:ind w:left="108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The exception for qualified domestic relations orders (QDROs) does not apply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(although a special rule applies under which, as part of a divorce or separation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agreement, a tax-free transfer may be made directly to an IRA of a spouse or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former spouse)</w:t>
      </w:r>
      <w:r w:rsidR="002904DE" w:rsidRPr="00E44CA0">
        <w:rPr>
          <w:sz w:val="22"/>
          <w:szCs w:val="22"/>
        </w:rPr>
        <w:t>.</w:t>
      </w:r>
    </w:p>
    <w:p w:rsidR="00316007" w:rsidRPr="00E44CA0" w:rsidRDefault="00316007" w:rsidP="005D4EC3">
      <w:pPr>
        <w:pStyle w:val="BodyText"/>
        <w:numPr>
          <w:ilvl w:val="0"/>
          <w:numId w:val="34"/>
        </w:numPr>
        <w:tabs>
          <w:tab w:val="clear" w:pos="2160"/>
        </w:tabs>
        <w:spacing w:after="0"/>
        <w:ind w:left="108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The exception for payments made at least annually in equal or close to equal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amounts over a specified period applies without regard to whether you have had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a separation from service</w:t>
      </w:r>
      <w:r w:rsidR="002904DE" w:rsidRPr="00E44CA0">
        <w:rPr>
          <w:sz w:val="22"/>
          <w:szCs w:val="22"/>
        </w:rPr>
        <w:t>.</w:t>
      </w:r>
    </w:p>
    <w:p w:rsidR="00316007" w:rsidRPr="00E44CA0" w:rsidRDefault="00316007" w:rsidP="005D4EC3">
      <w:pPr>
        <w:pStyle w:val="BodyText"/>
        <w:numPr>
          <w:ilvl w:val="0"/>
          <w:numId w:val="34"/>
        </w:numPr>
        <w:tabs>
          <w:tab w:val="clear" w:pos="2160"/>
        </w:tabs>
        <w:spacing w:after="0"/>
        <w:ind w:left="108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There are additional exceptions for (1) payments for qualified higher education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expenses, (2) payments up to $10,000 used in a qualified first-time home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purchase, and (3) payments after you have received unemployment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compensation for 12 consecutive weeks (or would have been eligible to receive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unemployment compensation but for self-employed status).</w:t>
      </w:r>
    </w:p>
    <w:p w:rsidR="004B510D" w:rsidRPr="00E44CA0" w:rsidRDefault="004B510D" w:rsidP="005D4EC3">
      <w:pPr>
        <w:pStyle w:val="BodyText"/>
        <w:spacing w:after="0"/>
        <w:ind w:firstLine="0"/>
        <w:jc w:val="both"/>
        <w:rPr>
          <w:b/>
          <w:sz w:val="22"/>
          <w:szCs w:val="22"/>
        </w:rPr>
      </w:pPr>
    </w:p>
    <w:p w:rsidR="00316007" w:rsidRPr="00E44CA0" w:rsidRDefault="00316007" w:rsidP="00624B36">
      <w:pPr>
        <w:pStyle w:val="BodyText"/>
        <w:spacing w:after="120"/>
        <w:ind w:firstLine="0"/>
        <w:jc w:val="both"/>
        <w:rPr>
          <w:b/>
          <w:sz w:val="22"/>
          <w:szCs w:val="22"/>
        </w:rPr>
      </w:pPr>
      <w:r w:rsidRPr="00E44CA0">
        <w:rPr>
          <w:b/>
          <w:sz w:val="22"/>
          <w:szCs w:val="22"/>
        </w:rPr>
        <w:t>Will I owe State income taxes?</w:t>
      </w:r>
    </w:p>
    <w:p w:rsidR="00316007" w:rsidRPr="00E44CA0" w:rsidRDefault="00316007" w:rsidP="002B7599">
      <w:pPr>
        <w:pStyle w:val="BodyText"/>
        <w:spacing w:after="0"/>
        <w:ind w:left="360" w:firstLine="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This notice does not describe any State or local income tax rules (including withholding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rules).</w:t>
      </w:r>
    </w:p>
    <w:p w:rsidR="004B510D" w:rsidRPr="00E44CA0" w:rsidRDefault="004B510D" w:rsidP="005D4EC3">
      <w:pPr>
        <w:pStyle w:val="BodyText"/>
        <w:spacing w:after="0"/>
        <w:ind w:firstLine="0"/>
        <w:jc w:val="both"/>
        <w:rPr>
          <w:b/>
          <w:sz w:val="22"/>
          <w:szCs w:val="22"/>
        </w:rPr>
      </w:pPr>
    </w:p>
    <w:p w:rsidR="00316007" w:rsidRPr="00E44CA0" w:rsidRDefault="00316007" w:rsidP="00624B36">
      <w:pPr>
        <w:pStyle w:val="BodyText"/>
        <w:spacing w:after="0"/>
        <w:ind w:firstLine="0"/>
        <w:jc w:val="center"/>
        <w:rPr>
          <w:b/>
          <w:sz w:val="22"/>
          <w:szCs w:val="22"/>
        </w:rPr>
      </w:pPr>
      <w:r w:rsidRPr="00E44CA0">
        <w:rPr>
          <w:b/>
          <w:sz w:val="22"/>
          <w:szCs w:val="22"/>
        </w:rPr>
        <w:t>SPECIAL RULES AND OPTIONS</w:t>
      </w:r>
    </w:p>
    <w:p w:rsidR="004B510D" w:rsidRPr="00E44CA0" w:rsidRDefault="004B510D" w:rsidP="005D4EC3">
      <w:pPr>
        <w:pStyle w:val="BodyText"/>
        <w:spacing w:after="0"/>
        <w:ind w:firstLine="0"/>
        <w:jc w:val="both"/>
        <w:rPr>
          <w:b/>
          <w:sz w:val="22"/>
          <w:szCs w:val="22"/>
        </w:rPr>
      </w:pPr>
    </w:p>
    <w:p w:rsidR="008A574A" w:rsidRPr="00E44CA0" w:rsidRDefault="00316007" w:rsidP="00624B36">
      <w:pPr>
        <w:pStyle w:val="BodyText"/>
        <w:spacing w:after="120"/>
        <w:ind w:firstLine="0"/>
        <w:jc w:val="both"/>
        <w:rPr>
          <w:b/>
          <w:sz w:val="22"/>
          <w:szCs w:val="22"/>
        </w:rPr>
      </w:pPr>
      <w:r w:rsidRPr="00E44CA0">
        <w:rPr>
          <w:b/>
          <w:sz w:val="22"/>
          <w:szCs w:val="22"/>
        </w:rPr>
        <w:t>If your payment includes after-tax contributions</w:t>
      </w:r>
      <w:r w:rsidR="008A574A" w:rsidRPr="00E44CA0">
        <w:rPr>
          <w:b/>
          <w:sz w:val="22"/>
          <w:szCs w:val="22"/>
        </w:rPr>
        <w:t xml:space="preserve"> </w:t>
      </w:r>
    </w:p>
    <w:p w:rsidR="00316007" w:rsidRPr="00E44CA0" w:rsidRDefault="00316007" w:rsidP="002B7599">
      <w:pPr>
        <w:pStyle w:val="BodyText"/>
        <w:spacing w:after="120"/>
        <w:ind w:left="360" w:firstLine="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After-tax contributions included in a payment are not taxed. If a payment is only part of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your benefit, an allocable portion of your after-tax contributions is generally included in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the payment. If you have pre-1987 after-tax contributions maintained in a separate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account, a special rule may apply to determine whether the after-tax contributions are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included in a payment.</w:t>
      </w:r>
    </w:p>
    <w:p w:rsidR="00316007" w:rsidRPr="00E44CA0" w:rsidRDefault="00316007" w:rsidP="002B7599">
      <w:pPr>
        <w:pStyle w:val="BodyText"/>
        <w:spacing w:after="120"/>
        <w:ind w:left="360" w:firstLine="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You may roll over to an IRA a payment that includes after-tax contributions through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either a direct rollover or a 60-day rollover. You must keep track of the aggregate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amount of the after-tax contributions in all of your IRAs (in order to determine your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taxable income for later payments from the IRAs). If you do a direct rollover of only a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portion of the amount paid from the Plan and a portion is paid to you, each of the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payments will include an allocable portion of the after-tax contributions. If you do a 60-day rollover to an IRA of only a portion of the payment made to you, the after-tax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contributions are treated as rolled over last. For example, assume you are receiving a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complete distribution of your benefit which totals $12,000, of which $2,000 is after-tax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contributions. In this case, if you roll over $10,000 to an IRA in a 60-day rollover, no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amount is taxable because the $2,000 amount not rolled over is treated as being after</w:t>
      </w:r>
      <w:r w:rsidR="008A574A" w:rsidRPr="00E44CA0">
        <w:rPr>
          <w:sz w:val="22"/>
          <w:szCs w:val="22"/>
        </w:rPr>
        <w:t>-</w:t>
      </w:r>
      <w:r w:rsidRPr="00E44CA0">
        <w:rPr>
          <w:sz w:val="22"/>
          <w:szCs w:val="22"/>
        </w:rPr>
        <w:t>tax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contributions.</w:t>
      </w:r>
    </w:p>
    <w:p w:rsidR="00316007" w:rsidRPr="00E44CA0" w:rsidRDefault="00316007" w:rsidP="002B7599">
      <w:pPr>
        <w:pStyle w:val="BodyText"/>
        <w:spacing w:after="0"/>
        <w:ind w:left="360" w:firstLine="0"/>
        <w:jc w:val="both"/>
        <w:rPr>
          <w:sz w:val="22"/>
          <w:szCs w:val="22"/>
        </w:rPr>
      </w:pPr>
      <w:r w:rsidRPr="00E44CA0">
        <w:rPr>
          <w:sz w:val="22"/>
          <w:szCs w:val="22"/>
        </w:rPr>
        <w:lastRenderedPageBreak/>
        <w:t>You may roll over to an employer plan all of a payment that includes after-tax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contributions, but only through a direct rollover (and only if the receiving plan separately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accounts for after-tax contributions and is not a governmental section 457(b) plan). You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can do a 60-day rollover to an employer plan of part of a payment that includes after-tax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contributions, but only up to the amount of the payment that would be taxable if not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rolled over.</w:t>
      </w:r>
    </w:p>
    <w:p w:rsidR="004B510D" w:rsidRPr="00E44CA0" w:rsidRDefault="004B510D" w:rsidP="005D4EC3">
      <w:pPr>
        <w:pStyle w:val="BodyText"/>
        <w:spacing w:after="0"/>
        <w:ind w:firstLine="0"/>
        <w:jc w:val="both"/>
        <w:rPr>
          <w:b/>
          <w:sz w:val="22"/>
          <w:szCs w:val="22"/>
        </w:rPr>
      </w:pPr>
    </w:p>
    <w:p w:rsidR="008A574A" w:rsidRPr="00E44CA0" w:rsidRDefault="00316007" w:rsidP="00624B36">
      <w:pPr>
        <w:pStyle w:val="BodyText"/>
        <w:spacing w:after="120"/>
        <w:ind w:firstLine="0"/>
        <w:jc w:val="both"/>
        <w:rPr>
          <w:b/>
          <w:sz w:val="22"/>
          <w:szCs w:val="22"/>
        </w:rPr>
      </w:pPr>
      <w:r w:rsidRPr="00E44CA0">
        <w:rPr>
          <w:b/>
          <w:sz w:val="22"/>
          <w:szCs w:val="22"/>
        </w:rPr>
        <w:t>If you miss the 60-day rollover deadline</w:t>
      </w:r>
      <w:r w:rsidR="008A574A" w:rsidRPr="00E44CA0">
        <w:rPr>
          <w:b/>
          <w:sz w:val="22"/>
          <w:szCs w:val="22"/>
        </w:rPr>
        <w:t xml:space="preserve"> </w:t>
      </w:r>
    </w:p>
    <w:p w:rsidR="00316007" w:rsidRPr="00E44CA0" w:rsidRDefault="00316007" w:rsidP="002B7599">
      <w:pPr>
        <w:pStyle w:val="BodyText"/>
        <w:spacing w:after="0"/>
        <w:ind w:left="360" w:firstLine="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Generally, the 60-day rollover deadline cannot be extended. However, the IRS has the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limited authority to waive the deadline under certain extraordinary circumstances, such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as when external events prevented you from completing the rollover by the 60-day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 xml:space="preserve">rollover deadline. To apply for </w:t>
      </w:r>
      <w:r w:rsidR="008A574A" w:rsidRPr="00E44CA0">
        <w:rPr>
          <w:sz w:val="22"/>
          <w:szCs w:val="22"/>
        </w:rPr>
        <w:t>a w</w:t>
      </w:r>
      <w:r w:rsidRPr="00E44CA0">
        <w:rPr>
          <w:sz w:val="22"/>
          <w:szCs w:val="22"/>
        </w:rPr>
        <w:t>aiver, you must file a private letter ruling request with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the IRS. Private letter ruling requests require the payment of a nonrefundable user fee.</w:t>
      </w:r>
      <w:r w:rsidR="00171F5C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For more information, see IRS Publication 590, Individual Retirement Arrangements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(IRAs).</w:t>
      </w:r>
    </w:p>
    <w:p w:rsidR="004B510D" w:rsidRPr="00E44CA0" w:rsidRDefault="004B510D" w:rsidP="005D4EC3">
      <w:pPr>
        <w:pStyle w:val="BodyText"/>
        <w:spacing w:after="0"/>
        <w:ind w:firstLine="0"/>
        <w:jc w:val="both"/>
        <w:rPr>
          <w:sz w:val="22"/>
          <w:szCs w:val="22"/>
        </w:rPr>
      </w:pPr>
    </w:p>
    <w:p w:rsidR="00316007" w:rsidRPr="00E44CA0" w:rsidRDefault="00316007" w:rsidP="00624B36">
      <w:pPr>
        <w:pStyle w:val="BodyText"/>
        <w:spacing w:after="120"/>
        <w:ind w:firstLine="0"/>
        <w:jc w:val="both"/>
        <w:rPr>
          <w:b/>
          <w:sz w:val="22"/>
          <w:szCs w:val="22"/>
        </w:rPr>
      </w:pPr>
      <w:r w:rsidRPr="00E44CA0">
        <w:rPr>
          <w:b/>
          <w:sz w:val="22"/>
          <w:szCs w:val="22"/>
        </w:rPr>
        <w:t>If you were born on or before January 1, 1936</w:t>
      </w:r>
    </w:p>
    <w:p w:rsidR="00316007" w:rsidRPr="00E44CA0" w:rsidRDefault="00316007" w:rsidP="002B7599">
      <w:pPr>
        <w:pStyle w:val="BodyText"/>
        <w:spacing w:after="0"/>
        <w:ind w:left="360" w:firstLine="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If you were born on or before January 1, 1936 and receive a lump sum distribution that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you do not roll over, special rules for calculating the amount of the tax on the payment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might apply to you. For more information, see IRS Publication 575, Pension and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Annuity Income.</w:t>
      </w:r>
    </w:p>
    <w:p w:rsidR="004B510D" w:rsidRPr="002B7599" w:rsidRDefault="004B510D" w:rsidP="002B7599">
      <w:pPr>
        <w:pStyle w:val="BodyText"/>
        <w:spacing w:after="0"/>
        <w:ind w:left="360" w:firstLine="0"/>
        <w:jc w:val="both"/>
        <w:rPr>
          <w:sz w:val="22"/>
          <w:szCs w:val="22"/>
        </w:rPr>
      </w:pPr>
    </w:p>
    <w:p w:rsidR="004B510D" w:rsidRPr="00E44CA0" w:rsidRDefault="00316007" w:rsidP="00EA054A">
      <w:pPr>
        <w:pStyle w:val="BodyText"/>
        <w:spacing w:after="120"/>
        <w:ind w:firstLine="0"/>
        <w:jc w:val="both"/>
        <w:rPr>
          <w:b/>
          <w:sz w:val="22"/>
          <w:szCs w:val="22"/>
        </w:rPr>
      </w:pPr>
      <w:r w:rsidRPr="00E44CA0">
        <w:rPr>
          <w:b/>
          <w:sz w:val="22"/>
          <w:szCs w:val="22"/>
        </w:rPr>
        <w:t>If you roll over your payment to a Roth IRA</w:t>
      </w:r>
    </w:p>
    <w:p w:rsidR="008B1983" w:rsidRDefault="00316007" w:rsidP="002B7599">
      <w:pPr>
        <w:pStyle w:val="BodyText"/>
        <w:spacing w:after="120"/>
        <w:ind w:left="360" w:firstLine="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You can roll over a payment from the Plan to a Roth IRA</w:t>
      </w:r>
      <w:r w:rsidR="00F52553" w:rsidRPr="00E44CA0">
        <w:rPr>
          <w:sz w:val="22"/>
          <w:szCs w:val="22"/>
        </w:rPr>
        <w:t xml:space="preserve">. </w:t>
      </w:r>
      <w:r w:rsidRPr="00E44CA0">
        <w:rPr>
          <w:sz w:val="22"/>
          <w:szCs w:val="22"/>
        </w:rPr>
        <w:t>If you roll over the payment to a Roth IRA, a special rule applies under which the</w:t>
      </w:r>
      <w:r w:rsidR="008A574A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amount of the payment rolled over (reduced by any after-tax amounts) will be taxed.</w:t>
      </w:r>
      <w:r w:rsidR="00171F5C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However, the 10% additional income tax on early distributions will not apply (unless you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take the amount rolled over out of the Roth IRA within 5 years, counting from January 1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 xml:space="preserve">of the year of the rollover). </w:t>
      </w:r>
    </w:p>
    <w:p w:rsidR="00316007" w:rsidRPr="00E44CA0" w:rsidRDefault="00316007" w:rsidP="002B7599">
      <w:pPr>
        <w:pStyle w:val="BodyText"/>
        <w:spacing w:after="120"/>
        <w:ind w:left="360" w:firstLine="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If you roll over the payment to a Roth IRA, later payments from the Roth IRA that are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qualified distributions will not be taxed (including earnings after the rollover). A qualified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distribution from a Roth IRA is a payment made after you are age 59½ (or after your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death or disability, or as a qualified first-time homebuyer distribution of up to $10,000)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and after you have had a Roth IRA for at least 5 years. In applying this 5-year rule, you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count from January 1 of the year for which your first contribution was made to a Roth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IRA. Payments from the Roth IRA that are not qualified distributions will be taxed to the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extent of earnings after the rollover, including the 10% additional income tax on early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distributions (unless an exception applies). You do not have to take required minimum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distributions from a Roth IRA during your lifetime. For more information, see IRS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Publication 590, Individual Retirement Arrangements (IRAs).</w:t>
      </w:r>
    </w:p>
    <w:p w:rsidR="00316007" w:rsidRPr="00E44CA0" w:rsidRDefault="00316007" w:rsidP="002B7599">
      <w:pPr>
        <w:pStyle w:val="BodyText"/>
        <w:spacing w:after="0"/>
        <w:ind w:left="360" w:firstLine="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You cannot roll over a payment from the Plan to a designated Roth account in an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employer plan.</w:t>
      </w:r>
    </w:p>
    <w:p w:rsidR="004B510D" w:rsidRPr="00E44CA0" w:rsidRDefault="004B510D" w:rsidP="005D4EC3">
      <w:pPr>
        <w:pStyle w:val="BodyText"/>
        <w:spacing w:after="0"/>
        <w:ind w:firstLine="0"/>
        <w:jc w:val="both"/>
        <w:rPr>
          <w:b/>
          <w:sz w:val="22"/>
          <w:szCs w:val="22"/>
        </w:rPr>
      </w:pPr>
    </w:p>
    <w:p w:rsidR="00316007" w:rsidRPr="00E44CA0" w:rsidRDefault="00316007" w:rsidP="00B567A9">
      <w:pPr>
        <w:pStyle w:val="BodyText"/>
        <w:spacing w:after="120"/>
        <w:ind w:firstLine="0"/>
        <w:jc w:val="both"/>
        <w:rPr>
          <w:b/>
          <w:sz w:val="22"/>
          <w:szCs w:val="22"/>
        </w:rPr>
      </w:pPr>
      <w:r w:rsidRPr="00E44CA0">
        <w:rPr>
          <w:b/>
          <w:sz w:val="22"/>
          <w:szCs w:val="22"/>
        </w:rPr>
        <w:t xml:space="preserve">If you are not a </w:t>
      </w:r>
      <w:r w:rsidR="009B613A">
        <w:rPr>
          <w:b/>
          <w:sz w:val="22"/>
          <w:szCs w:val="22"/>
        </w:rPr>
        <w:t>P</w:t>
      </w:r>
      <w:r w:rsidRPr="00E44CA0">
        <w:rPr>
          <w:b/>
          <w:sz w:val="22"/>
          <w:szCs w:val="22"/>
        </w:rPr>
        <w:t xml:space="preserve">lan </w:t>
      </w:r>
      <w:r w:rsidR="009B613A">
        <w:rPr>
          <w:b/>
          <w:sz w:val="22"/>
          <w:szCs w:val="22"/>
        </w:rPr>
        <w:t>P</w:t>
      </w:r>
      <w:r w:rsidRPr="00E44CA0">
        <w:rPr>
          <w:b/>
          <w:sz w:val="22"/>
          <w:szCs w:val="22"/>
        </w:rPr>
        <w:t>articipant</w:t>
      </w:r>
    </w:p>
    <w:p w:rsidR="00316007" w:rsidRPr="00E44CA0" w:rsidRDefault="00316007" w:rsidP="002B7599">
      <w:pPr>
        <w:pStyle w:val="BodyText"/>
        <w:spacing w:after="120"/>
        <w:ind w:left="360" w:firstLine="0"/>
        <w:jc w:val="both"/>
        <w:rPr>
          <w:sz w:val="22"/>
          <w:szCs w:val="22"/>
        </w:rPr>
      </w:pPr>
      <w:r w:rsidRPr="00E44CA0">
        <w:rPr>
          <w:sz w:val="22"/>
          <w:szCs w:val="22"/>
          <w:u w:val="single"/>
        </w:rPr>
        <w:t xml:space="preserve">Payments after death of the </w:t>
      </w:r>
      <w:r w:rsidR="009B613A">
        <w:rPr>
          <w:sz w:val="22"/>
          <w:szCs w:val="22"/>
          <w:u w:val="single"/>
        </w:rPr>
        <w:t>P</w:t>
      </w:r>
      <w:r w:rsidRPr="00E44CA0">
        <w:rPr>
          <w:sz w:val="22"/>
          <w:szCs w:val="22"/>
          <w:u w:val="single"/>
        </w:rPr>
        <w:t>articipant</w:t>
      </w:r>
      <w:r w:rsidR="00B567A9" w:rsidRPr="00E44CA0">
        <w:rPr>
          <w:sz w:val="22"/>
          <w:szCs w:val="22"/>
        </w:rPr>
        <w:t>.</w:t>
      </w:r>
      <w:r w:rsidR="00171F5C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If you receive a distribution after the</w:t>
      </w:r>
      <w:r w:rsidR="00AF649F" w:rsidRPr="00E44CA0">
        <w:rPr>
          <w:sz w:val="22"/>
          <w:szCs w:val="22"/>
        </w:rPr>
        <w:t xml:space="preserve"> </w:t>
      </w:r>
      <w:r w:rsidR="009B613A">
        <w:rPr>
          <w:sz w:val="22"/>
          <w:szCs w:val="22"/>
        </w:rPr>
        <w:t>Participant</w:t>
      </w:r>
      <w:r w:rsidRPr="00E44CA0">
        <w:rPr>
          <w:sz w:val="22"/>
          <w:szCs w:val="22"/>
        </w:rPr>
        <w:t>’s death that you do not roll over, the distribution will generally be taxed in the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same manner described elsewhere in this notice. However, the 10% additional income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tax on early distributions do</w:t>
      </w:r>
      <w:r w:rsidR="008D1C1B" w:rsidRPr="00E44CA0">
        <w:rPr>
          <w:sz w:val="22"/>
          <w:szCs w:val="22"/>
        </w:rPr>
        <w:t>es</w:t>
      </w:r>
      <w:r w:rsidRPr="00E44CA0">
        <w:rPr>
          <w:sz w:val="22"/>
          <w:szCs w:val="22"/>
        </w:rPr>
        <w:t xml:space="preserve"> not apply, and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the special rule described under the section “If you were born on or before January 1,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 xml:space="preserve">1936” applies only if the </w:t>
      </w:r>
      <w:r w:rsidR="009B613A">
        <w:rPr>
          <w:sz w:val="22"/>
          <w:szCs w:val="22"/>
        </w:rPr>
        <w:t>Participant</w:t>
      </w:r>
      <w:r w:rsidRPr="00E44CA0">
        <w:rPr>
          <w:sz w:val="22"/>
          <w:szCs w:val="22"/>
        </w:rPr>
        <w:t xml:space="preserve"> was born on or before January 1, 1936.</w:t>
      </w:r>
    </w:p>
    <w:p w:rsidR="00316007" w:rsidRPr="00E44CA0" w:rsidRDefault="00316007" w:rsidP="00B567A9">
      <w:pPr>
        <w:pStyle w:val="BodyText"/>
        <w:spacing w:after="120"/>
        <w:ind w:left="720" w:firstLine="0"/>
        <w:jc w:val="both"/>
        <w:rPr>
          <w:sz w:val="22"/>
          <w:szCs w:val="22"/>
        </w:rPr>
      </w:pPr>
      <w:proofErr w:type="gramStart"/>
      <w:r w:rsidRPr="00E44CA0">
        <w:rPr>
          <w:b/>
          <w:sz w:val="22"/>
          <w:szCs w:val="22"/>
        </w:rPr>
        <w:t>If you are a surviving spouse.</w:t>
      </w:r>
      <w:proofErr w:type="gramEnd"/>
      <w:r w:rsidR="00171F5C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If you receive a payment from the Plan as the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 xml:space="preserve">surviving spouse of a deceased </w:t>
      </w:r>
      <w:r w:rsidR="009B613A">
        <w:rPr>
          <w:sz w:val="22"/>
          <w:szCs w:val="22"/>
        </w:rPr>
        <w:t>Participant</w:t>
      </w:r>
      <w:r w:rsidRPr="00E44CA0">
        <w:rPr>
          <w:sz w:val="22"/>
          <w:szCs w:val="22"/>
        </w:rPr>
        <w:t>, you have the same rollover options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 xml:space="preserve">that the </w:t>
      </w:r>
      <w:r w:rsidR="009B613A">
        <w:rPr>
          <w:sz w:val="22"/>
          <w:szCs w:val="22"/>
        </w:rPr>
        <w:t>Participant</w:t>
      </w:r>
      <w:r w:rsidRPr="00E44CA0">
        <w:rPr>
          <w:sz w:val="22"/>
          <w:szCs w:val="22"/>
        </w:rPr>
        <w:t xml:space="preserve"> would have had, as described elsewhere in this notice. In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addition, if you choose to do a rollover to an IRA, you may treat the IRA as your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own or as an inherited IRA.</w:t>
      </w:r>
    </w:p>
    <w:p w:rsidR="00316007" w:rsidRPr="00E44CA0" w:rsidRDefault="00316007" w:rsidP="00B567A9">
      <w:pPr>
        <w:pStyle w:val="BodyText"/>
        <w:spacing w:after="120"/>
        <w:ind w:left="720" w:firstLine="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An IRA you treat as your own is treated like any other IRA of yours, so that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payments made to you before you are age 59½ will be subject to the 10%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additional income tax on early distributions (unless an exception applies) and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required minimum distributions from your IRA do not have to start until after you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are age 70½.</w:t>
      </w:r>
    </w:p>
    <w:p w:rsidR="00316007" w:rsidRPr="00E44CA0" w:rsidRDefault="00316007" w:rsidP="00B567A9">
      <w:pPr>
        <w:pStyle w:val="BodyText"/>
        <w:spacing w:after="120"/>
        <w:ind w:left="720" w:firstLine="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If you treat the IRA as an inherited IRA, payments from the IRA will not be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subject to the 10% additional income tax on early distributions. However, if the</w:t>
      </w:r>
      <w:r w:rsidR="00AF649F" w:rsidRPr="00E44CA0">
        <w:rPr>
          <w:sz w:val="22"/>
          <w:szCs w:val="22"/>
        </w:rPr>
        <w:t xml:space="preserve"> </w:t>
      </w:r>
      <w:r w:rsidR="009B613A">
        <w:rPr>
          <w:sz w:val="22"/>
          <w:szCs w:val="22"/>
        </w:rPr>
        <w:t>Participant</w:t>
      </w:r>
      <w:r w:rsidRPr="00E44CA0">
        <w:rPr>
          <w:sz w:val="22"/>
          <w:szCs w:val="22"/>
        </w:rPr>
        <w:t xml:space="preserve"> had started taking required minimum distributions, you will have to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 xml:space="preserve">receive required minimum distributions from the inherited IRA. If the </w:t>
      </w:r>
      <w:r w:rsidR="009B613A">
        <w:rPr>
          <w:sz w:val="22"/>
          <w:szCs w:val="22"/>
        </w:rPr>
        <w:t>Participant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had not started taking required minimum distributions from the Plan, you will not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have to start receiving required minimum distributions from the inherited IRA until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 xml:space="preserve">the year the </w:t>
      </w:r>
      <w:r w:rsidR="009B613A">
        <w:rPr>
          <w:sz w:val="22"/>
          <w:szCs w:val="22"/>
        </w:rPr>
        <w:t>Participant</w:t>
      </w:r>
      <w:r w:rsidRPr="00E44CA0">
        <w:rPr>
          <w:sz w:val="22"/>
          <w:szCs w:val="22"/>
        </w:rPr>
        <w:t xml:space="preserve"> would have been age 70½.</w:t>
      </w:r>
    </w:p>
    <w:p w:rsidR="00316007" w:rsidRPr="00E44CA0" w:rsidRDefault="00E62954" w:rsidP="00B567A9">
      <w:pPr>
        <w:pStyle w:val="BodyText"/>
        <w:spacing w:after="120"/>
        <w:ind w:left="720" w:firstLine="0"/>
        <w:jc w:val="both"/>
        <w:rPr>
          <w:sz w:val="22"/>
          <w:szCs w:val="22"/>
        </w:rPr>
      </w:pPr>
      <w:r>
        <w:rPr>
          <w:b/>
          <w:noProof/>
          <w:sz w:val="22"/>
          <w:szCs w:val="22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0.25pt;margin-top:-26.35pt;width:70.9pt;height:20.15pt;z-index:251658240;mso-width-relative:margin;mso-height-relative:margin">
            <v:textbox>
              <w:txbxContent>
                <w:p w:rsidR="00DC261E" w:rsidRDefault="00DC261E" w:rsidP="00DC261E">
                  <w:r>
                    <w:t>v4: 5-8-14</w:t>
                  </w:r>
                </w:p>
              </w:txbxContent>
            </v:textbox>
          </v:shape>
        </w:pict>
      </w:r>
      <w:proofErr w:type="gramStart"/>
      <w:r w:rsidR="00316007" w:rsidRPr="00E44CA0">
        <w:rPr>
          <w:b/>
          <w:sz w:val="22"/>
          <w:szCs w:val="22"/>
        </w:rPr>
        <w:t>If you are a surviving beneficiary other than a spouse.</w:t>
      </w:r>
      <w:proofErr w:type="gramEnd"/>
      <w:r w:rsidR="00171F5C">
        <w:rPr>
          <w:sz w:val="22"/>
          <w:szCs w:val="22"/>
        </w:rPr>
        <w:t xml:space="preserve"> </w:t>
      </w:r>
      <w:r w:rsidR="00316007" w:rsidRPr="00E44CA0">
        <w:rPr>
          <w:sz w:val="22"/>
          <w:szCs w:val="22"/>
        </w:rPr>
        <w:t>If you receive a</w:t>
      </w:r>
      <w:r w:rsidR="00AF649F" w:rsidRPr="00E44CA0">
        <w:rPr>
          <w:sz w:val="22"/>
          <w:szCs w:val="22"/>
        </w:rPr>
        <w:t xml:space="preserve"> </w:t>
      </w:r>
      <w:r w:rsidR="00316007" w:rsidRPr="00E44CA0">
        <w:rPr>
          <w:sz w:val="22"/>
          <w:szCs w:val="22"/>
        </w:rPr>
        <w:t xml:space="preserve">payment from the Plan because of the </w:t>
      </w:r>
      <w:r w:rsidR="009B613A">
        <w:rPr>
          <w:sz w:val="22"/>
          <w:szCs w:val="22"/>
        </w:rPr>
        <w:t>Participant</w:t>
      </w:r>
      <w:r w:rsidR="00316007" w:rsidRPr="00E44CA0">
        <w:rPr>
          <w:sz w:val="22"/>
          <w:szCs w:val="22"/>
        </w:rPr>
        <w:t>’s death and you are a</w:t>
      </w:r>
      <w:r w:rsidR="00AF649F" w:rsidRPr="00E44CA0">
        <w:rPr>
          <w:sz w:val="22"/>
          <w:szCs w:val="22"/>
        </w:rPr>
        <w:t xml:space="preserve"> </w:t>
      </w:r>
      <w:r w:rsidR="00316007" w:rsidRPr="00E44CA0">
        <w:rPr>
          <w:sz w:val="22"/>
          <w:szCs w:val="22"/>
        </w:rPr>
        <w:t>designated beneficiary other than a surviving spouse, the only rollover option you</w:t>
      </w:r>
      <w:r w:rsidR="00AF649F" w:rsidRPr="00E44CA0">
        <w:rPr>
          <w:sz w:val="22"/>
          <w:szCs w:val="22"/>
        </w:rPr>
        <w:t xml:space="preserve"> </w:t>
      </w:r>
      <w:r w:rsidR="00316007" w:rsidRPr="00E44CA0">
        <w:rPr>
          <w:sz w:val="22"/>
          <w:szCs w:val="22"/>
        </w:rPr>
        <w:t>have is to do a direct rollover to an inherited IRA. Payments from the inherited</w:t>
      </w:r>
      <w:r w:rsidR="00AF649F" w:rsidRPr="00E44CA0">
        <w:rPr>
          <w:sz w:val="22"/>
          <w:szCs w:val="22"/>
        </w:rPr>
        <w:t xml:space="preserve"> </w:t>
      </w:r>
      <w:r w:rsidR="00316007" w:rsidRPr="00E44CA0">
        <w:rPr>
          <w:sz w:val="22"/>
          <w:szCs w:val="22"/>
        </w:rPr>
        <w:t>IRA will not be subject to the 10% additional income tax on early distributions.</w:t>
      </w:r>
      <w:r w:rsidR="00AF649F" w:rsidRPr="00E44CA0">
        <w:rPr>
          <w:sz w:val="22"/>
          <w:szCs w:val="22"/>
        </w:rPr>
        <w:t xml:space="preserve"> </w:t>
      </w:r>
      <w:r w:rsidR="00316007" w:rsidRPr="00E44CA0">
        <w:rPr>
          <w:sz w:val="22"/>
          <w:szCs w:val="22"/>
        </w:rPr>
        <w:t>You will have to receive required minimum distributions from the inherited IRA.</w:t>
      </w:r>
    </w:p>
    <w:p w:rsidR="00316007" w:rsidRPr="00E44CA0" w:rsidRDefault="00316007" w:rsidP="002B7599">
      <w:pPr>
        <w:pStyle w:val="BodyText"/>
        <w:spacing w:after="0"/>
        <w:ind w:left="360" w:firstLine="0"/>
        <w:jc w:val="both"/>
        <w:rPr>
          <w:sz w:val="22"/>
          <w:szCs w:val="22"/>
        </w:rPr>
      </w:pPr>
      <w:r w:rsidRPr="00E44CA0">
        <w:rPr>
          <w:sz w:val="22"/>
          <w:szCs w:val="22"/>
          <w:u w:val="single"/>
        </w:rPr>
        <w:t>Payments under a qualified domestic relations order</w:t>
      </w:r>
      <w:r w:rsidR="00B567A9" w:rsidRPr="00E44CA0">
        <w:rPr>
          <w:sz w:val="22"/>
          <w:szCs w:val="22"/>
        </w:rPr>
        <w:t>.</w:t>
      </w:r>
      <w:r w:rsidR="00171F5C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If you are the spouse or former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 xml:space="preserve">spouse of the </w:t>
      </w:r>
      <w:r w:rsidR="009B613A">
        <w:rPr>
          <w:sz w:val="22"/>
          <w:szCs w:val="22"/>
        </w:rPr>
        <w:t>Participant</w:t>
      </w:r>
      <w:r w:rsidRPr="00E44CA0">
        <w:rPr>
          <w:sz w:val="22"/>
          <w:szCs w:val="22"/>
        </w:rPr>
        <w:t xml:space="preserve"> who receives a payment from the Plan under a qualified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 xml:space="preserve">domestic relations order (QDRO), you generally have the same options the </w:t>
      </w:r>
      <w:r w:rsidR="009B613A">
        <w:rPr>
          <w:sz w:val="22"/>
          <w:szCs w:val="22"/>
        </w:rPr>
        <w:t>Participant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would have (for example, you may roll over the payment to your own IRA or an eligible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employer plan that will accept it). Payments under the QDRO will not be subject to the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10% additional income tax on early distributions.</w:t>
      </w:r>
    </w:p>
    <w:p w:rsidR="002335B2" w:rsidRPr="00E44CA0" w:rsidRDefault="002335B2" w:rsidP="005D4EC3">
      <w:pPr>
        <w:pStyle w:val="BodyText"/>
        <w:spacing w:after="0"/>
        <w:ind w:firstLine="0"/>
        <w:jc w:val="both"/>
        <w:rPr>
          <w:sz w:val="22"/>
          <w:szCs w:val="22"/>
        </w:rPr>
      </w:pPr>
    </w:p>
    <w:p w:rsidR="00316007" w:rsidRPr="00E44CA0" w:rsidRDefault="00316007" w:rsidP="00452B5A">
      <w:pPr>
        <w:pStyle w:val="BodyText"/>
        <w:spacing w:after="120"/>
        <w:ind w:firstLine="0"/>
        <w:jc w:val="both"/>
        <w:rPr>
          <w:b/>
          <w:sz w:val="22"/>
          <w:szCs w:val="22"/>
        </w:rPr>
      </w:pPr>
      <w:r w:rsidRPr="00E44CA0">
        <w:rPr>
          <w:b/>
          <w:sz w:val="22"/>
          <w:szCs w:val="22"/>
        </w:rPr>
        <w:t>If you are a nonresident alien</w:t>
      </w:r>
    </w:p>
    <w:p w:rsidR="00316007" w:rsidRPr="00E44CA0" w:rsidRDefault="00316007" w:rsidP="002B7599">
      <w:pPr>
        <w:pStyle w:val="BodyText"/>
        <w:spacing w:after="0"/>
        <w:ind w:left="360" w:firstLine="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If you are a nonresident alien and you do not do a direct rollover to a U.S. IRA or U.S.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employer plan, instead of withholding 20%, the Plan is generally required to withhold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30% of the payment for federal income taxes. If the amount withheld exceeds the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 xml:space="preserve">amount of tax you owe (as </w:t>
      </w:r>
      <w:proofErr w:type="gramStart"/>
      <w:r w:rsidRPr="00E44CA0">
        <w:rPr>
          <w:sz w:val="22"/>
          <w:szCs w:val="22"/>
        </w:rPr>
        <w:t>may</w:t>
      </w:r>
      <w:proofErr w:type="gramEnd"/>
      <w:r w:rsidRPr="00E44CA0">
        <w:rPr>
          <w:sz w:val="22"/>
          <w:szCs w:val="22"/>
        </w:rPr>
        <w:t xml:space="preserve"> happen if you do a 60-day rollover), you may request an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income tax refund by filing Form 1040NR and attaching your Form 1042-S. See Form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W-8BEN for claiming that you are entitled to a reduced rate of withholding under an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income tax treaty. For more information, see also IRS Publication 519, U.S. Tax Guide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for Aliens, and IRS Publication 515, Withholding of Tax on Nonresident Aliens and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Foreign Entities.</w:t>
      </w:r>
    </w:p>
    <w:p w:rsidR="002335B2" w:rsidRPr="00E44CA0" w:rsidRDefault="002335B2" w:rsidP="005D4EC3">
      <w:pPr>
        <w:pStyle w:val="BodyText"/>
        <w:spacing w:after="0"/>
        <w:ind w:firstLine="0"/>
        <w:jc w:val="both"/>
        <w:rPr>
          <w:sz w:val="22"/>
          <w:szCs w:val="22"/>
        </w:rPr>
      </w:pPr>
    </w:p>
    <w:p w:rsidR="00316007" w:rsidRPr="00E44CA0" w:rsidRDefault="00316007" w:rsidP="00452B5A">
      <w:pPr>
        <w:pStyle w:val="BodyText"/>
        <w:spacing w:after="120"/>
        <w:ind w:firstLine="0"/>
        <w:jc w:val="both"/>
        <w:rPr>
          <w:b/>
          <w:sz w:val="22"/>
          <w:szCs w:val="22"/>
        </w:rPr>
      </w:pPr>
      <w:r w:rsidRPr="00E44CA0">
        <w:rPr>
          <w:b/>
          <w:sz w:val="22"/>
          <w:szCs w:val="22"/>
        </w:rPr>
        <w:t>Other special rules</w:t>
      </w:r>
    </w:p>
    <w:p w:rsidR="00316007" w:rsidRPr="00E44CA0" w:rsidRDefault="00316007" w:rsidP="002B7599">
      <w:pPr>
        <w:pStyle w:val="BodyText"/>
        <w:spacing w:after="120"/>
        <w:ind w:left="360" w:firstLine="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If a payment is one in a series of payments for less than 10 years, your choice whether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to make a direct rollover will apply to all later payments in the series (unless you make a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different choice for later payments).</w:t>
      </w:r>
    </w:p>
    <w:p w:rsidR="00316007" w:rsidRPr="00E44CA0" w:rsidRDefault="00316007" w:rsidP="002B7599">
      <w:pPr>
        <w:pStyle w:val="BodyText"/>
        <w:spacing w:after="120"/>
        <w:ind w:left="360" w:firstLine="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 xml:space="preserve">If your payments for the year are less than $200 (not including payments from </w:t>
      </w:r>
      <w:r w:rsidR="00AF649F" w:rsidRPr="00E44CA0">
        <w:rPr>
          <w:sz w:val="22"/>
          <w:szCs w:val="22"/>
        </w:rPr>
        <w:t xml:space="preserve">a </w:t>
      </w:r>
      <w:r w:rsidRPr="00E44CA0">
        <w:rPr>
          <w:sz w:val="22"/>
          <w:szCs w:val="22"/>
        </w:rPr>
        <w:t>designated Roth account in the Plan), the Plan is not required to allow you to do a direct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rollover and is not required to withhold for federal income taxes. However, you may do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a 60-day rollover.</w:t>
      </w:r>
    </w:p>
    <w:p w:rsidR="00316007" w:rsidRPr="00E44CA0" w:rsidRDefault="00316007" w:rsidP="002B7599">
      <w:pPr>
        <w:pStyle w:val="BodyText"/>
        <w:spacing w:after="120"/>
        <w:ind w:left="360" w:firstLine="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Unless you elect otherwise, a mandatory cash</w:t>
      </w:r>
      <w:r w:rsidR="00AF649F" w:rsidRPr="00E44CA0">
        <w:rPr>
          <w:sz w:val="22"/>
          <w:szCs w:val="22"/>
        </w:rPr>
        <w:t>-</w:t>
      </w:r>
      <w:r w:rsidRPr="00E44CA0">
        <w:rPr>
          <w:sz w:val="22"/>
          <w:szCs w:val="22"/>
        </w:rPr>
        <w:t>out of more than $1,000 (not including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payments from a designated Roth account in the Plan) will be directly rolled over to an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 xml:space="preserve">IRA chosen by the Plan administrator or the </w:t>
      </w:r>
      <w:proofErr w:type="spellStart"/>
      <w:r w:rsidRPr="00E44CA0">
        <w:rPr>
          <w:sz w:val="22"/>
          <w:szCs w:val="22"/>
        </w:rPr>
        <w:t>payor</w:t>
      </w:r>
      <w:proofErr w:type="spellEnd"/>
      <w:r w:rsidRPr="00E44CA0">
        <w:rPr>
          <w:sz w:val="22"/>
          <w:szCs w:val="22"/>
        </w:rPr>
        <w:t>. A mandatory cash</w:t>
      </w:r>
      <w:r w:rsidR="00AF649F" w:rsidRPr="00E44CA0">
        <w:rPr>
          <w:sz w:val="22"/>
          <w:szCs w:val="22"/>
        </w:rPr>
        <w:t>-</w:t>
      </w:r>
      <w:r w:rsidRPr="00E44CA0">
        <w:rPr>
          <w:sz w:val="22"/>
          <w:szCs w:val="22"/>
        </w:rPr>
        <w:t>out is a payment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from a plan to a participant made before age 62 (or normal retirement age, if later) and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without consent, where the participant’s benefit does not exceed $5,000 (not including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any amounts held under the plan as a result of a prior rollover made to the plan).</w:t>
      </w:r>
    </w:p>
    <w:p w:rsidR="00316007" w:rsidRPr="00E44CA0" w:rsidRDefault="00316007" w:rsidP="002B7599">
      <w:pPr>
        <w:pStyle w:val="BodyText"/>
        <w:spacing w:after="0"/>
        <w:ind w:left="360" w:firstLine="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>You may have special rollover rights if you recently served in the U.S. Armed Forces.</w:t>
      </w:r>
      <w:r w:rsidR="00171F5C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For more information, see IRS Publication 3, Armed Forces’ Tax Guide.</w:t>
      </w:r>
    </w:p>
    <w:p w:rsidR="002335B2" w:rsidRPr="00E44CA0" w:rsidRDefault="002335B2" w:rsidP="005D4EC3">
      <w:pPr>
        <w:pStyle w:val="BodyText"/>
        <w:spacing w:after="0"/>
        <w:ind w:firstLine="0"/>
        <w:jc w:val="both"/>
        <w:rPr>
          <w:b/>
          <w:sz w:val="22"/>
          <w:szCs w:val="22"/>
        </w:rPr>
      </w:pPr>
    </w:p>
    <w:p w:rsidR="00316007" w:rsidRPr="00E44CA0" w:rsidRDefault="00316007" w:rsidP="00452B5A">
      <w:pPr>
        <w:pStyle w:val="BodyText"/>
        <w:spacing w:after="0"/>
        <w:ind w:firstLine="0"/>
        <w:jc w:val="center"/>
        <w:rPr>
          <w:b/>
          <w:sz w:val="22"/>
          <w:szCs w:val="22"/>
        </w:rPr>
      </w:pPr>
      <w:r w:rsidRPr="00E44CA0">
        <w:rPr>
          <w:b/>
          <w:sz w:val="22"/>
          <w:szCs w:val="22"/>
        </w:rPr>
        <w:t>FOR MORE INFORMATION</w:t>
      </w:r>
    </w:p>
    <w:p w:rsidR="002335B2" w:rsidRPr="00E44CA0" w:rsidRDefault="002335B2" w:rsidP="005D4EC3">
      <w:pPr>
        <w:pStyle w:val="BodyText"/>
        <w:spacing w:after="0"/>
        <w:ind w:firstLine="0"/>
        <w:jc w:val="both"/>
        <w:rPr>
          <w:sz w:val="22"/>
          <w:szCs w:val="22"/>
        </w:rPr>
      </w:pPr>
    </w:p>
    <w:p w:rsidR="00316007" w:rsidRPr="00E44CA0" w:rsidRDefault="00316007" w:rsidP="005D4EC3">
      <w:pPr>
        <w:pStyle w:val="BodyText"/>
        <w:spacing w:after="0"/>
        <w:ind w:firstLine="0"/>
        <w:jc w:val="both"/>
        <w:rPr>
          <w:sz w:val="22"/>
          <w:szCs w:val="22"/>
        </w:rPr>
      </w:pPr>
      <w:r w:rsidRPr="00E44CA0">
        <w:rPr>
          <w:sz w:val="22"/>
          <w:szCs w:val="22"/>
        </w:rPr>
        <w:t xml:space="preserve">You </w:t>
      </w:r>
      <w:r w:rsidR="006A7B46">
        <w:rPr>
          <w:sz w:val="22"/>
          <w:szCs w:val="22"/>
        </w:rPr>
        <w:t>should</w:t>
      </w:r>
      <w:r w:rsidRPr="00E44CA0">
        <w:rPr>
          <w:sz w:val="22"/>
          <w:szCs w:val="22"/>
        </w:rPr>
        <w:t xml:space="preserve"> consult with the Plan </w:t>
      </w:r>
      <w:r w:rsidR="006A7B46">
        <w:rPr>
          <w:sz w:val="22"/>
          <w:szCs w:val="22"/>
        </w:rPr>
        <w:t>A</w:t>
      </w:r>
      <w:r w:rsidRPr="00E44CA0">
        <w:rPr>
          <w:sz w:val="22"/>
          <w:szCs w:val="22"/>
        </w:rPr>
        <w:t xml:space="preserve">dministrator or </w:t>
      </w:r>
      <w:proofErr w:type="spellStart"/>
      <w:r w:rsidRPr="00E44CA0">
        <w:rPr>
          <w:sz w:val="22"/>
          <w:szCs w:val="22"/>
        </w:rPr>
        <w:t>payor</w:t>
      </w:r>
      <w:proofErr w:type="spellEnd"/>
      <w:r w:rsidRPr="00E44CA0">
        <w:rPr>
          <w:sz w:val="22"/>
          <w:szCs w:val="22"/>
        </w:rPr>
        <w:t>, or a professional tax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advisor, before taking a payment from the Plan. Also, you can find more detailed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information on the federal tax treatment of payments from employer plans in: IRS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Publication 575, Pension and Annuity Income; IRS Publication 590, Individual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Retirement Arrangements (IRAs); and IRS Publication 571, Tax-Sheltered Annuity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Plans (403(b) Plans). These publications are available from a local IRS office, on the</w:t>
      </w:r>
      <w:r w:rsidR="00AF649F" w:rsidRPr="00E44CA0">
        <w:rPr>
          <w:sz w:val="22"/>
          <w:szCs w:val="22"/>
        </w:rPr>
        <w:t xml:space="preserve"> </w:t>
      </w:r>
      <w:r w:rsidRPr="00E44CA0">
        <w:rPr>
          <w:sz w:val="22"/>
          <w:szCs w:val="22"/>
        </w:rPr>
        <w:t>web at www.irs.gov, or by calling 1-800-TAX-FORM.</w:t>
      </w:r>
    </w:p>
    <w:p w:rsidR="002335B2" w:rsidRPr="00E44CA0" w:rsidRDefault="002335B2" w:rsidP="005D4EC3">
      <w:pPr>
        <w:pStyle w:val="BodyText"/>
        <w:spacing w:after="0"/>
        <w:ind w:firstLine="0"/>
        <w:jc w:val="both"/>
        <w:rPr>
          <w:sz w:val="22"/>
          <w:szCs w:val="22"/>
        </w:rPr>
      </w:pPr>
    </w:p>
    <w:p w:rsidR="009123B9" w:rsidRPr="00E44CA0" w:rsidRDefault="00316007" w:rsidP="004B26BC">
      <w:pPr>
        <w:pStyle w:val="BodyText"/>
        <w:spacing w:after="0"/>
        <w:ind w:firstLine="0"/>
        <w:jc w:val="center"/>
        <w:rPr>
          <w:sz w:val="22"/>
          <w:szCs w:val="22"/>
        </w:rPr>
      </w:pPr>
      <w:r w:rsidRPr="00E44CA0">
        <w:rPr>
          <w:sz w:val="22"/>
          <w:szCs w:val="22"/>
        </w:rPr>
        <w:t>* * *</w:t>
      </w:r>
    </w:p>
    <w:sectPr w:rsidR="009123B9" w:rsidRPr="00E44CA0" w:rsidSect="009D5E77">
      <w:headerReference w:type="first" r:id="rId15"/>
      <w:pgSz w:w="12240" w:h="15840" w:code="1"/>
      <w:pgMar w:top="994" w:right="720" w:bottom="720" w:left="72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954" w:rsidRDefault="00E62954">
      <w:r>
        <w:separator/>
      </w:r>
    </w:p>
  </w:endnote>
  <w:endnote w:type="continuationSeparator" w:id="0">
    <w:p w:rsidR="00E62954" w:rsidRDefault="00E62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954" w:rsidRDefault="00E62954" w:rsidP="00572851">
      <w:r>
        <w:separator/>
      </w:r>
    </w:p>
  </w:footnote>
  <w:footnote w:type="continuationSeparator" w:id="0">
    <w:p w:rsidR="00E62954" w:rsidRPr="00033876" w:rsidRDefault="00E62954" w:rsidP="00572851">
      <w:pPr>
        <w:pStyle w:val="FootnoteText"/>
        <w:spacing w:after="0"/>
      </w:pPr>
      <w:r>
        <w:separator/>
      </w:r>
      <w:r>
        <w:br/>
      </w:r>
      <w:r w:rsidRPr="00572851">
        <w:t>(…continued)</w:t>
      </w:r>
    </w:p>
  </w:footnote>
  <w:footnote w:type="continuationNotice" w:id="1">
    <w:p w:rsidR="00E62954" w:rsidRDefault="00E62954" w:rsidP="00572851">
      <w:pPr>
        <w:pStyle w:val="FootnoteText"/>
        <w:spacing w:after="0"/>
        <w:jc w:val="right"/>
      </w:pPr>
      <w:r>
        <w:t>(…continued)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49B" w:rsidRDefault="00E62954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WMWM_ Doc ID--786" o:spid="_x0000_s2059" type="#_x0000_t202" style="position:absolute;margin-left:20.15pt;margin-top:0;width:122.25pt;height:28.8pt;z-index:251657728;mso-wrap-edited:f;mso-position-horizontal-relative:page;mso-position-vertical:bottom;mso-position-vertical-relative:page" wrapcoords="0 0 21600 0 21600 21600 0 21600 0 0" filled="f" stroked="f">
          <v:textbox style="mso-next-textbox:#WMWM_ Doc ID--786" inset="0,0,0,0">
            <w:txbxContent>
              <w:p w:rsidR="00DB449B" w:rsidRPr="002835D9" w:rsidRDefault="00DB449B">
                <w:pPr>
                  <w:pStyle w:val="zYDocID"/>
                  <w:rPr>
                    <w:szCs w:val="16"/>
                  </w:rPr>
                </w:pPr>
              </w:p>
            </w:txbxContent>
          </v:textbox>
          <w10:wrap anchorx="page" anchory="page"/>
          <w10:anchorlock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49B" w:rsidRPr="002B7599" w:rsidRDefault="00E62954" w:rsidP="00DB449B">
    <w:pPr>
      <w:pStyle w:val="Footer"/>
      <w:pBdr>
        <w:bottom w:val="single" w:sz="12" w:space="1" w:color="808080" w:themeColor="background1" w:themeShade="80"/>
      </w:pBdr>
      <w:tabs>
        <w:tab w:val="clear" w:pos="9360"/>
        <w:tab w:val="right" w:pos="10800"/>
      </w:tabs>
      <w:rPr>
        <w:sz w:val="20"/>
      </w:rPr>
    </w:pPr>
    <w:r>
      <w:rPr>
        <w:rFonts w:ascii="Verdana" w:hAnsi="Verdana" w:cs="Arial"/>
        <w:smallCaps/>
        <w:noProof/>
        <w:sz w:val="20"/>
        <w:szCs w:val="1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88.05pt;margin-top:-13.6pt;width:70.9pt;height:20.15pt;z-index:251663360;mso-width-relative:margin;mso-height-relative:margin">
          <v:textbox>
            <w:txbxContent>
              <w:p w:rsidR="00DC261E" w:rsidRDefault="00DC261E" w:rsidP="00DC261E">
                <w:r>
                  <w:t>v4: 5-8-14</w:t>
                </w:r>
              </w:p>
            </w:txbxContent>
          </v:textbox>
        </v:shape>
      </w:pict>
    </w:r>
    <w:r w:rsidR="00DB449B" w:rsidRPr="002B7599">
      <w:rPr>
        <w:rFonts w:ascii="Verdana" w:hAnsi="Verdana" w:cs="Arial"/>
        <w:smallCaps/>
        <w:sz w:val="20"/>
        <w:szCs w:val="16"/>
      </w:rPr>
      <w:t xml:space="preserve">Special 402(F) Tax Notice Regarding Plan Payments </w:t>
    </w:r>
    <w:r w:rsidR="00DB449B" w:rsidRPr="002B7599">
      <w:rPr>
        <w:rFonts w:ascii="Verdana" w:hAnsi="Verdana" w:cs="Arial"/>
        <w:smallCaps/>
        <w:sz w:val="20"/>
        <w:szCs w:val="16"/>
      </w:rPr>
      <w:tab/>
      <w:t>P</w:t>
    </w:r>
    <w:r w:rsidR="00DB449B" w:rsidRPr="002B7599">
      <w:rPr>
        <w:rFonts w:ascii="Verdana" w:hAnsi="Verdana" w:cs="Arial"/>
        <w:iCs/>
        <w:smallCaps/>
        <w:sz w:val="20"/>
        <w:szCs w:val="16"/>
      </w:rPr>
      <w:t xml:space="preserve">age </w:t>
    </w:r>
    <w:r w:rsidR="0019648F" w:rsidRPr="002B7599">
      <w:rPr>
        <w:rFonts w:ascii="Verdana" w:hAnsi="Verdana" w:cs="Arial"/>
        <w:iCs/>
        <w:smallCaps/>
        <w:sz w:val="20"/>
        <w:szCs w:val="16"/>
      </w:rPr>
      <w:fldChar w:fldCharType="begin"/>
    </w:r>
    <w:r w:rsidR="00DB449B" w:rsidRPr="002B7599">
      <w:rPr>
        <w:rFonts w:ascii="Verdana" w:hAnsi="Verdana" w:cs="Arial"/>
        <w:iCs/>
        <w:smallCaps/>
        <w:sz w:val="20"/>
        <w:szCs w:val="16"/>
      </w:rPr>
      <w:instrText xml:space="preserve"> PAGE </w:instrText>
    </w:r>
    <w:r w:rsidR="0019648F" w:rsidRPr="002B7599">
      <w:rPr>
        <w:rFonts w:ascii="Verdana" w:hAnsi="Verdana" w:cs="Arial"/>
        <w:iCs/>
        <w:smallCaps/>
        <w:sz w:val="20"/>
        <w:szCs w:val="16"/>
      </w:rPr>
      <w:fldChar w:fldCharType="separate"/>
    </w:r>
    <w:r w:rsidR="006A4699">
      <w:rPr>
        <w:rFonts w:ascii="Verdana" w:hAnsi="Verdana" w:cs="Arial"/>
        <w:iCs/>
        <w:smallCaps/>
        <w:noProof/>
        <w:sz w:val="20"/>
        <w:szCs w:val="16"/>
      </w:rPr>
      <w:t>3</w:t>
    </w:r>
    <w:r w:rsidR="0019648F" w:rsidRPr="002B7599">
      <w:rPr>
        <w:rFonts w:ascii="Verdana" w:hAnsi="Verdana" w:cs="Arial"/>
        <w:iCs/>
        <w:smallCaps/>
        <w:sz w:val="20"/>
        <w:szCs w:val="16"/>
      </w:rPr>
      <w:fldChar w:fldCharType="end"/>
    </w:r>
    <w:r w:rsidR="00DB449B" w:rsidRPr="002B7599">
      <w:rPr>
        <w:rFonts w:ascii="Verdana" w:hAnsi="Verdana" w:cs="Arial"/>
        <w:iCs/>
        <w:smallCaps/>
        <w:sz w:val="20"/>
        <w:szCs w:val="16"/>
      </w:rPr>
      <w:t xml:space="preserve"> of </w:t>
    </w:r>
    <w:r w:rsidR="0019648F" w:rsidRPr="002B7599">
      <w:rPr>
        <w:rFonts w:ascii="Verdana" w:hAnsi="Verdana" w:cs="Arial"/>
        <w:iCs/>
        <w:smallCaps/>
        <w:sz w:val="20"/>
        <w:szCs w:val="16"/>
      </w:rPr>
      <w:fldChar w:fldCharType="begin"/>
    </w:r>
    <w:r w:rsidR="00DB449B" w:rsidRPr="002B7599">
      <w:rPr>
        <w:rFonts w:ascii="Verdana" w:hAnsi="Verdana" w:cs="Arial"/>
        <w:iCs/>
        <w:smallCaps/>
        <w:sz w:val="20"/>
        <w:szCs w:val="16"/>
      </w:rPr>
      <w:instrText xml:space="preserve"> NUMPAGES </w:instrText>
    </w:r>
    <w:r w:rsidR="0019648F" w:rsidRPr="002B7599">
      <w:rPr>
        <w:rFonts w:ascii="Verdana" w:hAnsi="Verdana" w:cs="Arial"/>
        <w:iCs/>
        <w:smallCaps/>
        <w:sz w:val="20"/>
        <w:szCs w:val="16"/>
      </w:rPr>
      <w:fldChar w:fldCharType="separate"/>
    </w:r>
    <w:r w:rsidR="006A4699">
      <w:rPr>
        <w:rFonts w:ascii="Verdana" w:hAnsi="Verdana" w:cs="Arial"/>
        <w:iCs/>
        <w:smallCaps/>
        <w:noProof/>
        <w:sz w:val="20"/>
        <w:szCs w:val="16"/>
      </w:rPr>
      <w:t>4</w:t>
    </w:r>
    <w:r w:rsidR="0019648F" w:rsidRPr="002B7599">
      <w:rPr>
        <w:rFonts w:ascii="Verdana" w:hAnsi="Verdana" w:cs="Arial"/>
        <w:iCs/>
        <w:smallCaps/>
        <w:sz w:val="20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49B" w:rsidRPr="009B646A" w:rsidRDefault="006A4699" w:rsidP="009B646A">
    <w:pPr>
      <w:pStyle w:val="BodyText"/>
      <w:spacing w:after="0"/>
      <w:ind w:firstLine="0"/>
      <w:jc w:val="right"/>
      <w:rPr>
        <w:rFonts w:ascii="Verdana" w:hAnsi="Verdana"/>
        <w:b/>
        <w:bCs/>
        <w:smallCaps/>
        <w:color w:val="000000"/>
        <w:sz w:val="40"/>
        <w:szCs w:val="22"/>
      </w:rPr>
    </w:pPr>
    <w:r w:rsidRPr="009B646A">
      <w:rPr>
        <w:smallCaps/>
        <w:noProof/>
        <w:sz w:val="28"/>
      </w:rPr>
      <w:drawing>
        <wp:anchor distT="0" distB="0" distL="114300" distR="114300" simplePos="0" relativeHeight="251660288" behindDoc="1" locked="0" layoutInCell="1" allowOverlap="1" wp14:anchorId="5BB2EFF2" wp14:editId="7AAC0D39">
          <wp:simplePos x="0" y="0"/>
          <wp:positionH relativeFrom="column">
            <wp:posOffset>-30480</wp:posOffset>
          </wp:positionH>
          <wp:positionV relativeFrom="margin">
            <wp:posOffset>-692785</wp:posOffset>
          </wp:positionV>
          <wp:extent cx="1391285" cy="57023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MPIPHP Logo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91285" cy="5702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E62954">
      <w:rPr>
        <w:smallCaps/>
        <w:noProof/>
        <w:sz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left:0;text-align:left;margin-left:140.25pt;margin-top:5.35pt;width:70.9pt;height:20.15pt;z-index:251661312;mso-position-horizontal-relative:text;mso-position-vertical-relative:text;mso-width-relative:margin;mso-height-relative:margin" strokecolor="white [3212]">
          <v:textbox>
            <w:txbxContent>
              <w:p w:rsidR="00273834" w:rsidRPr="00CE277F" w:rsidRDefault="00273834" w:rsidP="00273834">
                <w:pPr>
                  <w:rPr>
                    <w:color w:val="FFFFFF" w:themeColor="background1"/>
                  </w:rPr>
                </w:pPr>
                <w:r w:rsidRPr="00CE277F">
                  <w:rPr>
                    <w:color w:val="FFFFFF" w:themeColor="background1"/>
                  </w:rPr>
                  <w:t>v4: 5-8-14</w:t>
                </w:r>
              </w:p>
            </w:txbxContent>
          </v:textbox>
        </v:shape>
      </w:pict>
    </w:r>
    <w:r w:rsidR="00DB449B">
      <w:rPr>
        <w:rFonts w:ascii="Verdana" w:hAnsi="Verdana"/>
        <w:b/>
        <w:bCs/>
        <w:smallCaps/>
        <w:color w:val="000000"/>
        <w:sz w:val="40"/>
        <w:szCs w:val="22"/>
      </w:rPr>
      <w:t>Special 402(</w:t>
    </w:r>
    <w:r w:rsidR="00DB449B" w:rsidRPr="009B646A">
      <w:rPr>
        <w:rFonts w:ascii="Verdana" w:hAnsi="Verdana"/>
        <w:b/>
        <w:bCs/>
        <w:color w:val="000000"/>
        <w:sz w:val="40"/>
        <w:szCs w:val="22"/>
      </w:rPr>
      <w:t>f</w:t>
    </w:r>
    <w:r w:rsidR="00DB449B" w:rsidRPr="009B646A">
      <w:rPr>
        <w:rFonts w:ascii="Verdana" w:hAnsi="Verdana"/>
        <w:b/>
        <w:bCs/>
        <w:smallCaps/>
        <w:color w:val="000000"/>
        <w:sz w:val="40"/>
        <w:szCs w:val="22"/>
      </w:rPr>
      <w:t xml:space="preserve">) Tax Notice </w:t>
    </w:r>
  </w:p>
  <w:p w:rsidR="00DB449B" w:rsidRPr="009B646A" w:rsidRDefault="00DB449B" w:rsidP="00DB449B">
    <w:pPr>
      <w:pStyle w:val="BodyText"/>
      <w:pBdr>
        <w:bottom w:val="single" w:sz="12" w:space="1" w:color="808080" w:themeColor="background1" w:themeShade="80"/>
      </w:pBdr>
      <w:spacing w:after="0"/>
      <w:ind w:firstLine="0"/>
      <w:jc w:val="right"/>
      <w:rPr>
        <w:rFonts w:ascii="Verdana" w:hAnsi="Verdana"/>
        <w:smallCaps/>
        <w:sz w:val="44"/>
      </w:rPr>
    </w:pPr>
    <w:r w:rsidRPr="009B646A">
      <w:rPr>
        <w:rFonts w:ascii="Verdana" w:hAnsi="Verdana"/>
        <w:b/>
        <w:bCs/>
        <w:smallCaps/>
        <w:color w:val="000000"/>
        <w:sz w:val="40"/>
        <w:szCs w:val="22"/>
      </w:rPr>
      <w:t>Regarding Plan Payments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49B" w:rsidRPr="002B7599" w:rsidRDefault="00E62954" w:rsidP="00DB449B">
    <w:pPr>
      <w:pStyle w:val="Footer"/>
      <w:pBdr>
        <w:bottom w:val="single" w:sz="12" w:space="1" w:color="808080" w:themeColor="background1" w:themeShade="80"/>
      </w:pBdr>
      <w:tabs>
        <w:tab w:val="clear" w:pos="9360"/>
        <w:tab w:val="right" w:pos="10800"/>
      </w:tabs>
      <w:rPr>
        <w:rFonts w:ascii="Verdana" w:hAnsi="Verdana"/>
        <w:b/>
        <w:bCs/>
        <w:smallCaps/>
        <w:color w:val="000000"/>
        <w:sz w:val="32"/>
        <w:szCs w:val="22"/>
      </w:rPr>
    </w:pPr>
    <w:r>
      <w:rPr>
        <w:rFonts w:ascii="Verdana" w:hAnsi="Verdana" w:cs="Arial"/>
        <w:smallCaps/>
        <w:noProof/>
        <w:sz w:val="20"/>
        <w:szCs w:val="1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291.45pt;margin-top:-9.85pt;width:70.9pt;height:20.15pt;z-index:251662336;mso-width-relative:margin;mso-height-relative:margin" strokecolor="white [3212]">
          <v:textbox>
            <w:txbxContent>
              <w:p w:rsidR="00DC261E" w:rsidRPr="00CE277F" w:rsidRDefault="00DC261E" w:rsidP="00DC261E">
                <w:pPr>
                  <w:rPr>
                    <w:color w:val="FFFFFF" w:themeColor="background1"/>
                  </w:rPr>
                </w:pPr>
                <w:r w:rsidRPr="00CE277F">
                  <w:rPr>
                    <w:color w:val="FFFFFF" w:themeColor="background1"/>
                  </w:rPr>
                  <w:t>v4: 5-8-14</w:t>
                </w:r>
              </w:p>
            </w:txbxContent>
          </v:textbox>
        </v:shape>
      </w:pict>
    </w:r>
    <w:r w:rsidR="00DB449B" w:rsidRPr="002B7599">
      <w:rPr>
        <w:rFonts w:ascii="Verdana" w:hAnsi="Verdana" w:cs="Arial"/>
        <w:smallCaps/>
        <w:sz w:val="20"/>
        <w:szCs w:val="16"/>
      </w:rPr>
      <w:t xml:space="preserve">Special 402(F) Tax Notice Regarding Plan Payments </w:t>
    </w:r>
    <w:r w:rsidR="00DB449B" w:rsidRPr="002B7599">
      <w:rPr>
        <w:rFonts w:ascii="Verdana" w:hAnsi="Verdana" w:cs="Arial"/>
        <w:smallCaps/>
        <w:sz w:val="20"/>
        <w:szCs w:val="16"/>
      </w:rPr>
      <w:tab/>
      <w:t>P</w:t>
    </w:r>
    <w:r w:rsidR="00DB449B" w:rsidRPr="002B7599">
      <w:rPr>
        <w:rFonts w:ascii="Verdana" w:hAnsi="Verdana" w:cs="Arial"/>
        <w:iCs/>
        <w:smallCaps/>
        <w:sz w:val="20"/>
        <w:szCs w:val="16"/>
      </w:rPr>
      <w:t xml:space="preserve">age </w:t>
    </w:r>
    <w:r w:rsidR="0019648F" w:rsidRPr="002B7599">
      <w:rPr>
        <w:rFonts w:ascii="Verdana" w:hAnsi="Verdana" w:cs="Arial"/>
        <w:iCs/>
        <w:smallCaps/>
        <w:sz w:val="20"/>
        <w:szCs w:val="16"/>
      </w:rPr>
      <w:fldChar w:fldCharType="begin"/>
    </w:r>
    <w:r w:rsidR="00DB449B" w:rsidRPr="002B7599">
      <w:rPr>
        <w:rFonts w:ascii="Verdana" w:hAnsi="Verdana" w:cs="Arial"/>
        <w:iCs/>
        <w:smallCaps/>
        <w:sz w:val="20"/>
        <w:szCs w:val="16"/>
      </w:rPr>
      <w:instrText xml:space="preserve"> PAGE </w:instrText>
    </w:r>
    <w:r w:rsidR="0019648F" w:rsidRPr="002B7599">
      <w:rPr>
        <w:rFonts w:ascii="Verdana" w:hAnsi="Verdana" w:cs="Arial"/>
        <w:iCs/>
        <w:smallCaps/>
        <w:sz w:val="20"/>
        <w:szCs w:val="16"/>
      </w:rPr>
      <w:fldChar w:fldCharType="separate"/>
    </w:r>
    <w:r w:rsidR="006A4699">
      <w:rPr>
        <w:rFonts w:ascii="Verdana" w:hAnsi="Verdana" w:cs="Arial"/>
        <w:iCs/>
        <w:smallCaps/>
        <w:noProof/>
        <w:sz w:val="20"/>
        <w:szCs w:val="16"/>
      </w:rPr>
      <w:t>2</w:t>
    </w:r>
    <w:r w:rsidR="0019648F" w:rsidRPr="002B7599">
      <w:rPr>
        <w:rFonts w:ascii="Verdana" w:hAnsi="Verdana" w:cs="Arial"/>
        <w:iCs/>
        <w:smallCaps/>
        <w:sz w:val="20"/>
        <w:szCs w:val="16"/>
      </w:rPr>
      <w:fldChar w:fldCharType="end"/>
    </w:r>
    <w:r w:rsidR="00DB449B" w:rsidRPr="002B7599">
      <w:rPr>
        <w:rFonts w:ascii="Verdana" w:hAnsi="Verdana" w:cs="Arial"/>
        <w:iCs/>
        <w:smallCaps/>
        <w:sz w:val="20"/>
        <w:szCs w:val="16"/>
      </w:rPr>
      <w:t xml:space="preserve"> of </w:t>
    </w:r>
    <w:r w:rsidR="0019648F" w:rsidRPr="002B7599">
      <w:rPr>
        <w:rFonts w:ascii="Verdana" w:hAnsi="Verdana" w:cs="Arial"/>
        <w:iCs/>
        <w:smallCaps/>
        <w:sz w:val="20"/>
        <w:szCs w:val="16"/>
      </w:rPr>
      <w:fldChar w:fldCharType="begin"/>
    </w:r>
    <w:r w:rsidR="00DB449B" w:rsidRPr="002B7599">
      <w:rPr>
        <w:rFonts w:ascii="Verdana" w:hAnsi="Verdana" w:cs="Arial"/>
        <w:iCs/>
        <w:smallCaps/>
        <w:sz w:val="20"/>
        <w:szCs w:val="16"/>
      </w:rPr>
      <w:instrText xml:space="preserve"> NUMPAGES </w:instrText>
    </w:r>
    <w:r w:rsidR="0019648F" w:rsidRPr="002B7599">
      <w:rPr>
        <w:rFonts w:ascii="Verdana" w:hAnsi="Verdana" w:cs="Arial"/>
        <w:iCs/>
        <w:smallCaps/>
        <w:sz w:val="20"/>
        <w:szCs w:val="16"/>
      </w:rPr>
      <w:fldChar w:fldCharType="separate"/>
    </w:r>
    <w:r w:rsidR="006A4699">
      <w:rPr>
        <w:rFonts w:ascii="Verdana" w:hAnsi="Verdana" w:cs="Arial"/>
        <w:iCs/>
        <w:smallCaps/>
        <w:noProof/>
        <w:sz w:val="20"/>
        <w:szCs w:val="16"/>
      </w:rPr>
      <w:t>4</w:t>
    </w:r>
    <w:r w:rsidR="0019648F" w:rsidRPr="002B7599">
      <w:rPr>
        <w:rFonts w:ascii="Verdana" w:hAnsi="Verdana" w:cs="Arial"/>
        <w:iCs/>
        <w:smallCaps/>
        <w:sz w:val="20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806B0A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F36B8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B70E3DE"/>
    <w:lvl w:ilvl="0">
      <w:start w:val="1"/>
      <w:numFmt w:val="decimal"/>
      <w:pStyle w:val="ListNumber3"/>
      <w:lvlText w:val="%1."/>
      <w:lvlJc w:val="left"/>
      <w:pPr>
        <w:tabs>
          <w:tab w:val="num" w:pos="0"/>
        </w:tabs>
        <w:ind w:left="0" w:firstLine="720"/>
      </w:pPr>
      <w:rPr>
        <w:rFonts w:hint="default"/>
      </w:rPr>
    </w:lvl>
  </w:abstractNum>
  <w:abstractNum w:abstractNumId="3">
    <w:nsid w:val="FFFFFF7F"/>
    <w:multiLevelType w:val="singleLevel"/>
    <w:tmpl w:val="9D8688E6"/>
    <w:lvl w:ilvl="0">
      <w:start w:val="1"/>
      <w:numFmt w:val="upperLetter"/>
      <w:pStyle w:val="ListNumber2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">
    <w:nsid w:val="FFFFFF80"/>
    <w:multiLevelType w:val="singleLevel"/>
    <w:tmpl w:val="B7247C4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E5212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0B056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3C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1D66564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FFFFFF89"/>
    <w:multiLevelType w:val="singleLevel"/>
    <w:tmpl w:val="2BDAA4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D768D3"/>
    <w:multiLevelType w:val="multilevel"/>
    <w:tmpl w:val="45A4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A8A03CE"/>
    <w:multiLevelType w:val="hybridMultilevel"/>
    <w:tmpl w:val="825A52B8"/>
    <w:lvl w:ilvl="0" w:tplc="D5EA09A6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C0408DA"/>
    <w:multiLevelType w:val="multilevel"/>
    <w:tmpl w:val="46B603A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[%8]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[%9]"/>
      <w:lvlJc w:val="left"/>
      <w:pPr>
        <w:tabs>
          <w:tab w:val="num" w:pos="6480"/>
        </w:tabs>
        <w:ind w:left="6480" w:hanging="720"/>
      </w:pPr>
    </w:lvl>
  </w:abstractNum>
  <w:abstractNum w:abstractNumId="13">
    <w:nsid w:val="1FA07552"/>
    <w:multiLevelType w:val="multilevel"/>
    <w:tmpl w:val="11CE9212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[%8]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[%9]"/>
      <w:lvlJc w:val="left"/>
      <w:pPr>
        <w:tabs>
          <w:tab w:val="num" w:pos="6480"/>
        </w:tabs>
        <w:ind w:left="6480" w:hanging="720"/>
      </w:pPr>
    </w:lvl>
  </w:abstractNum>
  <w:abstractNum w:abstractNumId="14">
    <w:nsid w:val="24882F94"/>
    <w:multiLevelType w:val="multilevel"/>
    <w:tmpl w:val="49384D6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[%8]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[%9]"/>
      <w:lvlJc w:val="left"/>
      <w:pPr>
        <w:tabs>
          <w:tab w:val="num" w:pos="6480"/>
        </w:tabs>
        <w:ind w:left="6480" w:hanging="720"/>
      </w:pPr>
    </w:lvl>
  </w:abstractNum>
  <w:abstractNum w:abstractNumId="15">
    <w:nsid w:val="26960A8F"/>
    <w:multiLevelType w:val="hybridMultilevel"/>
    <w:tmpl w:val="78282ADC"/>
    <w:lvl w:ilvl="0" w:tplc="23F0199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4F23B9"/>
    <w:multiLevelType w:val="multilevel"/>
    <w:tmpl w:val="18BA1FC4"/>
    <w:lvl w:ilvl="0">
      <w:start w:val="1"/>
      <w:numFmt w:val="upperRoman"/>
      <w:lvlRestart w:val="0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pStyle w:val="Heading8"/>
      <w:lvlText w:val="[%8]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pStyle w:val="Heading9"/>
      <w:lvlText w:val="[%9]"/>
      <w:lvlJc w:val="left"/>
      <w:pPr>
        <w:tabs>
          <w:tab w:val="num" w:pos="6480"/>
        </w:tabs>
        <w:ind w:left="6480" w:hanging="720"/>
      </w:pPr>
    </w:lvl>
  </w:abstractNum>
  <w:abstractNum w:abstractNumId="17">
    <w:nsid w:val="322B6937"/>
    <w:multiLevelType w:val="multilevel"/>
    <w:tmpl w:val="0994E49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[%8]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[%9]"/>
      <w:lvlJc w:val="left"/>
      <w:pPr>
        <w:tabs>
          <w:tab w:val="num" w:pos="6480"/>
        </w:tabs>
        <w:ind w:left="6480" w:hanging="720"/>
      </w:pPr>
    </w:lvl>
  </w:abstractNum>
  <w:abstractNum w:abstractNumId="18">
    <w:nsid w:val="3CBC2D90"/>
    <w:multiLevelType w:val="hybridMultilevel"/>
    <w:tmpl w:val="51627664"/>
    <w:lvl w:ilvl="0" w:tplc="3C2EFC72">
      <w:start w:val="1"/>
      <w:numFmt w:val="bullet"/>
      <w:pStyle w:val="ListBullet3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5C7E3C"/>
    <w:multiLevelType w:val="hybridMultilevel"/>
    <w:tmpl w:val="0E645754"/>
    <w:lvl w:ilvl="0" w:tplc="23F0199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F26E0"/>
    <w:multiLevelType w:val="hybridMultilevel"/>
    <w:tmpl w:val="E03CE2B6"/>
    <w:lvl w:ilvl="0" w:tplc="DABCE938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8145B66"/>
    <w:multiLevelType w:val="hybridMultilevel"/>
    <w:tmpl w:val="EAF43E8E"/>
    <w:lvl w:ilvl="0" w:tplc="2FD41E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842EAD"/>
    <w:multiLevelType w:val="hybridMultilevel"/>
    <w:tmpl w:val="99F25F6C"/>
    <w:lvl w:ilvl="0" w:tplc="23F0199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9305FFD"/>
    <w:multiLevelType w:val="multilevel"/>
    <w:tmpl w:val="2CCAA1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A368A8"/>
    <w:multiLevelType w:val="multilevel"/>
    <w:tmpl w:val="BB3C9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BDC3EAE"/>
    <w:multiLevelType w:val="hybridMultilevel"/>
    <w:tmpl w:val="78C81F30"/>
    <w:lvl w:ilvl="0" w:tplc="BCCEA64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1717B7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68ED2772"/>
    <w:multiLevelType w:val="multilevel"/>
    <w:tmpl w:val="026C350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[%8]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[%9]"/>
      <w:lvlJc w:val="left"/>
      <w:pPr>
        <w:tabs>
          <w:tab w:val="num" w:pos="6480"/>
        </w:tabs>
        <w:ind w:left="6480" w:hanging="720"/>
      </w:pPr>
    </w:lvl>
  </w:abstractNum>
  <w:abstractNum w:abstractNumId="28">
    <w:nsid w:val="72DE6EE5"/>
    <w:multiLevelType w:val="multilevel"/>
    <w:tmpl w:val="49B62998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[%8]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[%9]"/>
      <w:lvlJc w:val="left"/>
      <w:pPr>
        <w:tabs>
          <w:tab w:val="num" w:pos="6480"/>
        </w:tabs>
        <w:ind w:left="6480" w:hanging="720"/>
      </w:pPr>
    </w:lvl>
  </w:abstractNum>
  <w:abstractNum w:abstractNumId="29">
    <w:nsid w:val="759B17C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7B553B7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21"/>
  </w:num>
  <w:num w:numId="13">
    <w:abstractNumId w:val="11"/>
  </w:num>
  <w:num w:numId="14">
    <w:abstractNumId w:val="25"/>
  </w:num>
  <w:num w:numId="15">
    <w:abstractNumId w:val="8"/>
  </w:num>
  <w:num w:numId="16">
    <w:abstractNumId w:val="3"/>
  </w:num>
  <w:num w:numId="17">
    <w:abstractNumId w:val="2"/>
  </w:num>
  <w:num w:numId="18">
    <w:abstractNumId w:val="10"/>
  </w:num>
  <w:num w:numId="19">
    <w:abstractNumId w:val="20"/>
  </w:num>
  <w:num w:numId="20">
    <w:abstractNumId w:val="24"/>
  </w:num>
  <w:num w:numId="21">
    <w:abstractNumId w:val="18"/>
  </w:num>
  <w:num w:numId="22">
    <w:abstractNumId w:val="23"/>
  </w:num>
  <w:num w:numId="23">
    <w:abstractNumId w:val="29"/>
  </w:num>
  <w:num w:numId="24">
    <w:abstractNumId w:val="26"/>
  </w:num>
  <w:num w:numId="25">
    <w:abstractNumId w:val="30"/>
  </w:num>
  <w:num w:numId="26">
    <w:abstractNumId w:val="14"/>
  </w:num>
  <w:num w:numId="27">
    <w:abstractNumId w:val="27"/>
  </w:num>
  <w:num w:numId="28">
    <w:abstractNumId w:val="17"/>
  </w:num>
  <w:num w:numId="29">
    <w:abstractNumId w:val="13"/>
  </w:num>
  <w:num w:numId="30">
    <w:abstractNumId w:val="28"/>
  </w:num>
  <w:num w:numId="31">
    <w:abstractNumId w:val="16"/>
  </w:num>
  <w:num w:numId="32">
    <w:abstractNumId w:val="15"/>
  </w:num>
  <w:num w:numId="33">
    <w:abstractNumId w:val="19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07"/>
    <w:rsid w:val="00003148"/>
    <w:rsid w:val="00027895"/>
    <w:rsid w:val="00033876"/>
    <w:rsid w:val="00051659"/>
    <w:rsid w:val="000551EB"/>
    <w:rsid w:val="00086A57"/>
    <w:rsid w:val="000956E4"/>
    <w:rsid w:val="000B3AE7"/>
    <w:rsid w:val="000E5856"/>
    <w:rsid w:val="000E5C5F"/>
    <w:rsid w:val="00106B61"/>
    <w:rsid w:val="00137C2A"/>
    <w:rsid w:val="00140E7B"/>
    <w:rsid w:val="0014413E"/>
    <w:rsid w:val="00171F5C"/>
    <w:rsid w:val="00173645"/>
    <w:rsid w:val="0019648F"/>
    <w:rsid w:val="001A27EF"/>
    <w:rsid w:val="001A744F"/>
    <w:rsid w:val="001B4CAD"/>
    <w:rsid w:val="001C185A"/>
    <w:rsid w:val="001D004A"/>
    <w:rsid w:val="001F524D"/>
    <w:rsid w:val="00212163"/>
    <w:rsid w:val="002306BA"/>
    <w:rsid w:val="002335B2"/>
    <w:rsid w:val="00256DB6"/>
    <w:rsid w:val="00257035"/>
    <w:rsid w:val="002578B0"/>
    <w:rsid w:val="002679E9"/>
    <w:rsid w:val="0027226D"/>
    <w:rsid w:val="00273834"/>
    <w:rsid w:val="00281989"/>
    <w:rsid w:val="0028727C"/>
    <w:rsid w:val="002904DE"/>
    <w:rsid w:val="002B052A"/>
    <w:rsid w:val="002B2467"/>
    <w:rsid w:val="002B6EAA"/>
    <w:rsid w:val="002B7599"/>
    <w:rsid w:val="002C2F5F"/>
    <w:rsid w:val="0030121A"/>
    <w:rsid w:val="0031592F"/>
    <w:rsid w:val="00316007"/>
    <w:rsid w:val="00344409"/>
    <w:rsid w:val="0036395C"/>
    <w:rsid w:val="00364D77"/>
    <w:rsid w:val="0039439D"/>
    <w:rsid w:val="003B256A"/>
    <w:rsid w:val="003B6A6A"/>
    <w:rsid w:val="003D36A3"/>
    <w:rsid w:val="003E4962"/>
    <w:rsid w:val="00400CDE"/>
    <w:rsid w:val="00432A1C"/>
    <w:rsid w:val="00432AE0"/>
    <w:rsid w:val="00442FD8"/>
    <w:rsid w:val="00452415"/>
    <w:rsid w:val="00452B5A"/>
    <w:rsid w:val="0046067B"/>
    <w:rsid w:val="004A0210"/>
    <w:rsid w:val="004B26BC"/>
    <w:rsid w:val="004B2F9F"/>
    <w:rsid w:val="004B510D"/>
    <w:rsid w:val="004B721F"/>
    <w:rsid w:val="004E2A92"/>
    <w:rsid w:val="004E493E"/>
    <w:rsid w:val="004F5CFF"/>
    <w:rsid w:val="004F76AE"/>
    <w:rsid w:val="00510CF4"/>
    <w:rsid w:val="00564DE9"/>
    <w:rsid w:val="00571DCC"/>
    <w:rsid w:val="00572851"/>
    <w:rsid w:val="00573104"/>
    <w:rsid w:val="0059043F"/>
    <w:rsid w:val="005B6751"/>
    <w:rsid w:val="005C371E"/>
    <w:rsid w:val="005D4EC3"/>
    <w:rsid w:val="006014DE"/>
    <w:rsid w:val="0061514A"/>
    <w:rsid w:val="00624B36"/>
    <w:rsid w:val="006251C3"/>
    <w:rsid w:val="00632498"/>
    <w:rsid w:val="00640F52"/>
    <w:rsid w:val="00644D46"/>
    <w:rsid w:val="006749CF"/>
    <w:rsid w:val="00697CEB"/>
    <w:rsid w:val="006A2BA2"/>
    <w:rsid w:val="006A4699"/>
    <w:rsid w:val="006A7B46"/>
    <w:rsid w:val="006E27CF"/>
    <w:rsid w:val="006E4471"/>
    <w:rsid w:val="007025B2"/>
    <w:rsid w:val="007168AD"/>
    <w:rsid w:val="007772B3"/>
    <w:rsid w:val="007856FA"/>
    <w:rsid w:val="00793272"/>
    <w:rsid w:val="007A71A1"/>
    <w:rsid w:val="007D27BA"/>
    <w:rsid w:val="0084135A"/>
    <w:rsid w:val="00842A14"/>
    <w:rsid w:val="00880707"/>
    <w:rsid w:val="00884E81"/>
    <w:rsid w:val="00890ED3"/>
    <w:rsid w:val="008A574A"/>
    <w:rsid w:val="008B1983"/>
    <w:rsid w:val="008B2DCE"/>
    <w:rsid w:val="008D1C1B"/>
    <w:rsid w:val="008E08DF"/>
    <w:rsid w:val="008F4676"/>
    <w:rsid w:val="00900FF4"/>
    <w:rsid w:val="0090223B"/>
    <w:rsid w:val="009123B9"/>
    <w:rsid w:val="00912554"/>
    <w:rsid w:val="009354BB"/>
    <w:rsid w:val="009A0D36"/>
    <w:rsid w:val="009B1B12"/>
    <w:rsid w:val="009B613A"/>
    <w:rsid w:val="009B646A"/>
    <w:rsid w:val="009B7430"/>
    <w:rsid w:val="009D1B78"/>
    <w:rsid w:val="009D5E77"/>
    <w:rsid w:val="009D604D"/>
    <w:rsid w:val="009F66E2"/>
    <w:rsid w:val="00A0761B"/>
    <w:rsid w:val="00A235A8"/>
    <w:rsid w:val="00A340FD"/>
    <w:rsid w:val="00A84975"/>
    <w:rsid w:val="00A97C5A"/>
    <w:rsid w:val="00AA3211"/>
    <w:rsid w:val="00AC7A58"/>
    <w:rsid w:val="00AF649F"/>
    <w:rsid w:val="00B0398B"/>
    <w:rsid w:val="00B101D2"/>
    <w:rsid w:val="00B127B1"/>
    <w:rsid w:val="00B3740B"/>
    <w:rsid w:val="00B567A9"/>
    <w:rsid w:val="00B569C3"/>
    <w:rsid w:val="00B67BF0"/>
    <w:rsid w:val="00B84152"/>
    <w:rsid w:val="00B8670A"/>
    <w:rsid w:val="00BA544D"/>
    <w:rsid w:val="00BC275D"/>
    <w:rsid w:val="00BD4A19"/>
    <w:rsid w:val="00BE28D5"/>
    <w:rsid w:val="00BF22C6"/>
    <w:rsid w:val="00BF43CF"/>
    <w:rsid w:val="00C90F1A"/>
    <w:rsid w:val="00CE167D"/>
    <w:rsid w:val="00CE277F"/>
    <w:rsid w:val="00CF7227"/>
    <w:rsid w:val="00CF76BE"/>
    <w:rsid w:val="00D04B20"/>
    <w:rsid w:val="00D236D5"/>
    <w:rsid w:val="00D51B13"/>
    <w:rsid w:val="00D76420"/>
    <w:rsid w:val="00DA5BA2"/>
    <w:rsid w:val="00DB449B"/>
    <w:rsid w:val="00DC261E"/>
    <w:rsid w:val="00DD7694"/>
    <w:rsid w:val="00DE3E63"/>
    <w:rsid w:val="00DF5D8E"/>
    <w:rsid w:val="00E26703"/>
    <w:rsid w:val="00E44CA0"/>
    <w:rsid w:val="00E516C4"/>
    <w:rsid w:val="00E62954"/>
    <w:rsid w:val="00E7472B"/>
    <w:rsid w:val="00EA054A"/>
    <w:rsid w:val="00EB4801"/>
    <w:rsid w:val="00F2570F"/>
    <w:rsid w:val="00F50BD0"/>
    <w:rsid w:val="00F52553"/>
    <w:rsid w:val="00F81E7C"/>
    <w:rsid w:val="00FA15F5"/>
    <w:rsid w:val="00FA1BAF"/>
    <w:rsid w:val="00FC22BA"/>
    <w:rsid w:val="00FC63BA"/>
    <w:rsid w:val="00FE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56E4"/>
    <w:rPr>
      <w:sz w:val="24"/>
      <w:szCs w:val="24"/>
    </w:rPr>
  </w:style>
  <w:style w:type="paragraph" w:styleId="Heading1">
    <w:name w:val="heading 1"/>
    <w:basedOn w:val="HeadingBase"/>
    <w:next w:val="BodyText"/>
    <w:qFormat/>
    <w:rsid w:val="00DD7694"/>
    <w:pPr>
      <w:keepNext/>
      <w:numPr>
        <w:numId w:val="31"/>
      </w:numPr>
      <w:tabs>
        <w:tab w:val="left" w:pos="720"/>
      </w:tabs>
      <w:outlineLvl w:val="0"/>
    </w:pPr>
    <w:rPr>
      <w:rFonts w:cs="Arial"/>
      <w:bCs/>
      <w:kern w:val="32"/>
      <w:szCs w:val="32"/>
    </w:rPr>
  </w:style>
  <w:style w:type="paragraph" w:styleId="Heading2">
    <w:name w:val="heading 2"/>
    <w:basedOn w:val="HeadingBase"/>
    <w:next w:val="BodyText"/>
    <w:qFormat/>
    <w:rsid w:val="00DD7694"/>
    <w:pPr>
      <w:keepNext/>
      <w:numPr>
        <w:ilvl w:val="1"/>
        <w:numId w:val="31"/>
      </w:numPr>
      <w:tabs>
        <w:tab w:val="left" w:pos="1440"/>
      </w:tabs>
      <w:outlineLvl w:val="1"/>
    </w:pPr>
    <w:rPr>
      <w:rFonts w:cs="Arial"/>
      <w:bCs/>
      <w:iCs/>
      <w:szCs w:val="28"/>
    </w:rPr>
  </w:style>
  <w:style w:type="paragraph" w:styleId="Heading3">
    <w:name w:val="heading 3"/>
    <w:basedOn w:val="HeadingBase"/>
    <w:next w:val="BodyText"/>
    <w:qFormat/>
    <w:rsid w:val="00DD7694"/>
    <w:pPr>
      <w:numPr>
        <w:ilvl w:val="2"/>
        <w:numId w:val="31"/>
      </w:numPr>
      <w:tabs>
        <w:tab w:val="left" w:pos="2160"/>
      </w:tabs>
      <w:outlineLvl w:val="2"/>
    </w:pPr>
    <w:rPr>
      <w:rFonts w:cs="Arial"/>
      <w:bCs/>
      <w:szCs w:val="26"/>
    </w:rPr>
  </w:style>
  <w:style w:type="paragraph" w:styleId="Heading4">
    <w:name w:val="heading 4"/>
    <w:basedOn w:val="HeadingBase"/>
    <w:next w:val="BodyText"/>
    <w:qFormat/>
    <w:rsid w:val="00DD7694"/>
    <w:pPr>
      <w:numPr>
        <w:ilvl w:val="3"/>
        <w:numId w:val="31"/>
      </w:numPr>
      <w:tabs>
        <w:tab w:val="left" w:pos="2880"/>
      </w:tabs>
      <w:outlineLvl w:val="3"/>
    </w:pPr>
    <w:rPr>
      <w:bCs/>
      <w:szCs w:val="28"/>
    </w:rPr>
  </w:style>
  <w:style w:type="paragraph" w:styleId="Heading5">
    <w:name w:val="heading 5"/>
    <w:basedOn w:val="HeadingBase"/>
    <w:next w:val="BodyText"/>
    <w:qFormat/>
    <w:rsid w:val="00DD7694"/>
    <w:pPr>
      <w:numPr>
        <w:ilvl w:val="4"/>
        <w:numId w:val="31"/>
      </w:numPr>
      <w:tabs>
        <w:tab w:val="left" w:pos="3600"/>
      </w:tabs>
      <w:outlineLvl w:val="4"/>
    </w:pPr>
    <w:rPr>
      <w:bCs/>
      <w:iCs/>
      <w:szCs w:val="26"/>
    </w:rPr>
  </w:style>
  <w:style w:type="paragraph" w:styleId="Heading6">
    <w:name w:val="heading 6"/>
    <w:basedOn w:val="HeadingBase"/>
    <w:next w:val="BodyText"/>
    <w:qFormat/>
    <w:rsid w:val="00DD7694"/>
    <w:pPr>
      <w:numPr>
        <w:ilvl w:val="5"/>
        <w:numId w:val="31"/>
      </w:numPr>
      <w:tabs>
        <w:tab w:val="left" w:pos="4320"/>
      </w:tabs>
      <w:outlineLvl w:val="5"/>
    </w:pPr>
    <w:rPr>
      <w:bCs/>
      <w:szCs w:val="22"/>
    </w:rPr>
  </w:style>
  <w:style w:type="paragraph" w:styleId="Heading7">
    <w:name w:val="heading 7"/>
    <w:basedOn w:val="HeadingBase"/>
    <w:next w:val="BodyText"/>
    <w:qFormat/>
    <w:rsid w:val="00DD7694"/>
    <w:pPr>
      <w:numPr>
        <w:ilvl w:val="6"/>
        <w:numId w:val="31"/>
      </w:numPr>
      <w:tabs>
        <w:tab w:val="left" w:pos="5040"/>
      </w:tabs>
      <w:outlineLvl w:val="6"/>
    </w:pPr>
  </w:style>
  <w:style w:type="paragraph" w:styleId="Heading8">
    <w:name w:val="heading 8"/>
    <w:basedOn w:val="HeadingBase"/>
    <w:next w:val="BodyText"/>
    <w:qFormat/>
    <w:rsid w:val="00DD7694"/>
    <w:pPr>
      <w:numPr>
        <w:ilvl w:val="7"/>
        <w:numId w:val="31"/>
      </w:numPr>
      <w:tabs>
        <w:tab w:val="left" w:pos="5760"/>
      </w:tabs>
      <w:outlineLvl w:val="7"/>
    </w:pPr>
    <w:rPr>
      <w:iCs/>
    </w:rPr>
  </w:style>
  <w:style w:type="paragraph" w:styleId="Heading9">
    <w:name w:val="heading 9"/>
    <w:basedOn w:val="HeadingBase"/>
    <w:next w:val="BodyText"/>
    <w:qFormat/>
    <w:rsid w:val="00DD7694"/>
    <w:pPr>
      <w:numPr>
        <w:ilvl w:val="8"/>
        <w:numId w:val="31"/>
      </w:numPr>
      <w:tabs>
        <w:tab w:val="left" w:pos="6480"/>
      </w:tabs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28198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281989"/>
    <w:pPr>
      <w:tabs>
        <w:tab w:val="center" w:pos="4680"/>
        <w:tab w:val="right" w:pos="9360"/>
      </w:tabs>
    </w:pPr>
  </w:style>
  <w:style w:type="paragraph" w:styleId="BodyText">
    <w:name w:val="Body Text"/>
    <w:basedOn w:val="Normal"/>
    <w:rsid w:val="001B4CAD"/>
    <w:pPr>
      <w:spacing w:after="240"/>
      <w:ind w:firstLine="720"/>
    </w:pPr>
  </w:style>
  <w:style w:type="paragraph" w:customStyle="1" w:styleId="BodyTextContinued">
    <w:name w:val="Body Text Continued"/>
    <w:basedOn w:val="BodyText"/>
    <w:next w:val="BodyText"/>
    <w:rsid w:val="007D27BA"/>
    <w:pPr>
      <w:ind w:firstLine="0"/>
    </w:pPr>
  </w:style>
  <w:style w:type="paragraph" w:styleId="Quote">
    <w:name w:val="Quote"/>
    <w:basedOn w:val="BodyText"/>
    <w:next w:val="BodyTextContinued"/>
    <w:qFormat/>
    <w:rsid w:val="001B4CAD"/>
    <w:pPr>
      <w:ind w:left="1440" w:right="1440" w:firstLine="0"/>
    </w:pPr>
  </w:style>
  <w:style w:type="paragraph" w:customStyle="1" w:styleId="Centered">
    <w:name w:val="Centered"/>
    <w:basedOn w:val="Normal"/>
    <w:rsid w:val="00890ED3"/>
    <w:pPr>
      <w:spacing w:after="240"/>
      <w:jc w:val="center"/>
    </w:pPr>
  </w:style>
  <w:style w:type="paragraph" w:customStyle="1" w:styleId="HeadingBase">
    <w:name w:val="Heading Base"/>
    <w:basedOn w:val="Normal"/>
    <w:next w:val="BodyText"/>
    <w:rsid w:val="00DD7694"/>
    <w:pPr>
      <w:spacing w:after="240"/>
    </w:pPr>
  </w:style>
  <w:style w:type="paragraph" w:styleId="Title">
    <w:name w:val="Title"/>
    <w:basedOn w:val="Normal"/>
    <w:qFormat/>
    <w:rsid w:val="003D36A3"/>
    <w:pPr>
      <w:keepNext/>
      <w:keepLines/>
      <w:spacing w:after="240"/>
      <w:jc w:val="center"/>
      <w:outlineLvl w:val="0"/>
    </w:pPr>
    <w:rPr>
      <w:rFonts w:cs="Arial"/>
      <w:b/>
      <w:bCs/>
      <w:u w:val="single"/>
    </w:rPr>
  </w:style>
  <w:style w:type="paragraph" w:customStyle="1" w:styleId="zYDocID">
    <w:name w:val="zY_DocID"/>
    <w:rsid w:val="00AC7A58"/>
    <w:rPr>
      <w:noProof/>
      <w:sz w:val="16"/>
    </w:rPr>
  </w:style>
  <w:style w:type="paragraph" w:styleId="ListNumber">
    <w:name w:val="List Number"/>
    <w:basedOn w:val="Normal"/>
    <w:rsid w:val="002B2467"/>
    <w:pPr>
      <w:numPr>
        <w:numId w:val="15"/>
      </w:numPr>
      <w:tabs>
        <w:tab w:val="clear" w:pos="720"/>
      </w:tabs>
      <w:spacing w:after="240"/>
    </w:pPr>
  </w:style>
  <w:style w:type="paragraph" w:styleId="ListBullet">
    <w:name w:val="List Bullet"/>
    <w:basedOn w:val="Normal"/>
    <w:rsid w:val="002B2467"/>
    <w:pPr>
      <w:numPr>
        <w:numId w:val="19"/>
      </w:numPr>
      <w:tabs>
        <w:tab w:val="clear" w:pos="720"/>
      </w:tabs>
      <w:spacing w:after="240"/>
    </w:pPr>
  </w:style>
  <w:style w:type="paragraph" w:styleId="ListBullet2">
    <w:name w:val="List Bullet 2"/>
    <w:basedOn w:val="Normal"/>
    <w:rsid w:val="007168AD"/>
    <w:pPr>
      <w:numPr>
        <w:numId w:val="13"/>
      </w:numPr>
      <w:tabs>
        <w:tab w:val="clear" w:pos="1440"/>
      </w:tabs>
      <w:spacing w:after="240"/>
    </w:pPr>
  </w:style>
  <w:style w:type="paragraph" w:styleId="ListBullet3">
    <w:name w:val="List Bullet 3"/>
    <w:basedOn w:val="Normal"/>
    <w:rsid w:val="002B2467"/>
    <w:pPr>
      <w:numPr>
        <w:numId w:val="21"/>
      </w:numPr>
      <w:tabs>
        <w:tab w:val="clear" w:pos="2160"/>
      </w:tabs>
      <w:spacing w:after="240"/>
    </w:pPr>
  </w:style>
  <w:style w:type="paragraph" w:styleId="ListNumber2">
    <w:name w:val="List Number 2"/>
    <w:basedOn w:val="Normal"/>
    <w:rsid w:val="002B2467"/>
    <w:pPr>
      <w:numPr>
        <w:numId w:val="16"/>
      </w:numPr>
      <w:tabs>
        <w:tab w:val="clear" w:pos="1440"/>
      </w:tabs>
      <w:spacing w:after="240"/>
    </w:pPr>
  </w:style>
  <w:style w:type="paragraph" w:styleId="ListNumber3">
    <w:name w:val="List Number 3"/>
    <w:basedOn w:val="Normal"/>
    <w:rsid w:val="007168AD"/>
    <w:pPr>
      <w:numPr>
        <w:numId w:val="17"/>
      </w:numPr>
      <w:tabs>
        <w:tab w:val="clear" w:pos="0"/>
      </w:tabs>
      <w:spacing w:after="240"/>
    </w:pPr>
  </w:style>
  <w:style w:type="paragraph" w:styleId="BalloonText">
    <w:name w:val="Balloon Text"/>
    <w:basedOn w:val="Normal"/>
    <w:semiHidden/>
    <w:rsid w:val="0031600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semiHidden/>
    <w:rsid w:val="004E493E"/>
    <w:pPr>
      <w:keepLines/>
      <w:tabs>
        <w:tab w:val="right" w:leader="dot" w:pos="9360"/>
      </w:tabs>
      <w:spacing w:after="240" w:line="240" w:lineRule="exact"/>
      <w:ind w:left="720" w:right="1440" w:hanging="720"/>
    </w:pPr>
  </w:style>
  <w:style w:type="paragraph" w:styleId="Subtitle">
    <w:name w:val="Subtitle"/>
    <w:basedOn w:val="Normal"/>
    <w:qFormat/>
    <w:rsid w:val="00CE167D"/>
    <w:pPr>
      <w:spacing w:after="240"/>
      <w:jc w:val="center"/>
    </w:pPr>
    <w:rPr>
      <w:rFonts w:cs="Arial"/>
    </w:rPr>
  </w:style>
  <w:style w:type="paragraph" w:styleId="TOC2">
    <w:name w:val="toc 2"/>
    <w:basedOn w:val="TOC1"/>
    <w:next w:val="Normal"/>
    <w:autoRedefine/>
    <w:semiHidden/>
    <w:rsid w:val="00D76420"/>
    <w:pPr>
      <w:ind w:left="1440"/>
    </w:pPr>
  </w:style>
  <w:style w:type="paragraph" w:styleId="TOC3">
    <w:name w:val="toc 3"/>
    <w:basedOn w:val="TOC2"/>
    <w:next w:val="Normal"/>
    <w:autoRedefine/>
    <w:semiHidden/>
    <w:rsid w:val="00D76420"/>
    <w:pPr>
      <w:ind w:left="2160"/>
    </w:pPr>
  </w:style>
  <w:style w:type="paragraph" w:styleId="TOC4">
    <w:name w:val="toc 4"/>
    <w:basedOn w:val="TOC3"/>
    <w:next w:val="Normal"/>
    <w:autoRedefine/>
    <w:semiHidden/>
    <w:rsid w:val="00D76420"/>
    <w:pPr>
      <w:ind w:left="2880"/>
    </w:pPr>
  </w:style>
  <w:style w:type="paragraph" w:styleId="TOC5">
    <w:name w:val="toc 5"/>
    <w:basedOn w:val="TOC4"/>
    <w:next w:val="Normal"/>
    <w:autoRedefine/>
    <w:semiHidden/>
    <w:rsid w:val="00D76420"/>
    <w:pPr>
      <w:ind w:left="3600"/>
    </w:pPr>
  </w:style>
  <w:style w:type="paragraph" w:styleId="TOC6">
    <w:name w:val="toc 6"/>
    <w:basedOn w:val="TOC5"/>
    <w:next w:val="Normal"/>
    <w:autoRedefine/>
    <w:semiHidden/>
    <w:rsid w:val="00D76420"/>
    <w:pPr>
      <w:ind w:left="4320"/>
    </w:pPr>
  </w:style>
  <w:style w:type="paragraph" w:styleId="TOC7">
    <w:name w:val="toc 7"/>
    <w:basedOn w:val="TOC6"/>
    <w:next w:val="Normal"/>
    <w:autoRedefine/>
    <w:semiHidden/>
    <w:rsid w:val="00D76420"/>
    <w:pPr>
      <w:ind w:left="5040"/>
    </w:pPr>
  </w:style>
  <w:style w:type="paragraph" w:styleId="TOC8">
    <w:name w:val="toc 8"/>
    <w:basedOn w:val="TOC7"/>
    <w:next w:val="Normal"/>
    <w:autoRedefine/>
    <w:semiHidden/>
    <w:rsid w:val="00D76420"/>
    <w:pPr>
      <w:ind w:left="5760"/>
    </w:pPr>
  </w:style>
  <w:style w:type="paragraph" w:styleId="TOC9">
    <w:name w:val="toc 9"/>
    <w:basedOn w:val="TOC8"/>
    <w:next w:val="Normal"/>
    <w:autoRedefine/>
    <w:semiHidden/>
    <w:rsid w:val="00D76420"/>
    <w:pPr>
      <w:ind w:left="6480"/>
    </w:pPr>
  </w:style>
  <w:style w:type="paragraph" w:styleId="FootnoteText">
    <w:name w:val="footnote text"/>
    <w:basedOn w:val="Normal"/>
    <w:semiHidden/>
    <w:rsid w:val="00572851"/>
    <w:pPr>
      <w:spacing w:after="160"/>
    </w:pPr>
    <w:rPr>
      <w:sz w:val="20"/>
      <w:szCs w:val="20"/>
    </w:rPr>
  </w:style>
  <w:style w:type="paragraph" w:styleId="TOAHeading">
    <w:name w:val="toa heading"/>
    <w:basedOn w:val="Normal"/>
    <w:next w:val="Normal"/>
    <w:semiHidden/>
    <w:rsid w:val="00793272"/>
    <w:pPr>
      <w:spacing w:before="120"/>
    </w:pPr>
    <w:rPr>
      <w:rFonts w:ascii="Arial" w:hAnsi="Arial" w:cs="Arial"/>
      <w:b/>
      <w:bCs/>
    </w:rPr>
  </w:style>
  <w:style w:type="character" w:styleId="FootnoteReference">
    <w:name w:val="footnote reference"/>
    <w:basedOn w:val="DefaultParagraphFont"/>
    <w:semiHidden/>
    <w:rsid w:val="00033876"/>
    <w:rPr>
      <w:vertAlign w:val="superscript"/>
    </w:rPr>
  </w:style>
  <w:style w:type="numbering" w:styleId="111111">
    <w:name w:val="Outline List 2"/>
    <w:basedOn w:val="NoList"/>
    <w:semiHidden/>
    <w:rsid w:val="001C185A"/>
    <w:pPr>
      <w:numPr>
        <w:numId w:val="23"/>
      </w:numPr>
    </w:pPr>
  </w:style>
  <w:style w:type="numbering" w:styleId="1ai">
    <w:name w:val="Outline List 1"/>
    <w:basedOn w:val="NoList"/>
    <w:semiHidden/>
    <w:rsid w:val="001C185A"/>
    <w:pPr>
      <w:numPr>
        <w:numId w:val="24"/>
      </w:numPr>
    </w:pPr>
  </w:style>
  <w:style w:type="numbering" w:styleId="ArticleSection">
    <w:name w:val="Outline List 3"/>
    <w:basedOn w:val="NoList"/>
    <w:semiHidden/>
    <w:rsid w:val="001C185A"/>
    <w:pPr>
      <w:numPr>
        <w:numId w:val="25"/>
      </w:numPr>
    </w:pPr>
  </w:style>
  <w:style w:type="paragraph" w:styleId="BlockText">
    <w:name w:val="Block Text"/>
    <w:basedOn w:val="Normal"/>
    <w:semiHidden/>
    <w:rsid w:val="001C185A"/>
    <w:pPr>
      <w:spacing w:after="120"/>
      <w:ind w:left="1440" w:right="1440"/>
    </w:pPr>
  </w:style>
  <w:style w:type="paragraph" w:styleId="BodyText2">
    <w:name w:val="Body Text 2"/>
    <w:basedOn w:val="Normal"/>
    <w:semiHidden/>
    <w:rsid w:val="001C185A"/>
    <w:pPr>
      <w:spacing w:after="120" w:line="480" w:lineRule="auto"/>
    </w:pPr>
  </w:style>
  <w:style w:type="paragraph" w:styleId="BodyText3">
    <w:name w:val="Body Text 3"/>
    <w:basedOn w:val="Normal"/>
    <w:semiHidden/>
    <w:rsid w:val="001C185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1C185A"/>
    <w:pPr>
      <w:spacing w:after="120"/>
      <w:ind w:firstLine="210"/>
    </w:pPr>
  </w:style>
  <w:style w:type="paragraph" w:styleId="BodyTextIndent">
    <w:name w:val="Body Text Indent"/>
    <w:basedOn w:val="Normal"/>
    <w:semiHidden/>
    <w:rsid w:val="001C185A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1C185A"/>
    <w:pPr>
      <w:ind w:firstLine="210"/>
    </w:pPr>
  </w:style>
  <w:style w:type="paragraph" w:styleId="BodyTextIndent2">
    <w:name w:val="Body Text Indent 2"/>
    <w:basedOn w:val="Normal"/>
    <w:semiHidden/>
    <w:rsid w:val="001C185A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1C185A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1C185A"/>
    <w:pPr>
      <w:ind w:left="4320"/>
    </w:pPr>
  </w:style>
  <w:style w:type="paragraph" w:styleId="Date">
    <w:name w:val="Date"/>
    <w:basedOn w:val="Normal"/>
    <w:next w:val="Normal"/>
    <w:semiHidden/>
    <w:rsid w:val="001C185A"/>
  </w:style>
  <w:style w:type="paragraph" w:styleId="E-mailSignature">
    <w:name w:val="E-mail Signature"/>
    <w:basedOn w:val="Normal"/>
    <w:semiHidden/>
    <w:rsid w:val="001C185A"/>
  </w:style>
  <w:style w:type="character" w:styleId="Emphasis">
    <w:name w:val="Emphasis"/>
    <w:basedOn w:val="DefaultParagraphFont"/>
    <w:qFormat/>
    <w:rsid w:val="001C185A"/>
    <w:rPr>
      <w:i/>
      <w:iCs/>
    </w:rPr>
  </w:style>
  <w:style w:type="paragraph" w:styleId="EnvelopeAddress">
    <w:name w:val="envelope address"/>
    <w:basedOn w:val="Normal"/>
    <w:semiHidden/>
    <w:rsid w:val="001C185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1C185A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1C185A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C185A"/>
  </w:style>
  <w:style w:type="paragraph" w:styleId="HTMLAddress">
    <w:name w:val="HTML Address"/>
    <w:basedOn w:val="Normal"/>
    <w:semiHidden/>
    <w:rsid w:val="001C185A"/>
    <w:rPr>
      <w:i/>
      <w:iCs/>
    </w:rPr>
  </w:style>
  <w:style w:type="character" w:styleId="HTMLCite">
    <w:name w:val="HTML Cite"/>
    <w:basedOn w:val="DefaultParagraphFont"/>
    <w:semiHidden/>
    <w:rsid w:val="001C185A"/>
    <w:rPr>
      <w:i/>
      <w:iCs/>
    </w:rPr>
  </w:style>
  <w:style w:type="character" w:styleId="HTMLCode">
    <w:name w:val="HTML Code"/>
    <w:basedOn w:val="DefaultParagraphFont"/>
    <w:semiHidden/>
    <w:rsid w:val="001C185A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1C185A"/>
    <w:rPr>
      <w:i/>
      <w:iCs/>
    </w:rPr>
  </w:style>
  <w:style w:type="character" w:styleId="HTMLKeyboard">
    <w:name w:val="HTML Keyboard"/>
    <w:basedOn w:val="DefaultParagraphFont"/>
    <w:semiHidden/>
    <w:rsid w:val="001C185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C185A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1C185A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1C185A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1C185A"/>
    <w:rPr>
      <w:i/>
      <w:iCs/>
    </w:rPr>
  </w:style>
  <w:style w:type="character" w:styleId="Hyperlink">
    <w:name w:val="Hyperlink"/>
    <w:basedOn w:val="DefaultParagraphFont"/>
    <w:semiHidden/>
    <w:rsid w:val="001C185A"/>
    <w:rPr>
      <w:color w:val="0000FF"/>
      <w:u w:val="single"/>
    </w:rPr>
  </w:style>
  <w:style w:type="character" w:styleId="LineNumber">
    <w:name w:val="line number"/>
    <w:basedOn w:val="DefaultParagraphFont"/>
    <w:semiHidden/>
    <w:rsid w:val="001C185A"/>
  </w:style>
  <w:style w:type="paragraph" w:styleId="List">
    <w:name w:val="List"/>
    <w:basedOn w:val="Normal"/>
    <w:semiHidden/>
    <w:rsid w:val="001C185A"/>
    <w:pPr>
      <w:ind w:left="360" w:hanging="360"/>
    </w:pPr>
  </w:style>
  <w:style w:type="paragraph" w:styleId="List2">
    <w:name w:val="List 2"/>
    <w:basedOn w:val="Normal"/>
    <w:semiHidden/>
    <w:rsid w:val="001C185A"/>
    <w:pPr>
      <w:ind w:left="720" w:hanging="360"/>
    </w:pPr>
  </w:style>
  <w:style w:type="paragraph" w:styleId="List3">
    <w:name w:val="List 3"/>
    <w:basedOn w:val="Normal"/>
    <w:semiHidden/>
    <w:rsid w:val="001C185A"/>
    <w:pPr>
      <w:ind w:left="1080" w:hanging="360"/>
    </w:pPr>
  </w:style>
  <w:style w:type="paragraph" w:styleId="List4">
    <w:name w:val="List 4"/>
    <w:basedOn w:val="Normal"/>
    <w:semiHidden/>
    <w:rsid w:val="001C185A"/>
    <w:pPr>
      <w:ind w:left="1440" w:hanging="360"/>
    </w:pPr>
  </w:style>
  <w:style w:type="paragraph" w:styleId="List5">
    <w:name w:val="List 5"/>
    <w:basedOn w:val="Normal"/>
    <w:semiHidden/>
    <w:rsid w:val="001C185A"/>
    <w:pPr>
      <w:ind w:left="1800" w:hanging="360"/>
    </w:pPr>
  </w:style>
  <w:style w:type="paragraph" w:styleId="ListBullet4">
    <w:name w:val="List Bullet 4"/>
    <w:basedOn w:val="Normal"/>
    <w:semiHidden/>
    <w:rsid w:val="001C185A"/>
    <w:pPr>
      <w:numPr>
        <w:numId w:val="4"/>
      </w:numPr>
    </w:pPr>
  </w:style>
  <w:style w:type="paragraph" w:styleId="ListBullet5">
    <w:name w:val="List Bullet 5"/>
    <w:basedOn w:val="Normal"/>
    <w:semiHidden/>
    <w:rsid w:val="001C185A"/>
    <w:pPr>
      <w:numPr>
        <w:numId w:val="5"/>
      </w:numPr>
    </w:pPr>
  </w:style>
  <w:style w:type="paragraph" w:styleId="ListContinue">
    <w:name w:val="List Continue"/>
    <w:basedOn w:val="Normal"/>
    <w:semiHidden/>
    <w:rsid w:val="001C185A"/>
    <w:pPr>
      <w:spacing w:after="120"/>
      <w:ind w:left="360"/>
    </w:pPr>
  </w:style>
  <w:style w:type="paragraph" w:styleId="ListContinue2">
    <w:name w:val="List Continue 2"/>
    <w:basedOn w:val="Normal"/>
    <w:semiHidden/>
    <w:rsid w:val="001C185A"/>
    <w:pPr>
      <w:spacing w:after="120"/>
      <w:ind w:left="720"/>
    </w:pPr>
  </w:style>
  <w:style w:type="paragraph" w:styleId="ListContinue3">
    <w:name w:val="List Continue 3"/>
    <w:basedOn w:val="Normal"/>
    <w:semiHidden/>
    <w:rsid w:val="001C185A"/>
    <w:pPr>
      <w:spacing w:after="120"/>
      <w:ind w:left="1080"/>
    </w:pPr>
  </w:style>
  <w:style w:type="paragraph" w:styleId="ListContinue4">
    <w:name w:val="List Continue 4"/>
    <w:basedOn w:val="Normal"/>
    <w:semiHidden/>
    <w:rsid w:val="001C185A"/>
    <w:pPr>
      <w:spacing w:after="120"/>
      <w:ind w:left="1440"/>
    </w:pPr>
  </w:style>
  <w:style w:type="paragraph" w:styleId="ListContinue5">
    <w:name w:val="List Continue 5"/>
    <w:basedOn w:val="Normal"/>
    <w:semiHidden/>
    <w:rsid w:val="001C185A"/>
    <w:pPr>
      <w:spacing w:after="120"/>
      <w:ind w:left="1800"/>
    </w:pPr>
  </w:style>
  <w:style w:type="paragraph" w:styleId="ListNumber4">
    <w:name w:val="List Number 4"/>
    <w:basedOn w:val="Normal"/>
    <w:semiHidden/>
    <w:rsid w:val="001C185A"/>
    <w:pPr>
      <w:numPr>
        <w:numId w:val="9"/>
      </w:numPr>
    </w:pPr>
  </w:style>
  <w:style w:type="paragraph" w:styleId="ListNumber5">
    <w:name w:val="List Number 5"/>
    <w:basedOn w:val="Normal"/>
    <w:semiHidden/>
    <w:rsid w:val="001C185A"/>
    <w:pPr>
      <w:numPr>
        <w:numId w:val="10"/>
      </w:numPr>
    </w:pPr>
  </w:style>
  <w:style w:type="paragraph" w:styleId="MessageHeader">
    <w:name w:val="Message Header"/>
    <w:basedOn w:val="Normal"/>
    <w:semiHidden/>
    <w:rsid w:val="001C18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C185A"/>
  </w:style>
  <w:style w:type="paragraph" w:styleId="NormalIndent">
    <w:name w:val="Normal Indent"/>
    <w:basedOn w:val="Normal"/>
    <w:semiHidden/>
    <w:rsid w:val="001C185A"/>
    <w:pPr>
      <w:ind w:left="720"/>
    </w:pPr>
  </w:style>
  <w:style w:type="paragraph" w:styleId="NoteHeading">
    <w:name w:val="Note Heading"/>
    <w:basedOn w:val="Normal"/>
    <w:next w:val="Normal"/>
    <w:semiHidden/>
    <w:rsid w:val="001C185A"/>
  </w:style>
  <w:style w:type="character" w:styleId="PageNumber">
    <w:name w:val="page number"/>
    <w:basedOn w:val="DefaultParagraphFont"/>
    <w:semiHidden/>
    <w:rsid w:val="001C185A"/>
  </w:style>
  <w:style w:type="paragraph" w:styleId="PlainText">
    <w:name w:val="Plain Text"/>
    <w:basedOn w:val="Normal"/>
    <w:semiHidden/>
    <w:rsid w:val="001C185A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1C185A"/>
  </w:style>
  <w:style w:type="paragraph" w:styleId="Signature">
    <w:name w:val="Signature"/>
    <w:basedOn w:val="Normal"/>
    <w:semiHidden/>
    <w:rsid w:val="001C185A"/>
    <w:pPr>
      <w:ind w:left="4320"/>
    </w:pPr>
  </w:style>
  <w:style w:type="character" w:styleId="Strong">
    <w:name w:val="Strong"/>
    <w:basedOn w:val="DefaultParagraphFont"/>
    <w:qFormat/>
    <w:rsid w:val="001C185A"/>
    <w:rPr>
      <w:b/>
      <w:bCs/>
    </w:rPr>
  </w:style>
  <w:style w:type="table" w:styleId="Table3Deffects1">
    <w:name w:val="Table 3D effects 1"/>
    <w:basedOn w:val="TableNormal"/>
    <w:semiHidden/>
    <w:rsid w:val="001C18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C18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C18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C18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C18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C18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C18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C18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C18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C18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C18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C18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C18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C18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C18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C18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C18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1C1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C18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C18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C18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C18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C18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C18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C18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C18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C18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C18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C18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C18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C18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C18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C18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C18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C18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C18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C18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C18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C18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C18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C1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C18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C18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C18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qFormat/>
    <w:rsid w:val="00316007"/>
    <w:rPr>
      <w:b/>
      <w:bCs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B569C3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B569C3"/>
    <w:rPr>
      <w:rFonts w:cs="Arial"/>
      <w:b/>
      <w:bCs/>
    </w:rPr>
  </w:style>
  <w:style w:type="paragraph" w:styleId="CommentText">
    <w:name w:val="annotation text"/>
    <w:basedOn w:val="Normal"/>
    <w:semiHidden/>
    <w:rsid w:val="0031600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16007"/>
    <w:rPr>
      <w:b/>
      <w:bCs/>
    </w:rPr>
  </w:style>
  <w:style w:type="paragraph" w:styleId="DocumentMap">
    <w:name w:val="Document Map"/>
    <w:basedOn w:val="Normal"/>
    <w:semiHidden/>
    <w:rsid w:val="0031600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semiHidden/>
    <w:rsid w:val="00316007"/>
    <w:rPr>
      <w:sz w:val="20"/>
      <w:szCs w:val="20"/>
    </w:rPr>
  </w:style>
  <w:style w:type="paragraph" w:styleId="Index2">
    <w:name w:val="index 2"/>
    <w:basedOn w:val="Normal"/>
    <w:next w:val="Normal"/>
    <w:autoRedefine/>
    <w:semiHidden/>
    <w:rsid w:val="00316007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316007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316007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316007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316007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316007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316007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316007"/>
    <w:pPr>
      <w:ind w:left="2160" w:hanging="240"/>
    </w:pPr>
  </w:style>
  <w:style w:type="paragraph" w:styleId="MacroText">
    <w:name w:val="macro"/>
    <w:semiHidden/>
    <w:rsid w:val="003160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316007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316007"/>
  </w:style>
  <w:style w:type="character" w:customStyle="1" w:styleId="FooterChar">
    <w:name w:val="Footer Char"/>
    <w:basedOn w:val="DefaultParagraphFont"/>
    <w:link w:val="Footer"/>
    <w:uiPriority w:val="99"/>
    <w:rsid w:val="002679E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er">
    <w:name w:val="1ai"/>
    <w:pPr>
      <w:numPr>
        <w:numId w:val="24"/>
      </w:numPr>
    </w:pPr>
  </w:style>
  <w:style w:type="numbering" w:customStyle="1" w:styleId="Footer">
    <w:name w:val="111111"/>
    <w:pPr>
      <w:numPr>
        <w:numId w:val="23"/>
      </w:numPr>
    </w:pPr>
  </w:style>
  <w:style w:type="numbering" w:customStyle="1" w:styleId="BodyText">
    <w:name w:val="ArticleSection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3" ma:contentTypeDescription="Create a new document." ma:contentTypeScope="" ma:versionID="530812a852b081e6e8652a21bd924c5f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69a76b3247117dbc834e83ec11d10755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Category xmlns="e6217fe4-3f74-4bdc-8158-13b29f716531">Design</Category>
    <Status xmlns="e6217fe4-3f74-4bdc-8158-13b29f716531">Accepted</Status>
    <Sub_x002d_Category xmlns="e6217fe4-3f74-4bdc-8158-13b29f716531">DESIGN - Sprint 1.0</Sub_x002d_Categor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F835B-18EE-4246-A0EA-19355ACC9E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58A7B01-179C-4394-954A-24A3421659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6B5C2A-2405-4AF5-A542-F43E36957B5B}">
  <ds:schemaRefs>
    <ds:schemaRef ds:uri="http://schemas.microsoft.com/office/2006/metadata/properties"/>
    <ds:schemaRef ds:uri="e6217fe4-3f74-4bdc-8158-13b29f716531"/>
  </ds:schemaRefs>
</ds:datastoreItem>
</file>

<file path=customXml/itemProps4.xml><?xml version="1.0" encoding="utf-8"?>
<ds:datastoreItem xmlns:ds="http://schemas.openxmlformats.org/officeDocument/2006/customXml" ds:itemID="{130CBAC4-FDFB-48AB-9786-2F3E90A14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2336</Words>
  <Characters>13321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SPECIAL 402(f) TAX NOTICE REGARDING PLAN PAYMENTS</vt:lpstr>
    </vt:vector>
  </TitlesOfParts>
  <Company/>
  <LinksUpToDate>false</LinksUpToDate>
  <CharactersWithSpaces>15626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402(f) TAX NOTICE REGARDING PLAN PAYMENTS</dc:title>
  <dc:subject>Tax Notice 402(f)</dc:subject>
  <dc:creator>Wil Ubillus</dc:creator>
  <cp:keywords>SPECIAL 402(f) TAX NOTICE REGARDING PLAN PAYMENTS</cp:keywords>
  <dc:description>no change                                                      09-14-10 edits approved by Arlene W.</dc:description>
  <cp:lastModifiedBy>Mamata Rout</cp:lastModifiedBy>
  <cp:revision>8</cp:revision>
  <cp:lastPrinted>2011-11-14T16:36:00Z</cp:lastPrinted>
  <dcterms:created xsi:type="dcterms:W3CDTF">2013-04-16T21:58:00Z</dcterms:created>
  <dcterms:modified xsi:type="dcterms:W3CDTF">2017-03-16T20:48:00Z</dcterms:modified>
  <cp:category>Tax</cp:category>
  <cp:contentStatus>Current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">
    <vt:lpwstr>2368268</vt:lpwstr>
  </property>
  <property fmtid="{D5CDD505-2E9C-101B-9397-08002B2CF9AE}" pid="3" name="FileNumber">
    <vt:lpwstr>38975-00009</vt:lpwstr>
  </property>
  <property fmtid="{D5CDD505-2E9C-101B-9397-08002B2CF9AE}" pid="4" name="DocVersion">
    <vt:lpwstr>1</vt:lpwstr>
  </property>
  <property fmtid="{D5CDD505-2E9C-101B-9397-08002B2CF9AE}" pid="5" name="ContentTypeId">
    <vt:lpwstr>0x0101000E2968BDF8EC75469A12C29C61638E10</vt:lpwstr>
  </property>
  <property fmtid="{D5CDD505-2E9C-101B-9397-08002B2CF9AE}" pid="6" name="Order">
    <vt:r8>84200</vt:r8>
  </property>
</Properties>
</file>