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08" w:rsidRPr="00B536F2" w:rsidRDefault="00592326" w:rsidP="00FD5008">
      <w:pPr>
        <w:tabs>
          <w:tab w:val="left" w:pos="90"/>
        </w:tabs>
        <w:autoSpaceDE w:val="0"/>
        <w:autoSpaceDN w:val="0"/>
        <w:adjustRightInd w:val="0"/>
        <w:spacing w:after="0" w:line="240" w:lineRule="auto"/>
        <w:jc w:val="both"/>
        <w:rPr>
          <w:rFonts w:ascii="Times New Roman" w:hAnsi="Times New Roman"/>
        </w:rPr>
      </w:pPr>
      <w:bookmarkStart w:id="0" w:name="sagitec123"/>
      <w:bookmarkStart w:id="1" w:name="_GoBack"/>
      <w:bookmarkEnd w:id="1"/>
      <w:r w:rsidRPr="00B536F2">
        <w:rPr>
          <w:rFonts w:ascii="Times New Roman" w:hAnsi="Times New Roman"/>
        </w:rPr>
        <w:t>{CurrentDate}</w:t>
      </w:r>
      <w:bookmarkEnd w:id="0"/>
    </w:p>
    <w:p w:rsidR="00FD5008" w:rsidRPr="00B536F2" w:rsidRDefault="00FD5008" w:rsidP="00FD5008">
      <w:pPr>
        <w:tabs>
          <w:tab w:val="left" w:pos="90"/>
        </w:tabs>
        <w:autoSpaceDE w:val="0"/>
        <w:autoSpaceDN w:val="0"/>
        <w:adjustRightInd w:val="0"/>
        <w:spacing w:after="0" w:line="240" w:lineRule="auto"/>
        <w:jc w:val="both"/>
        <w:rPr>
          <w:rFonts w:ascii="Times New Roman" w:hAnsi="Times New Roman"/>
        </w:rPr>
      </w:pPr>
    </w:p>
    <w:p w:rsidR="00FD5008" w:rsidRPr="00B536F2" w:rsidRDefault="00FD5008" w:rsidP="00FD5008">
      <w:pPr>
        <w:spacing w:after="0"/>
        <w:jc w:val="both"/>
        <w:rPr>
          <w:rFonts w:ascii="Microsoft Sans Serif" w:hAnsi="Microsoft Sans Serif" w:cs="Microsoft Sans Serif"/>
        </w:rPr>
      </w:pPr>
      <w:bookmarkStart w:id="2" w:name="sagitec119"/>
      <w:r w:rsidRPr="00B536F2">
        <w:rPr>
          <w:rFonts w:ascii="Microsoft Sans Serif" w:hAnsi="Microsoft Sans Serif" w:cs="Microsoft Sans Serif"/>
        </w:rPr>
        <w:t>{stdMbrFullName}</w:t>
      </w:r>
      <w:bookmarkEnd w:id="2"/>
    </w:p>
    <w:p w:rsidR="00FD5008" w:rsidRPr="00B536F2" w:rsidRDefault="00FD5008" w:rsidP="00FD5008">
      <w:pPr>
        <w:spacing w:after="0"/>
        <w:jc w:val="both"/>
        <w:rPr>
          <w:rFonts w:ascii="Microsoft Sans Serif" w:hAnsi="Microsoft Sans Serif" w:cs="Microsoft Sans Serif"/>
        </w:rPr>
      </w:pPr>
      <w:bookmarkStart w:id="3" w:name="sagitec25"/>
      <w:r w:rsidRPr="00B536F2">
        <w:rPr>
          <w:rFonts w:ascii="Microsoft Sans Serif" w:hAnsi="Microsoft Sans Serif" w:cs="Microsoft Sans Serif"/>
        </w:rPr>
        <w:t>{x stdMbrAdrCorStreet1}</w:t>
      </w:r>
      <w:bookmarkEnd w:id="3"/>
    </w:p>
    <w:p w:rsidR="00FD5008" w:rsidRPr="00B536F2" w:rsidRDefault="00FD5008" w:rsidP="00FD5008">
      <w:pPr>
        <w:spacing w:after="0"/>
        <w:jc w:val="both"/>
        <w:rPr>
          <w:rFonts w:ascii="Microsoft Sans Serif" w:hAnsi="Microsoft Sans Serif" w:cs="Microsoft Sans Serif"/>
        </w:rPr>
      </w:pPr>
      <w:bookmarkStart w:id="4" w:name="sagitec26"/>
      <w:r w:rsidRPr="00B536F2">
        <w:rPr>
          <w:rFonts w:ascii="Microsoft Sans Serif" w:hAnsi="Microsoft Sans Serif" w:cs="Microsoft Sans Serif"/>
        </w:rPr>
        <w:t>{x stdMbrAdrCorStreet2}</w:t>
      </w:r>
      <w:bookmarkEnd w:id="4"/>
    </w:p>
    <w:p w:rsidR="00FD5008" w:rsidRPr="00B536F2" w:rsidRDefault="00FD5008" w:rsidP="00FD5008">
      <w:pPr>
        <w:spacing w:after="0"/>
        <w:jc w:val="both"/>
        <w:rPr>
          <w:rFonts w:ascii="Microsoft Sans Serif" w:hAnsi="Microsoft Sans Serif" w:cs="Microsoft Sans Serif"/>
          <w:spacing w:val="-3"/>
        </w:rPr>
      </w:pPr>
      <w:bookmarkStart w:id="5" w:name="s2"/>
      <w:r w:rsidRPr="00B536F2">
        <w:rPr>
          <w:rFonts w:ascii="Microsoft Sans Serif" w:hAnsi="Microsoft Sans Serif" w:cs="Microsoft Sans Serif"/>
          <w:spacing w:val="-3"/>
        </w:rPr>
        <w:t>{x stdDomesticStateInternationalCountry}</w:t>
      </w:r>
      <w:bookmarkEnd w:id="5"/>
      <w:r w:rsidR="00710C0D">
        <w:rPr>
          <w:rFonts w:ascii="Microsoft Sans Serif" w:hAnsi="Microsoft Sans Serif" w:cs="Microsoft Sans Serif"/>
          <w:spacing w:val="-3"/>
        </w:rPr>
        <w:t xml:space="preserve">       </w:t>
      </w:r>
      <w:r w:rsidR="00710C0D" w:rsidRPr="00710C0D">
        <w:rPr>
          <w:rFonts w:ascii="Microsoft Sans Serif" w:hAnsi="Microsoft Sans Serif" w:cs="Microsoft Sans Serif"/>
          <w:color w:val="FFFFFF" w:themeColor="background1"/>
          <w:spacing w:val="-3"/>
        </w:rPr>
        <w:t xml:space="preserve">   </w:t>
      </w:r>
      <w:bookmarkStart w:id="6" w:name="s4"/>
      <w:r w:rsidRPr="00710C0D">
        <w:rPr>
          <w:rFonts w:ascii="Microsoft Sans Serif" w:hAnsi="Microsoft Sans Serif" w:cs="Microsoft Sans Serif"/>
          <w:color w:val="FFFFFF" w:themeColor="background1"/>
          <w:spacing w:val="-3"/>
        </w:rPr>
        <w:t>{x stdDomesticStateInternationalCountry}</w:t>
      </w:r>
      <w:bookmarkEnd w:id="6"/>
    </w:p>
    <w:p w:rsidR="00FD5008" w:rsidRPr="00B536F2" w:rsidRDefault="00FD5008" w:rsidP="00FD5008">
      <w:pPr>
        <w:spacing w:after="0"/>
        <w:jc w:val="both"/>
        <w:rPr>
          <w:rFonts w:ascii="Microsoft Sans Serif" w:hAnsi="Microsoft Sans Serif" w:cs="Microsoft Sans Serif"/>
          <w:spacing w:val="-3"/>
        </w:rPr>
      </w:pPr>
      <w:bookmarkStart w:id="7" w:name="s5"/>
      <w:r w:rsidRPr="00B536F2">
        <w:rPr>
          <w:rFonts w:ascii="Microsoft Sans Serif" w:hAnsi="Microsoft Sans Serif" w:cs="Microsoft Sans Serif"/>
          <w:spacing w:val="-3"/>
        </w:rPr>
        <w:t>{x stdMbrAdrCountryDesc}</w:t>
      </w:r>
      <w:bookmarkEnd w:id="7"/>
    </w:p>
    <w:p w:rsidR="009B7AC1" w:rsidRDefault="009B7AC1" w:rsidP="0062621E">
      <w:pPr>
        <w:tabs>
          <w:tab w:val="left" w:pos="90"/>
        </w:tabs>
        <w:autoSpaceDE w:val="0"/>
        <w:autoSpaceDN w:val="0"/>
        <w:adjustRightInd w:val="0"/>
        <w:spacing w:after="0" w:line="240" w:lineRule="auto"/>
        <w:jc w:val="both"/>
        <w:rPr>
          <w:rFonts w:ascii="Microsoft Sans Serif" w:hAnsi="Microsoft Sans Serif" w:cs="Microsoft Sans Serif"/>
        </w:rPr>
      </w:pPr>
    </w:p>
    <w:p w:rsidR="005971B7" w:rsidRPr="00B536F2" w:rsidRDefault="005971B7" w:rsidP="0062621E">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rsidR="009B7AC1" w:rsidRPr="00B536F2" w:rsidRDefault="009B7AC1" w:rsidP="0062621E">
      <w:pPr>
        <w:widowControl w:val="0"/>
        <w:tabs>
          <w:tab w:val="left" w:pos="90"/>
        </w:tabs>
        <w:autoSpaceDE w:val="0"/>
        <w:autoSpaceDN w:val="0"/>
        <w:adjustRightInd w:val="0"/>
        <w:spacing w:after="0" w:line="240" w:lineRule="auto"/>
        <w:jc w:val="both"/>
        <w:rPr>
          <w:rFonts w:ascii="Times New Roman" w:hAnsi="Times New Roman"/>
          <w:b/>
          <w:bCs/>
          <w:u w:val="single"/>
        </w:rPr>
      </w:pPr>
    </w:p>
    <w:p w:rsidR="009B7AC1" w:rsidRPr="00B536F2" w:rsidRDefault="009B7AC1" w:rsidP="0062621E">
      <w:pPr>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Dear </w:t>
      </w:r>
      <w:bookmarkStart w:id="8" w:name="sagitec120"/>
      <w:r w:rsidR="00FD5008" w:rsidRPr="00B536F2">
        <w:rPr>
          <w:rFonts w:ascii="Times New Roman" w:hAnsi="Times New Roman"/>
        </w:rPr>
        <w:t>{stdTitle}</w:t>
      </w:r>
      <w:bookmarkEnd w:id="8"/>
      <w:r w:rsidR="00FD5008" w:rsidRPr="00B536F2">
        <w:rPr>
          <w:rFonts w:ascii="Times New Roman" w:hAnsi="Times New Roman"/>
        </w:rPr>
        <w:t xml:space="preserve"> </w:t>
      </w:r>
      <w:bookmarkStart w:id="9" w:name="sagitec121"/>
      <w:r w:rsidR="00FD5008" w:rsidRPr="00B536F2">
        <w:rPr>
          <w:rFonts w:ascii="Times New Roman" w:hAnsi="Times New Roman"/>
        </w:rPr>
        <w:t>{stdMbrLastName}</w:t>
      </w:r>
      <w:bookmarkEnd w:id="9"/>
      <w:r w:rsidR="00FD5008" w:rsidRPr="00B536F2">
        <w:rPr>
          <w:rFonts w:ascii="Times New Roman" w:hAnsi="Times New Roman"/>
        </w:rPr>
        <w:t>:</w:t>
      </w:r>
    </w:p>
    <w:p w:rsidR="009B7AC1" w:rsidRPr="00B536F2" w:rsidRDefault="009B7AC1" w:rsidP="0062621E">
      <w:pPr>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Account Plan (“IAP”) (collectively “the Plans”), you must choose a benefit option by completing the enclosed Retirement Benefit Election Form and W-4P tax form for Pension Plan payments.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election, or cancel or postpone your retirement after your Retirement Date, so you need to consider your retirement options very carefully before making your election. </w:t>
      </w:r>
      <w:r w:rsidR="00FD08B3">
        <w:rPr>
          <w:rFonts w:ascii="Times New Roman" w:hAnsi="Times New Roman"/>
          <w:b/>
          <w:bCs/>
        </w:rPr>
        <w:t>In order to comply and to prevent automatic cancellation of your retirement request, the Plan Office must receive the completed signed Retirement Benefit Election form before your Retirement Date.</w:t>
      </w:r>
    </w:p>
    <w:p w:rsidR="007A137D" w:rsidRPr="00B536F2" w:rsidRDefault="007A137D" w:rsidP="009847CF">
      <w:pPr>
        <w:widowControl w:val="0"/>
        <w:tabs>
          <w:tab w:val="left" w:pos="90"/>
        </w:tabs>
        <w:autoSpaceDE w:val="0"/>
        <w:autoSpaceDN w:val="0"/>
        <w:adjustRightInd w:val="0"/>
        <w:spacing w:after="0" w:line="240" w:lineRule="auto"/>
        <w:jc w:val="both"/>
        <w:rPr>
          <w:rFonts w:ascii="Times New Roman" w:hAnsi="Times New Roman"/>
          <w:b/>
          <w:b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rsidR="009847CF" w:rsidRPr="00B536F2" w:rsidRDefault="009847CF" w:rsidP="000442AA">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w:t>
      </w:r>
      <w:r w:rsidR="004E364B" w:rsidRPr="00B536F2">
        <w:rPr>
          <w:rFonts w:ascii="Times New Roman" w:hAnsi="Times New Roman"/>
        </w:rPr>
        <w:t>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rsidR="009847CF" w:rsidRPr="00B536F2" w:rsidRDefault="009847CF" w:rsidP="000442AA">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0442AA">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rsidR="009847CF" w:rsidRPr="00B536F2" w:rsidRDefault="009847CF" w:rsidP="000442AA">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4E364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Verification of your spouse’s or beneficiary’s Tax ID:  You must submit proof of each beneficiary’s Social Security Number (SSN) or Tax ID Number (TIN). You may provide a clear photocopy of their Social Security card or Medicare card.</w:t>
      </w:r>
    </w:p>
    <w:p w:rsidR="009847CF" w:rsidRPr="00B536F2" w:rsidRDefault="009847CF" w:rsidP="000442AA">
      <w:pPr>
        <w:widowControl w:val="0"/>
        <w:tabs>
          <w:tab w:val="left" w:pos="90"/>
        </w:tabs>
        <w:autoSpaceDE w:val="0"/>
        <w:autoSpaceDN w:val="0"/>
        <w:adjustRightInd w:val="0"/>
        <w:spacing w:after="0" w:line="240" w:lineRule="auto"/>
        <w:jc w:val="both"/>
        <w:rPr>
          <w:rFonts w:ascii="Times New Roman" w:hAnsi="Times New Roman"/>
        </w:rPr>
      </w:pPr>
    </w:p>
    <w:p w:rsidR="0075436D" w:rsidRPr="00B536F2" w:rsidRDefault="0075436D" w:rsidP="0075436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rsidR="005D7C78" w:rsidRPr="00B536F2" w:rsidRDefault="005D7C78"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4E364B" w:rsidRPr="00B536F2" w:rsidRDefault="00FF7FEB"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rsidR="00FD08B3" w:rsidRDefault="00FD08B3" w:rsidP="009847CF">
      <w:pPr>
        <w:widowControl w:val="0"/>
        <w:tabs>
          <w:tab w:val="left" w:pos="90"/>
        </w:tabs>
        <w:autoSpaceDE w:val="0"/>
        <w:autoSpaceDN w:val="0"/>
        <w:adjustRightInd w:val="0"/>
        <w:spacing w:after="0" w:line="240" w:lineRule="auto"/>
        <w:jc w:val="both"/>
        <w:rPr>
          <w:rFonts w:ascii="Times New Roman" w:hAnsi="Times New Roman"/>
          <w:b/>
          <w:bCs/>
          <w:u w:val="single"/>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rsidR="009847CF" w:rsidRDefault="009847CF" w:rsidP="009847CF">
      <w:pPr>
        <w:widowControl w:val="0"/>
        <w:tabs>
          <w:tab w:val="right" w:pos="10020"/>
        </w:tabs>
        <w:autoSpaceDE w:val="0"/>
        <w:autoSpaceDN w:val="0"/>
        <w:adjustRightInd w:val="0"/>
        <w:spacing w:after="0" w:line="240" w:lineRule="auto"/>
        <w:jc w:val="both"/>
        <w:rPr>
          <w:rFonts w:ascii="Arial" w:hAnsi="Arial" w:cs="Arial"/>
        </w:rPr>
      </w:pPr>
    </w:p>
    <w:p w:rsidR="009847CF" w:rsidRPr="00B536F2" w:rsidRDefault="009847CF" w:rsidP="009847CF">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must complete and submit a Form W-4P to the Plans to indicate whether you want taxes withheld from your monthly pension payments. If the Plans do not receive a completed Form W-4P by the payment processing date, taxes will be withheld on your monthly payments as if you were married and claiming three withholding allowances. You may change your tax withholding elections at any time for future payments.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003B2B95" w:rsidRPr="00B536F2">
        <w:rPr>
          <w:rFonts w:ascii="Times New Roman" w:hAnsi="Times New Roman"/>
          <w:b/>
          <w:bCs/>
          <w:i/>
          <w:iCs/>
        </w:rPr>
        <w:t>Please refer to the enclosed IRS Notice - Special Tax Notice Regarding Plan Payments (pink) - for more detailed rules regarding your distribution.</w:t>
      </w:r>
    </w:p>
    <w:p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Benefit payments will begin on the first of the month in which you have retired from the Pension Plan provided you have submitted all of the required documents at least 30 days before payment is scheduled to begin.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rsidR="009847CF" w:rsidRPr="00B536F2" w:rsidRDefault="004347A9"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C44D16" w:rsidRPr="00B536F2" w:rsidRDefault="00C44D16" w:rsidP="00C44D16">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rsidR="004347A9" w:rsidRDefault="004347A9"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rsidR="003D351A"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If you retire and then return to work in the motion picture industry (the “Industry”) during the first two months (60 days) following your Retirement Date, your monthly pension payments will be suspended and your IAP payment will not be processed until two consecutive calendar months have passed in which no Industry work is performed.</w:t>
      </w:r>
    </w:p>
    <w:p w:rsidR="00CD3CD3" w:rsidRPr="00B536F2" w:rsidRDefault="00CD3CD3" w:rsidP="009847CF">
      <w:pPr>
        <w:widowControl w:val="0"/>
        <w:tabs>
          <w:tab w:val="left" w:pos="90"/>
        </w:tabs>
        <w:autoSpaceDE w:val="0"/>
        <w:autoSpaceDN w:val="0"/>
        <w:adjustRightInd w:val="0"/>
        <w:spacing w:after="0" w:line="240" w:lineRule="auto"/>
        <w:jc w:val="both"/>
        <w:rPr>
          <w:rFonts w:ascii="Times New Roman" w:hAnsi="Times New Roman"/>
        </w:rPr>
      </w:pPr>
    </w:p>
    <w:p w:rsidR="00B26603" w:rsidRPr="00B536F2" w:rsidRDefault="00B26603" w:rsidP="00B2660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After the first two months following your Retirement Date, you may choose to return to work in the Industry. However,</w:t>
      </w:r>
      <w:r w:rsidR="00FD08B3">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Suspendible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sidR="004609EF">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w:t>
      </w:r>
      <w:r w:rsidR="00FD08B3">
        <w:rPr>
          <w:rFonts w:ascii="Times New Roman" w:hAnsi="Times New Roman"/>
        </w:rPr>
        <w:t>that you have worked less than 5</w:t>
      </w:r>
      <w:r w:rsidR="004609EF">
        <w:rPr>
          <w:rFonts w:ascii="Times New Roman" w:hAnsi="Times New Roman"/>
        </w:rPr>
        <w:t>0 hours in the Industry and once the Plans has fully recovered any overpayments made to you.</w:t>
      </w:r>
    </w:p>
    <w:p w:rsidR="009F4970" w:rsidRDefault="009F4970" w:rsidP="009847CF">
      <w:pPr>
        <w:widowControl w:val="0"/>
        <w:tabs>
          <w:tab w:val="left" w:pos="90"/>
        </w:tabs>
        <w:autoSpaceDE w:val="0"/>
        <w:autoSpaceDN w:val="0"/>
        <w:adjustRightInd w:val="0"/>
        <w:spacing w:after="0" w:line="240" w:lineRule="auto"/>
        <w:jc w:val="both"/>
        <w:rPr>
          <w:rFonts w:ascii="Times New Roman" w:hAnsi="Times New Roman"/>
        </w:rPr>
      </w:pPr>
    </w:p>
    <w:p w:rsidR="008C142D" w:rsidRPr="00B536F2" w:rsidRDefault="008C142D" w:rsidP="008C142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Industry, you may be eligible to receive additional </w:t>
      </w:r>
      <w:r w:rsidRPr="00B536F2">
        <w:rPr>
          <w:rFonts w:ascii="Times New Roman" w:hAnsi="Times New Roman"/>
          <w:iCs/>
        </w:rPr>
        <w:lastRenderedPageBreak/>
        <w:t>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rsidR="003B77FC" w:rsidRPr="00B536F2" w:rsidRDefault="009847CF" w:rsidP="00790F49">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return to work in the Industry, beginning on April 1</w:t>
      </w:r>
      <w:r w:rsidR="004A24A0"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Suspendible Service.</w:t>
      </w:r>
    </w:p>
    <w:p w:rsidR="004A24A0" w:rsidRPr="00B536F2" w:rsidRDefault="004A24A0" w:rsidP="00790F49">
      <w:pPr>
        <w:widowControl w:val="0"/>
        <w:tabs>
          <w:tab w:val="left" w:pos="90"/>
        </w:tabs>
        <w:autoSpaceDE w:val="0"/>
        <w:autoSpaceDN w:val="0"/>
        <w:adjustRightInd w:val="0"/>
        <w:spacing w:after="0" w:line="240" w:lineRule="auto"/>
        <w:jc w:val="both"/>
        <w:rPr>
          <w:rFonts w:ascii="Times New Roman" w:hAnsi="Times New Roman"/>
        </w:rPr>
      </w:pPr>
    </w:p>
    <w:p w:rsidR="004609EF" w:rsidRPr="00B536F2" w:rsidRDefault="00601DCF" w:rsidP="004609EF">
      <w:pPr>
        <w:pStyle w:val="BodyText2"/>
        <w:spacing w:after="0" w:line="240" w:lineRule="auto"/>
        <w:jc w:val="both"/>
        <w:rPr>
          <w:b/>
          <w:bCs/>
          <w:i/>
          <w:iCs/>
          <w:sz w:val="22"/>
          <w:szCs w:val="22"/>
        </w:rPr>
      </w:pPr>
      <w:r w:rsidRPr="004609EF">
        <w:rPr>
          <w:b/>
          <w:bCs/>
          <w:i/>
          <w:iCs/>
          <w:sz w:val="22"/>
          <w:szCs w:val="22"/>
        </w:rPr>
        <w:t xml:space="preserve">NOTE:  If you return to work in the Industry,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Industry for two months beginning on your Retirement Date.  You will receive a Retirement Affidavit form from the Plans at the end of second month after your Retirement Date. </w:t>
      </w:r>
    </w:p>
    <w:p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8C142D" w:rsidRDefault="003D351A"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If you submit a Retirement Affidavit to the Plans, but have in fact worked at all for any Employer in the Industry, or have a Month of Su</w:t>
      </w:r>
      <w:r w:rsidR="00FD08B3">
        <w:rPr>
          <w:rFonts w:ascii="Times New Roman" w:hAnsi="Times New Roman"/>
          <w:iCs/>
        </w:rPr>
        <w:t>spendible Service (if you work 50 or more Credited Hours, or 5</w:t>
      </w:r>
      <w:r w:rsidRPr="008C142D">
        <w:rPr>
          <w:rFonts w:ascii="Times New Roman" w:hAnsi="Times New Roman"/>
          <w:iCs/>
        </w:rPr>
        <w:t>0 or more hours in the Industry, in a Payroll Month) during the first two months commencing on the selected Retirement Date, you will not be entitled to any allocation under the IAP for any Computation Year ending after the Retirement Date.</w:t>
      </w:r>
    </w:p>
    <w:p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p>
    <w:p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rsidR="002C5A1B" w:rsidRPr="00B536F2" w:rsidRDefault="002C5A1B" w:rsidP="009847CF">
      <w:pPr>
        <w:widowControl w:val="0"/>
        <w:tabs>
          <w:tab w:val="left" w:pos="90"/>
        </w:tabs>
        <w:autoSpaceDE w:val="0"/>
        <w:autoSpaceDN w:val="0"/>
        <w:adjustRightInd w:val="0"/>
        <w:spacing w:after="0" w:line="240" w:lineRule="auto"/>
        <w:jc w:val="both"/>
        <w:rPr>
          <w:rFonts w:ascii="Times New Roman" w:hAnsi="Times New Roman"/>
          <w:i/>
          <w:iCs/>
          <w:u w:val="single"/>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i/>
          <w:iCs/>
          <w:color w:val="FF0000"/>
        </w:rPr>
      </w:pPr>
    </w:p>
    <w:p w:rsidR="009847CF" w:rsidRPr="002C5A1B" w:rsidRDefault="003D351A"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The estimated IAP balance reflects the balance as of the valuation year-end, as indicated.  In addition, the investment income or loss as of the beginning of the quarter in which you retire will be applied to this balance. If the IAP experienced a loss since the last valuation was completed, to avoid an overpayment the Plans will withhold a certain percentage from your balance.</w:t>
      </w:r>
    </w:p>
    <w:p w:rsidR="00790F49" w:rsidRPr="00B536F2" w:rsidRDefault="00790F49" w:rsidP="009847CF">
      <w:pPr>
        <w:widowControl w:val="0"/>
        <w:tabs>
          <w:tab w:val="left" w:pos="90"/>
        </w:tabs>
        <w:autoSpaceDE w:val="0"/>
        <w:autoSpaceDN w:val="0"/>
        <w:adjustRightInd w:val="0"/>
        <w:spacing w:after="0" w:line="240" w:lineRule="auto"/>
        <w:jc w:val="both"/>
        <w:rPr>
          <w:rFonts w:ascii="Times New Roman" w:hAnsi="Times New Roman"/>
          <w:iCs/>
        </w:rPr>
      </w:pPr>
    </w:p>
    <w:p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color w:val="FF0000"/>
        </w:rPr>
      </w:pPr>
    </w:p>
    <w:p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In general, unless a lump sum benefit is selected, the type of benefit payment under the IAP will be defaulted to a </w:t>
      </w:r>
      <w:r w:rsidRPr="00B536F2">
        <w:rPr>
          <w:rFonts w:ascii="Times New Roman" w:hAnsi="Times New Roman"/>
          <w:iCs/>
        </w:rPr>
        <w:lastRenderedPageBreak/>
        <w:t>monthly annuity benefit.  Under these options, the annuity benefit option type will be the same as the option elected under the Pension Plan. However, if you elected a pop-up option under the Pension Plan, the corresponding non-pop-up benefit will be paid under the IAP.</w:t>
      </w:r>
    </w:p>
    <w:p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
          <w:iCs/>
        </w:rPr>
      </w:pPr>
    </w:p>
    <w:p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your IAP balance is over $5,000, you may elect to receive the balance either in a lump sum (with spousal consent, if applicable) or by purchase of an annuity contract issued by an insurance company. If it is $5,000 or less, it will be paid as a lump sum.</w:t>
      </w:r>
    </w:p>
    <w:p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p>
    <w:p w:rsidR="009847CF"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one-time payment.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 However, a certain percentage may be withheld if the IAP experienced a negative allocation in the prior quarter and/or year. The percentage will be determined by the Plans, based on the expected investment return for the prior quarter and/or year, and will be uniform for every Participant for that Plan Year. After allocations for the prior quarter and/or year are completed, you will receive the remainder of the balance, if any.</w:t>
      </w: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00B57AD2" w:rsidRPr="00B536F2">
        <w:rPr>
          <w:rFonts w:ascii="Times New Roman" w:hAnsi="Times New Roman"/>
          <w:b/>
          <w:i/>
          <w:iCs/>
        </w:rPr>
        <w:t>i.e.</w:t>
      </w:r>
      <w:r w:rsidR="00B57AD2" w:rsidRPr="00B536F2">
        <w:rPr>
          <w:rFonts w:ascii="Times New Roman" w:hAnsi="Times New Roman"/>
          <w:b/>
          <w:iCs/>
        </w:rPr>
        <w:t>, after all applicable quarterly and annual allocations have been completed).</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 IAP balance is equal to or greater than $200, it is subject to a mandatory 20% Federal tax withholding, unless you roll it over into a qualified IRA. You must complete the enclosed Lump Sum Distribution Election form to process the lump sum benefit.  If you choose or are defaulted to an annuity, the Plans will purchase the elected annuity based on your balance.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a direct rollover for your IAP balance, please let your IRA custodian know the IAP payment will not be processed until two months after your Retirement Date.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p>
    <w:p w:rsidR="009847CF" w:rsidRPr="00B536F2" w:rsidRDefault="003B2B95" w:rsidP="009847CF">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ED7EC9"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rsidR="003551C0" w:rsidRPr="00B536F2" w:rsidRDefault="009847CF" w:rsidP="003551C0">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rsidR="003551C0" w:rsidRPr="00B536F2" w:rsidRDefault="003551C0" w:rsidP="009847CF">
      <w:pPr>
        <w:widowControl w:val="0"/>
        <w:tabs>
          <w:tab w:val="left" w:pos="90"/>
        </w:tabs>
        <w:autoSpaceDE w:val="0"/>
        <w:autoSpaceDN w:val="0"/>
        <w:adjustRightInd w:val="0"/>
        <w:spacing w:after="0" w:line="240" w:lineRule="auto"/>
        <w:jc w:val="both"/>
        <w:rPr>
          <w:rFonts w:ascii="Times New Roman" w:hAnsi="Times New Roman"/>
        </w:rPr>
      </w:pPr>
    </w:p>
    <w:p w:rsidR="003551C0"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a Durable Power of Attorney is used, the Plans will require a doctor’s certification of incapacitation. These documents must be either originals or certified copies, and will be returned to you after review.</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rsidR="009847CF" w:rsidRPr="00B536F2" w:rsidRDefault="00B7760C"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time-sensitive.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Tax Withholding Election Form for monthly tax deductions</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Copies of your birth certificate and spouse’s, if applicable</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Copy(ies) of Tax ID or Social Security card(s) of your spouse and/or other beneficiaries</w:t>
      </w:r>
    </w:p>
    <w:p w:rsidR="001342F9" w:rsidRPr="00B536F2" w:rsidRDefault="00324D01">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 Direct Deposit Authorization Form, if you elect direct deposit (Recommended)</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rsidR="001342F9" w:rsidRPr="00B536F2" w:rsidRDefault="007E16E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Lump Sum Distribution Election form</w:t>
      </w:r>
    </w:p>
    <w:p w:rsidR="00A33690" w:rsidRPr="0062252C" w:rsidRDefault="00A33690" w:rsidP="00A33690">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rsidR="00A33690" w:rsidRPr="0062252C" w:rsidRDefault="00A33690" w:rsidP="00A33690">
      <w:pPr>
        <w:spacing w:after="0" w:line="240" w:lineRule="auto"/>
        <w:jc w:val="both"/>
        <w:rPr>
          <w:rFonts w:ascii="Times New Roman" w:hAnsi="Times New Roman"/>
        </w:rPr>
      </w:pPr>
    </w:p>
    <w:p w:rsidR="00A33690" w:rsidRPr="0062252C" w:rsidRDefault="00A33690" w:rsidP="00A33690">
      <w:pPr>
        <w:spacing w:after="0" w:line="240" w:lineRule="auto"/>
        <w:jc w:val="both"/>
        <w:rPr>
          <w:rFonts w:ascii="Times New Roman" w:hAnsi="Times New Roman"/>
        </w:rPr>
      </w:pPr>
      <w:r w:rsidRPr="0062252C">
        <w:rPr>
          <w:rFonts w:ascii="Times New Roman" w:hAnsi="Times New Roman"/>
        </w:rPr>
        <w:t>Sincerely,</w:t>
      </w:r>
    </w:p>
    <w:p w:rsidR="00A33690" w:rsidRPr="0062252C" w:rsidRDefault="00A33690" w:rsidP="00A33690">
      <w:pPr>
        <w:spacing w:after="0" w:line="240" w:lineRule="auto"/>
        <w:jc w:val="both"/>
        <w:rPr>
          <w:rFonts w:ascii="Times New Roman" w:hAnsi="Times New Roman"/>
        </w:rPr>
      </w:pPr>
    </w:p>
    <w:p w:rsidR="00A33690" w:rsidRPr="0062252C" w:rsidRDefault="00A33690" w:rsidP="00A33690">
      <w:pPr>
        <w:spacing w:after="0" w:line="240" w:lineRule="auto"/>
        <w:jc w:val="both"/>
        <w:rPr>
          <w:rFonts w:ascii="Times New Roman" w:hAnsi="Times New Roman"/>
        </w:rPr>
      </w:pPr>
      <w:r w:rsidRPr="0062252C">
        <w:rPr>
          <w:rFonts w:ascii="Times New Roman" w:hAnsi="Times New Roman"/>
        </w:rPr>
        <w:t>Retirement Benefits</w:t>
      </w:r>
    </w:p>
    <w:p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rsidR="00A33690" w:rsidRPr="0062252C" w:rsidRDefault="00A33690" w:rsidP="00A33690">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5E4F2C" w:rsidRPr="00FC6E68" w:rsidRDefault="005E4F2C" w:rsidP="00A33690">
      <w:pPr>
        <w:tabs>
          <w:tab w:val="left" w:pos="90"/>
        </w:tabs>
        <w:autoSpaceDE w:val="0"/>
        <w:autoSpaceDN w:val="0"/>
        <w:adjustRightInd w:val="0"/>
        <w:spacing w:after="0" w:line="240" w:lineRule="auto"/>
        <w:jc w:val="both"/>
        <w:rPr>
          <w:rFonts w:ascii="Times New Roman" w:hAnsi="Times New Roman"/>
          <w:sz w:val="23"/>
          <w:szCs w:val="23"/>
        </w:rPr>
      </w:pPr>
    </w:p>
    <w:sectPr w:rsidR="005E4F2C" w:rsidRPr="00FC6E68" w:rsidSect="003B7EB8">
      <w:headerReference w:type="default" r:id="rId9"/>
      <w:footerReference w:type="default" r:id="rId10"/>
      <w:headerReference w:type="first" r:id="rId11"/>
      <w:footerReference w:type="first" r:id="rId12"/>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F20" w:rsidRDefault="00A22F20" w:rsidP="009B7AC1">
      <w:pPr>
        <w:spacing w:after="0" w:line="240" w:lineRule="auto"/>
      </w:pPr>
      <w:r>
        <w:separator/>
      </w:r>
    </w:p>
  </w:endnote>
  <w:endnote w:type="continuationSeparator" w:id="0">
    <w:p w:rsidR="00A22F20" w:rsidRDefault="00A22F20"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3B2B95" w:rsidP="006804EF">
    <w:pPr>
      <w:pStyle w:val="Footer"/>
      <w:spacing w:before="240" w:after="120" w:line="240" w:lineRule="auto"/>
      <w:jc w:val="right"/>
    </w:pPr>
    <w:r>
      <w:rPr>
        <w:rFonts w:ascii="Times New Roman" w:hAnsi="Times New Roman"/>
        <w:color w:val="000000"/>
        <w:sz w:val="16"/>
        <w:szCs w:val="16"/>
      </w:rPr>
      <w:t xml:space="preserve">Page </w:t>
    </w:r>
    <w:r>
      <w:rPr>
        <w:rFonts w:ascii="Times New Roman" w:hAnsi="Times New Roman"/>
        <w:color w:val="000000"/>
        <w:sz w:val="16"/>
        <w:szCs w:val="16"/>
      </w:rPr>
      <w:fldChar w:fldCharType="begin"/>
    </w:r>
    <w:r>
      <w:rPr>
        <w:rFonts w:ascii="Times New Roman" w:hAnsi="Times New Roman"/>
        <w:color w:val="000000"/>
        <w:sz w:val="16"/>
        <w:szCs w:val="16"/>
      </w:rPr>
      <w:instrText xml:space="preserve"> PAGE   \* MERGEFORMAT </w:instrText>
    </w:r>
    <w:r>
      <w:rPr>
        <w:rFonts w:ascii="Times New Roman" w:hAnsi="Times New Roman"/>
        <w:color w:val="000000"/>
        <w:sz w:val="16"/>
        <w:szCs w:val="16"/>
      </w:rPr>
      <w:fldChar w:fldCharType="separate"/>
    </w:r>
    <w:r w:rsidR="00FD08B3">
      <w:rPr>
        <w:rFonts w:ascii="Times New Roman" w:hAnsi="Times New Roman"/>
        <w:noProof/>
        <w:color w:val="000000"/>
        <w:sz w:val="16"/>
        <w:szCs w:val="16"/>
      </w:rPr>
      <w:t>5</w:t>
    </w:r>
    <w:r>
      <w:rPr>
        <w:rFonts w:ascii="Times New Roman" w:hAnsi="Times New Roman"/>
        <w:color w:val="000000"/>
        <w:sz w:val="16"/>
        <w:szCs w:val="16"/>
      </w:rPr>
      <w:fldChar w:fldCharType="end"/>
    </w:r>
    <w:r>
      <w:rPr>
        <w:rFonts w:ascii="Times New Roman" w:hAnsi="Times New Roman"/>
        <w:color w:val="000000"/>
        <w:sz w:val="16"/>
        <w:szCs w:val="16"/>
      </w:rPr>
      <w:t xml:space="preserve"> of </w:t>
    </w:r>
    <w:r w:rsidR="00FD08B3">
      <w:fldChar w:fldCharType="begin"/>
    </w:r>
    <w:r w:rsidR="00FD08B3">
      <w:instrText xml:space="preserve"> NUMPAGES   \* MERGEFORMAT </w:instrText>
    </w:r>
    <w:r w:rsidR="00FD08B3">
      <w:fldChar w:fldCharType="separate"/>
    </w:r>
    <w:r w:rsidR="00FD08B3" w:rsidRPr="00FD08B3">
      <w:rPr>
        <w:rFonts w:ascii="Times New Roman" w:hAnsi="Times New Roman"/>
        <w:noProof/>
        <w:color w:val="000000"/>
        <w:sz w:val="16"/>
        <w:szCs w:val="16"/>
      </w:rPr>
      <w:t>5</w:t>
    </w:r>
    <w:r w:rsidR="00FD08B3">
      <w:rPr>
        <w:rFonts w:ascii="Times New Roman" w:hAnsi="Times New Roman"/>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3B2B95" w:rsidP="00AD421C">
    <w:pPr>
      <w:pStyle w:val="Footer"/>
      <w:spacing w:after="0" w:line="240" w:lineRule="auto"/>
      <w:jc w:val="center"/>
      <w:rPr>
        <w:rFonts w:ascii="Gill Sans MT" w:hAnsi="Gill Sans MT"/>
        <w:smallCaps/>
        <w:color w:val="777772"/>
        <w:w w:val="145"/>
        <w:sz w:val="15"/>
        <w:szCs w:val="15"/>
      </w:rPr>
    </w:pPr>
  </w:p>
  <w:p w:rsidR="003B2B95" w:rsidRPr="00D4649D" w:rsidRDefault="003B2B95" w:rsidP="00AD421C">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3B2B95" w:rsidRPr="00D4649D" w:rsidRDefault="003B2B95" w:rsidP="00AD421C">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3B2B95" w:rsidRDefault="003B2B95" w:rsidP="00AD421C">
    <w:pPr>
      <w:pStyle w:val="Footer"/>
      <w:spacing w:after="0" w:line="240" w:lineRule="auto"/>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A33690" w:rsidRDefault="00A33690" w:rsidP="00A33690">
    <w:pPr>
      <w:pStyle w:val="Footer"/>
      <w:spacing w:after="0"/>
      <w:jc w:val="right"/>
      <w:rPr>
        <w:rFonts w:ascii="Arial" w:hAnsi="Arial" w:cs="Arial"/>
        <w:sz w:val="12"/>
        <w:szCs w:val="16"/>
      </w:rPr>
    </w:pPr>
    <w:r>
      <w:rPr>
        <w:rFonts w:ascii="Arial" w:hAnsi="Arial" w:cs="Arial"/>
        <w:sz w:val="12"/>
        <w:szCs w:val="16"/>
      </w:rPr>
      <w:t>RETR-0044:2012-16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F20" w:rsidRDefault="00A22F20" w:rsidP="009B7AC1">
      <w:pPr>
        <w:spacing w:after="0" w:line="240" w:lineRule="auto"/>
      </w:pPr>
      <w:r>
        <w:separator/>
      </w:r>
    </w:p>
  </w:footnote>
  <w:footnote w:type="continuationSeparator" w:id="0">
    <w:p w:rsidR="00A22F20" w:rsidRDefault="00A22F20"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FD08B3"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59264" behindDoc="0" locked="0" layoutInCell="1" allowOverlap="1">
              <wp:simplePos x="0" y="0"/>
              <wp:positionH relativeFrom="column">
                <wp:posOffset>2108200</wp:posOffset>
              </wp:positionH>
              <wp:positionV relativeFrom="paragraph">
                <wp:posOffset>40640</wp:posOffset>
              </wp:positionV>
              <wp:extent cx="915035" cy="250190"/>
              <wp:effectExtent l="12700" t="12065" r="571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pt;margin-top:3.2pt;width:72.0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" strokecolor="white [3212]">
              <v:textbo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A22F20">
      <w:rPr>
        <w:rFonts w:ascii="Times New Roman" w:hAnsi="Times New Roman"/>
        <w:bCs/>
        <w:color w:val="000000"/>
      </w:rPr>
      <w:t>Request for Retirement Benefits</w:t>
    </w:r>
    <w:r w:rsidR="00A22F20">
      <w:rPr>
        <w:rFonts w:ascii="Times New Roman" w:hAnsi="Times New Roman"/>
        <w:bCs/>
        <w:color w:val="000000"/>
      </w:rPr>
      <w:tab/>
    </w:r>
    <w:r w:rsidR="003B2B95" w:rsidRPr="00D4649D">
      <w:rPr>
        <w:rFonts w:ascii="Times New Roman" w:hAnsi="Times New Roman"/>
      </w:rPr>
      <w:tab/>
      <w:t xml:space="preserve">                                   </w:t>
    </w:r>
  </w:p>
  <w:p w:rsidR="003B2B95" w:rsidRPr="00D4649D" w:rsidRDefault="003B2B95"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{CurrentDate}</w:t>
    </w:r>
    <w:bookmarkEnd w:id="10"/>
    <w:r w:rsidRPr="00D4649D">
      <w:rPr>
        <w:rFonts w:ascii="Times New Roman" w:hAnsi="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FD08B3">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3789680</wp:posOffset>
              </wp:positionH>
              <wp:positionV relativeFrom="paragraph">
                <wp:posOffset>274955</wp:posOffset>
              </wp:positionV>
              <wp:extent cx="915035" cy="248920"/>
              <wp:effectExtent l="8255" t="825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4pt;margin-top:21.65pt;width:72.0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" strokecolor="white [3212]">
              <v:textbo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A22F20">
      <w:rPr>
        <w:noProof/>
      </w:rPr>
      <w:drawing>
        <wp:inline distT="0" distB="0" distL="0" distR="0">
          <wp:extent cx="2781300" cy="1140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1300" cy="11405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B7"/>
    <w:rsid w:val="00022451"/>
    <w:rsid w:val="00041345"/>
    <w:rsid w:val="000442AA"/>
    <w:rsid w:val="0004743B"/>
    <w:rsid w:val="00077887"/>
    <w:rsid w:val="000845A4"/>
    <w:rsid w:val="00090F02"/>
    <w:rsid w:val="000B2D62"/>
    <w:rsid w:val="000C4724"/>
    <w:rsid w:val="000E54DA"/>
    <w:rsid w:val="000F08AD"/>
    <w:rsid w:val="00111C42"/>
    <w:rsid w:val="0011409B"/>
    <w:rsid w:val="001327A7"/>
    <w:rsid w:val="001342F9"/>
    <w:rsid w:val="00152176"/>
    <w:rsid w:val="001B37D6"/>
    <w:rsid w:val="001B4525"/>
    <w:rsid w:val="001D134C"/>
    <w:rsid w:val="001E15B3"/>
    <w:rsid w:val="001F128A"/>
    <w:rsid w:val="00205C22"/>
    <w:rsid w:val="002224F2"/>
    <w:rsid w:val="0023416B"/>
    <w:rsid w:val="00245210"/>
    <w:rsid w:val="00280708"/>
    <w:rsid w:val="002B7A12"/>
    <w:rsid w:val="002C5A1B"/>
    <w:rsid w:val="002C6A1D"/>
    <w:rsid w:val="002E1073"/>
    <w:rsid w:val="002E2CE4"/>
    <w:rsid w:val="002E5580"/>
    <w:rsid w:val="002F11FD"/>
    <w:rsid w:val="002F60C8"/>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D351A"/>
    <w:rsid w:val="004347A9"/>
    <w:rsid w:val="004609EF"/>
    <w:rsid w:val="00476D23"/>
    <w:rsid w:val="004A1088"/>
    <w:rsid w:val="004A24A0"/>
    <w:rsid w:val="004C6CDB"/>
    <w:rsid w:val="004E364B"/>
    <w:rsid w:val="004E5896"/>
    <w:rsid w:val="00522A23"/>
    <w:rsid w:val="0052339E"/>
    <w:rsid w:val="00592326"/>
    <w:rsid w:val="005971B7"/>
    <w:rsid w:val="005B316F"/>
    <w:rsid w:val="005C4E63"/>
    <w:rsid w:val="005D7C78"/>
    <w:rsid w:val="005E4F2C"/>
    <w:rsid w:val="005F0121"/>
    <w:rsid w:val="00601DCF"/>
    <w:rsid w:val="0062621E"/>
    <w:rsid w:val="006318FA"/>
    <w:rsid w:val="00660258"/>
    <w:rsid w:val="0067297A"/>
    <w:rsid w:val="006739F4"/>
    <w:rsid w:val="006804EF"/>
    <w:rsid w:val="006A4A2A"/>
    <w:rsid w:val="006C5940"/>
    <w:rsid w:val="006D2923"/>
    <w:rsid w:val="006F6BCD"/>
    <w:rsid w:val="00701300"/>
    <w:rsid w:val="00710C0D"/>
    <w:rsid w:val="0072048D"/>
    <w:rsid w:val="007340F1"/>
    <w:rsid w:val="0073632C"/>
    <w:rsid w:val="007424A6"/>
    <w:rsid w:val="00745C28"/>
    <w:rsid w:val="0075436D"/>
    <w:rsid w:val="00754618"/>
    <w:rsid w:val="00772AC0"/>
    <w:rsid w:val="007744DA"/>
    <w:rsid w:val="00790F49"/>
    <w:rsid w:val="007937D6"/>
    <w:rsid w:val="007A137D"/>
    <w:rsid w:val="007B2CD9"/>
    <w:rsid w:val="007C44F1"/>
    <w:rsid w:val="007D43F2"/>
    <w:rsid w:val="007E16E5"/>
    <w:rsid w:val="00810DCD"/>
    <w:rsid w:val="00811676"/>
    <w:rsid w:val="00816397"/>
    <w:rsid w:val="008313CB"/>
    <w:rsid w:val="00832287"/>
    <w:rsid w:val="00837CAD"/>
    <w:rsid w:val="00855EA1"/>
    <w:rsid w:val="00870E21"/>
    <w:rsid w:val="00882E12"/>
    <w:rsid w:val="008B37A5"/>
    <w:rsid w:val="008C142D"/>
    <w:rsid w:val="008F1F84"/>
    <w:rsid w:val="00903C5B"/>
    <w:rsid w:val="009457B4"/>
    <w:rsid w:val="0095050E"/>
    <w:rsid w:val="00982A3E"/>
    <w:rsid w:val="009847CF"/>
    <w:rsid w:val="00997329"/>
    <w:rsid w:val="009A2C3C"/>
    <w:rsid w:val="009A7E14"/>
    <w:rsid w:val="009B4125"/>
    <w:rsid w:val="009B7AC1"/>
    <w:rsid w:val="009D6F82"/>
    <w:rsid w:val="009E5D66"/>
    <w:rsid w:val="009F4970"/>
    <w:rsid w:val="00A22F20"/>
    <w:rsid w:val="00A33690"/>
    <w:rsid w:val="00A52B1A"/>
    <w:rsid w:val="00A70322"/>
    <w:rsid w:val="00A91348"/>
    <w:rsid w:val="00A92C24"/>
    <w:rsid w:val="00AD421C"/>
    <w:rsid w:val="00AE2655"/>
    <w:rsid w:val="00AF618E"/>
    <w:rsid w:val="00B064C5"/>
    <w:rsid w:val="00B0692C"/>
    <w:rsid w:val="00B213C4"/>
    <w:rsid w:val="00B26603"/>
    <w:rsid w:val="00B536F2"/>
    <w:rsid w:val="00B56C12"/>
    <w:rsid w:val="00B57072"/>
    <w:rsid w:val="00B57AD2"/>
    <w:rsid w:val="00B7760C"/>
    <w:rsid w:val="00B9377C"/>
    <w:rsid w:val="00B93B13"/>
    <w:rsid w:val="00BF21F3"/>
    <w:rsid w:val="00C04AE4"/>
    <w:rsid w:val="00C3421D"/>
    <w:rsid w:val="00C44D16"/>
    <w:rsid w:val="00C65300"/>
    <w:rsid w:val="00C654D3"/>
    <w:rsid w:val="00C750EC"/>
    <w:rsid w:val="00C82F47"/>
    <w:rsid w:val="00CB12D2"/>
    <w:rsid w:val="00CD3CD3"/>
    <w:rsid w:val="00CE2B73"/>
    <w:rsid w:val="00CF35E0"/>
    <w:rsid w:val="00D35F85"/>
    <w:rsid w:val="00D4649D"/>
    <w:rsid w:val="00D46A2E"/>
    <w:rsid w:val="00DA28FA"/>
    <w:rsid w:val="00DB76F3"/>
    <w:rsid w:val="00DC0594"/>
    <w:rsid w:val="00DD0E59"/>
    <w:rsid w:val="00DE7379"/>
    <w:rsid w:val="00E53966"/>
    <w:rsid w:val="00E573CA"/>
    <w:rsid w:val="00E9405A"/>
    <w:rsid w:val="00EC086E"/>
    <w:rsid w:val="00EC4252"/>
    <w:rsid w:val="00EC5775"/>
    <w:rsid w:val="00ED7EC9"/>
    <w:rsid w:val="00F131A6"/>
    <w:rsid w:val="00F16C7E"/>
    <w:rsid w:val="00F27393"/>
    <w:rsid w:val="00F30031"/>
    <w:rsid w:val="00F92C50"/>
    <w:rsid w:val="00FA12D9"/>
    <w:rsid w:val="00FA6256"/>
    <w:rsid w:val="00FB3BB5"/>
    <w:rsid w:val="00FB6A6B"/>
    <w:rsid w:val="00FC6E68"/>
    <w:rsid w:val="00FD08B3"/>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65ED6AEE"/>
  <w15:docId w15:val="{714EC2CC-35D1-4D65-9B62-29EAA0D3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8A"/>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nhideWhenUsed/>
    <w:rsid w:val="009B7AC1"/>
    <w:pPr>
      <w:tabs>
        <w:tab w:val="center" w:pos="4680"/>
        <w:tab w:val="right" w:pos="9360"/>
      </w:tabs>
    </w:pPr>
  </w:style>
  <w:style w:type="character" w:customStyle="1" w:styleId="FooterChar">
    <w:name w:val="Footer Char"/>
    <w:basedOn w:val="DefaultParagraphFont"/>
    <w:link w:val="Footer"/>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34"/>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3F9C5D-2788-40C8-81B5-FF3E4526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2171</Words>
  <Characters>12380</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subject/>
  <dc:creator>MPI - 04252012</dc:creator>
  <cp:keywords/>
  <dc:description>Completed</dc:description>
  <cp:lastModifiedBy>Teresa Carrillo</cp:lastModifiedBy>
  <cp:revision>2</cp:revision>
  <cp:lastPrinted>2014-02-04T20:37:00Z</cp:lastPrinted>
  <dcterms:created xsi:type="dcterms:W3CDTF">2019-10-11T21:55:00Z</dcterms:created>
  <dcterms:modified xsi:type="dcterms:W3CDTF">2019-10-11T21:55:00Z</dcterms:modified>
  <cp:category>RETR-0044</cp:category>
</cp:coreProperties>
</file>